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4172A0" w:rsidRDefault="008E6DB9" w:rsidP="00531FE5">
      <w:pPr>
        <w:pStyle w:val="Heading1"/>
        <w:spacing w:before="0"/>
      </w:pPr>
      <w:bookmarkStart w:id="0" w:name="ChapterNumber"/>
      <w:bookmarkStart w:id="1" w:name="_GoBack"/>
      <w:bookmarkEnd w:id="1"/>
      <w:r>
        <w:t>9</w:t>
      </w:r>
      <w:bookmarkEnd w:id="0"/>
      <w:r w:rsidR="00531FE5" w:rsidRPr="004172A0">
        <w:tab/>
      </w:r>
      <w:r w:rsidR="00AC614F" w:rsidRPr="004172A0">
        <w:t>Evaluating Indigenous programs and policies: communicating the outcomes</w:t>
      </w:r>
    </w:p>
    <w:p w:rsidR="00AC614F" w:rsidRPr="004172A0" w:rsidRDefault="00AC614F" w:rsidP="006609ED">
      <w:pPr>
        <w:pStyle w:val="Author"/>
      </w:pPr>
      <w:bookmarkStart w:id="2" w:name="begin"/>
      <w:bookmarkEnd w:id="2"/>
      <w:r w:rsidRPr="004172A0">
        <w:t>D</w:t>
      </w:r>
      <w:r w:rsidR="003501B5" w:rsidRPr="004172A0">
        <w:t xml:space="preserve">avid </w:t>
      </w:r>
      <w:proofErr w:type="spellStart"/>
      <w:r w:rsidR="003501B5" w:rsidRPr="004172A0">
        <w:t>Kalisch</w:t>
      </w:r>
      <w:proofErr w:type="spellEnd"/>
      <w:r w:rsidR="00F97BD2" w:rsidRPr="004172A0">
        <w:rPr>
          <w:rStyle w:val="FootnoteReference"/>
        </w:rPr>
        <w:footnoteReference w:id="1"/>
      </w:r>
      <w:r w:rsidR="003501B5" w:rsidRPr="004172A0">
        <w:t xml:space="preserve"> and </w:t>
      </w:r>
      <w:proofErr w:type="spellStart"/>
      <w:r w:rsidR="003501B5" w:rsidRPr="004172A0">
        <w:t>Fadwa</w:t>
      </w:r>
      <w:proofErr w:type="spellEnd"/>
      <w:r w:rsidR="003501B5" w:rsidRPr="004172A0">
        <w:t xml:space="preserve"> Al-</w:t>
      </w:r>
      <w:proofErr w:type="spellStart"/>
      <w:r w:rsidR="003501B5" w:rsidRPr="004172A0">
        <w:t>Yaman</w:t>
      </w:r>
      <w:proofErr w:type="spellEnd"/>
      <w:r w:rsidR="003501B5" w:rsidRPr="004172A0">
        <w:rPr>
          <w:rStyle w:val="FootnoteReference"/>
        </w:rPr>
        <w:footnoteReference w:id="2"/>
      </w:r>
    </w:p>
    <w:p w:rsidR="00AC614F" w:rsidRPr="004172A0" w:rsidRDefault="00AC614F" w:rsidP="006609ED">
      <w:pPr>
        <w:pStyle w:val="AbstractHeading"/>
      </w:pPr>
      <w:r w:rsidRPr="004172A0">
        <w:t>Abstract</w:t>
      </w:r>
    </w:p>
    <w:p w:rsidR="00AC614F" w:rsidRPr="004172A0" w:rsidRDefault="00AC614F" w:rsidP="00405EF9">
      <w:pPr>
        <w:pStyle w:val="AbstractText"/>
        <w:jc w:val="both"/>
      </w:pPr>
      <w:r w:rsidRPr="004172A0">
        <w:t xml:space="preserve">Communicating evaluation findings effectively to policymakers is key to improving Indigenous policy and service delivery. This paper begins by discussing the role </w:t>
      </w:r>
      <w:r w:rsidR="00187E6B">
        <w:t xml:space="preserve">of the Australian Institute of Health and Welfare </w:t>
      </w:r>
      <w:r w:rsidRPr="004172A0">
        <w:t xml:space="preserve">in informing the policy community, service providers and the public with a special focus on its work on Indigenous health and welfare Information. This is followed by a description of its work on the Closing the Gap Clearinghouse </w:t>
      </w:r>
      <w:r w:rsidR="004172A0" w:rsidRPr="004172A0">
        <w:t>—</w:t>
      </w:r>
      <w:r w:rsidRPr="004172A0">
        <w:t xml:space="preserve"> an online resource providing evidence on what works to overcome Indigenous disadvantage across the </w:t>
      </w:r>
      <w:r w:rsidR="00D549F8">
        <w:t xml:space="preserve">Council of Australian Governments </w:t>
      </w:r>
      <w:r w:rsidRPr="004172A0">
        <w:t xml:space="preserve">building blocks. The final section focuses on the challenges of getting input from policymakers and communicating key messages effectively to them and other stakeholders. </w:t>
      </w:r>
    </w:p>
    <w:p w:rsidR="00AC614F" w:rsidRPr="004172A0" w:rsidRDefault="006609ED" w:rsidP="00C106B5">
      <w:pPr>
        <w:pStyle w:val="Heading2"/>
      </w:pPr>
      <w:r>
        <w:t>9.1</w:t>
      </w:r>
      <w:r w:rsidR="003501B5" w:rsidRPr="004172A0">
        <w:tab/>
      </w:r>
      <w:r w:rsidR="00AC614F" w:rsidRPr="004172A0">
        <w:t>Introduction</w:t>
      </w:r>
    </w:p>
    <w:p w:rsidR="00AC614F" w:rsidRPr="004172A0" w:rsidRDefault="00AC614F" w:rsidP="003501B5">
      <w:pPr>
        <w:pStyle w:val="BodyText"/>
      </w:pPr>
      <w:r w:rsidRPr="004172A0">
        <w:t>This paper will draw upon the experience of the Australian Institute of Health and Welfare (</w:t>
      </w:r>
      <w:proofErr w:type="spellStart"/>
      <w:r w:rsidRPr="004172A0">
        <w:t>AIHW</w:t>
      </w:r>
      <w:proofErr w:type="spellEnd"/>
      <w:r w:rsidRPr="004172A0">
        <w:t>) to provide information about Indigenous health and welfare policies and services.</w:t>
      </w:r>
      <w:r w:rsidR="004172A0" w:rsidRPr="004172A0">
        <w:t xml:space="preserve"> </w:t>
      </w:r>
    </w:p>
    <w:p w:rsidR="00AC614F" w:rsidRPr="004172A0" w:rsidRDefault="00AC614F" w:rsidP="003501B5">
      <w:pPr>
        <w:pStyle w:val="BodyText"/>
      </w:pPr>
      <w:r w:rsidRPr="004172A0">
        <w:t>In this paper we will be discussing:</w:t>
      </w:r>
    </w:p>
    <w:p w:rsidR="00AC614F" w:rsidRPr="004172A0" w:rsidRDefault="00187E6B" w:rsidP="003501B5">
      <w:pPr>
        <w:pStyle w:val="ListBullet"/>
      </w:pPr>
      <w:r>
        <w:t>t</w:t>
      </w:r>
      <w:r w:rsidR="00AC614F" w:rsidRPr="004172A0">
        <w:t xml:space="preserve">he unique and privileged role that the </w:t>
      </w:r>
      <w:proofErr w:type="spellStart"/>
      <w:r w:rsidR="00AC614F" w:rsidRPr="004172A0">
        <w:t>AIHW</w:t>
      </w:r>
      <w:proofErr w:type="spellEnd"/>
      <w:r w:rsidR="00AC614F" w:rsidRPr="004172A0">
        <w:t xml:space="preserve"> has been given to report on health and welfare matters</w:t>
      </w:r>
    </w:p>
    <w:p w:rsidR="00AC614F" w:rsidRPr="004172A0" w:rsidRDefault="00187E6B" w:rsidP="003501B5">
      <w:pPr>
        <w:pStyle w:val="ListBullet"/>
      </w:pPr>
      <w:r>
        <w:t>t</w:t>
      </w:r>
      <w:r w:rsidR="00AC614F" w:rsidRPr="004172A0">
        <w:t xml:space="preserve">he focus that the </w:t>
      </w:r>
      <w:proofErr w:type="spellStart"/>
      <w:r w:rsidR="00AC614F" w:rsidRPr="004172A0">
        <w:t>AIHW</w:t>
      </w:r>
      <w:proofErr w:type="spellEnd"/>
      <w:r w:rsidR="00AC614F" w:rsidRPr="004172A0">
        <w:t xml:space="preserve"> has placed on health and welfare outcomes for Indigenous people, with attention also to measuring and reporting on the effectiveness of services provided to Indigenous people</w:t>
      </w:r>
    </w:p>
    <w:p w:rsidR="00AC614F" w:rsidRPr="004172A0" w:rsidRDefault="00187E6B" w:rsidP="003501B5">
      <w:pPr>
        <w:pStyle w:val="ListBullet"/>
      </w:pPr>
      <w:r>
        <w:lastRenderedPageBreak/>
        <w:t>t</w:t>
      </w:r>
      <w:r w:rsidR="00AC614F" w:rsidRPr="004172A0">
        <w:t xml:space="preserve">he range of mechanisms used by the </w:t>
      </w:r>
      <w:proofErr w:type="spellStart"/>
      <w:r w:rsidR="00AC614F" w:rsidRPr="004172A0">
        <w:t>AIHW</w:t>
      </w:r>
      <w:proofErr w:type="spellEnd"/>
      <w:r w:rsidR="00AC614F" w:rsidRPr="004172A0">
        <w:t xml:space="preserve"> to provide this information to the general community, and key stakeholders</w:t>
      </w:r>
      <w:r>
        <w:t>,</w:t>
      </w:r>
      <w:r w:rsidR="00AC614F" w:rsidRPr="004172A0">
        <w:t xml:space="preserve"> including the policy community and service providers</w:t>
      </w:r>
    </w:p>
    <w:p w:rsidR="00AC614F" w:rsidRPr="004172A0" w:rsidRDefault="00187E6B" w:rsidP="003501B5">
      <w:pPr>
        <w:pStyle w:val="ListBullet"/>
      </w:pPr>
      <w:r>
        <w:t>t</w:t>
      </w:r>
      <w:r w:rsidR="00AC614F" w:rsidRPr="004172A0">
        <w:t>he particular role played by the Closing the Gap Clearinghouse</w:t>
      </w:r>
      <w:r>
        <w:t xml:space="preserve"> —</w:t>
      </w:r>
      <w:r w:rsidR="00D549F8">
        <w:t xml:space="preserve"> </w:t>
      </w:r>
      <w:r w:rsidR="00AC614F" w:rsidRPr="004172A0">
        <w:t xml:space="preserve">a joint venture of the </w:t>
      </w:r>
      <w:proofErr w:type="spellStart"/>
      <w:r w:rsidR="00AC614F" w:rsidRPr="004172A0">
        <w:t>AIHW</w:t>
      </w:r>
      <w:proofErr w:type="spellEnd"/>
      <w:r w:rsidR="00AC614F" w:rsidRPr="004172A0">
        <w:t xml:space="preserve"> and the Australian Institute of Family Studies</w:t>
      </w:r>
      <w:r w:rsidR="007F6526">
        <w:t xml:space="preserve"> (</w:t>
      </w:r>
      <w:proofErr w:type="spellStart"/>
      <w:r w:rsidR="007F6526">
        <w:t>AIFS</w:t>
      </w:r>
      <w:proofErr w:type="spellEnd"/>
      <w:r w:rsidR="007F6526">
        <w:t>)</w:t>
      </w:r>
      <w:r w:rsidR="00AC614F" w:rsidRPr="004172A0">
        <w:t xml:space="preserve">, funded by all Australian governments under a </w:t>
      </w:r>
      <w:r>
        <w:t>n</w:t>
      </w:r>
      <w:r w:rsidR="00AC614F" w:rsidRPr="004172A0">
        <w:t xml:space="preserve">ational </w:t>
      </w:r>
      <w:r>
        <w:t>p</w:t>
      </w:r>
      <w:r w:rsidR="00AC614F" w:rsidRPr="004172A0">
        <w:t xml:space="preserve">artnership </w:t>
      </w:r>
      <w:r>
        <w:t>a</w:t>
      </w:r>
      <w:r w:rsidR="00AC614F" w:rsidRPr="004172A0">
        <w:t>greement</w:t>
      </w:r>
    </w:p>
    <w:p w:rsidR="00AC614F" w:rsidRPr="004172A0" w:rsidRDefault="00187E6B" w:rsidP="003501B5">
      <w:pPr>
        <w:pStyle w:val="ListBullet"/>
      </w:pPr>
      <w:r>
        <w:t>o</w:t>
      </w:r>
      <w:r w:rsidR="00AC614F" w:rsidRPr="004172A0">
        <w:t xml:space="preserve">ur experience with </w:t>
      </w:r>
      <w:r>
        <w:t xml:space="preserve">the </w:t>
      </w:r>
      <w:r w:rsidR="00AC614F" w:rsidRPr="004172A0">
        <w:t>innovative presentation of information, to better convey key messages for a range of stakeholders.</w:t>
      </w:r>
    </w:p>
    <w:p w:rsidR="00AC614F" w:rsidRPr="004172A0" w:rsidRDefault="006609ED" w:rsidP="00E027CB">
      <w:pPr>
        <w:pStyle w:val="Heading2"/>
      </w:pPr>
      <w:r>
        <w:t>9.2</w:t>
      </w:r>
      <w:r w:rsidR="000E498A" w:rsidRPr="004172A0">
        <w:tab/>
      </w:r>
      <w:r w:rsidR="00AC614F" w:rsidRPr="004172A0">
        <w:t xml:space="preserve">The </w:t>
      </w:r>
      <w:r w:rsidR="00187E6B">
        <w:t>r</w:t>
      </w:r>
      <w:r w:rsidR="00AC614F" w:rsidRPr="004172A0">
        <w:t xml:space="preserve">ole of the Australian </w:t>
      </w:r>
      <w:r w:rsidR="00E027CB" w:rsidRPr="004172A0">
        <w:t>Institute of Health and Welfare</w:t>
      </w:r>
    </w:p>
    <w:p w:rsidR="00AC614F" w:rsidRPr="004172A0" w:rsidRDefault="00AC614F" w:rsidP="003501B5">
      <w:pPr>
        <w:pStyle w:val="BodyText"/>
      </w:pPr>
      <w:r w:rsidRPr="004172A0">
        <w:t xml:space="preserve">The </w:t>
      </w:r>
      <w:proofErr w:type="spellStart"/>
      <w:r w:rsidRPr="004172A0">
        <w:t>AIHW</w:t>
      </w:r>
      <w:proofErr w:type="spellEnd"/>
      <w:r w:rsidRPr="004172A0">
        <w:t xml:space="preserve"> is a major national agency, established under the </w:t>
      </w:r>
      <w:r w:rsidR="007F5725" w:rsidRPr="00682E5D">
        <w:rPr>
          <w:i/>
        </w:rPr>
        <w:t>Australian Institute of Health and Welfare Act 1987</w:t>
      </w:r>
      <w:r w:rsidRPr="004172A0">
        <w:t xml:space="preserve"> to provide reliable, regular and relevant information and statistics on Australia</w:t>
      </w:r>
      <w:r w:rsidR="004172A0" w:rsidRPr="004172A0">
        <w:t>’</w:t>
      </w:r>
      <w:r w:rsidRPr="004172A0">
        <w:t>s health and welfare. Our aim is to produce authoritative information and statistics to promote better health and wellbeing.</w:t>
      </w:r>
    </w:p>
    <w:p w:rsidR="00AC614F" w:rsidRPr="004172A0" w:rsidRDefault="00AC614F" w:rsidP="003501B5">
      <w:pPr>
        <w:pStyle w:val="BodyText"/>
      </w:pPr>
      <w:r w:rsidRPr="004172A0">
        <w:t xml:space="preserve">The </w:t>
      </w:r>
      <w:proofErr w:type="spellStart"/>
      <w:r w:rsidRPr="004172A0">
        <w:t>AIHW</w:t>
      </w:r>
      <w:proofErr w:type="spellEnd"/>
      <w:r w:rsidRPr="004172A0">
        <w:t xml:space="preserve"> is an independent statutory authority, with a management </w:t>
      </w:r>
      <w:r w:rsidR="005803FE">
        <w:t>b</w:t>
      </w:r>
      <w:r w:rsidRPr="004172A0">
        <w:t xml:space="preserve">oard comprising independent and government members. This governance arrangement supports our role </w:t>
      </w:r>
      <w:r w:rsidR="005803FE">
        <w:t xml:space="preserve">in receiving </w:t>
      </w:r>
      <w:r w:rsidRPr="004172A0">
        <w:t xml:space="preserve">sensitive data from a range of sources, including all governments, </w:t>
      </w:r>
      <w:r w:rsidR="00D549F8">
        <w:t xml:space="preserve">and </w:t>
      </w:r>
      <w:r w:rsidRPr="004172A0">
        <w:t>our objective reporting of information across the health and welfare domains.</w:t>
      </w:r>
    </w:p>
    <w:p w:rsidR="00AC614F" w:rsidRPr="004172A0" w:rsidRDefault="00AC614F" w:rsidP="003501B5">
      <w:pPr>
        <w:pStyle w:val="BodyText"/>
      </w:pPr>
      <w:r w:rsidRPr="004172A0">
        <w:t>Data are the core resource of the Institute. In doing our work, we collaborate closely and have effective data partnerships with many experts from around Australia, including the Australian Bureau of Statistics, governments at all levels, specialist government agencies</w:t>
      </w:r>
      <w:r w:rsidR="005803FE">
        <w:t>,</w:t>
      </w:r>
      <w:r w:rsidR="000E4CE3">
        <w:t xml:space="preserve"> </w:t>
      </w:r>
      <w:r w:rsidRPr="004172A0">
        <w:t xml:space="preserve">including the Productivity Commission, universities, research centres and non-government agencies. Our work includes the establishment of data standards and reporting on data quality, in addition to the reporting of information. There is a focus on the reporting of relevant, comparable data and making data available for a wide range of purposes. Increasingly, the </w:t>
      </w:r>
      <w:proofErr w:type="spellStart"/>
      <w:r w:rsidRPr="004172A0">
        <w:t>AIHW</w:t>
      </w:r>
      <w:proofErr w:type="spellEnd"/>
      <w:r w:rsidRPr="004172A0">
        <w:t xml:space="preserve"> is undertaking value</w:t>
      </w:r>
      <w:r w:rsidR="005803FE">
        <w:t>-</w:t>
      </w:r>
      <w:r w:rsidRPr="004172A0">
        <w:t>added analysis and research that utilises the very rich information holdings we manage, including through expert data linkage and modelling.</w:t>
      </w:r>
    </w:p>
    <w:p w:rsidR="00AC614F" w:rsidRPr="004172A0" w:rsidRDefault="00AC614F" w:rsidP="003501B5">
      <w:pPr>
        <w:pStyle w:val="BodyText"/>
      </w:pPr>
      <w:r w:rsidRPr="004172A0">
        <w:t xml:space="preserve">Over the past year, the </w:t>
      </w:r>
      <w:proofErr w:type="spellStart"/>
      <w:r w:rsidRPr="004172A0">
        <w:t>AIHW</w:t>
      </w:r>
      <w:proofErr w:type="spellEnd"/>
      <w:r w:rsidRPr="004172A0">
        <w:t xml:space="preserve"> produced around 150 reports</w:t>
      </w:r>
      <w:r w:rsidR="00215FF8">
        <w:t>,</w:t>
      </w:r>
      <w:r w:rsidRPr="004172A0">
        <w:t xml:space="preserve"> including detailed information collections on population health, disease occurrence, perinatal data, hospital data, drug and alcohol use and treatment services, mental health services and homelessness and housing services. The </w:t>
      </w:r>
      <w:proofErr w:type="spellStart"/>
      <w:r w:rsidRPr="004172A0">
        <w:t>AIHW</w:t>
      </w:r>
      <w:proofErr w:type="spellEnd"/>
      <w:r w:rsidRPr="004172A0">
        <w:t xml:space="preserve"> also draws this information together biennially in two separate reports</w:t>
      </w:r>
      <w:r w:rsidR="00215FF8">
        <w:t>,</w:t>
      </w:r>
      <w:r w:rsidRPr="004172A0">
        <w:t xml:space="preserve"> </w:t>
      </w:r>
      <w:r w:rsidRPr="004172A0">
        <w:rPr>
          <w:i/>
        </w:rPr>
        <w:t>Australia</w:t>
      </w:r>
      <w:r w:rsidR="004172A0" w:rsidRPr="004172A0">
        <w:rPr>
          <w:i/>
        </w:rPr>
        <w:t>’</w:t>
      </w:r>
      <w:r w:rsidRPr="004172A0">
        <w:rPr>
          <w:i/>
        </w:rPr>
        <w:t>s Health</w:t>
      </w:r>
      <w:r w:rsidRPr="004172A0">
        <w:t xml:space="preserve"> and </w:t>
      </w:r>
      <w:r w:rsidRPr="004172A0">
        <w:rPr>
          <w:i/>
        </w:rPr>
        <w:t>Australia</w:t>
      </w:r>
      <w:r w:rsidR="004172A0" w:rsidRPr="004172A0">
        <w:rPr>
          <w:i/>
        </w:rPr>
        <w:t>’</w:t>
      </w:r>
      <w:r w:rsidRPr="004172A0">
        <w:rPr>
          <w:i/>
        </w:rPr>
        <w:t>s Welfare</w:t>
      </w:r>
      <w:r w:rsidR="00215FF8">
        <w:t>,</w:t>
      </w:r>
      <w:r w:rsidRPr="004172A0">
        <w:t xml:space="preserve"> that provide a comprehensive review and compendium of health and </w:t>
      </w:r>
      <w:r w:rsidRPr="004172A0">
        <w:lastRenderedPageBreak/>
        <w:t xml:space="preserve">welfare in Australia. We contribute information for national performance reporting, including through the </w:t>
      </w:r>
      <w:r w:rsidR="00D549F8">
        <w:t>Council of Australian Governments (</w:t>
      </w:r>
      <w:r w:rsidRPr="004172A0">
        <w:t>COAG</w:t>
      </w:r>
      <w:r w:rsidR="00D549F8">
        <w:t>)</w:t>
      </w:r>
      <w:r w:rsidRPr="004172A0">
        <w:t xml:space="preserve"> Reform Council, the Report on Government Services and the National Health Performance Authority.</w:t>
      </w:r>
    </w:p>
    <w:p w:rsidR="00AC614F" w:rsidRPr="004172A0" w:rsidRDefault="00AC614F" w:rsidP="003501B5">
      <w:pPr>
        <w:pStyle w:val="BodyText"/>
      </w:pPr>
      <w:r w:rsidRPr="004172A0">
        <w:t xml:space="preserve">Our robust, transparent reporting of health and welfare information means that: </w:t>
      </w:r>
    </w:p>
    <w:p w:rsidR="00AC614F" w:rsidRPr="004172A0" w:rsidRDefault="00AC614F" w:rsidP="003501B5">
      <w:pPr>
        <w:pStyle w:val="ListBullet"/>
      </w:pPr>
      <w:r w:rsidRPr="004172A0">
        <w:t>the community can understand what its significant contribution to the cost of</w:t>
      </w:r>
      <w:r w:rsidR="004172A0" w:rsidRPr="004172A0">
        <w:t xml:space="preserve"> </w:t>
      </w:r>
      <w:r w:rsidRPr="004172A0">
        <w:t xml:space="preserve">health services actually buys in terms of health services and welfare services and related outcomes </w:t>
      </w:r>
    </w:p>
    <w:p w:rsidR="00AC614F" w:rsidRPr="004172A0" w:rsidRDefault="00AC614F" w:rsidP="003501B5">
      <w:pPr>
        <w:pStyle w:val="ListBullet"/>
      </w:pPr>
      <w:r w:rsidRPr="004172A0">
        <w:t>health and welfare systems and governments become more accountable to the community, and health and welfare policy becomes better informed and can be tested against outcomes</w:t>
      </w:r>
    </w:p>
    <w:p w:rsidR="00AC614F" w:rsidRPr="004172A0" w:rsidRDefault="00AC614F" w:rsidP="003501B5">
      <w:pPr>
        <w:pStyle w:val="ListBullet"/>
      </w:pPr>
      <w:r w:rsidRPr="004172A0">
        <w:t>clinicians and health and welfare service managers can make better decisions</w:t>
      </w:r>
      <w:r w:rsidR="00D549F8">
        <w:t>,</w:t>
      </w:r>
      <w:r w:rsidRPr="004172A0">
        <w:t xml:space="preserve"> which will improve the effectiveness, efficiency and outcomes of </w:t>
      </w:r>
      <w:r w:rsidR="00215FF8">
        <w:t xml:space="preserve">health and welfare </w:t>
      </w:r>
      <w:r w:rsidRPr="004172A0">
        <w:t xml:space="preserve">services </w:t>
      </w:r>
    </w:p>
    <w:p w:rsidR="00AC614F" w:rsidRPr="004172A0" w:rsidRDefault="00AC614F" w:rsidP="003501B5">
      <w:pPr>
        <w:pStyle w:val="ListBullet"/>
      </w:pPr>
      <w:r w:rsidRPr="004172A0">
        <w:t>Australia</w:t>
      </w:r>
      <w:r w:rsidR="004172A0" w:rsidRPr="004172A0">
        <w:t>’</w:t>
      </w:r>
      <w:r w:rsidRPr="004172A0">
        <w:t>s international reputation for high</w:t>
      </w:r>
      <w:r w:rsidR="00215FF8">
        <w:t>-</w:t>
      </w:r>
      <w:r w:rsidRPr="004172A0">
        <w:t>quality health and welfare services can be demonstrated.</w:t>
      </w:r>
    </w:p>
    <w:p w:rsidR="00AC614F" w:rsidRPr="004172A0" w:rsidRDefault="00AC614F" w:rsidP="003501B5">
      <w:pPr>
        <w:pStyle w:val="BodyText"/>
      </w:pPr>
      <w:r w:rsidRPr="004172A0">
        <w:t xml:space="preserve">Within effective governance arrangements, including legislation, robust privacy practices and good relationships with data providers, </w:t>
      </w:r>
      <w:r w:rsidR="00D549F8">
        <w:t xml:space="preserve">the </w:t>
      </w:r>
      <w:proofErr w:type="spellStart"/>
      <w:r w:rsidRPr="004172A0">
        <w:t>AIHW</w:t>
      </w:r>
      <w:proofErr w:type="spellEnd"/>
      <w:r w:rsidRPr="004172A0">
        <w:t xml:space="preserve"> regularly </w:t>
      </w:r>
      <w:r w:rsidR="00682E5D">
        <w:t>provides</w:t>
      </w:r>
      <w:r w:rsidRPr="004172A0">
        <w:t xml:space="preserve"> researchers </w:t>
      </w:r>
      <w:r w:rsidR="00682E5D">
        <w:t>with</w:t>
      </w:r>
      <w:r w:rsidR="00D549F8">
        <w:t xml:space="preserve"> </w:t>
      </w:r>
      <w:r w:rsidRPr="004172A0">
        <w:t xml:space="preserve">access to </w:t>
      </w:r>
      <w:r w:rsidR="00215FF8">
        <w:t xml:space="preserve">its </w:t>
      </w:r>
      <w:r w:rsidRPr="004172A0">
        <w:t xml:space="preserve">data holdings. An established, well-respected </w:t>
      </w:r>
      <w:r w:rsidR="00215FF8">
        <w:t>e</w:t>
      </w:r>
      <w:r w:rsidRPr="004172A0">
        <w:t xml:space="preserve">thics </w:t>
      </w:r>
      <w:r w:rsidR="00215FF8">
        <w:t>c</w:t>
      </w:r>
      <w:r w:rsidRPr="004172A0">
        <w:t>ommittee process manages requests for sensitive information.</w:t>
      </w:r>
    </w:p>
    <w:p w:rsidR="00AC614F" w:rsidRPr="004172A0" w:rsidRDefault="006609ED" w:rsidP="00E027CB">
      <w:pPr>
        <w:pStyle w:val="Heading2"/>
      </w:pPr>
      <w:r>
        <w:t>9.3</w:t>
      </w:r>
      <w:r w:rsidR="000E498A" w:rsidRPr="004172A0">
        <w:tab/>
      </w:r>
      <w:proofErr w:type="spellStart"/>
      <w:r w:rsidR="00AC614F" w:rsidRPr="004172A0">
        <w:t>AIHW</w:t>
      </w:r>
      <w:r w:rsidR="004172A0" w:rsidRPr="004172A0">
        <w:t>’</w:t>
      </w:r>
      <w:r w:rsidR="00AC614F" w:rsidRPr="004172A0">
        <w:t>s</w:t>
      </w:r>
      <w:proofErr w:type="spellEnd"/>
      <w:r w:rsidR="00AC614F" w:rsidRPr="004172A0">
        <w:t xml:space="preserve"> Aboriginal and Torres Strait Islander Health and Welfare work program </w:t>
      </w:r>
    </w:p>
    <w:p w:rsidR="00AC614F" w:rsidRPr="004172A0" w:rsidRDefault="00AC614F" w:rsidP="003501B5">
      <w:pPr>
        <w:pStyle w:val="BodyText"/>
      </w:pPr>
      <w:r w:rsidRPr="004172A0">
        <w:t xml:space="preserve">Since the initial establishment of the Aboriginal and Torres Strait Islander Health and Welfare Unit at the </w:t>
      </w:r>
      <w:proofErr w:type="spellStart"/>
      <w:r w:rsidRPr="004172A0">
        <w:t>AIHW</w:t>
      </w:r>
      <w:proofErr w:type="spellEnd"/>
      <w:r w:rsidRPr="004172A0">
        <w:t xml:space="preserve"> in 2003, the </w:t>
      </w:r>
      <w:proofErr w:type="spellStart"/>
      <w:r w:rsidRPr="004172A0">
        <w:t>AIHW</w:t>
      </w:r>
      <w:proofErr w:type="spellEnd"/>
      <w:r w:rsidRPr="004172A0">
        <w:t xml:space="preserve"> Indigenous work has expanded and diversified. </w:t>
      </w:r>
    </w:p>
    <w:p w:rsidR="00AC614F" w:rsidRPr="004172A0" w:rsidRDefault="00AC614F" w:rsidP="003501B5">
      <w:pPr>
        <w:pStyle w:val="BodyText"/>
      </w:pPr>
      <w:r w:rsidRPr="004172A0">
        <w:t>The work of the Social and Indigenous Group covers health, community services and educational data in an integrated manner.</w:t>
      </w:r>
      <w:r w:rsidR="004172A0" w:rsidRPr="004172A0">
        <w:t xml:space="preserve"> </w:t>
      </w:r>
      <w:r w:rsidRPr="004172A0">
        <w:t xml:space="preserve">In addition, it is an </w:t>
      </w:r>
      <w:proofErr w:type="spellStart"/>
      <w:r w:rsidRPr="004172A0">
        <w:t>AIHW</w:t>
      </w:r>
      <w:proofErr w:type="spellEnd"/>
      <w:r w:rsidRPr="004172A0">
        <w:t xml:space="preserve"> policy that all reports should contain relevant information on Indigenous Australians if data quality permits. </w:t>
      </w:r>
    </w:p>
    <w:p w:rsidR="00AC614F" w:rsidRPr="004172A0" w:rsidRDefault="00AC614F" w:rsidP="003501B5">
      <w:pPr>
        <w:pStyle w:val="BodyText"/>
      </w:pPr>
      <w:r w:rsidRPr="004172A0">
        <w:t xml:space="preserve">The </w:t>
      </w:r>
      <w:proofErr w:type="spellStart"/>
      <w:r w:rsidRPr="004172A0">
        <w:t>AIHW</w:t>
      </w:r>
      <w:proofErr w:type="spellEnd"/>
      <w:r w:rsidRPr="004172A0">
        <w:t xml:space="preserve"> has a very wide ranging work program in this area, including</w:t>
      </w:r>
      <w:r w:rsidR="00682E5D">
        <w:t xml:space="preserve"> the following</w:t>
      </w:r>
      <w:r w:rsidRPr="004172A0">
        <w:t>:</w:t>
      </w:r>
      <w:r w:rsidR="004172A0" w:rsidRPr="004172A0">
        <w:t xml:space="preserve"> </w:t>
      </w:r>
    </w:p>
    <w:p w:rsidR="00AC614F" w:rsidRPr="004172A0" w:rsidRDefault="00AC614F" w:rsidP="003501B5">
      <w:pPr>
        <w:pStyle w:val="ListBullet"/>
      </w:pPr>
      <w:r w:rsidRPr="004172A0">
        <w:t xml:space="preserve">Consolidated reporting of the health and welfare of Aboriginal and Torres Strait Islander people through </w:t>
      </w:r>
      <w:r w:rsidR="00A759A5">
        <w:t xml:space="preserve">the </w:t>
      </w:r>
      <w:proofErr w:type="spellStart"/>
      <w:r w:rsidRPr="004172A0">
        <w:t>on</w:t>
      </w:r>
      <w:r w:rsidR="00682E5D">
        <w:t>-</w:t>
      </w:r>
      <w:r w:rsidRPr="004172A0">
        <w:t>line</w:t>
      </w:r>
      <w:proofErr w:type="spellEnd"/>
      <w:r w:rsidRPr="004172A0">
        <w:t xml:space="preserve"> Indigenous Observatory is updated regularly, </w:t>
      </w:r>
      <w:r w:rsidRPr="004172A0">
        <w:lastRenderedPageBreak/>
        <w:t>with a summary overview report produced every 2</w:t>
      </w:r>
      <w:r w:rsidR="004172A0" w:rsidRPr="004172A0">
        <w:t>–</w:t>
      </w:r>
      <w:r w:rsidRPr="004172A0">
        <w:t>3 years (</w:t>
      </w:r>
      <w:proofErr w:type="spellStart"/>
      <w:r w:rsidRPr="004172A0">
        <w:t>AIHW</w:t>
      </w:r>
      <w:proofErr w:type="spellEnd"/>
      <w:r w:rsidRPr="004172A0">
        <w:t xml:space="preserve"> </w:t>
      </w:r>
      <w:proofErr w:type="spellStart"/>
      <w:r w:rsidRPr="004172A0">
        <w:t>2011</w:t>
      </w:r>
      <w:r w:rsidR="00207DDD">
        <w:t>b</w:t>
      </w:r>
      <w:proofErr w:type="spellEnd"/>
      <w:r w:rsidRPr="004172A0">
        <w:t xml:space="preserve">). </w:t>
      </w:r>
      <w:r w:rsidR="00682E5D">
        <w:t>T</w:t>
      </w:r>
      <w:r w:rsidRPr="004172A0">
        <w:t>he 2011 observatory</w:t>
      </w:r>
      <w:r w:rsidR="00682E5D">
        <w:t>, for example,</w:t>
      </w:r>
      <w:r w:rsidRPr="004172A0">
        <w:t xml:space="preserve"> covered topic such as demography, housing, chronic disease, mortality and life expectancy, eye health, access to services and homelessness.</w:t>
      </w:r>
      <w:r w:rsidR="004172A0" w:rsidRPr="004172A0">
        <w:t xml:space="preserve"> </w:t>
      </w:r>
      <w:r w:rsidRPr="004172A0">
        <w:t xml:space="preserve">The next overview report is expected to be released in 2014. The Indigenous </w:t>
      </w:r>
      <w:r w:rsidR="004F6595" w:rsidRPr="004172A0">
        <w:t xml:space="preserve">Observatory </w:t>
      </w:r>
      <w:r w:rsidRPr="004172A0">
        <w:t>provides a focal point for improving and using information on Indigenous health and welfare.</w:t>
      </w:r>
    </w:p>
    <w:p w:rsidR="00AC614F" w:rsidRPr="004172A0" w:rsidRDefault="00682E5D" w:rsidP="003501B5">
      <w:pPr>
        <w:pStyle w:val="ListBullet"/>
      </w:pPr>
      <w:r>
        <w:t>Performance r</w:t>
      </w:r>
      <w:r w:rsidR="00AC614F" w:rsidRPr="004172A0">
        <w:t>eporting against the National Aboriginal and Torres Strait Islander Health Performance Framework presents data on some 70</w:t>
      </w:r>
      <w:r>
        <w:t> </w:t>
      </w:r>
      <w:r w:rsidR="00AC614F" w:rsidRPr="004172A0">
        <w:t>measures canvassing health status and outcomes, determinants of health and health systems performance</w:t>
      </w:r>
      <w:r w:rsidR="00A759A5">
        <w:t xml:space="preserve">. This </w:t>
      </w:r>
      <w:r w:rsidR="00AC614F" w:rsidRPr="004172A0">
        <w:t xml:space="preserve">information </w:t>
      </w:r>
      <w:r w:rsidR="00A759A5">
        <w:t xml:space="preserve">has been </w:t>
      </w:r>
      <w:r w:rsidR="00AC614F" w:rsidRPr="004172A0">
        <w:t>published every two years since 2006 (</w:t>
      </w:r>
      <w:proofErr w:type="spellStart"/>
      <w:r w:rsidR="00AC614F" w:rsidRPr="004172A0">
        <w:t>AIHW</w:t>
      </w:r>
      <w:proofErr w:type="spellEnd"/>
      <w:r w:rsidR="00AC614F" w:rsidRPr="004172A0">
        <w:t xml:space="preserve"> </w:t>
      </w:r>
      <w:proofErr w:type="spellStart"/>
      <w:r w:rsidR="00AC614F" w:rsidRPr="004172A0">
        <w:t>2011</w:t>
      </w:r>
      <w:r w:rsidR="00207DDD">
        <w:t>a</w:t>
      </w:r>
      <w:proofErr w:type="spellEnd"/>
      <w:r w:rsidR="00AC614F" w:rsidRPr="004172A0">
        <w:t>). The national and jurisdictional reports are used to inform policy analyses</w:t>
      </w:r>
      <w:r w:rsidR="004F6595">
        <w:t xml:space="preserve"> and</w:t>
      </w:r>
      <w:r w:rsidR="00AC614F" w:rsidRPr="004172A0">
        <w:t xml:space="preserve"> planning</w:t>
      </w:r>
      <w:r>
        <w:t>,</w:t>
      </w:r>
      <w:r w:rsidR="00AC614F" w:rsidRPr="004172A0">
        <w:t xml:space="preserve"> and </w:t>
      </w:r>
      <w:r w:rsidR="004F6595">
        <w:t xml:space="preserve">to </w:t>
      </w:r>
      <w:r w:rsidR="00AC614F" w:rsidRPr="004172A0">
        <w:t>monitor program implementation</w:t>
      </w:r>
      <w:r w:rsidR="00A759A5">
        <w:t>.</w:t>
      </w:r>
    </w:p>
    <w:p w:rsidR="00AC614F" w:rsidRPr="004172A0" w:rsidRDefault="00A759A5" w:rsidP="003501B5">
      <w:pPr>
        <w:pStyle w:val="ListBullet"/>
        <w:rPr>
          <w:rFonts w:ascii="Arial" w:hAnsi="Arial" w:cs="Arial"/>
          <w:sz w:val="24"/>
          <w:szCs w:val="24"/>
          <w:lang w:eastAsia="en-US"/>
        </w:rPr>
      </w:pPr>
      <w:r>
        <w:t xml:space="preserve">The </w:t>
      </w:r>
      <w:proofErr w:type="spellStart"/>
      <w:r>
        <w:t>AIHW</w:t>
      </w:r>
      <w:proofErr w:type="spellEnd"/>
      <w:r>
        <w:t xml:space="preserve"> reports </w:t>
      </w:r>
      <w:r w:rsidR="00AC614F" w:rsidRPr="004172A0">
        <w:t xml:space="preserve">on the prevalence and chronicity of conditions found in children as a result of the Australian Government </w:t>
      </w:r>
      <w:r w:rsidR="00AC614F" w:rsidRPr="004172A0">
        <w:rPr>
          <w:rFonts w:cs="Arial"/>
        </w:rPr>
        <w:t>Northern Territory Emergency Response (</w:t>
      </w:r>
      <w:proofErr w:type="spellStart"/>
      <w:r w:rsidR="00AC614F" w:rsidRPr="004172A0">
        <w:rPr>
          <w:rFonts w:cs="Arial"/>
        </w:rPr>
        <w:t>NTER</w:t>
      </w:r>
      <w:proofErr w:type="spellEnd"/>
      <w:r w:rsidR="00AC614F" w:rsidRPr="004172A0">
        <w:rPr>
          <w:rFonts w:cs="Arial"/>
        </w:rPr>
        <w:t>) Child Health Checks Initiative</w:t>
      </w:r>
      <w:r w:rsidR="00682E5D">
        <w:rPr>
          <w:rFonts w:cs="Arial"/>
        </w:rPr>
        <w:t>,</w:t>
      </w:r>
      <w:r w:rsidR="00AC614F" w:rsidRPr="004172A0">
        <w:rPr>
          <w:rFonts w:cs="Arial"/>
        </w:rPr>
        <w:t xml:space="preserve"> and </w:t>
      </w:r>
      <w:r>
        <w:rPr>
          <w:rFonts w:cs="Arial"/>
        </w:rPr>
        <w:t xml:space="preserve">on </w:t>
      </w:r>
      <w:r w:rsidR="00AC614F" w:rsidRPr="004172A0">
        <w:rPr>
          <w:rFonts w:cs="Arial"/>
        </w:rPr>
        <w:t>follow-up service delivery.</w:t>
      </w:r>
      <w:r w:rsidR="004172A0" w:rsidRPr="004172A0">
        <w:rPr>
          <w:rFonts w:cs="Arial"/>
        </w:rPr>
        <w:t xml:space="preserve"> </w:t>
      </w:r>
      <w:r w:rsidR="00AC614F" w:rsidRPr="004172A0">
        <w:t xml:space="preserve">The </w:t>
      </w:r>
      <w:r w:rsidR="00682E5D">
        <w:t>data have</w:t>
      </w:r>
      <w:r>
        <w:t xml:space="preserve"> shown </w:t>
      </w:r>
      <w:r w:rsidR="00AC614F" w:rsidRPr="004172A0">
        <w:t xml:space="preserve">high prevalence rates for dental, audiology and skin problems that </w:t>
      </w:r>
      <w:r>
        <w:t xml:space="preserve">have </w:t>
      </w:r>
      <w:r w:rsidR="00AC614F" w:rsidRPr="004172A0">
        <w:t>needed extensive follow-up and treat</w:t>
      </w:r>
      <w:r w:rsidR="00C13083">
        <w:t>ments (</w:t>
      </w:r>
      <w:proofErr w:type="spellStart"/>
      <w:r w:rsidR="00C13083">
        <w:t>AIHW</w:t>
      </w:r>
      <w:proofErr w:type="spellEnd"/>
      <w:r w:rsidR="00C13083">
        <w:t xml:space="preserve"> and </w:t>
      </w:r>
      <w:proofErr w:type="spellStart"/>
      <w:r w:rsidR="00C13083">
        <w:t>DoHA</w:t>
      </w:r>
      <w:proofErr w:type="spellEnd"/>
      <w:r w:rsidR="00C13083">
        <w:t xml:space="preserve"> 2008, 2009;</w:t>
      </w:r>
      <w:r w:rsidR="00AC614F" w:rsidRPr="004172A0">
        <w:t xml:space="preserve"> </w:t>
      </w:r>
      <w:proofErr w:type="spellStart"/>
      <w:r w:rsidR="00AC614F" w:rsidRPr="004172A0">
        <w:t>AIHW</w:t>
      </w:r>
      <w:proofErr w:type="spellEnd"/>
      <w:r w:rsidR="00AC614F" w:rsidRPr="004172A0">
        <w:t xml:space="preserve"> </w:t>
      </w:r>
      <w:proofErr w:type="spellStart"/>
      <w:r w:rsidR="00AC614F" w:rsidRPr="004172A0">
        <w:t>2012</w:t>
      </w:r>
      <w:r w:rsidR="008B3474">
        <w:t>b</w:t>
      </w:r>
      <w:proofErr w:type="spellEnd"/>
      <w:r w:rsidR="00AC614F" w:rsidRPr="004172A0">
        <w:t xml:space="preserve">). The findings </w:t>
      </w:r>
      <w:r>
        <w:t xml:space="preserve">have </w:t>
      </w:r>
      <w:r w:rsidR="00AC614F" w:rsidRPr="004172A0">
        <w:t xml:space="preserve">led to a more targeted approach in the provision of needed services. The creation of dental, audiology and </w:t>
      </w:r>
      <w:r w:rsidR="004F6595">
        <w:t xml:space="preserve">ear, nose and throat </w:t>
      </w:r>
      <w:r w:rsidR="00AC614F" w:rsidRPr="004172A0">
        <w:t xml:space="preserve">data collections </w:t>
      </w:r>
      <w:r>
        <w:t xml:space="preserve">has </w:t>
      </w:r>
      <w:r w:rsidR="00AC614F" w:rsidRPr="004172A0">
        <w:t>meant that the number of services provided, the extent of follow-up, the types of services provide</w:t>
      </w:r>
      <w:r w:rsidR="007F6526">
        <w:t>d</w:t>
      </w:r>
      <w:r w:rsidR="00AC614F" w:rsidRPr="004172A0">
        <w:t xml:space="preserve"> and changes in health outcomes for these children following service delivery can be monitored.</w:t>
      </w:r>
    </w:p>
    <w:p w:rsidR="00AC614F" w:rsidRPr="004172A0" w:rsidRDefault="00132F06" w:rsidP="003501B5">
      <w:pPr>
        <w:pStyle w:val="ListBullet"/>
        <w:rPr>
          <w:rFonts w:cs="Arial"/>
        </w:rPr>
      </w:pPr>
      <w:r>
        <w:t xml:space="preserve">The </w:t>
      </w:r>
      <w:proofErr w:type="spellStart"/>
      <w:r>
        <w:t>AIHW</w:t>
      </w:r>
      <w:proofErr w:type="spellEnd"/>
      <w:r>
        <w:t xml:space="preserve"> has </w:t>
      </w:r>
      <w:r w:rsidR="00071B59">
        <w:t>worked</w:t>
      </w:r>
      <w:r>
        <w:t xml:space="preserve"> on i</w:t>
      </w:r>
      <w:r w:rsidR="00AC614F" w:rsidRPr="004172A0">
        <w:t>mproving the quality of information and methodological approaches. One of the major obstacles to collecting accurate information on Indigenous Australians is an under</w:t>
      </w:r>
      <w:r w:rsidR="00071B59">
        <w:t>-</w:t>
      </w:r>
      <w:r w:rsidR="00AC614F" w:rsidRPr="004172A0">
        <w:t>identification of Indigenous people in many data sets.</w:t>
      </w:r>
      <w:r w:rsidR="004172A0" w:rsidRPr="004172A0">
        <w:t xml:space="preserve"> </w:t>
      </w:r>
      <w:r w:rsidR="00AC614F" w:rsidRPr="004172A0">
        <w:t xml:space="preserve">In order to improve the quality of data at the collection phase, the </w:t>
      </w:r>
      <w:proofErr w:type="spellStart"/>
      <w:r w:rsidR="00AC614F" w:rsidRPr="004172A0">
        <w:t>AIHW</w:t>
      </w:r>
      <w:proofErr w:type="spellEnd"/>
      <w:r w:rsidR="00AC614F" w:rsidRPr="004172A0">
        <w:t xml:space="preserve"> has produced the </w:t>
      </w:r>
      <w:r>
        <w:t>n</w:t>
      </w:r>
      <w:r w:rsidR="00AC614F" w:rsidRPr="004172A0">
        <w:t>ational best practice guidelines for collecting Indigenous status in health data sets (</w:t>
      </w:r>
      <w:proofErr w:type="spellStart"/>
      <w:r w:rsidR="00AC614F" w:rsidRPr="004172A0">
        <w:t>AIHW</w:t>
      </w:r>
      <w:proofErr w:type="spellEnd"/>
      <w:r w:rsidR="00AC614F" w:rsidRPr="004172A0">
        <w:t xml:space="preserve"> 2010). Work</w:t>
      </w:r>
      <w:r w:rsidR="00AC614F" w:rsidRPr="004172A0">
        <w:rPr>
          <w:rFonts w:cs="Arial"/>
        </w:rPr>
        <w:t xml:space="preserve"> on assessing the level of under-identification in key data sets is being undertaken by the </w:t>
      </w:r>
      <w:proofErr w:type="spellStart"/>
      <w:r w:rsidR="00AC614F" w:rsidRPr="004172A0">
        <w:rPr>
          <w:rFonts w:cs="Arial"/>
        </w:rPr>
        <w:t>AIHW</w:t>
      </w:r>
      <w:proofErr w:type="spellEnd"/>
      <w:r>
        <w:rPr>
          <w:rFonts w:cs="Arial"/>
        </w:rPr>
        <w:t>,</w:t>
      </w:r>
      <w:r w:rsidR="00AC614F" w:rsidRPr="004172A0">
        <w:rPr>
          <w:rFonts w:cs="Arial"/>
        </w:rPr>
        <w:t xml:space="preserve"> with the resultant correction factors being applied to these data sets to improve monitoring of the closing the gap between Indigenous and non</w:t>
      </w:r>
      <w:r w:rsidR="00071B59">
        <w:rPr>
          <w:rFonts w:cs="Arial"/>
        </w:rPr>
        <w:noBreakHyphen/>
      </w:r>
      <w:r w:rsidR="00AC614F" w:rsidRPr="004172A0">
        <w:rPr>
          <w:rFonts w:cs="Arial"/>
        </w:rPr>
        <w:t>Indigenous Australians.</w:t>
      </w:r>
      <w:r w:rsidR="004172A0" w:rsidRPr="004172A0">
        <w:rPr>
          <w:rFonts w:cs="Arial"/>
        </w:rPr>
        <w:t xml:space="preserve"> </w:t>
      </w:r>
      <w:r w:rsidR="00AC614F" w:rsidRPr="004172A0">
        <w:rPr>
          <w:rFonts w:cs="Arial"/>
        </w:rPr>
        <w:t>The two main projects currently under</w:t>
      </w:r>
      <w:r w:rsidR="00071B59">
        <w:rPr>
          <w:rFonts w:cs="Arial"/>
        </w:rPr>
        <w:t xml:space="preserve"> </w:t>
      </w:r>
      <w:r w:rsidR="00AC614F" w:rsidRPr="004172A0">
        <w:rPr>
          <w:rFonts w:cs="Arial"/>
        </w:rPr>
        <w:t>way are</w:t>
      </w:r>
      <w:r>
        <w:rPr>
          <w:rFonts w:cs="Arial"/>
        </w:rPr>
        <w:t>, first,</w:t>
      </w:r>
      <w:r w:rsidR="00AC614F" w:rsidRPr="004172A0">
        <w:rPr>
          <w:rFonts w:cs="Arial"/>
        </w:rPr>
        <w:t xml:space="preserve"> assessing the level of under</w:t>
      </w:r>
      <w:r w:rsidR="00071B59">
        <w:rPr>
          <w:rFonts w:cs="Arial"/>
        </w:rPr>
        <w:t>-</w:t>
      </w:r>
      <w:r w:rsidR="00AC614F" w:rsidRPr="004172A0">
        <w:rPr>
          <w:rFonts w:cs="Arial"/>
        </w:rPr>
        <w:t>identification in hospital data through an audit process and</w:t>
      </w:r>
      <w:r>
        <w:rPr>
          <w:rFonts w:cs="Arial"/>
        </w:rPr>
        <w:t>, second,</w:t>
      </w:r>
      <w:r w:rsidR="00AC614F" w:rsidRPr="004172A0">
        <w:rPr>
          <w:rFonts w:cs="Arial"/>
        </w:rPr>
        <w:t xml:space="preserve"> using data linkage to assess the level of under</w:t>
      </w:r>
      <w:r w:rsidR="00071B59">
        <w:rPr>
          <w:rFonts w:cs="Arial"/>
        </w:rPr>
        <w:t>-</w:t>
      </w:r>
      <w:r w:rsidR="00AC614F" w:rsidRPr="004172A0">
        <w:rPr>
          <w:rFonts w:cs="Arial"/>
        </w:rPr>
        <w:t>identification in mortality data (</w:t>
      </w:r>
      <w:proofErr w:type="spellStart"/>
      <w:r w:rsidR="00AC614F" w:rsidRPr="004172A0">
        <w:rPr>
          <w:rFonts w:cs="Arial"/>
        </w:rPr>
        <w:t>AIHW</w:t>
      </w:r>
      <w:proofErr w:type="spellEnd"/>
      <w:r w:rsidR="00AC614F" w:rsidRPr="004172A0">
        <w:rPr>
          <w:rFonts w:cs="Arial"/>
        </w:rPr>
        <w:t xml:space="preserve"> </w:t>
      </w:r>
      <w:proofErr w:type="spellStart"/>
      <w:r w:rsidR="00AC614F" w:rsidRPr="004172A0">
        <w:rPr>
          <w:rFonts w:cs="Arial"/>
        </w:rPr>
        <w:t>2012</w:t>
      </w:r>
      <w:r w:rsidR="008B3474">
        <w:rPr>
          <w:rFonts w:cs="Arial"/>
        </w:rPr>
        <w:t>a</w:t>
      </w:r>
      <w:proofErr w:type="spellEnd"/>
      <w:r w:rsidR="00AC614F" w:rsidRPr="004172A0">
        <w:rPr>
          <w:rFonts w:cs="Arial"/>
        </w:rPr>
        <w:t>).</w:t>
      </w:r>
      <w:r w:rsidR="004172A0" w:rsidRPr="004172A0">
        <w:rPr>
          <w:rFonts w:cs="Arial"/>
        </w:rPr>
        <w:t xml:space="preserve"> </w:t>
      </w:r>
      <w:r w:rsidR="00AC614F" w:rsidRPr="004172A0">
        <w:rPr>
          <w:rFonts w:cs="Arial"/>
        </w:rPr>
        <w:t>Data linkage guidelines specific to linking data on Indigenous Australians were produced in collaboration with the Australian Bureau of Statistics (</w:t>
      </w:r>
      <w:proofErr w:type="spellStart"/>
      <w:r w:rsidR="00AC614F" w:rsidRPr="004172A0">
        <w:rPr>
          <w:rFonts w:cs="Arial"/>
        </w:rPr>
        <w:t>AIHW</w:t>
      </w:r>
      <w:proofErr w:type="spellEnd"/>
      <w:r w:rsidR="00AC614F" w:rsidRPr="004172A0">
        <w:rPr>
          <w:rFonts w:cs="Arial"/>
        </w:rPr>
        <w:t xml:space="preserve"> and ABS 2012). </w:t>
      </w:r>
    </w:p>
    <w:p w:rsidR="00AC614F" w:rsidRPr="004172A0" w:rsidRDefault="00132F06" w:rsidP="003501B5">
      <w:pPr>
        <w:pStyle w:val="ListBullet"/>
      </w:pPr>
      <w:r>
        <w:t xml:space="preserve">The </w:t>
      </w:r>
      <w:proofErr w:type="spellStart"/>
      <w:r>
        <w:t>AIHW</w:t>
      </w:r>
      <w:proofErr w:type="spellEnd"/>
      <w:r>
        <w:t xml:space="preserve"> has </w:t>
      </w:r>
      <w:r w:rsidR="00071B59">
        <w:t xml:space="preserve">addressed </w:t>
      </w:r>
      <w:r w:rsidR="00AC614F" w:rsidRPr="004172A0">
        <w:t xml:space="preserve">gaps in existing information, with recent attention </w:t>
      </w:r>
      <w:r>
        <w:t xml:space="preserve">on enhancing </w:t>
      </w:r>
      <w:r w:rsidR="00AC614F" w:rsidRPr="004172A0">
        <w:t xml:space="preserve">perinatal data and key performance indicators for Indigenous-specific primary health care services. </w:t>
      </w:r>
    </w:p>
    <w:p w:rsidR="00AC614F" w:rsidRPr="004172A0" w:rsidRDefault="00AC614F" w:rsidP="003501B5">
      <w:pPr>
        <w:pStyle w:val="BodyText"/>
      </w:pPr>
      <w:r w:rsidRPr="004172A0">
        <w:lastRenderedPageBreak/>
        <w:t xml:space="preserve">An example of some of our analytical work is modelling the likely impact of COAG health and other initiatives in closing the gap in life expectancy between Indigenous and non-Indigenous Australians. This work, known as the </w:t>
      </w:r>
      <w:r w:rsidR="004172A0" w:rsidRPr="004172A0">
        <w:t>‘</w:t>
      </w:r>
      <w:r w:rsidRPr="004172A0">
        <w:t>trajectories</w:t>
      </w:r>
      <w:r w:rsidR="004172A0" w:rsidRPr="004172A0">
        <w:t>’</w:t>
      </w:r>
      <w:r w:rsidRPr="004172A0">
        <w:t xml:space="preserve"> study, assesses the outcomes of individual health initiatives in order to predict their combined impacts on life expectancy. This draws on scientific evidence of </w:t>
      </w:r>
      <w:r w:rsidR="00132F06">
        <w:t xml:space="preserve">the </w:t>
      </w:r>
      <w:r w:rsidRPr="004172A0">
        <w:t>effectiveness of such initiatives and epidemiological evidence on the relationship between</w:t>
      </w:r>
      <w:r w:rsidR="00132F06">
        <w:t>, for example,</w:t>
      </w:r>
      <w:r w:rsidRPr="004172A0">
        <w:t xml:space="preserve"> reductions in smoking rates, disease prevalence, and mortality rates. </w:t>
      </w:r>
    </w:p>
    <w:p w:rsidR="00AC614F" w:rsidRPr="004172A0" w:rsidRDefault="00AC614F" w:rsidP="003501B5">
      <w:pPr>
        <w:pStyle w:val="BodyText"/>
        <w:rPr>
          <w:rFonts w:ascii="Arial" w:hAnsi="Arial" w:cs="Arial"/>
          <w:b/>
          <w:sz w:val="24"/>
          <w:szCs w:val="24"/>
        </w:rPr>
      </w:pPr>
      <w:r w:rsidRPr="004172A0">
        <w:t xml:space="preserve">Our experience in communicating the outcome from Indigenous policies and services is to first have the evidence that can be reported. The Closing the Gap </w:t>
      </w:r>
      <w:r w:rsidR="00132F06" w:rsidRPr="004172A0">
        <w:t xml:space="preserve">Clearinghouse </w:t>
      </w:r>
      <w:r w:rsidRPr="004172A0">
        <w:t xml:space="preserve">is an essential mechanism </w:t>
      </w:r>
      <w:r w:rsidR="00132F06">
        <w:t xml:space="preserve">for collecting, improving and disseminating </w:t>
      </w:r>
      <w:r w:rsidRPr="004172A0">
        <w:t>the evidence.</w:t>
      </w:r>
    </w:p>
    <w:p w:rsidR="00AC614F" w:rsidRPr="004172A0" w:rsidRDefault="006609ED" w:rsidP="00E027CB">
      <w:pPr>
        <w:pStyle w:val="Heading2"/>
      </w:pPr>
      <w:r>
        <w:t>9.4</w:t>
      </w:r>
      <w:r w:rsidR="000E498A" w:rsidRPr="004172A0">
        <w:tab/>
      </w:r>
      <w:r w:rsidR="00AC614F" w:rsidRPr="004172A0">
        <w:t>The Closing</w:t>
      </w:r>
      <w:r w:rsidR="00132F06">
        <w:t xml:space="preserve"> </w:t>
      </w:r>
      <w:r w:rsidR="00AC614F" w:rsidRPr="004172A0">
        <w:t>the</w:t>
      </w:r>
      <w:r w:rsidR="00132F06">
        <w:t xml:space="preserve"> </w:t>
      </w:r>
      <w:r w:rsidR="00AC614F" w:rsidRPr="004172A0">
        <w:t xml:space="preserve">Gap Clearinghouse </w:t>
      </w:r>
    </w:p>
    <w:p w:rsidR="00AC614F" w:rsidRPr="004172A0" w:rsidRDefault="00AC614F" w:rsidP="003501B5">
      <w:pPr>
        <w:pStyle w:val="BodyText"/>
      </w:pPr>
      <w:r w:rsidRPr="004172A0">
        <w:t xml:space="preserve">The Closing the Gap Clearinghouse was established by COAG as an online resource to bring together evidence on what works to overcome Indigenous disadvantage. The functions of the Clearinghouse are delivered by the </w:t>
      </w:r>
      <w:proofErr w:type="spellStart"/>
      <w:r w:rsidRPr="004172A0">
        <w:t>AIHW</w:t>
      </w:r>
      <w:proofErr w:type="spellEnd"/>
      <w:r w:rsidRPr="004172A0">
        <w:t xml:space="preserve"> in collaboration with </w:t>
      </w:r>
      <w:proofErr w:type="spellStart"/>
      <w:r w:rsidRPr="004172A0">
        <w:t>AIFS</w:t>
      </w:r>
      <w:proofErr w:type="spellEnd"/>
      <w:r w:rsidRPr="004172A0">
        <w:t xml:space="preserve">. </w:t>
      </w:r>
    </w:p>
    <w:p w:rsidR="0099515B" w:rsidRDefault="0099515B" w:rsidP="0077668B">
      <w:pPr>
        <w:pStyle w:val="Heading3"/>
      </w:pPr>
      <w:r>
        <w:t>Purpose</w:t>
      </w:r>
    </w:p>
    <w:p w:rsidR="00AC614F" w:rsidRPr="004172A0" w:rsidRDefault="00AC614F" w:rsidP="003501B5">
      <w:pPr>
        <w:pStyle w:val="BodyText"/>
      </w:pPr>
      <w:r w:rsidRPr="004172A0">
        <w:t>The primary purpose of the Clearinghouse is to make available</w:t>
      </w:r>
      <w:r w:rsidR="00071B59">
        <w:t>,</w:t>
      </w:r>
      <w:r w:rsidRPr="004172A0">
        <w:t xml:space="preserve"> in one place, the results of work being carried </w:t>
      </w:r>
      <w:r w:rsidR="00132F06">
        <w:t xml:space="preserve">out </w:t>
      </w:r>
      <w:r w:rsidRPr="004172A0">
        <w:t xml:space="preserve">to overcome Indigenous disadvantage across the </w:t>
      </w:r>
      <w:r w:rsidR="00132F06">
        <w:t xml:space="preserve">seven </w:t>
      </w:r>
      <w:r w:rsidRPr="004172A0">
        <w:t>COAG building blocks: early childhood, schooling, health, economic participation, healthy homes, safe communities</w:t>
      </w:r>
      <w:r w:rsidR="00132F06">
        <w:t>,</w:t>
      </w:r>
      <w:r w:rsidRPr="004172A0">
        <w:t xml:space="preserve"> and governance and leadership that underpin the six COAG targets relevant to closing the gap between Indigenous and non-Indigenous Australians in health, early childhood, education and employment. The Clearinghouse seeks to provide a rigorous assessment and synthesis of evidence on programs and interventions that have been evaluated and have been shown to be effective. The search strategy for the Clearinghouse focuses on evidence from Australian interventions with a priority on Indigenous</w:t>
      </w:r>
      <w:r w:rsidR="00132F06">
        <w:t>-</w:t>
      </w:r>
      <w:r w:rsidRPr="004172A0">
        <w:t>specific research.</w:t>
      </w:r>
      <w:r w:rsidR="004172A0" w:rsidRPr="004172A0">
        <w:t xml:space="preserve"> </w:t>
      </w:r>
      <w:r w:rsidRPr="004172A0">
        <w:t xml:space="preserve">Programs and interventions in </w:t>
      </w:r>
      <w:r w:rsidR="007F6526">
        <w:t xml:space="preserve">countries with </w:t>
      </w:r>
      <w:r w:rsidRPr="004172A0">
        <w:t>Indigenous populations with some similarity to Australia</w:t>
      </w:r>
      <w:r w:rsidR="007F6526">
        <w:t>’s</w:t>
      </w:r>
      <w:r w:rsidR="00071B59">
        <w:t>,</w:t>
      </w:r>
      <w:r w:rsidRPr="004172A0">
        <w:t xml:space="preserve"> such as New Zealand, Canada and the </w:t>
      </w:r>
      <w:r w:rsidR="00132F06">
        <w:t xml:space="preserve">United States </w:t>
      </w:r>
      <w:r w:rsidRPr="004172A0">
        <w:t xml:space="preserve">are also within </w:t>
      </w:r>
      <w:r w:rsidR="006473B3">
        <w:t xml:space="preserve">the </w:t>
      </w:r>
      <w:r w:rsidRPr="004172A0">
        <w:t xml:space="preserve">scope of the </w:t>
      </w:r>
      <w:r w:rsidR="006473B3" w:rsidRPr="004172A0">
        <w:t>Clearinghouse</w:t>
      </w:r>
      <w:r w:rsidR="006473B3">
        <w:t>’s</w:t>
      </w:r>
      <w:r w:rsidR="006473B3" w:rsidRPr="004172A0">
        <w:t xml:space="preserve"> </w:t>
      </w:r>
      <w:r w:rsidRPr="004172A0">
        <w:t>work</w:t>
      </w:r>
      <w:r w:rsidR="00E50F70">
        <w:t>, as are programs and interventions across the total populations of those countries</w:t>
      </w:r>
      <w:r w:rsidRPr="004172A0">
        <w:t>.</w:t>
      </w:r>
    </w:p>
    <w:p w:rsidR="00AC614F" w:rsidRPr="004172A0" w:rsidRDefault="00AC614F" w:rsidP="003501B5">
      <w:pPr>
        <w:pStyle w:val="BodyText"/>
      </w:pPr>
      <w:r w:rsidRPr="004172A0">
        <w:t>The Clearinghouse</w:t>
      </w:r>
      <w:r w:rsidR="004172A0" w:rsidRPr="004172A0">
        <w:t>’</w:t>
      </w:r>
      <w:r w:rsidRPr="004172A0">
        <w:t>s primary audiences are policy</w:t>
      </w:r>
      <w:r w:rsidR="00071B59">
        <w:t>-</w:t>
      </w:r>
      <w:r w:rsidRPr="004172A0">
        <w:t xml:space="preserve">makers and service providers. Its activities are overseen by a </w:t>
      </w:r>
      <w:r w:rsidR="006473B3">
        <w:t>b</w:t>
      </w:r>
      <w:r w:rsidRPr="004172A0">
        <w:t xml:space="preserve">oard which provides strategic directions and advice. </w:t>
      </w:r>
      <w:r w:rsidRPr="004172A0">
        <w:lastRenderedPageBreak/>
        <w:t xml:space="preserve">The </w:t>
      </w:r>
      <w:r w:rsidR="006473B3">
        <w:t>b</w:t>
      </w:r>
      <w:r w:rsidRPr="004172A0">
        <w:t>oard approves the annual work program.</w:t>
      </w:r>
      <w:r w:rsidR="004172A0" w:rsidRPr="004172A0">
        <w:t xml:space="preserve"> </w:t>
      </w:r>
      <w:r w:rsidRPr="004172A0">
        <w:t>A Scientific Reference Group comprised of academics with subject</w:t>
      </w:r>
      <w:r w:rsidR="00071B59">
        <w:t>-</w:t>
      </w:r>
      <w:r w:rsidRPr="004172A0">
        <w:t xml:space="preserve">matter expertise, provides technical advice. A panel of Indigenous and non-Indigenous subject-matter experts assists the Clearinghouse to assess evidence as well as to write on topics agreed to by the board and nominated by jurisdictions. To assess and label the evidence in selected research and evaluations, the Clearinghouse developed a practical, formal assessment process with guidance from the Scientific Reference Group and Clearinghouse Board. To develop the </w:t>
      </w:r>
      <w:r w:rsidR="006473B3">
        <w:t>a</w:t>
      </w:r>
      <w:r w:rsidRPr="004172A0">
        <w:t xml:space="preserve">ssessment tool, a variety of existing standards and frameworks were reviewed. The </w:t>
      </w:r>
      <w:r w:rsidR="006473B3">
        <w:t>t</w:t>
      </w:r>
      <w:r w:rsidRPr="004172A0">
        <w:t>ool has three sections: common issues, methods</w:t>
      </w:r>
      <w:r w:rsidR="006473B3">
        <w:t>,</w:t>
      </w:r>
      <w:r w:rsidRPr="004172A0">
        <w:t xml:space="preserve"> and results and conclusions. Subject specialists are commissioned to review identified material, and label the evidence using the </w:t>
      </w:r>
      <w:r w:rsidR="006473B3">
        <w:t>t</w:t>
      </w:r>
      <w:r w:rsidRPr="004172A0">
        <w:t>ool.</w:t>
      </w:r>
      <w:r w:rsidR="004172A0" w:rsidRPr="004172A0">
        <w:t xml:space="preserve"> </w:t>
      </w:r>
      <w:r w:rsidR="006473B3">
        <w:t>The r</w:t>
      </w:r>
      <w:r w:rsidRPr="004172A0">
        <w:t xml:space="preserve">esults of </w:t>
      </w:r>
      <w:r w:rsidR="006473B3">
        <w:t xml:space="preserve">the </w:t>
      </w:r>
      <w:r w:rsidRPr="004172A0">
        <w:t xml:space="preserve">assessments are synthesised and summarised in the </w:t>
      </w:r>
      <w:r w:rsidR="006473B3">
        <w:t>a</w:t>
      </w:r>
      <w:r w:rsidRPr="004172A0">
        <w:t xml:space="preserve">ssessed </w:t>
      </w:r>
      <w:r w:rsidR="006473B3">
        <w:t>c</w:t>
      </w:r>
      <w:r w:rsidRPr="004172A0">
        <w:t>ollection, along with information on what works, and why.</w:t>
      </w:r>
    </w:p>
    <w:p w:rsidR="00AC614F" w:rsidRPr="004172A0" w:rsidRDefault="00AC614F" w:rsidP="003501B5">
      <w:pPr>
        <w:pStyle w:val="Heading3"/>
        <w:rPr>
          <w:szCs w:val="24"/>
        </w:rPr>
      </w:pPr>
      <w:r w:rsidRPr="004172A0">
        <w:rPr>
          <w:szCs w:val="24"/>
        </w:rPr>
        <w:t xml:space="preserve">Key </w:t>
      </w:r>
      <w:proofErr w:type="spellStart"/>
      <w:r w:rsidRPr="004172A0">
        <w:rPr>
          <w:szCs w:val="24"/>
        </w:rPr>
        <w:t>lea</w:t>
      </w:r>
      <w:r w:rsidR="003501B5" w:rsidRPr="004172A0">
        <w:t>rnings</w:t>
      </w:r>
      <w:proofErr w:type="spellEnd"/>
      <w:r w:rsidR="003501B5" w:rsidRPr="004172A0">
        <w:t xml:space="preserve"> and gap</w:t>
      </w:r>
      <w:r w:rsidR="00E50F70">
        <w:t>s</w:t>
      </w:r>
      <w:r w:rsidR="003501B5" w:rsidRPr="004172A0">
        <w:t xml:space="preserve"> in the evidence</w:t>
      </w:r>
    </w:p>
    <w:p w:rsidR="00AC614F" w:rsidRPr="004172A0" w:rsidRDefault="00AC614F" w:rsidP="003501B5">
      <w:pPr>
        <w:pStyle w:val="BodyText"/>
      </w:pPr>
      <w:r w:rsidRPr="004172A0">
        <w:t xml:space="preserve">An annual paper synthesises the evidence, showing key </w:t>
      </w:r>
      <w:proofErr w:type="spellStart"/>
      <w:r w:rsidRPr="004172A0">
        <w:t>learnings</w:t>
      </w:r>
      <w:proofErr w:type="spellEnd"/>
      <w:r w:rsidRPr="004172A0">
        <w:t xml:space="preserve"> and gaps in the evidence across all Clearinghouse resources and it points to recurring or cross</w:t>
      </w:r>
      <w:r w:rsidR="0099515B">
        <w:noBreakHyphen/>
      </w:r>
      <w:r w:rsidRPr="004172A0">
        <w:t>cutting themes. The analytical framework used to identify gaps is shown in Figure</w:t>
      </w:r>
      <w:r w:rsidR="003501B5" w:rsidRPr="004172A0">
        <w:t> </w:t>
      </w:r>
      <w:r w:rsidR="00631385">
        <w:t>9.</w:t>
      </w:r>
      <w:r w:rsidRPr="004172A0">
        <w:t xml:space="preserve">1. </w:t>
      </w:r>
      <w:r w:rsidR="006473B3">
        <w:t xml:space="preserve">The analytical framework </w:t>
      </w:r>
      <w:r w:rsidRPr="004172A0">
        <w:t xml:space="preserve">includes: </w:t>
      </w:r>
    </w:p>
    <w:p w:rsidR="00AC614F" w:rsidRPr="004172A0" w:rsidRDefault="006473B3" w:rsidP="003501B5">
      <w:pPr>
        <w:pStyle w:val="ListBullet"/>
      </w:pPr>
      <w:r>
        <w:t>a</w:t>
      </w:r>
      <w:r w:rsidR="00AC614F" w:rsidRPr="004172A0">
        <w:t xml:space="preserve">nalyses of themes and key </w:t>
      </w:r>
      <w:proofErr w:type="spellStart"/>
      <w:r w:rsidR="00AC614F" w:rsidRPr="004172A0">
        <w:t>learnings</w:t>
      </w:r>
      <w:proofErr w:type="spellEnd"/>
      <w:r w:rsidR="00AC614F" w:rsidRPr="004172A0">
        <w:t xml:space="preserve"> for each building block using material in issues papers</w:t>
      </w:r>
      <w:r w:rsidR="00E50F70">
        <w:t xml:space="preserve"> and</w:t>
      </w:r>
      <w:r w:rsidR="00AC614F" w:rsidRPr="004172A0">
        <w:t xml:space="preserve"> resource sheets</w:t>
      </w:r>
      <w:r w:rsidR="00071B59">
        <w:t>,</w:t>
      </w:r>
      <w:r w:rsidR="00AC614F" w:rsidRPr="004172A0">
        <w:t xml:space="preserve"> as well as through qualitative analysis of items in the assessed collection</w:t>
      </w:r>
    </w:p>
    <w:p w:rsidR="00AC614F" w:rsidRPr="004172A0" w:rsidRDefault="006473B3" w:rsidP="003501B5">
      <w:pPr>
        <w:pStyle w:val="ListBullet"/>
      </w:pPr>
      <w:r>
        <w:t>a</w:t>
      </w:r>
      <w:r w:rsidR="00AC614F" w:rsidRPr="004172A0">
        <w:t>n outline of the characteristics of the assessed collection</w:t>
      </w:r>
      <w:r w:rsidR="00E50F70">
        <w:t>,</w:t>
      </w:r>
      <w:r w:rsidR="00AC614F" w:rsidRPr="004172A0">
        <w:t xml:space="preserve"> including research type, type of publication, study population, country and location of the research</w:t>
      </w:r>
      <w:r w:rsidR="004172A0" w:rsidRPr="004172A0">
        <w:t xml:space="preserve"> </w:t>
      </w:r>
    </w:p>
    <w:p w:rsidR="00AC614F" w:rsidRPr="004172A0" w:rsidRDefault="006473B3" w:rsidP="003501B5">
      <w:pPr>
        <w:pStyle w:val="ListBullet"/>
      </w:pPr>
      <w:r>
        <w:t>i</w:t>
      </w:r>
      <w:r w:rsidR="00AC614F" w:rsidRPr="004172A0">
        <w:t>dentification of gaps in the evidence (</w:t>
      </w:r>
      <w:proofErr w:type="spellStart"/>
      <w:r w:rsidR="00AC614F" w:rsidRPr="004172A0">
        <w:t>AIHW</w:t>
      </w:r>
      <w:proofErr w:type="spellEnd"/>
      <w:r w:rsidR="00AC614F" w:rsidRPr="004172A0">
        <w:t xml:space="preserve"> and </w:t>
      </w:r>
      <w:proofErr w:type="spellStart"/>
      <w:r w:rsidR="00AC614F" w:rsidRPr="004172A0">
        <w:t>AIFS</w:t>
      </w:r>
      <w:proofErr w:type="spellEnd"/>
      <w:r w:rsidR="00AC614F" w:rsidRPr="004172A0">
        <w:t xml:space="preserve"> 201</w:t>
      </w:r>
      <w:r w:rsidR="005F3116">
        <w:t>1</w:t>
      </w:r>
      <w:r w:rsidR="00AC614F" w:rsidRPr="004172A0">
        <w:t>, 201</w:t>
      </w:r>
      <w:r w:rsidR="005F3116">
        <w:t>2</w:t>
      </w:r>
      <w:r w:rsidR="00AC614F" w:rsidRPr="004172A0">
        <w:t>).</w:t>
      </w:r>
    </w:p>
    <w:p w:rsidR="003501B5" w:rsidRPr="004172A0" w:rsidRDefault="003501B5" w:rsidP="003501B5">
      <w:pPr>
        <w:pStyle w:val="FigureTitle"/>
      </w:pPr>
      <w:bookmarkStart w:id="3" w:name="_Toc298230775"/>
      <w:bookmarkStart w:id="4" w:name="_Toc298231156"/>
      <w:bookmarkStart w:id="5" w:name="_Toc298231266"/>
      <w:bookmarkStart w:id="6" w:name="_Toc298487485"/>
      <w:r w:rsidRPr="004172A0">
        <w:lastRenderedPageBreak/>
        <w:t xml:space="preserve">Figure </w:t>
      </w:r>
      <w:r w:rsidR="00631385">
        <w:t>9.</w:t>
      </w:r>
      <w:r w:rsidRPr="004172A0">
        <w:t>1</w:t>
      </w:r>
      <w:r w:rsidRPr="004172A0">
        <w:tab/>
        <w:t>Analytical framework for the analysis of evidence on what works to overcome Indigenous disadvantage, 2010–11</w:t>
      </w:r>
    </w:p>
    <w:p w:rsidR="00AC614F" w:rsidRPr="004172A0" w:rsidRDefault="009A6E7A" w:rsidP="00306440">
      <w:pPr>
        <w:pStyle w:val="BodyText"/>
        <w:pBdr>
          <w:top w:val="single" w:sz="4" w:space="1" w:color="auto"/>
          <w:bottom w:val="single" w:sz="4" w:space="1" w:color="auto"/>
        </w:pBdr>
        <w:spacing w:after="360"/>
      </w:pPr>
      <w:r>
        <w:rPr>
          <w:noProof/>
        </w:rPr>
        <mc:AlternateContent>
          <mc:Choice Requires="wps">
            <w:drawing>
              <wp:anchor distT="0" distB="0" distL="114298" distR="114298" simplePos="0" relativeHeight="251664384" behindDoc="0" locked="0" layoutInCell="1" allowOverlap="1" wp14:anchorId="2F1AEA3E" wp14:editId="369920AB">
                <wp:simplePos x="0" y="0"/>
                <wp:positionH relativeFrom="column">
                  <wp:posOffset>4292599</wp:posOffset>
                </wp:positionH>
                <wp:positionV relativeFrom="paragraph">
                  <wp:posOffset>2424430</wp:posOffset>
                </wp:positionV>
                <wp:extent cx="0" cy="767715"/>
                <wp:effectExtent l="76200" t="0" r="57150" b="51435"/>
                <wp:wrapNone/>
                <wp:docPr id="8"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7715"/>
                        </a:xfrm>
                        <a:prstGeom prst="straightConnector1">
                          <a:avLst/>
                        </a:prstGeom>
                        <a:noFill/>
                        <a:ln w="25400" cap="flat" cmpd="sng" algn="ctr">
                          <a:solidFill>
                            <a:schemeClr val="accent2"/>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338pt;margin-top:190.9pt;width:0;height:60.45p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" strokecolor="#c0504d [3205]" strokeweight="2pt">
                <v:stroke endarrow="block"/>
                <o:lock v:ext="edit" shapetype="f"/>
              </v:shape>
            </w:pict>
          </mc:Fallback>
        </mc:AlternateContent>
      </w:r>
      <w:r>
        <w:rPr>
          <w:noProof/>
        </w:rPr>
        <mc:AlternateContent>
          <mc:Choice Requires="wps">
            <w:drawing>
              <wp:anchor distT="0" distB="0" distL="114298" distR="114298" simplePos="0" relativeHeight="251659264" behindDoc="0" locked="0" layoutInCell="1" allowOverlap="1" wp14:anchorId="2B87194A" wp14:editId="78E1E533">
                <wp:simplePos x="0" y="0"/>
                <wp:positionH relativeFrom="column">
                  <wp:posOffset>4280534</wp:posOffset>
                </wp:positionH>
                <wp:positionV relativeFrom="paragraph">
                  <wp:posOffset>3604260</wp:posOffset>
                </wp:positionV>
                <wp:extent cx="0" cy="240030"/>
                <wp:effectExtent l="76200" t="0" r="57150" b="64770"/>
                <wp:wrapNone/>
                <wp:docPr id="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0030"/>
                        </a:xfrm>
                        <a:prstGeom prst="straightConnector1">
                          <a:avLst/>
                        </a:prstGeom>
                        <a:ln w="2540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337.05pt;margin-top:283.8pt;width:0;height:18.9pt;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" strokecolor="#c0504d [3205]" strokeweight="2pt">
                <v:stroke endarrow="block"/>
                <o:lock v:ext="edit" shapetype="f"/>
              </v:shape>
            </w:pict>
          </mc:Fallback>
        </mc:AlternateContent>
      </w:r>
      <w:r>
        <w:rPr>
          <w:noProof/>
        </w:rPr>
        <mc:AlternateContent>
          <mc:Choice Requires="wps">
            <w:drawing>
              <wp:anchor distT="0" distB="0" distL="114298" distR="114298" simplePos="0" relativeHeight="251662336" behindDoc="0" locked="0" layoutInCell="1" allowOverlap="1" wp14:anchorId="0D22D402" wp14:editId="0C2C1B95">
                <wp:simplePos x="0" y="0"/>
                <wp:positionH relativeFrom="column">
                  <wp:posOffset>3809364</wp:posOffset>
                </wp:positionH>
                <wp:positionV relativeFrom="paragraph">
                  <wp:posOffset>1351915</wp:posOffset>
                </wp:positionV>
                <wp:extent cx="0" cy="991870"/>
                <wp:effectExtent l="76200" t="0" r="95250" b="5588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91870"/>
                        </a:xfrm>
                        <a:prstGeom prst="straightConnector1">
                          <a:avLst/>
                        </a:prstGeom>
                        <a:noFill/>
                        <a:ln w="25400" cap="flat" cmpd="sng" algn="ctr">
                          <a:solidFill>
                            <a:schemeClr val="accent2"/>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299.95pt;margin-top:106.45pt;width:0;height:78.1pt;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" strokecolor="#c0504d [3205]" strokeweight="2pt">
                <v:stroke endarrow="block"/>
                <o:lock v:ext="edit" shapetype="f"/>
              </v:shape>
            </w:pict>
          </mc:Fallback>
        </mc:AlternateContent>
      </w:r>
      <w:r>
        <w:rPr>
          <w:noProof/>
        </w:rPr>
        <mc:AlternateContent>
          <mc:Choice Requires="wps">
            <w:drawing>
              <wp:anchor distT="0" distB="0" distL="114298" distR="114298" simplePos="0" relativeHeight="251661312" behindDoc="0" locked="0" layoutInCell="1" allowOverlap="1" wp14:anchorId="132AE837" wp14:editId="701B4B96">
                <wp:simplePos x="0" y="0"/>
                <wp:positionH relativeFrom="column">
                  <wp:posOffset>2964179</wp:posOffset>
                </wp:positionH>
                <wp:positionV relativeFrom="paragraph">
                  <wp:posOffset>1358900</wp:posOffset>
                </wp:positionV>
                <wp:extent cx="0" cy="991870"/>
                <wp:effectExtent l="76200" t="0" r="95250" b="5588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91870"/>
                        </a:xfrm>
                        <a:prstGeom prst="straightConnector1">
                          <a:avLst/>
                        </a:prstGeom>
                        <a:noFill/>
                        <a:ln w="25400" cap="flat" cmpd="sng" algn="ctr">
                          <a:solidFill>
                            <a:schemeClr val="accent2"/>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233.4pt;margin-top:107pt;width:0;height:78.1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" strokecolor="#c0504d [3205]" strokeweight="2pt">
                <v:stroke endarrow="block"/>
                <o:lock v:ext="edit" shapetype="f"/>
              </v:shape>
            </w:pict>
          </mc:Fallback>
        </mc:AlternateContent>
      </w:r>
      <w:r>
        <w:rPr>
          <w:noProof/>
        </w:rPr>
        <mc:AlternateContent>
          <mc:Choice Requires="wps">
            <w:drawing>
              <wp:anchor distT="0" distB="0" distL="114298" distR="114298" simplePos="0" relativeHeight="251660288" behindDoc="0" locked="0" layoutInCell="1" allowOverlap="1" wp14:anchorId="622FAFE1" wp14:editId="5A7B2447">
                <wp:simplePos x="0" y="0"/>
                <wp:positionH relativeFrom="column">
                  <wp:posOffset>1519554</wp:posOffset>
                </wp:positionH>
                <wp:positionV relativeFrom="paragraph">
                  <wp:posOffset>1355725</wp:posOffset>
                </wp:positionV>
                <wp:extent cx="0" cy="240030"/>
                <wp:effectExtent l="76200" t="0" r="57150" b="6477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0030"/>
                        </a:xfrm>
                        <a:prstGeom prst="straightConnector1">
                          <a:avLst/>
                        </a:prstGeom>
                        <a:noFill/>
                        <a:ln w="25400" cap="flat" cmpd="sng" algn="ctr">
                          <a:solidFill>
                            <a:schemeClr val="accent2"/>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119.65pt;margin-top:106.75pt;width:0;height:18.9pt;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" strokecolor="#c0504d [3205]" strokeweight="2pt">
                <v:stroke endarrow="block"/>
                <o:lock v:ext="edit" shapetype="f"/>
              </v:shape>
            </w:pict>
          </mc:Fallback>
        </mc:AlternateContent>
      </w:r>
      <w:r>
        <w:rPr>
          <w:noProof/>
        </w:rPr>
        <mc:AlternateContent>
          <mc:Choice Requires="wps">
            <w:drawing>
              <wp:anchor distT="4294967294" distB="4294967294" distL="114300" distR="114300" simplePos="0" relativeHeight="251663360" behindDoc="0" locked="0" layoutInCell="1" allowOverlap="1" wp14:anchorId="412B93F4" wp14:editId="3FD7E184">
                <wp:simplePos x="0" y="0"/>
                <wp:positionH relativeFrom="column">
                  <wp:posOffset>2739390</wp:posOffset>
                </wp:positionH>
                <wp:positionV relativeFrom="paragraph">
                  <wp:posOffset>2425699</wp:posOffset>
                </wp:positionV>
                <wp:extent cx="1560830" cy="0"/>
                <wp:effectExtent l="0" t="0" r="2032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0830" cy="0"/>
                        </a:xfrm>
                        <a:prstGeom prst="straightConnector1">
                          <a:avLst/>
                        </a:prstGeom>
                        <a:noFill/>
                        <a:ln w="25400" cap="flat" cmpd="sng" algn="ctr">
                          <a:solidFill>
                            <a:schemeClr val="accent2"/>
                          </a:solidFill>
                          <a:prstDash val="solid"/>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215.7pt;margin-top:191pt;width:122.9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" strokecolor="#c0504d [3205]" strokeweight="2pt">
                <o:lock v:ext="edit" shapetype="f"/>
              </v:shape>
            </w:pict>
          </mc:Fallback>
        </mc:AlternateContent>
      </w:r>
      <w:r w:rsidR="00AC614F" w:rsidRPr="004172A0">
        <w:rPr>
          <w:noProof/>
        </w:rPr>
        <w:drawing>
          <wp:inline distT="0" distB="0" distL="0" distR="0" wp14:anchorId="57F351AE" wp14:editId="2C915A0D">
            <wp:extent cx="5719313" cy="4157932"/>
            <wp:effectExtent l="0" t="0" r="0" b="14605"/>
            <wp:docPr id="9" name="Diagram 9" descr="Figure 9.1 Analytical framework for the analysis of evidence on what works to overcome Indigenous disadvantage, 2010–1. The diagram shows the four Clearinghouse products - the assessed collection, resource sheets, issues papers and the research and evaluation register and how these show (1) themese of research and key learnings and (2) gaps in the evidence. It is discussed in more detail in section 9.5 over the following 10 pages."/>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bookmarkEnd w:id="3"/>
    <w:bookmarkEnd w:id="4"/>
    <w:bookmarkEnd w:id="5"/>
    <w:bookmarkEnd w:id="6"/>
    <w:p w:rsidR="00306440" w:rsidRDefault="00306440" w:rsidP="00306440">
      <w:pPr>
        <w:pStyle w:val="BoxSpaceBelow"/>
      </w:pPr>
    </w:p>
    <w:p w:rsidR="00AC614F" w:rsidRPr="004172A0" w:rsidRDefault="006609ED" w:rsidP="003501B5">
      <w:pPr>
        <w:pStyle w:val="Heading2"/>
      </w:pPr>
      <w:r>
        <w:t>9.5</w:t>
      </w:r>
      <w:r w:rsidR="000E498A" w:rsidRPr="004172A0">
        <w:tab/>
      </w:r>
      <w:r w:rsidR="00071B59" w:rsidRPr="004172A0">
        <w:t>The Clearinghouse collections</w:t>
      </w:r>
    </w:p>
    <w:p w:rsidR="00AC614F" w:rsidRPr="004172A0" w:rsidRDefault="00AC614F" w:rsidP="00071B59">
      <w:pPr>
        <w:pStyle w:val="Heading3"/>
      </w:pPr>
      <w:r w:rsidRPr="004172A0">
        <w:t xml:space="preserve">General </w:t>
      </w:r>
      <w:r w:rsidR="003501B5" w:rsidRPr="004172A0">
        <w:t>collection</w:t>
      </w:r>
    </w:p>
    <w:p w:rsidR="00AC614F" w:rsidRPr="004172A0" w:rsidRDefault="00041DCC" w:rsidP="003501B5">
      <w:pPr>
        <w:pStyle w:val="BodyText"/>
      </w:pPr>
      <w:r>
        <w:t xml:space="preserve">The general collection </w:t>
      </w:r>
      <w:r w:rsidR="00AC614F" w:rsidRPr="004172A0">
        <w:t xml:space="preserve">is a compilation of material broadly related to the COAG targets and building blocks drawn from </w:t>
      </w:r>
      <w:proofErr w:type="spellStart"/>
      <w:r w:rsidR="00AC614F" w:rsidRPr="004172A0">
        <w:t>AIHW</w:t>
      </w:r>
      <w:proofErr w:type="spellEnd"/>
      <w:r w:rsidR="00AC614F" w:rsidRPr="004172A0">
        <w:t xml:space="preserve"> and </w:t>
      </w:r>
      <w:proofErr w:type="spellStart"/>
      <w:r w:rsidR="00AC614F" w:rsidRPr="004172A0">
        <w:t>AIFS</w:t>
      </w:r>
      <w:proofErr w:type="spellEnd"/>
      <w:r w:rsidR="00AC614F" w:rsidRPr="004172A0">
        <w:t xml:space="preserve"> library collections. This includes published and unpublished papers, reports and other literature. </w:t>
      </w:r>
    </w:p>
    <w:p w:rsidR="00AC614F" w:rsidRPr="004172A0" w:rsidRDefault="00AC614F" w:rsidP="003501B5">
      <w:pPr>
        <w:pStyle w:val="BodyText"/>
      </w:pPr>
      <w:r w:rsidRPr="004172A0">
        <w:t>There were 4952 items housed in the Closing the Gap Clearinghouse</w:t>
      </w:r>
      <w:r w:rsidR="004172A0" w:rsidRPr="004172A0">
        <w:t>’</w:t>
      </w:r>
      <w:r w:rsidRPr="004172A0">
        <w:t>s online general collection. Most items in the general collections were in the health</w:t>
      </w:r>
      <w:r w:rsidR="006473B3">
        <w:t xml:space="preserve"> building block</w:t>
      </w:r>
      <w:r w:rsidRPr="004172A0">
        <w:t xml:space="preserve">, followed by </w:t>
      </w:r>
      <w:r w:rsidR="00041DCC">
        <w:t xml:space="preserve">the </w:t>
      </w:r>
      <w:r w:rsidRPr="004172A0">
        <w:t>early childhood and safe community building blocks (Table</w:t>
      </w:r>
      <w:r w:rsidR="00071B59">
        <w:t> </w:t>
      </w:r>
      <w:r w:rsidR="00631385">
        <w:t>9.</w:t>
      </w:r>
      <w:r w:rsidRPr="004172A0">
        <w:t>1)</w:t>
      </w:r>
      <w:r w:rsidR="003501B5" w:rsidRPr="004172A0">
        <w:t>.</w:t>
      </w:r>
    </w:p>
    <w:p w:rsidR="00AC614F" w:rsidRPr="004172A0" w:rsidRDefault="007F5725" w:rsidP="003501B5">
      <w:pPr>
        <w:pStyle w:val="TableTitle"/>
      </w:pPr>
      <w:r w:rsidRPr="00071B59">
        <w:lastRenderedPageBreak/>
        <w:t xml:space="preserve">Table </w:t>
      </w:r>
      <w:r w:rsidR="00631385">
        <w:t>9.</w:t>
      </w:r>
      <w:r w:rsidRPr="00071B59">
        <w:t>1</w:t>
      </w:r>
      <w:r w:rsidR="003501B5" w:rsidRPr="004172A0">
        <w:tab/>
      </w:r>
      <w:r w:rsidR="00AC614F" w:rsidRPr="004172A0">
        <w:t>Gener</w:t>
      </w:r>
      <w:r w:rsidR="003501B5" w:rsidRPr="004172A0">
        <w:t>al collection by building block</w:t>
      </w:r>
    </w:p>
    <w:tbl>
      <w:tblPr>
        <w:tblW w:w="5000" w:type="pct"/>
        <w:tblLayout w:type="fixed"/>
        <w:tblLook w:val="0000" w:firstRow="0" w:lastRow="0" w:firstColumn="0" w:lastColumn="0" w:noHBand="0" w:noVBand="0"/>
      </w:tblPr>
      <w:tblGrid>
        <w:gridCol w:w="3617"/>
        <w:gridCol w:w="1346"/>
        <w:gridCol w:w="1348"/>
        <w:gridCol w:w="1346"/>
        <w:gridCol w:w="1348"/>
      </w:tblGrid>
      <w:tr w:rsidR="00AC614F" w:rsidRPr="004172A0" w:rsidTr="000E4CE3">
        <w:trPr>
          <w:cantSplit/>
        </w:trPr>
        <w:tc>
          <w:tcPr>
            <w:tcW w:w="3460" w:type="dxa"/>
            <w:tcBorders>
              <w:top w:val="single" w:sz="4" w:space="0" w:color="auto"/>
              <w:bottom w:val="single" w:sz="4" w:space="0" w:color="auto"/>
            </w:tcBorders>
            <w:shd w:val="clear" w:color="auto" w:fill="auto"/>
          </w:tcPr>
          <w:p w:rsidR="00AC614F" w:rsidRPr="004172A0" w:rsidRDefault="00AC614F" w:rsidP="003501B5">
            <w:pPr>
              <w:pStyle w:val="TableBodyText"/>
            </w:pPr>
          </w:p>
        </w:tc>
        <w:tc>
          <w:tcPr>
            <w:tcW w:w="5154" w:type="dxa"/>
            <w:gridSpan w:val="4"/>
            <w:tcBorders>
              <w:top w:val="single" w:sz="4" w:space="0" w:color="auto"/>
              <w:bottom w:val="single" w:sz="4" w:space="0" w:color="auto"/>
            </w:tcBorders>
            <w:shd w:val="clear" w:color="auto" w:fill="auto"/>
          </w:tcPr>
          <w:p w:rsidR="00AC614F" w:rsidRPr="004172A0" w:rsidRDefault="00AC614F" w:rsidP="003501B5">
            <w:pPr>
              <w:pStyle w:val="TableColumnHeading"/>
              <w:jc w:val="center"/>
            </w:pPr>
            <w:r w:rsidRPr="004172A0">
              <w:t>General collection</w:t>
            </w:r>
          </w:p>
        </w:tc>
      </w:tr>
      <w:tr w:rsidR="00AC614F" w:rsidRPr="004172A0" w:rsidTr="000E4CE3">
        <w:trPr>
          <w:cantSplit/>
        </w:trPr>
        <w:tc>
          <w:tcPr>
            <w:tcW w:w="3460" w:type="dxa"/>
            <w:tcBorders>
              <w:top w:val="single" w:sz="4" w:space="0" w:color="auto"/>
              <w:bottom w:val="single" w:sz="4" w:space="0" w:color="auto"/>
            </w:tcBorders>
            <w:shd w:val="clear" w:color="auto" w:fill="auto"/>
          </w:tcPr>
          <w:p w:rsidR="00246A2C" w:rsidRPr="00246A2C" w:rsidRDefault="00246A2C" w:rsidP="00246A2C">
            <w:pPr>
              <w:pStyle w:val="TableBodyText"/>
              <w:jc w:val="left"/>
              <w:rPr>
                <w:i/>
              </w:rPr>
            </w:pPr>
          </w:p>
          <w:p w:rsidR="00AC614F" w:rsidRPr="00246A2C" w:rsidRDefault="00246A2C" w:rsidP="00246A2C">
            <w:pPr>
              <w:pStyle w:val="TableBodyText"/>
              <w:jc w:val="left"/>
              <w:rPr>
                <w:i/>
              </w:rPr>
            </w:pPr>
            <w:r w:rsidRPr="00246A2C">
              <w:rPr>
                <w:i/>
              </w:rPr>
              <w:t>Building block</w:t>
            </w:r>
          </w:p>
        </w:tc>
        <w:tc>
          <w:tcPr>
            <w:tcW w:w="1288" w:type="dxa"/>
            <w:tcBorders>
              <w:top w:val="single" w:sz="4" w:space="0" w:color="auto"/>
              <w:bottom w:val="single" w:sz="4" w:space="0" w:color="auto"/>
            </w:tcBorders>
            <w:shd w:val="clear" w:color="auto" w:fill="auto"/>
          </w:tcPr>
          <w:p w:rsidR="00AC614F" w:rsidRPr="004172A0" w:rsidRDefault="00AC614F" w:rsidP="003501B5">
            <w:pPr>
              <w:pStyle w:val="TableColumnHeading"/>
            </w:pPr>
            <w:r w:rsidRPr="004172A0">
              <w:t>30 Sep 2011</w:t>
            </w:r>
          </w:p>
        </w:tc>
        <w:tc>
          <w:tcPr>
            <w:tcW w:w="1289" w:type="dxa"/>
            <w:tcBorders>
              <w:top w:val="single" w:sz="4" w:space="0" w:color="auto"/>
              <w:bottom w:val="single" w:sz="4" w:space="0" w:color="auto"/>
            </w:tcBorders>
            <w:shd w:val="clear" w:color="auto" w:fill="auto"/>
          </w:tcPr>
          <w:p w:rsidR="00AC614F" w:rsidRPr="004172A0" w:rsidRDefault="00AC614F" w:rsidP="003501B5">
            <w:pPr>
              <w:pStyle w:val="TableColumnHeading"/>
            </w:pPr>
            <w:r w:rsidRPr="004172A0">
              <w:t>31 Dec 2011</w:t>
            </w:r>
          </w:p>
        </w:tc>
        <w:tc>
          <w:tcPr>
            <w:tcW w:w="1288" w:type="dxa"/>
            <w:tcBorders>
              <w:top w:val="single" w:sz="4" w:space="0" w:color="auto"/>
              <w:bottom w:val="single" w:sz="4" w:space="0" w:color="auto"/>
            </w:tcBorders>
            <w:shd w:val="clear" w:color="auto" w:fill="auto"/>
          </w:tcPr>
          <w:p w:rsidR="00AC614F" w:rsidRPr="004172A0" w:rsidRDefault="00AC614F" w:rsidP="003501B5">
            <w:pPr>
              <w:pStyle w:val="TableColumnHeading"/>
            </w:pPr>
            <w:r w:rsidRPr="004172A0">
              <w:t>31 Mar 2012</w:t>
            </w:r>
          </w:p>
        </w:tc>
        <w:tc>
          <w:tcPr>
            <w:tcW w:w="1289" w:type="dxa"/>
            <w:tcBorders>
              <w:top w:val="single" w:sz="4" w:space="0" w:color="auto"/>
              <w:bottom w:val="single" w:sz="4" w:space="0" w:color="auto"/>
            </w:tcBorders>
            <w:shd w:val="clear" w:color="auto" w:fill="auto"/>
          </w:tcPr>
          <w:p w:rsidR="00AC614F" w:rsidRPr="004172A0" w:rsidRDefault="00AC614F" w:rsidP="003501B5">
            <w:pPr>
              <w:pStyle w:val="TableColumnHeading"/>
            </w:pPr>
            <w:r w:rsidRPr="004172A0">
              <w:t>29 Jun 2012</w:t>
            </w:r>
          </w:p>
        </w:tc>
      </w:tr>
      <w:tr w:rsidR="00AC614F" w:rsidRPr="004172A0" w:rsidTr="000E4CE3">
        <w:trPr>
          <w:cantSplit/>
        </w:trPr>
        <w:tc>
          <w:tcPr>
            <w:tcW w:w="3460" w:type="dxa"/>
            <w:tcBorders>
              <w:top w:val="single" w:sz="4" w:space="0" w:color="auto"/>
            </w:tcBorders>
            <w:shd w:val="clear" w:color="auto" w:fill="auto"/>
          </w:tcPr>
          <w:p w:rsidR="00AC614F" w:rsidRPr="004172A0" w:rsidRDefault="00AC614F" w:rsidP="00A3507E">
            <w:pPr>
              <w:pStyle w:val="TableBodyText"/>
              <w:jc w:val="left"/>
            </w:pPr>
            <w:r w:rsidRPr="004172A0">
              <w:t>Early childhood</w:t>
            </w:r>
          </w:p>
        </w:tc>
        <w:tc>
          <w:tcPr>
            <w:tcW w:w="1288" w:type="dxa"/>
            <w:tcBorders>
              <w:top w:val="single" w:sz="4" w:space="0" w:color="auto"/>
            </w:tcBorders>
            <w:shd w:val="clear" w:color="auto" w:fill="auto"/>
          </w:tcPr>
          <w:p w:rsidR="00AC614F" w:rsidRPr="004172A0" w:rsidRDefault="00AC614F" w:rsidP="004172A0">
            <w:pPr>
              <w:pStyle w:val="TableUnitsRow"/>
            </w:pPr>
            <w:r w:rsidRPr="004172A0">
              <w:t>1427</w:t>
            </w:r>
          </w:p>
        </w:tc>
        <w:tc>
          <w:tcPr>
            <w:tcW w:w="1289" w:type="dxa"/>
            <w:tcBorders>
              <w:top w:val="single" w:sz="4" w:space="0" w:color="auto"/>
            </w:tcBorders>
            <w:shd w:val="clear" w:color="auto" w:fill="auto"/>
          </w:tcPr>
          <w:p w:rsidR="00AC614F" w:rsidRPr="004172A0" w:rsidRDefault="00AC614F" w:rsidP="004172A0">
            <w:pPr>
              <w:pStyle w:val="TableUnitsRow"/>
            </w:pPr>
            <w:r w:rsidRPr="004172A0">
              <w:t>1422</w:t>
            </w:r>
          </w:p>
        </w:tc>
        <w:tc>
          <w:tcPr>
            <w:tcW w:w="1288" w:type="dxa"/>
            <w:tcBorders>
              <w:top w:val="single" w:sz="4" w:space="0" w:color="auto"/>
            </w:tcBorders>
            <w:shd w:val="clear" w:color="auto" w:fill="auto"/>
          </w:tcPr>
          <w:p w:rsidR="00AC614F" w:rsidRPr="004172A0" w:rsidRDefault="00AC614F" w:rsidP="004172A0">
            <w:pPr>
              <w:pStyle w:val="TableUnitsRow"/>
            </w:pPr>
            <w:r w:rsidRPr="004172A0">
              <w:t>1454</w:t>
            </w:r>
          </w:p>
        </w:tc>
        <w:tc>
          <w:tcPr>
            <w:tcW w:w="1289" w:type="dxa"/>
            <w:tcBorders>
              <w:top w:val="single" w:sz="4" w:space="0" w:color="auto"/>
            </w:tcBorders>
            <w:shd w:val="clear" w:color="auto" w:fill="auto"/>
          </w:tcPr>
          <w:p w:rsidR="00AC614F" w:rsidRPr="004172A0" w:rsidRDefault="00AC614F" w:rsidP="004172A0">
            <w:pPr>
              <w:pStyle w:val="TableUnitsRow"/>
            </w:pPr>
            <w:r w:rsidRPr="004172A0">
              <w:t>1471</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Economic participation</w:t>
            </w:r>
          </w:p>
        </w:tc>
        <w:tc>
          <w:tcPr>
            <w:tcW w:w="1288" w:type="dxa"/>
            <w:shd w:val="clear" w:color="auto" w:fill="auto"/>
          </w:tcPr>
          <w:p w:rsidR="00AC614F" w:rsidRPr="004172A0" w:rsidRDefault="00AC614F" w:rsidP="003501B5">
            <w:pPr>
              <w:pStyle w:val="TableUnitsRow"/>
            </w:pPr>
            <w:r w:rsidRPr="004172A0">
              <w:t>926</w:t>
            </w:r>
          </w:p>
        </w:tc>
        <w:tc>
          <w:tcPr>
            <w:tcW w:w="1289" w:type="dxa"/>
            <w:shd w:val="clear" w:color="auto" w:fill="auto"/>
          </w:tcPr>
          <w:p w:rsidR="00AC614F" w:rsidRPr="004172A0" w:rsidRDefault="00AC614F" w:rsidP="003501B5">
            <w:pPr>
              <w:pStyle w:val="TableUnitsRow"/>
            </w:pPr>
            <w:r w:rsidRPr="004172A0">
              <w:t>933</w:t>
            </w:r>
          </w:p>
        </w:tc>
        <w:tc>
          <w:tcPr>
            <w:tcW w:w="1288" w:type="dxa"/>
            <w:shd w:val="clear" w:color="auto" w:fill="auto"/>
          </w:tcPr>
          <w:p w:rsidR="00AC614F" w:rsidRPr="004172A0" w:rsidRDefault="00AC614F" w:rsidP="003501B5">
            <w:pPr>
              <w:pStyle w:val="TableUnitsRow"/>
            </w:pPr>
            <w:r w:rsidRPr="004172A0">
              <w:t>943</w:t>
            </w:r>
          </w:p>
        </w:tc>
        <w:tc>
          <w:tcPr>
            <w:tcW w:w="1289" w:type="dxa"/>
            <w:shd w:val="clear" w:color="auto" w:fill="auto"/>
          </w:tcPr>
          <w:p w:rsidR="00AC614F" w:rsidRPr="004172A0" w:rsidRDefault="00AC614F" w:rsidP="003501B5">
            <w:pPr>
              <w:pStyle w:val="TableUnitsRow"/>
            </w:pPr>
            <w:r w:rsidRPr="004172A0">
              <w:t>943</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Governance and leadership</w:t>
            </w:r>
          </w:p>
        </w:tc>
        <w:tc>
          <w:tcPr>
            <w:tcW w:w="1288" w:type="dxa"/>
            <w:shd w:val="clear" w:color="auto" w:fill="auto"/>
          </w:tcPr>
          <w:p w:rsidR="00AC614F" w:rsidRPr="004172A0" w:rsidRDefault="00AC614F" w:rsidP="003501B5">
            <w:pPr>
              <w:pStyle w:val="TableUnitsRow"/>
            </w:pPr>
            <w:r w:rsidRPr="004172A0">
              <w:t>183</w:t>
            </w:r>
          </w:p>
        </w:tc>
        <w:tc>
          <w:tcPr>
            <w:tcW w:w="1289" w:type="dxa"/>
            <w:shd w:val="clear" w:color="auto" w:fill="auto"/>
          </w:tcPr>
          <w:p w:rsidR="00AC614F" w:rsidRPr="004172A0" w:rsidRDefault="00AC614F" w:rsidP="003501B5">
            <w:pPr>
              <w:pStyle w:val="TableUnitsRow"/>
            </w:pPr>
            <w:r w:rsidRPr="004172A0">
              <w:t>185</w:t>
            </w:r>
          </w:p>
        </w:tc>
        <w:tc>
          <w:tcPr>
            <w:tcW w:w="1288" w:type="dxa"/>
            <w:shd w:val="clear" w:color="auto" w:fill="auto"/>
          </w:tcPr>
          <w:p w:rsidR="00AC614F" w:rsidRPr="004172A0" w:rsidRDefault="00AC614F" w:rsidP="003501B5">
            <w:pPr>
              <w:pStyle w:val="TableUnitsRow"/>
            </w:pPr>
            <w:r w:rsidRPr="004172A0">
              <w:t>199</w:t>
            </w:r>
          </w:p>
        </w:tc>
        <w:tc>
          <w:tcPr>
            <w:tcW w:w="1289" w:type="dxa"/>
            <w:shd w:val="clear" w:color="auto" w:fill="auto"/>
          </w:tcPr>
          <w:p w:rsidR="00AC614F" w:rsidRPr="004172A0" w:rsidRDefault="00AC614F" w:rsidP="003501B5">
            <w:pPr>
              <w:pStyle w:val="TableUnitsRow"/>
            </w:pPr>
            <w:r w:rsidRPr="004172A0">
              <w:t>203</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Health</w:t>
            </w:r>
          </w:p>
        </w:tc>
        <w:tc>
          <w:tcPr>
            <w:tcW w:w="1288" w:type="dxa"/>
            <w:shd w:val="clear" w:color="auto" w:fill="auto"/>
          </w:tcPr>
          <w:p w:rsidR="00AC614F" w:rsidRPr="004172A0" w:rsidRDefault="00AC614F" w:rsidP="004172A0">
            <w:pPr>
              <w:pStyle w:val="TableUnitsRow"/>
            </w:pPr>
            <w:r w:rsidRPr="004172A0">
              <w:t>1776</w:t>
            </w:r>
          </w:p>
        </w:tc>
        <w:tc>
          <w:tcPr>
            <w:tcW w:w="1289" w:type="dxa"/>
            <w:shd w:val="clear" w:color="auto" w:fill="auto"/>
          </w:tcPr>
          <w:p w:rsidR="00AC614F" w:rsidRPr="004172A0" w:rsidRDefault="00AC614F" w:rsidP="004172A0">
            <w:pPr>
              <w:pStyle w:val="TableUnitsRow"/>
            </w:pPr>
            <w:r w:rsidRPr="004172A0">
              <w:t>1791</w:t>
            </w:r>
          </w:p>
        </w:tc>
        <w:tc>
          <w:tcPr>
            <w:tcW w:w="1288" w:type="dxa"/>
            <w:shd w:val="clear" w:color="auto" w:fill="auto"/>
          </w:tcPr>
          <w:p w:rsidR="00AC614F" w:rsidRPr="004172A0" w:rsidRDefault="00AC614F" w:rsidP="004172A0">
            <w:pPr>
              <w:pStyle w:val="TableUnitsRow"/>
            </w:pPr>
            <w:r w:rsidRPr="004172A0">
              <w:t>1819</w:t>
            </w:r>
          </w:p>
        </w:tc>
        <w:tc>
          <w:tcPr>
            <w:tcW w:w="1289" w:type="dxa"/>
            <w:shd w:val="clear" w:color="auto" w:fill="auto"/>
          </w:tcPr>
          <w:p w:rsidR="00AC614F" w:rsidRPr="004172A0" w:rsidRDefault="00AC614F" w:rsidP="004172A0">
            <w:pPr>
              <w:pStyle w:val="TableUnitsRow"/>
            </w:pPr>
            <w:r w:rsidRPr="004172A0">
              <w:t>1843</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Healthy homes</w:t>
            </w:r>
          </w:p>
        </w:tc>
        <w:tc>
          <w:tcPr>
            <w:tcW w:w="1288" w:type="dxa"/>
            <w:shd w:val="clear" w:color="auto" w:fill="auto"/>
          </w:tcPr>
          <w:p w:rsidR="00AC614F" w:rsidRPr="004172A0" w:rsidRDefault="00AC614F" w:rsidP="003501B5">
            <w:pPr>
              <w:pStyle w:val="TableUnitsRow"/>
            </w:pPr>
            <w:r w:rsidRPr="004172A0">
              <w:t>589</w:t>
            </w:r>
          </w:p>
        </w:tc>
        <w:tc>
          <w:tcPr>
            <w:tcW w:w="1289" w:type="dxa"/>
            <w:shd w:val="clear" w:color="auto" w:fill="auto"/>
          </w:tcPr>
          <w:p w:rsidR="00AC614F" w:rsidRPr="004172A0" w:rsidRDefault="00AC614F" w:rsidP="003501B5">
            <w:pPr>
              <w:pStyle w:val="TableUnitsRow"/>
            </w:pPr>
            <w:r w:rsidRPr="004172A0">
              <w:t>589</w:t>
            </w:r>
          </w:p>
        </w:tc>
        <w:tc>
          <w:tcPr>
            <w:tcW w:w="1288" w:type="dxa"/>
            <w:shd w:val="clear" w:color="auto" w:fill="auto"/>
          </w:tcPr>
          <w:p w:rsidR="00AC614F" w:rsidRPr="004172A0" w:rsidRDefault="00AC614F" w:rsidP="003501B5">
            <w:pPr>
              <w:pStyle w:val="TableUnitsRow"/>
            </w:pPr>
            <w:r w:rsidRPr="004172A0">
              <w:t>600</w:t>
            </w:r>
          </w:p>
        </w:tc>
        <w:tc>
          <w:tcPr>
            <w:tcW w:w="1289" w:type="dxa"/>
            <w:shd w:val="clear" w:color="auto" w:fill="auto"/>
          </w:tcPr>
          <w:p w:rsidR="00AC614F" w:rsidRPr="004172A0" w:rsidRDefault="00AC614F" w:rsidP="003501B5">
            <w:pPr>
              <w:pStyle w:val="TableUnitsRow"/>
            </w:pPr>
            <w:r w:rsidRPr="004172A0">
              <w:t>610</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Safe communities</w:t>
            </w:r>
          </w:p>
        </w:tc>
        <w:tc>
          <w:tcPr>
            <w:tcW w:w="1288" w:type="dxa"/>
            <w:shd w:val="clear" w:color="auto" w:fill="auto"/>
          </w:tcPr>
          <w:p w:rsidR="00AC614F" w:rsidRPr="004172A0" w:rsidRDefault="00AC614F" w:rsidP="004172A0">
            <w:pPr>
              <w:pStyle w:val="TableUnitsRow"/>
            </w:pPr>
            <w:r w:rsidRPr="004172A0">
              <w:t>1415</w:t>
            </w:r>
          </w:p>
        </w:tc>
        <w:tc>
          <w:tcPr>
            <w:tcW w:w="1289" w:type="dxa"/>
            <w:shd w:val="clear" w:color="auto" w:fill="auto"/>
          </w:tcPr>
          <w:p w:rsidR="00AC614F" w:rsidRPr="004172A0" w:rsidRDefault="00AC614F" w:rsidP="004172A0">
            <w:pPr>
              <w:pStyle w:val="TableUnitsRow"/>
            </w:pPr>
            <w:r w:rsidRPr="004172A0">
              <w:t>1422</w:t>
            </w:r>
          </w:p>
        </w:tc>
        <w:tc>
          <w:tcPr>
            <w:tcW w:w="1288" w:type="dxa"/>
            <w:shd w:val="clear" w:color="auto" w:fill="auto"/>
          </w:tcPr>
          <w:p w:rsidR="00AC614F" w:rsidRPr="004172A0" w:rsidRDefault="00AC614F" w:rsidP="004172A0">
            <w:pPr>
              <w:pStyle w:val="TableUnitsRow"/>
            </w:pPr>
            <w:r w:rsidRPr="004172A0">
              <w:t>1453</w:t>
            </w:r>
          </w:p>
        </w:tc>
        <w:tc>
          <w:tcPr>
            <w:tcW w:w="1289" w:type="dxa"/>
            <w:shd w:val="clear" w:color="auto" w:fill="auto"/>
          </w:tcPr>
          <w:p w:rsidR="00AC614F" w:rsidRPr="004172A0" w:rsidRDefault="00AC614F" w:rsidP="004172A0">
            <w:pPr>
              <w:pStyle w:val="TableUnitsRow"/>
            </w:pPr>
            <w:r w:rsidRPr="004172A0">
              <w:t>1459</w:t>
            </w:r>
          </w:p>
        </w:tc>
      </w:tr>
      <w:tr w:rsidR="00AC614F" w:rsidRPr="004172A0" w:rsidTr="000E4CE3">
        <w:trPr>
          <w:cantSplit/>
        </w:trPr>
        <w:tc>
          <w:tcPr>
            <w:tcW w:w="3460" w:type="dxa"/>
            <w:shd w:val="clear" w:color="auto" w:fill="auto"/>
          </w:tcPr>
          <w:p w:rsidR="00AC614F" w:rsidRPr="004172A0" w:rsidRDefault="00AC614F" w:rsidP="00A3507E">
            <w:pPr>
              <w:pStyle w:val="TableBodyText"/>
              <w:jc w:val="left"/>
            </w:pPr>
            <w:r w:rsidRPr="004172A0">
              <w:t>Schooling</w:t>
            </w:r>
          </w:p>
        </w:tc>
        <w:tc>
          <w:tcPr>
            <w:tcW w:w="1288" w:type="dxa"/>
            <w:shd w:val="clear" w:color="auto" w:fill="auto"/>
          </w:tcPr>
          <w:p w:rsidR="00AC614F" w:rsidRPr="004172A0" w:rsidRDefault="00AC614F" w:rsidP="003501B5">
            <w:pPr>
              <w:pStyle w:val="TableUnitsRow"/>
            </w:pPr>
            <w:r w:rsidRPr="004172A0">
              <w:t>750</w:t>
            </w:r>
          </w:p>
        </w:tc>
        <w:tc>
          <w:tcPr>
            <w:tcW w:w="1289" w:type="dxa"/>
            <w:shd w:val="clear" w:color="auto" w:fill="auto"/>
          </w:tcPr>
          <w:p w:rsidR="00AC614F" w:rsidRPr="004172A0" w:rsidRDefault="00AC614F" w:rsidP="003501B5">
            <w:pPr>
              <w:pStyle w:val="TableUnitsRow"/>
            </w:pPr>
            <w:r w:rsidRPr="004172A0">
              <w:t>759</w:t>
            </w:r>
          </w:p>
        </w:tc>
        <w:tc>
          <w:tcPr>
            <w:tcW w:w="1288" w:type="dxa"/>
            <w:shd w:val="clear" w:color="auto" w:fill="auto"/>
          </w:tcPr>
          <w:p w:rsidR="00AC614F" w:rsidRPr="004172A0" w:rsidRDefault="00AC614F" w:rsidP="003501B5">
            <w:pPr>
              <w:pStyle w:val="TableUnitsRow"/>
            </w:pPr>
            <w:r w:rsidRPr="004172A0">
              <w:t>776</w:t>
            </w:r>
          </w:p>
        </w:tc>
        <w:tc>
          <w:tcPr>
            <w:tcW w:w="1289" w:type="dxa"/>
            <w:shd w:val="clear" w:color="auto" w:fill="auto"/>
          </w:tcPr>
          <w:p w:rsidR="00AC614F" w:rsidRPr="004172A0" w:rsidRDefault="00AC614F" w:rsidP="003501B5">
            <w:pPr>
              <w:pStyle w:val="TableUnitsRow"/>
            </w:pPr>
            <w:r w:rsidRPr="004172A0">
              <w:t>787</w:t>
            </w:r>
          </w:p>
        </w:tc>
      </w:tr>
      <w:tr w:rsidR="00AC614F" w:rsidRPr="004172A0" w:rsidTr="000E4CE3">
        <w:trPr>
          <w:cantSplit/>
        </w:trPr>
        <w:tc>
          <w:tcPr>
            <w:tcW w:w="3460" w:type="dxa"/>
            <w:tcBorders>
              <w:bottom w:val="single" w:sz="4" w:space="0" w:color="auto"/>
            </w:tcBorders>
            <w:shd w:val="clear" w:color="auto" w:fill="auto"/>
          </w:tcPr>
          <w:p w:rsidR="00AC614F" w:rsidRPr="00041DCC" w:rsidRDefault="00AC614F" w:rsidP="00A3507E">
            <w:pPr>
              <w:pStyle w:val="TableBodyText"/>
              <w:jc w:val="left"/>
              <w:rPr>
                <w:b/>
              </w:rPr>
            </w:pPr>
            <w:r w:rsidRPr="00041DCC">
              <w:rPr>
                <w:b/>
              </w:rPr>
              <w:t>Total</w:t>
            </w:r>
          </w:p>
        </w:tc>
        <w:tc>
          <w:tcPr>
            <w:tcW w:w="1288" w:type="dxa"/>
            <w:tcBorders>
              <w:bottom w:val="single" w:sz="4" w:space="0" w:color="auto"/>
            </w:tcBorders>
            <w:shd w:val="clear" w:color="auto" w:fill="auto"/>
          </w:tcPr>
          <w:p w:rsidR="00AC614F" w:rsidRPr="00041DCC" w:rsidRDefault="00AC614F" w:rsidP="004172A0">
            <w:pPr>
              <w:pStyle w:val="TableUnitsRow"/>
              <w:rPr>
                <w:b/>
              </w:rPr>
            </w:pPr>
            <w:r w:rsidRPr="00041DCC">
              <w:rPr>
                <w:b/>
              </w:rPr>
              <w:t>4769</w:t>
            </w:r>
          </w:p>
        </w:tc>
        <w:tc>
          <w:tcPr>
            <w:tcW w:w="1289" w:type="dxa"/>
            <w:tcBorders>
              <w:bottom w:val="single" w:sz="4" w:space="0" w:color="auto"/>
            </w:tcBorders>
            <w:shd w:val="clear" w:color="auto" w:fill="auto"/>
          </w:tcPr>
          <w:p w:rsidR="00AC614F" w:rsidRPr="00041DCC" w:rsidRDefault="00AC614F" w:rsidP="004172A0">
            <w:pPr>
              <w:pStyle w:val="TableUnitsRow"/>
              <w:rPr>
                <w:b/>
              </w:rPr>
            </w:pPr>
            <w:r w:rsidRPr="00041DCC">
              <w:rPr>
                <w:b/>
              </w:rPr>
              <w:t>4793</w:t>
            </w:r>
          </w:p>
        </w:tc>
        <w:tc>
          <w:tcPr>
            <w:tcW w:w="1288" w:type="dxa"/>
            <w:tcBorders>
              <w:bottom w:val="single" w:sz="4" w:space="0" w:color="auto"/>
            </w:tcBorders>
            <w:shd w:val="clear" w:color="auto" w:fill="auto"/>
          </w:tcPr>
          <w:p w:rsidR="00AC614F" w:rsidRPr="00041DCC" w:rsidRDefault="00AC614F" w:rsidP="004172A0">
            <w:pPr>
              <w:pStyle w:val="TableUnitsRow"/>
              <w:rPr>
                <w:b/>
              </w:rPr>
            </w:pPr>
            <w:r w:rsidRPr="00041DCC">
              <w:rPr>
                <w:b/>
              </w:rPr>
              <w:t>4899</w:t>
            </w:r>
          </w:p>
        </w:tc>
        <w:tc>
          <w:tcPr>
            <w:tcW w:w="1289" w:type="dxa"/>
            <w:tcBorders>
              <w:bottom w:val="single" w:sz="4" w:space="0" w:color="auto"/>
            </w:tcBorders>
            <w:shd w:val="clear" w:color="auto" w:fill="auto"/>
          </w:tcPr>
          <w:p w:rsidR="00AC614F" w:rsidRPr="00041DCC" w:rsidRDefault="00AC614F" w:rsidP="004172A0">
            <w:pPr>
              <w:pStyle w:val="TableUnitsRow"/>
              <w:rPr>
                <w:b/>
              </w:rPr>
            </w:pPr>
            <w:r w:rsidRPr="00041DCC">
              <w:rPr>
                <w:b/>
              </w:rPr>
              <w:t>4952</w:t>
            </w:r>
          </w:p>
        </w:tc>
      </w:tr>
    </w:tbl>
    <w:p w:rsidR="00AC614F" w:rsidRDefault="00306440" w:rsidP="003501B5">
      <w:pPr>
        <w:pStyle w:val="Source"/>
      </w:pPr>
      <w:r>
        <w:t xml:space="preserve">Note: </w:t>
      </w:r>
      <w:r w:rsidR="00AC614F" w:rsidRPr="004172A0">
        <w:t xml:space="preserve">Items in the </w:t>
      </w:r>
      <w:r w:rsidR="00041DCC">
        <w:t>g</w:t>
      </w:r>
      <w:r w:rsidR="00AC614F" w:rsidRPr="004172A0">
        <w:t xml:space="preserve">eneral </w:t>
      </w:r>
      <w:r w:rsidR="00041DCC">
        <w:t>c</w:t>
      </w:r>
      <w:r w:rsidR="00AC614F" w:rsidRPr="004172A0">
        <w:t>ollection are counted against more than one building block, so items add to more than total</w:t>
      </w:r>
      <w:r w:rsidR="003501B5" w:rsidRPr="004172A0">
        <w:t xml:space="preserve"> </w:t>
      </w:r>
      <w:r w:rsidR="00AC614F" w:rsidRPr="004172A0">
        <w:t>number of items in the collection.</w:t>
      </w:r>
    </w:p>
    <w:p w:rsidR="00306440" w:rsidRPr="00306440" w:rsidRDefault="00306440" w:rsidP="00306440">
      <w:pPr>
        <w:pStyle w:val="BoxSpaceBelow"/>
      </w:pPr>
    </w:p>
    <w:p w:rsidR="00AC614F" w:rsidRPr="004172A0" w:rsidRDefault="003501B5" w:rsidP="00071B59">
      <w:pPr>
        <w:pStyle w:val="Heading3"/>
      </w:pPr>
      <w:r w:rsidRPr="004172A0">
        <w:t>Assessed collection</w:t>
      </w:r>
    </w:p>
    <w:p w:rsidR="00AC614F" w:rsidRPr="004172A0" w:rsidRDefault="00AC614F" w:rsidP="003501B5">
      <w:pPr>
        <w:pStyle w:val="BodyText"/>
        <w:rPr>
          <w:b/>
        </w:rPr>
      </w:pPr>
      <w:r w:rsidRPr="004172A0">
        <w:t xml:space="preserve">The entries in </w:t>
      </w:r>
      <w:r w:rsidR="00041DCC">
        <w:t xml:space="preserve">the assessed </w:t>
      </w:r>
      <w:r w:rsidRPr="004172A0">
        <w:t>collection have been reviewed by subject specialists who have completed comprehensive assessments of items in the collection using a tool prepared by the Clearinghouse. Each assessment identifies the type of research and considers the quality and strength of evidence, its adaptability to the Indigenous context and implications for overcoming Indigenous disadvantage.</w:t>
      </w:r>
      <w:r w:rsidR="004172A0" w:rsidRPr="004172A0">
        <w:t xml:space="preserve"> </w:t>
      </w:r>
    </w:p>
    <w:p w:rsidR="00AC614F" w:rsidRPr="004172A0" w:rsidRDefault="00AC614F" w:rsidP="003501B5">
      <w:pPr>
        <w:pStyle w:val="BodyText"/>
      </w:pPr>
      <w:r w:rsidRPr="004172A0">
        <w:t>There were a total of 602 items of evaluations and research in the assessed collection. The COAG building block for schooling contained the highest number of items (140), followed by the health (94) and safe communities building blocks (92). The majority of items in the assessed collection have been assigned to a single building block (518 or 86</w:t>
      </w:r>
      <w:r w:rsidR="00041DCC">
        <w:t xml:space="preserve"> per cent</w:t>
      </w:r>
      <w:r w:rsidRPr="004172A0">
        <w:t>). Less than 2</w:t>
      </w:r>
      <w:r w:rsidR="00041DCC">
        <w:t xml:space="preserve"> per cent</w:t>
      </w:r>
      <w:r w:rsidRPr="004172A0">
        <w:t xml:space="preserve"> were assigned to three or more building blocks (Table </w:t>
      </w:r>
      <w:r w:rsidR="00631385">
        <w:t>9.</w:t>
      </w:r>
      <w:r w:rsidRPr="004172A0">
        <w:t xml:space="preserve">1). </w:t>
      </w:r>
    </w:p>
    <w:p w:rsidR="00AC614F" w:rsidRPr="004172A0" w:rsidRDefault="00AC614F" w:rsidP="003501B5">
      <w:pPr>
        <w:pStyle w:val="BodyText"/>
      </w:pPr>
      <w:r w:rsidRPr="004172A0">
        <w:t xml:space="preserve">Table </w:t>
      </w:r>
      <w:r w:rsidR="00631385">
        <w:t>9.</w:t>
      </w:r>
      <w:r w:rsidRPr="004172A0">
        <w:t>2 shows analysis of data in the assessed collection by type of research, and building block. Just over a third of the assessed collection related to studies involving quantitative analysis with a comparison group</w:t>
      </w:r>
      <w:r w:rsidR="00041DCC">
        <w:t>,</w:t>
      </w:r>
      <w:r w:rsidRPr="004172A0">
        <w:t xml:space="preserve"> with an additional 35.7</w:t>
      </w:r>
      <w:r w:rsidR="00041DCC">
        <w:t xml:space="preserve"> per cent</w:t>
      </w:r>
      <w:r w:rsidRPr="004172A0">
        <w:t xml:space="preserve"> involving quantitative analysis without a comparison group. Just over 20</w:t>
      </w:r>
      <w:r w:rsidR="00041DCC">
        <w:t xml:space="preserve"> per cent</w:t>
      </w:r>
      <w:r w:rsidRPr="004172A0">
        <w:t xml:space="preserve"> involved qualitative analysis and 10</w:t>
      </w:r>
      <w:r w:rsidR="00041DCC">
        <w:t xml:space="preserve"> per cent</w:t>
      </w:r>
      <w:r w:rsidRPr="004172A0">
        <w:t xml:space="preserve"> were literature reviews. This varied by building block</w:t>
      </w:r>
      <w:r w:rsidR="00041DCC">
        <w:t>,</w:t>
      </w:r>
      <w:r w:rsidRPr="004172A0">
        <w:t xml:space="preserve"> with a higher proportion of quantitative studies in the schooling, early childhood and health building blocks. </w:t>
      </w:r>
    </w:p>
    <w:p w:rsidR="00AC614F" w:rsidRPr="004172A0" w:rsidRDefault="00AC614F" w:rsidP="003501B5">
      <w:pPr>
        <w:pStyle w:val="TableTitle"/>
      </w:pPr>
      <w:bookmarkStart w:id="7" w:name="_Toc298230764"/>
      <w:bookmarkStart w:id="8" w:name="_Toc298487474"/>
      <w:bookmarkStart w:id="9" w:name="_Toc312322020"/>
      <w:r w:rsidRPr="004172A0">
        <w:lastRenderedPageBreak/>
        <w:t xml:space="preserve">Table </w:t>
      </w:r>
      <w:r w:rsidR="00631385">
        <w:t>9.</w:t>
      </w:r>
      <w:r w:rsidRPr="004172A0">
        <w:t>2</w:t>
      </w:r>
      <w:r w:rsidR="003501B5" w:rsidRPr="004172A0">
        <w:tab/>
      </w:r>
      <w:r w:rsidRPr="004172A0">
        <w:t>Assessed items by type of research</w:t>
      </w:r>
      <w:bookmarkEnd w:id="7"/>
      <w:bookmarkEnd w:id="8"/>
      <w:r w:rsidRPr="004172A0">
        <w:t>, 30 June 2011</w:t>
      </w:r>
      <w:bookmarkEnd w:id="9"/>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823"/>
        <w:gridCol w:w="760"/>
        <w:gridCol w:w="823"/>
        <w:gridCol w:w="688"/>
        <w:gridCol w:w="688"/>
        <w:gridCol w:w="688"/>
        <w:gridCol w:w="686"/>
        <w:gridCol w:w="688"/>
        <w:gridCol w:w="686"/>
        <w:gridCol w:w="688"/>
        <w:gridCol w:w="787"/>
      </w:tblGrid>
      <w:tr w:rsidR="00AC614F" w:rsidRPr="004172A0" w:rsidTr="002B56D0">
        <w:tc>
          <w:tcPr>
            <w:tcW w:w="1012" w:type="pct"/>
            <w:tcBorders>
              <w:top w:val="single" w:sz="4" w:space="0" w:color="auto"/>
              <w:left w:val="nil"/>
              <w:bottom w:val="single" w:sz="4" w:space="0" w:color="auto"/>
              <w:right w:val="nil"/>
            </w:tcBorders>
            <w:vAlign w:val="bottom"/>
          </w:tcPr>
          <w:p w:rsidR="00AC614F" w:rsidRPr="004172A0" w:rsidRDefault="00AC614F" w:rsidP="003501B5">
            <w:pPr>
              <w:pStyle w:val="TableBodyText"/>
            </w:pPr>
          </w:p>
        </w:tc>
        <w:tc>
          <w:tcPr>
            <w:tcW w:w="879" w:type="pct"/>
            <w:gridSpan w:val="2"/>
            <w:tcBorders>
              <w:top w:val="single" w:sz="4" w:space="0" w:color="auto"/>
              <w:left w:val="nil"/>
              <w:bottom w:val="single" w:sz="4" w:space="0" w:color="auto"/>
              <w:right w:val="nil"/>
            </w:tcBorders>
            <w:vAlign w:val="center"/>
          </w:tcPr>
          <w:p w:rsidR="00AC614F" w:rsidRPr="004172A0" w:rsidRDefault="00AC614F" w:rsidP="003501B5">
            <w:pPr>
              <w:pStyle w:val="TableColumnHeading"/>
              <w:jc w:val="center"/>
            </w:pPr>
            <w:r w:rsidRPr="004172A0">
              <w:t>Quantitative comparison group</w:t>
            </w:r>
          </w:p>
        </w:tc>
        <w:tc>
          <w:tcPr>
            <w:tcW w:w="764" w:type="pct"/>
            <w:gridSpan w:val="2"/>
            <w:tcBorders>
              <w:top w:val="single" w:sz="4" w:space="0" w:color="auto"/>
              <w:left w:val="nil"/>
              <w:bottom w:val="single" w:sz="4" w:space="0" w:color="auto"/>
              <w:right w:val="nil"/>
            </w:tcBorders>
            <w:vAlign w:val="center"/>
          </w:tcPr>
          <w:p w:rsidR="00AC614F" w:rsidRPr="004172A0" w:rsidRDefault="00AC614F" w:rsidP="003501B5">
            <w:pPr>
              <w:pStyle w:val="TableColumnHeading"/>
              <w:jc w:val="center"/>
            </w:pPr>
            <w:r w:rsidRPr="004172A0">
              <w:t>Other quantitative</w:t>
            </w:r>
          </w:p>
        </w:tc>
        <w:tc>
          <w:tcPr>
            <w:tcW w:w="763" w:type="pct"/>
            <w:gridSpan w:val="2"/>
            <w:tcBorders>
              <w:top w:val="single" w:sz="4" w:space="0" w:color="auto"/>
              <w:left w:val="nil"/>
              <w:bottom w:val="single" w:sz="4" w:space="0" w:color="auto"/>
              <w:right w:val="nil"/>
            </w:tcBorders>
            <w:vAlign w:val="center"/>
          </w:tcPr>
          <w:p w:rsidR="00AC614F" w:rsidRPr="004172A0" w:rsidRDefault="00AC614F" w:rsidP="003501B5">
            <w:pPr>
              <w:pStyle w:val="TableColumnHeading"/>
              <w:jc w:val="center"/>
            </w:pPr>
            <w:r w:rsidRPr="004172A0">
              <w:t>Qualitative</w:t>
            </w:r>
          </w:p>
        </w:tc>
        <w:tc>
          <w:tcPr>
            <w:tcW w:w="763" w:type="pct"/>
            <w:gridSpan w:val="2"/>
            <w:tcBorders>
              <w:top w:val="single" w:sz="4" w:space="0" w:color="auto"/>
              <w:left w:val="nil"/>
              <w:bottom w:val="single" w:sz="4" w:space="0" w:color="auto"/>
              <w:right w:val="nil"/>
            </w:tcBorders>
            <w:vAlign w:val="center"/>
          </w:tcPr>
          <w:p w:rsidR="00AC614F" w:rsidRPr="004172A0" w:rsidRDefault="00AC614F" w:rsidP="003501B5">
            <w:pPr>
              <w:pStyle w:val="TableColumnHeading"/>
              <w:jc w:val="center"/>
            </w:pPr>
            <w:r w:rsidRPr="004172A0">
              <w:t>Literature review</w:t>
            </w:r>
          </w:p>
        </w:tc>
        <w:tc>
          <w:tcPr>
            <w:tcW w:w="819" w:type="pct"/>
            <w:gridSpan w:val="2"/>
            <w:tcBorders>
              <w:top w:val="single" w:sz="4" w:space="0" w:color="auto"/>
              <w:left w:val="nil"/>
              <w:bottom w:val="single" w:sz="4" w:space="0" w:color="auto"/>
              <w:right w:val="nil"/>
            </w:tcBorders>
            <w:vAlign w:val="center"/>
          </w:tcPr>
          <w:p w:rsidR="00AC614F" w:rsidRPr="004172A0" w:rsidRDefault="00AC614F" w:rsidP="003501B5">
            <w:pPr>
              <w:pStyle w:val="TableColumnHeading"/>
              <w:jc w:val="center"/>
            </w:pPr>
          </w:p>
          <w:p w:rsidR="00AC614F" w:rsidRPr="004172A0" w:rsidRDefault="00AC614F" w:rsidP="003501B5">
            <w:pPr>
              <w:pStyle w:val="TableColumnHeading"/>
              <w:jc w:val="center"/>
            </w:pPr>
            <w:r w:rsidRPr="004172A0">
              <w:t>Total</w:t>
            </w:r>
          </w:p>
        </w:tc>
      </w:tr>
      <w:tr w:rsidR="00AC614F" w:rsidRPr="004172A0" w:rsidTr="002B56D0">
        <w:tc>
          <w:tcPr>
            <w:tcW w:w="1012" w:type="pct"/>
            <w:tcBorders>
              <w:top w:val="single" w:sz="4" w:space="0" w:color="auto"/>
              <w:left w:val="nil"/>
              <w:bottom w:val="single" w:sz="4" w:space="0" w:color="auto"/>
              <w:right w:val="nil"/>
            </w:tcBorders>
            <w:vAlign w:val="bottom"/>
          </w:tcPr>
          <w:p w:rsidR="00AC614F" w:rsidRPr="00246A2C" w:rsidRDefault="00246A2C" w:rsidP="00246A2C">
            <w:pPr>
              <w:pStyle w:val="TableBodyText"/>
              <w:jc w:val="left"/>
              <w:rPr>
                <w:i/>
              </w:rPr>
            </w:pPr>
            <w:r w:rsidRPr="00246A2C">
              <w:rPr>
                <w:i/>
              </w:rPr>
              <w:t>Building block</w:t>
            </w:r>
          </w:p>
        </w:tc>
        <w:tc>
          <w:tcPr>
            <w:tcW w:w="42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No.</w:t>
            </w:r>
          </w:p>
        </w:tc>
        <w:tc>
          <w:tcPr>
            <w:tcW w:w="457"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w:t>
            </w:r>
          </w:p>
        </w:tc>
        <w:tc>
          <w:tcPr>
            <w:tcW w:w="38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No.</w:t>
            </w:r>
          </w:p>
        </w:tc>
        <w:tc>
          <w:tcPr>
            <w:tcW w:w="38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w:t>
            </w:r>
          </w:p>
        </w:tc>
        <w:tc>
          <w:tcPr>
            <w:tcW w:w="38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No.</w:t>
            </w:r>
          </w:p>
        </w:tc>
        <w:tc>
          <w:tcPr>
            <w:tcW w:w="381"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w:t>
            </w:r>
          </w:p>
        </w:tc>
        <w:tc>
          <w:tcPr>
            <w:tcW w:w="38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No.</w:t>
            </w:r>
          </w:p>
        </w:tc>
        <w:tc>
          <w:tcPr>
            <w:tcW w:w="381"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w:t>
            </w:r>
          </w:p>
        </w:tc>
        <w:tc>
          <w:tcPr>
            <w:tcW w:w="382"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No.</w:t>
            </w:r>
          </w:p>
        </w:tc>
        <w:tc>
          <w:tcPr>
            <w:tcW w:w="437" w:type="pct"/>
            <w:tcBorders>
              <w:top w:val="single" w:sz="4" w:space="0" w:color="auto"/>
              <w:left w:val="nil"/>
              <w:bottom w:val="single" w:sz="4" w:space="0" w:color="auto"/>
              <w:right w:val="nil"/>
            </w:tcBorders>
            <w:vAlign w:val="bottom"/>
          </w:tcPr>
          <w:p w:rsidR="00AC614F" w:rsidRPr="004172A0" w:rsidRDefault="00AC614F" w:rsidP="003501B5">
            <w:pPr>
              <w:pStyle w:val="TableColumnHeading"/>
            </w:pPr>
            <w:r w:rsidRPr="004172A0">
              <w:t>%</w:t>
            </w:r>
          </w:p>
        </w:tc>
      </w:tr>
      <w:tr w:rsidR="00AC614F" w:rsidRPr="004172A0" w:rsidTr="00D5020C">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Early childhood</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38</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43.7</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29</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33.3</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12</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13.8</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8</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9.2</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87</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D5020C">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Schooling</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69</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49.3</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45</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32.1</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16</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11.4</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10</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7.1</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140</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D5020C">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Health</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33</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35.1</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37</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39.4</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15</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16.0</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9</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9.6</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94</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D5020C">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Economic participation</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28</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32.2</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40</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46.0</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15</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17.2</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4.6</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87</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D5020C">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Healthy homes</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9</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17.6</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25</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49.0</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13</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25.5</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4</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7.8</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51</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326FD3">
        <w:trPr>
          <w:trHeight w:val="20"/>
        </w:trPr>
        <w:tc>
          <w:tcPr>
            <w:tcW w:w="1012" w:type="pct"/>
            <w:tcBorders>
              <w:top w:val="nil"/>
              <w:left w:val="nil"/>
              <w:bottom w:val="nil"/>
              <w:right w:val="nil"/>
            </w:tcBorders>
            <w:vAlign w:val="center"/>
          </w:tcPr>
          <w:p w:rsidR="00AC614F" w:rsidRPr="004172A0" w:rsidRDefault="00AC614F" w:rsidP="00A3507E">
            <w:pPr>
              <w:pStyle w:val="TableBodyText"/>
              <w:jc w:val="left"/>
            </w:pPr>
            <w:r w:rsidRPr="004172A0">
              <w:t>Safe communities</w:t>
            </w:r>
          </w:p>
        </w:tc>
        <w:tc>
          <w:tcPr>
            <w:tcW w:w="42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23</w:t>
            </w:r>
          </w:p>
        </w:tc>
        <w:tc>
          <w:tcPr>
            <w:tcW w:w="457"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25.0</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28</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30.4</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22</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23.9</w:t>
            </w:r>
          </w:p>
        </w:tc>
        <w:tc>
          <w:tcPr>
            <w:tcW w:w="382"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19</w:t>
            </w:r>
          </w:p>
        </w:tc>
        <w:tc>
          <w:tcPr>
            <w:tcW w:w="381" w:type="pct"/>
            <w:tcBorders>
              <w:top w:val="nil"/>
              <w:left w:val="nil"/>
              <w:bottom w:val="nil"/>
              <w:right w:val="nil"/>
            </w:tcBorders>
            <w:vAlign w:val="bottom"/>
          </w:tcPr>
          <w:p w:rsidR="00AC614F" w:rsidRPr="004172A0" w:rsidRDefault="00AC614F" w:rsidP="003501B5">
            <w:pPr>
              <w:pStyle w:val="TableUnitsRow"/>
              <w:rPr>
                <w:sz w:val="18"/>
                <w:szCs w:val="18"/>
              </w:rPr>
            </w:pPr>
            <w:r w:rsidRPr="004172A0">
              <w:rPr>
                <w:sz w:val="18"/>
                <w:szCs w:val="18"/>
              </w:rPr>
              <w:t>20.7</w:t>
            </w:r>
          </w:p>
        </w:tc>
        <w:tc>
          <w:tcPr>
            <w:tcW w:w="382"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92</w:t>
            </w:r>
          </w:p>
        </w:tc>
        <w:tc>
          <w:tcPr>
            <w:tcW w:w="437" w:type="pct"/>
            <w:tcBorders>
              <w:top w:val="nil"/>
              <w:left w:val="nil"/>
              <w:bottom w:val="nil"/>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AC614F" w:rsidRPr="004172A0" w:rsidTr="00326FD3">
        <w:trPr>
          <w:trHeight w:val="20"/>
        </w:trPr>
        <w:tc>
          <w:tcPr>
            <w:tcW w:w="1012" w:type="pct"/>
            <w:tcBorders>
              <w:top w:val="nil"/>
              <w:left w:val="nil"/>
              <w:bottom w:val="single" w:sz="4" w:space="0" w:color="auto"/>
              <w:right w:val="nil"/>
            </w:tcBorders>
            <w:vAlign w:val="center"/>
          </w:tcPr>
          <w:p w:rsidR="00AC614F" w:rsidRPr="004172A0" w:rsidRDefault="00AC614F" w:rsidP="00A3507E">
            <w:pPr>
              <w:pStyle w:val="TableBodyText"/>
              <w:jc w:val="left"/>
            </w:pPr>
            <w:r w:rsidRPr="004172A0">
              <w:t xml:space="preserve">Governance </w:t>
            </w:r>
            <w:r w:rsidR="004172A0" w:rsidRPr="004172A0">
              <w:t>and</w:t>
            </w:r>
            <w:r w:rsidRPr="004172A0">
              <w:t xml:space="preserve"> leadership</w:t>
            </w:r>
          </w:p>
        </w:tc>
        <w:tc>
          <w:tcPr>
            <w:tcW w:w="422"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7</w:t>
            </w:r>
          </w:p>
        </w:tc>
        <w:tc>
          <w:tcPr>
            <w:tcW w:w="457"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13.7</w:t>
            </w:r>
          </w:p>
        </w:tc>
        <w:tc>
          <w:tcPr>
            <w:tcW w:w="382"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11</w:t>
            </w:r>
          </w:p>
        </w:tc>
        <w:tc>
          <w:tcPr>
            <w:tcW w:w="382"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21.6</w:t>
            </w:r>
          </w:p>
        </w:tc>
        <w:tc>
          <w:tcPr>
            <w:tcW w:w="382"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29</w:t>
            </w:r>
          </w:p>
        </w:tc>
        <w:tc>
          <w:tcPr>
            <w:tcW w:w="381"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56.9</w:t>
            </w:r>
          </w:p>
        </w:tc>
        <w:tc>
          <w:tcPr>
            <w:tcW w:w="382"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4</w:t>
            </w:r>
          </w:p>
        </w:tc>
        <w:tc>
          <w:tcPr>
            <w:tcW w:w="381" w:type="pct"/>
            <w:tcBorders>
              <w:top w:val="nil"/>
              <w:left w:val="nil"/>
              <w:bottom w:val="single" w:sz="4" w:space="0" w:color="auto"/>
              <w:right w:val="nil"/>
            </w:tcBorders>
            <w:vAlign w:val="bottom"/>
          </w:tcPr>
          <w:p w:rsidR="00AC614F" w:rsidRPr="004172A0" w:rsidRDefault="00AC614F" w:rsidP="003501B5">
            <w:pPr>
              <w:pStyle w:val="TableUnitsRow"/>
              <w:rPr>
                <w:sz w:val="18"/>
                <w:szCs w:val="18"/>
              </w:rPr>
            </w:pPr>
            <w:r w:rsidRPr="004172A0">
              <w:rPr>
                <w:sz w:val="18"/>
                <w:szCs w:val="18"/>
              </w:rPr>
              <w:t>7.8</w:t>
            </w:r>
          </w:p>
        </w:tc>
        <w:tc>
          <w:tcPr>
            <w:tcW w:w="382" w:type="pct"/>
            <w:tcBorders>
              <w:top w:val="nil"/>
              <w:left w:val="nil"/>
              <w:bottom w:val="single" w:sz="4" w:space="0" w:color="auto"/>
              <w:right w:val="nil"/>
            </w:tcBorders>
            <w:vAlign w:val="bottom"/>
          </w:tcPr>
          <w:p w:rsidR="00AC614F" w:rsidRPr="004172A0" w:rsidRDefault="00AC614F" w:rsidP="003501B5">
            <w:pPr>
              <w:pStyle w:val="TableUnitsRow"/>
              <w:rPr>
                <w:b/>
                <w:sz w:val="18"/>
                <w:szCs w:val="18"/>
              </w:rPr>
            </w:pPr>
            <w:r w:rsidRPr="004172A0">
              <w:rPr>
                <w:b/>
                <w:sz w:val="18"/>
                <w:szCs w:val="18"/>
              </w:rPr>
              <w:t>51</w:t>
            </w:r>
          </w:p>
        </w:tc>
        <w:tc>
          <w:tcPr>
            <w:tcW w:w="437" w:type="pct"/>
            <w:tcBorders>
              <w:top w:val="nil"/>
              <w:left w:val="nil"/>
              <w:bottom w:val="single" w:sz="4" w:space="0" w:color="auto"/>
              <w:right w:val="nil"/>
            </w:tcBorders>
            <w:vAlign w:val="bottom"/>
          </w:tcPr>
          <w:p w:rsidR="00AC614F" w:rsidRPr="004172A0" w:rsidRDefault="00AC614F" w:rsidP="003501B5">
            <w:pPr>
              <w:pStyle w:val="TableUnitsRow"/>
              <w:rPr>
                <w:b/>
                <w:sz w:val="18"/>
                <w:szCs w:val="18"/>
              </w:rPr>
            </w:pPr>
            <w:r w:rsidRPr="004172A0">
              <w:rPr>
                <w:b/>
                <w:sz w:val="18"/>
                <w:szCs w:val="18"/>
              </w:rPr>
              <w:t>100.0</w:t>
            </w:r>
          </w:p>
        </w:tc>
      </w:tr>
      <w:tr w:rsidR="00326FD3" w:rsidRPr="00326FD3" w:rsidTr="00326FD3">
        <w:trPr>
          <w:trHeight w:val="20"/>
        </w:trPr>
        <w:tc>
          <w:tcPr>
            <w:tcW w:w="1012" w:type="pct"/>
            <w:tcBorders>
              <w:top w:val="nil"/>
              <w:left w:val="nil"/>
              <w:bottom w:val="single" w:sz="4" w:space="0" w:color="auto"/>
              <w:right w:val="nil"/>
            </w:tcBorders>
            <w:vAlign w:val="center"/>
          </w:tcPr>
          <w:p w:rsidR="00326FD3" w:rsidRPr="00326FD3" w:rsidRDefault="00326FD3" w:rsidP="002B56D0">
            <w:pPr>
              <w:pStyle w:val="TableBodyText"/>
              <w:jc w:val="left"/>
              <w:rPr>
                <w:b/>
              </w:rPr>
            </w:pPr>
            <w:r w:rsidRPr="00326FD3">
              <w:rPr>
                <w:b/>
              </w:rPr>
              <w:t>Total</w:t>
            </w:r>
          </w:p>
        </w:tc>
        <w:tc>
          <w:tcPr>
            <w:tcW w:w="42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207</w:t>
            </w:r>
          </w:p>
        </w:tc>
        <w:tc>
          <w:tcPr>
            <w:tcW w:w="457"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34.4</w:t>
            </w:r>
          </w:p>
        </w:tc>
        <w:tc>
          <w:tcPr>
            <w:tcW w:w="38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215</w:t>
            </w:r>
          </w:p>
        </w:tc>
        <w:tc>
          <w:tcPr>
            <w:tcW w:w="38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35.7</w:t>
            </w:r>
          </w:p>
        </w:tc>
        <w:tc>
          <w:tcPr>
            <w:tcW w:w="38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122</w:t>
            </w:r>
          </w:p>
        </w:tc>
        <w:tc>
          <w:tcPr>
            <w:tcW w:w="381"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20.3</w:t>
            </w:r>
          </w:p>
        </w:tc>
        <w:tc>
          <w:tcPr>
            <w:tcW w:w="38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58</w:t>
            </w:r>
          </w:p>
        </w:tc>
        <w:tc>
          <w:tcPr>
            <w:tcW w:w="381"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9.6</w:t>
            </w:r>
          </w:p>
        </w:tc>
        <w:tc>
          <w:tcPr>
            <w:tcW w:w="382"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602</w:t>
            </w:r>
          </w:p>
        </w:tc>
        <w:tc>
          <w:tcPr>
            <w:tcW w:w="437" w:type="pct"/>
            <w:tcBorders>
              <w:top w:val="nil"/>
              <w:left w:val="nil"/>
              <w:bottom w:val="single" w:sz="4" w:space="0" w:color="auto"/>
              <w:right w:val="nil"/>
            </w:tcBorders>
            <w:vAlign w:val="bottom"/>
          </w:tcPr>
          <w:p w:rsidR="00326FD3" w:rsidRPr="00326FD3" w:rsidRDefault="00326FD3" w:rsidP="003501B5">
            <w:pPr>
              <w:pStyle w:val="TableUnitsRow"/>
              <w:rPr>
                <w:b/>
                <w:sz w:val="18"/>
                <w:szCs w:val="18"/>
              </w:rPr>
            </w:pPr>
            <w:r>
              <w:rPr>
                <w:b/>
                <w:sz w:val="18"/>
                <w:szCs w:val="18"/>
              </w:rPr>
              <w:t>100.0</w:t>
            </w:r>
          </w:p>
        </w:tc>
      </w:tr>
    </w:tbl>
    <w:p w:rsidR="003501B5" w:rsidRPr="004172A0" w:rsidRDefault="003501B5" w:rsidP="00306440">
      <w:pPr>
        <w:pStyle w:val="BoxSpaceBelow"/>
      </w:pPr>
    </w:p>
    <w:p w:rsidR="00AC614F" w:rsidRPr="004172A0" w:rsidRDefault="00AC614F" w:rsidP="003501B5">
      <w:pPr>
        <w:pStyle w:val="BodyText"/>
      </w:pPr>
      <w:r w:rsidRPr="004172A0">
        <w:t xml:space="preserve">Figure </w:t>
      </w:r>
      <w:r w:rsidR="00631385">
        <w:t>9.</w:t>
      </w:r>
      <w:r w:rsidRPr="004172A0">
        <w:t xml:space="preserve">2 shows analysis of the assessed items by participating populations, country where the research was carried out and type of study. The highest number of items in the collection involved Indigenous Australian participants (291), followed by non-Indigenous Australians (183). This is an outcome of the hierarchy of </w:t>
      </w:r>
      <w:r w:rsidR="00326FD3">
        <w:t>re</w:t>
      </w:r>
      <w:r w:rsidRPr="004172A0">
        <w:t xml:space="preserve">search strategy for the Clearinghouse and the lack of sufficient evaluations of Indigenous specific programs. The </w:t>
      </w:r>
      <w:r w:rsidR="00326FD3">
        <w:t>re</w:t>
      </w:r>
      <w:r w:rsidRPr="004172A0">
        <w:t xml:space="preserve">search strategy for the Clearinghouse was to focus on evaluation of programs delivered to Indigenous Australians followed by evaluations of programs delivered to non-Indigenous Australians if not enough evaluations were found for programs delivered to Indigenous Australians. The same strategy was used for </w:t>
      </w:r>
      <w:r w:rsidR="00731B64">
        <w:t xml:space="preserve">the </w:t>
      </w:r>
      <w:r w:rsidRPr="004172A0">
        <w:t xml:space="preserve">evaluation of programs in New Zealand, Canada and the </w:t>
      </w:r>
      <w:r w:rsidR="009E7114">
        <w:t>United States</w:t>
      </w:r>
      <w:r w:rsidRPr="004172A0">
        <w:t xml:space="preserve">. </w:t>
      </w:r>
    </w:p>
    <w:p w:rsidR="00AC614F" w:rsidRPr="004172A0" w:rsidRDefault="00AC614F" w:rsidP="003501B5">
      <w:pPr>
        <w:pStyle w:val="BodyText"/>
      </w:pPr>
      <w:r w:rsidRPr="004172A0">
        <w:t>All studies had a mix of quantitative, qualitative research and literature reviews. While most of the assessed studies (83</w:t>
      </w:r>
      <w:r w:rsidR="00041DCC">
        <w:t xml:space="preserve"> per cent</w:t>
      </w:r>
      <w:r w:rsidRPr="004172A0">
        <w:t>) had an evaluation component, only 20</w:t>
      </w:r>
      <w:r w:rsidR="00041DCC">
        <w:t xml:space="preserve"> per cent</w:t>
      </w:r>
      <w:r w:rsidRPr="004172A0">
        <w:t xml:space="preserve"> had</w:t>
      </w:r>
      <w:r w:rsidR="003501B5" w:rsidRPr="004172A0">
        <w:t xml:space="preserve"> a cost</w:t>
      </w:r>
      <w:r w:rsidR="009E7114">
        <w:t>-</w:t>
      </w:r>
      <w:r w:rsidR="003501B5" w:rsidRPr="004172A0">
        <w:t>effectiveness analysis.</w:t>
      </w:r>
    </w:p>
    <w:p w:rsidR="00DD4731" w:rsidRPr="004172A0" w:rsidRDefault="00DD4731" w:rsidP="00DD4731">
      <w:pPr>
        <w:pStyle w:val="FigureTitle"/>
      </w:pPr>
      <w:r w:rsidRPr="004172A0">
        <w:lastRenderedPageBreak/>
        <w:t xml:space="preserve">Figure </w:t>
      </w:r>
      <w:r w:rsidR="00631385">
        <w:t>9.</w:t>
      </w:r>
      <w:r w:rsidRPr="004172A0">
        <w:t>2</w:t>
      </w:r>
      <w:r w:rsidRPr="004172A0">
        <w:tab/>
        <w:t xml:space="preserve">Assessed items by country and </w:t>
      </w:r>
      <w:r w:rsidR="009E7114" w:rsidRPr="004172A0">
        <w:t xml:space="preserve">Indigenous </w:t>
      </w:r>
      <w:r w:rsidRPr="004172A0">
        <w:t>status and research type, at 30 June 2011 (per cent)</w:t>
      </w:r>
    </w:p>
    <w:tbl>
      <w:tblPr>
        <w:tblStyle w:val="TableGrid"/>
        <w:tblW w:w="5000" w:type="pct"/>
        <w:tblBorders>
          <w:top w:val="single" w:sz="4" w:space="0" w:color="000000"/>
          <w:left w:val="single" w:sz="4" w:space="0" w:color="000000"/>
          <w:bottom w:val="single" w:sz="4" w:space="0" w:color="000000"/>
          <w:right w:val="single" w:sz="4" w:space="0" w:color="000000"/>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9019"/>
      </w:tblGrid>
      <w:tr w:rsidR="00AC614F" w:rsidRPr="004172A0" w:rsidTr="00DD4731">
        <w:trPr>
          <w:cantSplit/>
        </w:trPr>
        <w:tc>
          <w:tcPr>
            <w:tcW w:w="9019" w:type="dxa"/>
          </w:tcPr>
          <w:p w:rsidR="00B3575C" w:rsidRPr="004172A0" w:rsidRDefault="00B3575C" w:rsidP="00B3575C">
            <w:pPr>
              <w:spacing w:before="0" w:after="0" w:line="240" w:lineRule="auto"/>
              <w:jc w:val="center"/>
              <w:rPr>
                <w:rFonts w:ascii="Times New Roman" w:hAnsi="Times New Roman"/>
              </w:rPr>
            </w:pPr>
            <w:r>
              <w:rPr>
                <w:noProof/>
              </w:rPr>
              <w:drawing>
                <wp:inline distT="0" distB="0" distL="0" distR="0" wp14:anchorId="5793BB05" wp14:editId="597A94CB">
                  <wp:extent cx="5548746" cy="3325091"/>
                  <wp:effectExtent l="0" t="0" r="0" b="8890"/>
                  <wp:docPr id="11" name="Chart 11" descr="Figure 9.2 Assessed items by country and Indigenous status and research type, at 30 June 2011 (per cent). The chart shows proportions of different types of evaluations (quantitative comparison group, other quantitative, qualitative, literature review) by country (Australia, US/Canada, New Zealand, other) and Indigenous/non-Indigenous statu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C614F" w:rsidRPr="004172A0" w:rsidRDefault="00AC614F" w:rsidP="003501B5">
            <w:pPr>
              <w:jc w:val="center"/>
            </w:pPr>
          </w:p>
        </w:tc>
      </w:tr>
    </w:tbl>
    <w:p w:rsidR="00306440" w:rsidRDefault="00DD4731" w:rsidP="00306440">
      <w:pPr>
        <w:pStyle w:val="Note"/>
      </w:pPr>
      <w:r w:rsidRPr="004172A0">
        <w:t>Note: Items have been counted for each population included in the research</w:t>
      </w:r>
      <w:r w:rsidR="009E7114">
        <w:t>.</w:t>
      </w:r>
    </w:p>
    <w:p w:rsidR="00DD4731" w:rsidRDefault="00DD4731" w:rsidP="003501B5">
      <w:pPr>
        <w:pStyle w:val="Source"/>
        <w:jc w:val="left"/>
      </w:pPr>
      <w:r w:rsidRPr="00306440">
        <w:rPr>
          <w:i/>
        </w:rPr>
        <w:t>Source</w:t>
      </w:r>
      <w:r w:rsidRPr="004172A0">
        <w:t xml:space="preserve">: </w:t>
      </w:r>
      <w:proofErr w:type="spellStart"/>
      <w:r w:rsidRPr="004172A0">
        <w:t>AIHW</w:t>
      </w:r>
      <w:proofErr w:type="spellEnd"/>
      <w:r w:rsidRPr="004172A0">
        <w:t xml:space="preserve"> and </w:t>
      </w:r>
      <w:proofErr w:type="spellStart"/>
      <w:r w:rsidRPr="004172A0">
        <w:t>AIFS</w:t>
      </w:r>
      <w:proofErr w:type="spellEnd"/>
      <w:r w:rsidRPr="004172A0">
        <w:t xml:space="preserve"> 201</w:t>
      </w:r>
      <w:r w:rsidR="00CE38C0">
        <w:t>2</w:t>
      </w:r>
      <w:r w:rsidR="009E7114">
        <w:t>.</w:t>
      </w:r>
    </w:p>
    <w:p w:rsidR="00306440" w:rsidRPr="00306440" w:rsidRDefault="00306440" w:rsidP="00306440">
      <w:pPr>
        <w:pStyle w:val="BoxSpaceBelow"/>
      </w:pPr>
    </w:p>
    <w:p w:rsidR="00AC614F" w:rsidRPr="004172A0" w:rsidRDefault="00AC614F" w:rsidP="003501B5">
      <w:pPr>
        <w:pStyle w:val="BodyText"/>
        <w:rPr>
          <w:rFonts w:eastAsia="MS PGothic"/>
        </w:rPr>
      </w:pPr>
      <w:r w:rsidRPr="004172A0">
        <w:rPr>
          <w:rFonts w:eastAsia="MS PGothic"/>
        </w:rPr>
        <w:t>During the assessment of evidence on what works to overcome Indigenous disadvantage, it became clear that many programs across all the COAG building blocks were implemented in Indigenous communities. A high proportion of th</w:t>
      </w:r>
      <w:r w:rsidR="009E7114">
        <w:rPr>
          <w:rFonts w:eastAsia="MS PGothic"/>
        </w:rPr>
        <w:t>o</w:t>
      </w:r>
      <w:r w:rsidRPr="004172A0">
        <w:rPr>
          <w:rFonts w:eastAsia="MS PGothic"/>
        </w:rPr>
        <w:t>se programs were not rigorously evaluated and it was not possible to identify which programs worked and which did not work. The cost of doing evaluations was often not built into program budgets and timetables, so many programs or interventions had either low</w:t>
      </w:r>
      <w:r w:rsidR="009E7114">
        <w:rPr>
          <w:rFonts w:eastAsia="MS PGothic"/>
        </w:rPr>
        <w:t>-</w:t>
      </w:r>
      <w:r w:rsidRPr="004172A0">
        <w:rPr>
          <w:rFonts w:eastAsia="MS PGothic"/>
        </w:rPr>
        <w:t xml:space="preserve">cost, partial or no evaluations. </w:t>
      </w:r>
    </w:p>
    <w:p w:rsidR="00AC614F" w:rsidRPr="004172A0" w:rsidRDefault="009E7114" w:rsidP="003501B5">
      <w:pPr>
        <w:pStyle w:val="BodyText"/>
        <w:rPr>
          <w:rFonts w:eastAsia="MS PGothic"/>
        </w:rPr>
      </w:pPr>
      <w:r w:rsidRPr="004172A0">
        <w:rPr>
          <w:rFonts w:eastAsia="MS PGothic"/>
        </w:rPr>
        <w:t xml:space="preserve">Some </w:t>
      </w:r>
      <w:r w:rsidR="00AC614F" w:rsidRPr="004172A0">
        <w:rPr>
          <w:rFonts w:eastAsia="MS PGothic"/>
        </w:rPr>
        <w:t xml:space="preserve">evaluations were disregarded because they </w:t>
      </w:r>
      <w:r w:rsidR="00057C0D">
        <w:rPr>
          <w:rFonts w:eastAsia="MS PGothic"/>
        </w:rPr>
        <w:t xml:space="preserve">were not </w:t>
      </w:r>
      <w:r w:rsidR="00326FD3">
        <w:rPr>
          <w:rFonts w:eastAsia="MS PGothic"/>
        </w:rPr>
        <w:t xml:space="preserve">considered </w:t>
      </w:r>
      <w:r w:rsidR="004172A0" w:rsidRPr="004172A0">
        <w:rPr>
          <w:rFonts w:eastAsia="MS PGothic"/>
        </w:rPr>
        <w:t>‘</w:t>
      </w:r>
      <w:r w:rsidR="00AC614F" w:rsidRPr="004172A0">
        <w:rPr>
          <w:rFonts w:eastAsia="MS PGothic"/>
        </w:rPr>
        <w:t>high</w:t>
      </w:r>
      <w:r w:rsidR="00057C0D">
        <w:rPr>
          <w:rFonts w:eastAsia="MS PGothic"/>
        </w:rPr>
        <w:t>-</w:t>
      </w:r>
      <w:r w:rsidR="00AC614F" w:rsidRPr="004172A0">
        <w:rPr>
          <w:rFonts w:eastAsia="MS PGothic"/>
        </w:rPr>
        <w:t>quality</w:t>
      </w:r>
      <w:r w:rsidR="004172A0" w:rsidRPr="004172A0">
        <w:rPr>
          <w:rFonts w:eastAsia="MS PGothic"/>
        </w:rPr>
        <w:t>’</w:t>
      </w:r>
      <w:r w:rsidR="00AC614F" w:rsidRPr="004172A0">
        <w:rPr>
          <w:rFonts w:eastAsia="MS PGothic"/>
        </w:rPr>
        <w:t xml:space="preserve"> evaluations.</w:t>
      </w:r>
      <w:r w:rsidR="00AC614F" w:rsidRPr="004172A0">
        <w:rPr>
          <w:rFonts w:cs="Arial"/>
        </w:rPr>
        <w:t xml:space="preserve"> For an evaluation to be judged </w:t>
      </w:r>
      <w:r w:rsidR="004172A0" w:rsidRPr="004172A0">
        <w:rPr>
          <w:rFonts w:cs="Arial"/>
        </w:rPr>
        <w:t>‘</w:t>
      </w:r>
      <w:r w:rsidR="00AC614F" w:rsidRPr="004172A0">
        <w:rPr>
          <w:rFonts w:cs="Arial"/>
        </w:rPr>
        <w:t>high quality</w:t>
      </w:r>
      <w:r w:rsidR="004172A0" w:rsidRPr="004172A0">
        <w:rPr>
          <w:rFonts w:cs="Arial"/>
        </w:rPr>
        <w:t>’</w:t>
      </w:r>
      <w:r w:rsidR="00AC614F" w:rsidRPr="004172A0">
        <w:rPr>
          <w:rFonts w:cs="Arial"/>
        </w:rPr>
        <w:t xml:space="preserve">, </w:t>
      </w:r>
      <w:r w:rsidR="00057C0D">
        <w:rPr>
          <w:rFonts w:cs="Arial"/>
        </w:rPr>
        <w:t xml:space="preserve">it must </w:t>
      </w:r>
      <w:r w:rsidR="00AC614F" w:rsidRPr="004172A0">
        <w:rPr>
          <w:rFonts w:cs="Arial"/>
        </w:rPr>
        <w:t>include hypothesis creation and testing, data collection, appraisal of the data quality, data processing</w:t>
      </w:r>
      <w:r w:rsidR="00057C0D">
        <w:rPr>
          <w:rFonts w:cs="Arial"/>
        </w:rPr>
        <w:t xml:space="preserve"> and</w:t>
      </w:r>
      <w:r w:rsidR="00AC614F" w:rsidRPr="004172A0">
        <w:rPr>
          <w:rFonts w:cs="Arial"/>
        </w:rPr>
        <w:t xml:space="preserve"> data synthesis</w:t>
      </w:r>
      <w:r w:rsidR="00326FD3">
        <w:rPr>
          <w:rFonts w:cs="Arial"/>
        </w:rPr>
        <w:t>,</w:t>
      </w:r>
      <w:r w:rsidR="00AC614F" w:rsidRPr="004172A0">
        <w:rPr>
          <w:rFonts w:cs="Arial"/>
        </w:rPr>
        <w:t xml:space="preserve"> and </w:t>
      </w:r>
      <w:r w:rsidR="00057C0D">
        <w:rPr>
          <w:rFonts w:cs="Arial"/>
        </w:rPr>
        <w:t xml:space="preserve">its findings must have been disseminated. </w:t>
      </w:r>
    </w:p>
    <w:p w:rsidR="00AC614F" w:rsidRPr="004172A0" w:rsidRDefault="00AC614F" w:rsidP="003501B5">
      <w:pPr>
        <w:pStyle w:val="BodyText"/>
        <w:rPr>
          <w:rFonts w:eastAsia="MS PGothic"/>
        </w:rPr>
      </w:pPr>
      <w:r w:rsidRPr="004172A0">
        <w:rPr>
          <w:rFonts w:eastAsia="MS PGothic"/>
        </w:rPr>
        <w:t>However, a number of experts argu</w:t>
      </w:r>
      <w:r w:rsidR="00057C0D">
        <w:rPr>
          <w:rFonts w:eastAsia="MS PGothic"/>
        </w:rPr>
        <w:t>e</w:t>
      </w:r>
      <w:r w:rsidRPr="004172A0">
        <w:rPr>
          <w:rFonts w:eastAsia="MS PGothic"/>
        </w:rPr>
        <w:t xml:space="preserve"> that high</w:t>
      </w:r>
      <w:r w:rsidR="00057C0D">
        <w:rPr>
          <w:rFonts w:eastAsia="MS PGothic"/>
        </w:rPr>
        <w:t>-</w:t>
      </w:r>
      <w:r w:rsidRPr="004172A0">
        <w:rPr>
          <w:rFonts w:eastAsia="MS PGothic"/>
        </w:rPr>
        <w:t xml:space="preserve">quality evaluations can still come from observational studies, case studies, field visits, experts and lay knowledge and reports on interventions </w:t>
      </w:r>
      <w:r w:rsidR="005343CE">
        <w:rPr>
          <w:rFonts w:eastAsia="MS PGothic"/>
        </w:rPr>
        <w:t xml:space="preserve">(often called ‘realist synthesis’ — see </w:t>
      </w:r>
      <w:proofErr w:type="spellStart"/>
      <w:r w:rsidR="005343CE">
        <w:rPr>
          <w:rFonts w:eastAsia="MS PGothic"/>
        </w:rPr>
        <w:t>C</w:t>
      </w:r>
      <w:r w:rsidRPr="004172A0">
        <w:rPr>
          <w:rFonts w:eastAsia="MS PGothic"/>
        </w:rPr>
        <w:t>SDH</w:t>
      </w:r>
      <w:proofErr w:type="spellEnd"/>
      <w:r w:rsidRPr="004172A0">
        <w:rPr>
          <w:rFonts w:eastAsia="MS PGothic"/>
        </w:rPr>
        <w:t xml:space="preserve"> 2008</w:t>
      </w:r>
      <w:r w:rsidR="00731B64">
        <w:rPr>
          <w:rFonts w:eastAsia="MS PGothic"/>
        </w:rPr>
        <w:t>;</w:t>
      </w:r>
      <w:r w:rsidRPr="004172A0">
        <w:rPr>
          <w:rFonts w:eastAsia="MS PGothic"/>
        </w:rPr>
        <w:t xml:space="preserve"> </w:t>
      </w:r>
      <w:proofErr w:type="spellStart"/>
      <w:r w:rsidRPr="004172A0">
        <w:rPr>
          <w:rFonts w:eastAsia="MS PGothic"/>
        </w:rPr>
        <w:t>Pawson</w:t>
      </w:r>
      <w:proofErr w:type="spellEnd"/>
      <w:r w:rsidRPr="004172A0">
        <w:rPr>
          <w:rFonts w:eastAsia="MS PGothic"/>
        </w:rPr>
        <w:t xml:space="preserve"> </w:t>
      </w:r>
      <w:r w:rsidRPr="00326FD3">
        <w:rPr>
          <w:rFonts w:eastAsia="MS PGothic"/>
          <w:i/>
        </w:rPr>
        <w:t>et al</w:t>
      </w:r>
      <w:r w:rsidRPr="004172A0">
        <w:rPr>
          <w:rFonts w:eastAsia="MS PGothic"/>
        </w:rPr>
        <w:t>. 2004).</w:t>
      </w:r>
      <w:r w:rsidR="004172A0" w:rsidRPr="004172A0">
        <w:rPr>
          <w:rFonts w:eastAsia="MS PGothic"/>
        </w:rPr>
        <w:t xml:space="preserve"> </w:t>
      </w:r>
      <w:r w:rsidRPr="004172A0">
        <w:rPr>
          <w:rFonts w:cs="Arial"/>
        </w:rPr>
        <w:t>The Clearinghouse is actively considering how to synthesise valuable evidence and findings from a range of studies, reports and assessments which, on normal standards applied to medical research, would not be captured.</w:t>
      </w:r>
      <w:r w:rsidR="004172A0" w:rsidRPr="004172A0">
        <w:rPr>
          <w:rFonts w:cs="Arial"/>
        </w:rPr>
        <w:t xml:space="preserve"> </w:t>
      </w:r>
    </w:p>
    <w:p w:rsidR="00AC614F" w:rsidRPr="004172A0" w:rsidRDefault="00AC614F" w:rsidP="003501B5">
      <w:pPr>
        <w:pStyle w:val="Heading4"/>
      </w:pPr>
      <w:r w:rsidRPr="004172A0">
        <w:lastRenderedPageBreak/>
        <w:t>Research and Evaluation Register</w:t>
      </w:r>
    </w:p>
    <w:p w:rsidR="00AC614F" w:rsidRPr="004172A0" w:rsidRDefault="00057C0D" w:rsidP="003501B5">
      <w:pPr>
        <w:pStyle w:val="BodyText"/>
        <w:rPr>
          <w:rFonts w:eastAsia="MS PGothic"/>
        </w:rPr>
      </w:pPr>
      <w:r>
        <w:t xml:space="preserve">The Research and Evaluation Register </w:t>
      </w:r>
      <w:r w:rsidR="00AC614F" w:rsidRPr="004172A0">
        <w:t>is a list of government commissioned research and evaluations relevant to Indigenous Australians. Its aim is to promote cooperation and to avoid duplication across agencies and jurisdictions.</w:t>
      </w:r>
      <w:r w:rsidR="00AC614F" w:rsidRPr="004172A0">
        <w:rPr>
          <w:rFonts w:ascii="Arial" w:eastAsia="MS PGothic" w:hAnsi="Arial" w:cs="MS PGothic"/>
          <w:color w:val="000000" w:themeColor="text1"/>
          <w:kern w:val="24"/>
          <w:sz w:val="24"/>
          <w:szCs w:val="24"/>
        </w:rPr>
        <w:t xml:space="preserve"> </w:t>
      </w:r>
    </w:p>
    <w:p w:rsidR="00AC614F" w:rsidRPr="004172A0" w:rsidRDefault="00AC614F" w:rsidP="003501B5">
      <w:pPr>
        <w:pStyle w:val="BodyText"/>
      </w:pPr>
      <w:r w:rsidRPr="004172A0">
        <w:t>The Clearinghouse is constantly updating the Research and Evaluation Register</w:t>
      </w:r>
      <w:r w:rsidR="00057C0D">
        <w:t xml:space="preserve">, which </w:t>
      </w:r>
      <w:r w:rsidRPr="004172A0">
        <w:t xml:space="preserve">currently contains 701 items. </w:t>
      </w:r>
      <w:r w:rsidR="00731B64">
        <w:t xml:space="preserve">As shown in Table </w:t>
      </w:r>
      <w:r w:rsidR="00631385">
        <w:t>9.</w:t>
      </w:r>
      <w:r w:rsidR="00731B64">
        <w:t>3, t</w:t>
      </w:r>
      <w:r w:rsidRPr="004172A0">
        <w:t>he health building block ha</w:t>
      </w:r>
      <w:r w:rsidR="00731B64">
        <w:t>s</w:t>
      </w:r>
      <w:r w:rsidRPr="004172A0">
        <w:t xml:space="preserve"> the largest number of items (371), followed by safe communities (171) and schooling (160). It should be noted that items can be counted in more than one building block.</w:t>
      </w:r>
    </w:p>
    <w:p w:rsidR="00AC614F" w:rsidRPr="004172A0" w:rsidRDefault="00AC614F" w:rsidP="00165C59">
      <w:pPr>
        <w:pStyle w:val="TableTitle"/>
      </w:pPr>
      <w:r w:rsidRPr="004172A0">
        <w:t xml:space="preserve">Table </w:t>
      </w:r>
      <w:r w:rsidR="00631385">
        <w:t>9.</w:t>
      </w:r>
      <w:r w:rsidRPr="004172A0">
        <w:t>3</w:t>
      </w:r>
      <w:r w:rsidR="00165C59" w:rsidRPr="004172A0">
        <w:tab/>
      </w:r>
      <w:r w:rsidRPr="004172A0">
        <w:t>Items on the Research and Evaluation Register, September 2011 to June 2012</w:t>
      </w:r>
    </w:p>
    <w:tbl>
      <w:tblPr>
        <w:tblW w:w="5000" w:type="pct"/>
        <w:tblLayout w:type="fixed"/>
        <w:tblCellMar>
          <w:left w:w="0" w:type="dxa"/>
          <w:right w:w="0" w:type="dxa"/>
        </w:tblCellMar>
        <w:tblLook w:val="04A0" w:firstRow="1" w:lastRow="0" w:firstColumn="1" w:lastColumn="0" w:noHBand="0" w:noVBand="1"/>
      </w:tblPr>
      <w:tblGrid>
        <w:gridCol w:w="2448"/>
        <w:gridCol w:w="1639"/>
        <w:gridCol w:w="1639"/>
        <w:gridCol w:w="1639"/>
        <w:gridCol w:w="1640"/>
      </w:tblGrid>
      <w:tr w:rsidR="00165C59" w:rsidRPr="004172A0" w:rsidTr="002B56D0">
        <w:trPr>
          <w:cantSplit/>
        </w:trPr>
        <w:tc>
          <w:tcPr>
            <w:tcW w:w="2448" w:type="dxa"/>
            <w:tcBorders>
              <w:top w:val="single" w:sz="8" w:space="0" w:color="000000"/>
              <w:left w:val="nil"/>
              <w:bottom w:val="single" w:sz="4" w:space="0" w:color="auto"/>
              <w:right w:val="nil"/>
            </w:tcBorders>
            <w:tcMar>
              <w:top w:w="0" w:type="dxa"/>
              <w:left w:w="108" w:type="dxa"/>
              <w:bottom w:w="0" w:type="dxa"/>
              <w:right w:w="108" w:type="dxa"/>
            </w:tcMar>
            <w:vAlign w:val="bottom"/>
            <w:hideMark/>
          </w:tcPr>
          <w:p w:rsidR="00165C59" w:rsidRPr="004172A0" w:rsidRDefault="00165C59" w:rsidP="00165C59">
            <w:pPr>
              <w:pStyle w:val="TableBodyText"/>
            </w:pPr>
          </w:p>
        </w:tc>
        <w:tc>
          <w:tcPr>
            <w:tcW w:w="6557" w:type="dxa"/>
            <w:gridSpan w:val="4"/>
            <w:tcBorders>
              <w:top w:val="single" w:sz="8" w:space="0" w:color="000000"/>
              <w:left w:val="nil"/>
              <w:bottom w:val="single" w:sz="4" w:space="0" w:color="auto"/>
              <w:right w:val="nil"/>
            </w:tcBorders>
            <w:tcMar>
              <w:top w:w="0" w:type="dxa"/>
              <w:left w:w="108" w:type="dxa"/>
              <w:bottom w:w="0" w:type="dxa"/>
              <w:right w:w="108" w:type="dxa"/>
            </w:tcMar>
            <w:hideMark/>
          </w:tcPr>
          <w:p w:rsidR="00165C59" w:rsidRPr="004172A0" w:rsidRDefault="00165C59" w:rsidP="00165C59">
            <w:pPr>
              <w:pStyle w:val="TableColumnHeading"/>
              <w:jc w:val="center"/>
            </w:pPr>
            <w:r w:rsidRPr="004172A0">
              <w:t>No. of items on the Research and Evaluation Register</w:t>
            </w:r>
          </w:p>
        </w:tc>
      </w:tr>
      <w:tr w:rsidR="00165C59" w:rsidRPr="004172A0" w:rsidTr="002B56D0">
        <w:trPr>
          <w:cantSplit/>
        </w:trPr>
        <w:tc>
          <w:tcPr>
            <w:tcW w:w="2448" w:type="dxa"/>
            <w:tcBorders>
              <w:top w:val="single" w:sz="4" w:space="0" w:color="auto"/>
              <w:left w:val="nil"/>
              <w:bottom w:val="single" w:sz="8" w:space="0" w:color="000000"/>
              <w:right w:val="nil"/>
            </w:tcBorders>
            <w:tcMar>
              <w:top w:w="0" w:type="dxa"/>
              <w:left w:w="108" w:type="dxa"/>
              <w:bottom w:w="0" w:type="dxa"/>
              <w:right w:w="108" w:type="dxa"/>
            </w:tcMar>
            <w:vAlign w:val="bottom"/>
          </w:tcPr>
          <w:p w:rsidR="00165C59" w:rsidRPr="00246A2C" w:rsidRDefault="00165C59" w:rsidP="00A3507E">
            <w:pPr>
              <w:pStyle w:val="TableBodyText"/>
              <w:jc w:val="left"/>
              <w:rPr>
                <w:i/>
              </w:rPr>
            </w:pPr>
            <w:r w:rsidRPr="00246A2C">
              <w:rPr>
                <w:i/>
              </w:rPr>
              <w:t>Building block</w:t>
            </w:r>
          </w:p>
        </w:tc>
        <w:tc>
          <w:tcPr>
            <w:tcW w:w="1639" w:type="dxa"/>
            <w:tcBorders>
              <w:top w:val="single" w:sz="4" w:space="0" w:color="auto"/>
              <w:left w:val="nil"/>
              <w:bottom w:val="single" w:sz="8" w:space="0" w:color="000000"/>
              <w:right w:val="nil"/>
            </w:tcBorders>
            <w:tcMar>
              <w:top w:w="0" w:type="dxa"/>
              <w:left w:w="108" w:type="dxa"/>
              <w:bottom w:w="0" w:type="dxa"/>
              <w:right w:w="108" w:type="dxa"/>
            </w:tcMar>
            <w:vAlign w:val="bottom"/>
            <w:hideMark/>
          </w:tcPr>
          <w:p w:rsidR="00165C59" w:rsidRPr="004172A0" w:rsidRDefault="00165C59" w:rsidP="00165C59">
            <w:pPr>
              <w:pStyle w:val="TableColumnHeading"/>
            </w:pPr>
            <w:r w:rsidRPr="004172A0">
              <w:t>30 Sept 2011</w:t>
            </w:r>
          </w:p>
        </w:tc>
        <w:tc>
          <w:tcPr>
            <w:tcW w:w="1639" w:type="dxa"/>
            <w:tcBorders>
              <w:top w:val="single" w:sz="4" w:space="0" w:color="auto"/>
              <w:left w:val="nil"/>
              <w:bottom w:val="single" w:sz="8" w:space="0" w:color="000000"/>
              <w:right w:val="nil"/>
            </w:tcBorders>
            <w:tcMar>
              <w:top w:w="0" w:type="dxa"/>
              <w:left w:w="108" w:type="dxa"/>
              <w:bottom w:w="0" w:type="dxa"/>
              <w:right w:w="108" w:type="dxa"/>
            </w:tcMar>
            <w:vAlign w:val="bottom"/>
            <w:hideMark/>
          </w:tcPr>
          <w:p w:rsidR="00165C59" w:rsidRPr="004172A0" w:rsidRDefault="00165C59" w:rsidP="00165C59">
            <w:pPr>
              <w:pStyle w:val="TableColumnHeading"/>
            </w:pPr>
            <w:r w:rsidRPr="004172A0">
              <w:t>31 Dec 2011</w:t>
            </w:r>
          </w:p>
        </w:tc>
        <w:tc>
          <w:tcPr>
            <w:tcW w:w="1639" w:type="dxa"/>
            <w:tcBorders>
              <w:top w:val="single" w:sz="4" w:space="0" w:color="auto"/>
              <w:left w:val="nil"/>
              <w:bottom w:val="single" w:sz="8" w:space="0" w:color="000000"/>
              <w:right w:val="nil"/>
            </w:tcBorders>
            <w:tcMar>
              <w:top w:w="0" w:type="dxa"/>
              <w:left w:w="108" w:type="dxa"/>
              <w:bottom w:w="0" w:type="dxa"/>
              <w:right w:w="108" w:type="dxa"/>
            </w:tcMar>
            <w:vAlign w:val="bottom"/>
            <w:hideMark/>
          </w:tcPr>
          <w:p w:rsidR="00165C59" w:rsidRPr="004172A0" w:rsidRDefault="00165C59" w:rsidP="00165C59">
            <w:pPr>
              <w:pStyle w:val="TableColumnHeading"/>
            </w:pPr>
            <w:r w:rsidRPr="004172A0">
              <w:t>31 Mar 2012</w:t>
            </w:r>
          </w:p>
        </w:tc>
        <w:tc>
          <w:tcPr>
            <w:tcW w:w="1640" w:type="dxa"/>
            <w:tcBorders>
              <w:top w:val="single" w:sz="4" w:space="0" w:color="auto"/>
              <w:left w:val="nil"/>
              <w:bottom w:val="single" w:sz="8" w:space="0" w:color="000000"/>
              <w:right w:val="nil"/>
            </w:tcBorders>
            <w:tcMar>
              <w:top w:w="0" w:type="dxa"/>
              <w:left w:w="108" w:type="dxa"/>
              <w:bottom w:w="0" w:type="dxa"/>
              <w:right w:w="108" w:type="dxa"/>
            </w:tcMar>
            <w:vAlign w:val="bottom"/>
            <w:hideMark/>
          </w:tcPr>
          <w:p w:rsidR="00165C59" w:rsidRPr="004172A0" w:rsidRDefault="00165C59" w:rsidP="00165C59">
            <w:pPr>
              <w:pStyle w:val="TableColumnHeading"/>
            </w:pPr>
            <w:r w:rsidRPr="004172A0">
              <w:t>30 June 2012</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Early childhood</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116</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121</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122</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126</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Schooling</w:t>
            </w:r>
          </w:p>
        </w:tc>
        <w:tc>
          <w:tcPr>
            <w:tcW w:w="1639" w:type="dxa"/>
            <w:tcMar>
              <w:top w:w="0" w:type="dxa"/>
              <w:left w:w="108" w:type="dxa"/>
              <w:bottom w:w="0" w:type="dxa"/>
              <w:right w:w="108" w:type="dxa"/>
            </w:tcMar>
          </w:tcPr>
          <w:p w:rsidR="00165C59" w:rsidRPr="004172A0" w:rsidRDefault="00165C59" w:rsidP="00165C59">
            <w:pPr>
              <w:pStyle w:val="TableUnitsRow"/>
            </w:pPr>
            <w:r w:rsidRPr="004172A0">
              <w:t>147</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147</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150</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160</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Health</w:t>
            </w:r>
          </w:p>
        </w:tc>
        <w:tc>
          <w:tcPr>
            <w:tcW w:w="1639" w:type="dxa"/>
            <w:tcMar>
              <w:top w:w="0" w:type="dxa"/>
              <w:left w:w="108" w:type="dxa"/>
              <w:bottom w:w="0" w:type="dxa"/>
              <w:right w:w="108" w:type="dxa"/>
            </w:tcMar>
          </w:tcPr>
          <w:p w:rsidR="00165C59" w:rsidRPr="004172A0" w:rsidRDefault="00165C59" w:rsidP="00165C59">
            <w:pPr>
              <w:pStyle w:val="TableUnitsRow"/>
            </w:pPr>
            <w:r w:rsidRPr="004172A0">
              <w:t>353</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357</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361</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371</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Economic participation</w:t>
            </w:r>
          </w:p>
        </w:tc>
        <w:tc>
          <w:tcPr>
            <w:tcW w:w="1639" w:type="dxa"/>
            <w:tcMar>
              <w:top w:w="0" w:type="dxa"/>
              <w:left w:w="108" w:type="dxa"/>
              <w:bottom w:w="0" w:type="dxa"/>
              <w:right w:w="108" w:type="dxa"/>
            </w:tcMar>
          </w:tcPr>
          <w:p w:rsidR="00165C59" w:rsidRPr="004172A0" w:rsidRDefault="00165C59" w:rsidP="00165C59">
            <w:pPr>
              <w:pStyle w:val="TableUnitsRow"/>
            </w:pPr>
            <w:r w:rsidRPr="004172A0">
              <w:t>136</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136</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140</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148</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Healthy homes</w:t>
            </w:r>
          </w:p>
        </w:tc>
        <w:tc>
          <w:tcPr>
            <w:tcW w:w="1639" w:type="dxa"/>
            <w:tcMar>
              <w:top w:w="0" w:type="dxa"/>
              <w:left w:w="108" w:type="dxa"/>
              <w:bottom w:w="0" w:type="dxa"/>
              <w:right w:w="108" w:type="dxa"/>
            </w:tcMar>
          </w:tcPr>
          <w:p w:rsidR="00165C59" w:rsidRPr="004172A0" w:rsidRDefault="00165C59" w:rsidP="00165C59">
            <w:pPr>
              <w:pStyle w:val="TableUnitsRow"/>
            </w:pPr>
            <w:r w:rsidRPr="004172A0">
              <w:t>116</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116</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118</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120</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Safe communities</w:t>
            </w:r>
          </w:p>
        </w:tc>
        <w:tc>
          <w:tcPr>
            <w:tcW w:w="1639" w:type="dxa"/>
            <w:tcMar>
              <w:top w:w="0" w:type="dxa"/>
              <w:left w:w="108" w:type="dxa"/>
              <w:bottom w:w="0" w:type="dxa"/>
              <w:right w:w="108" w:type="dxa"/>
            </w:tcMar>
          </w:tcPr>
          <w:p w:rsidR="00165C59" w:rsidRPr="004172A0" w:rsidRDefault="00165C59" w:rsidP="00165C59">
            <w:pPr>
              <w:pStyle w:val="TableUnitsRow"/>
            </w:pPr>
            <w:r w:rsidRPr="004172A0">
              <w:t>154</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155</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158</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171</w:t>
            </w:r>
          </w:p>
        </w:tc>
      </w:tr>
      <w:tr w:rsidR="00165C59" w:rsidRPr="004172A0" w:rsidTr="00165C59">
        <w:trPr>
          <w:cantSplit/>
        </w:trPr>
        <w:tc>
          <w:tcPr>
            <w:tcW w:w="2448" w:type="dxa"/>
            <w:tcMar>
              <w:top w:w="0" w:type="dxa"/>
              <w:left w:w="108" w:type="dxa"/>
              <w:bottom w:w="0" w:type="dxa"/>
              <w:right w:w="108" w:type="dxa"/>
            </w:tcMar>
            <w:hideMark/>
          </w:tcPr>
          <w:p w:rsidR="00165C59" w:rsidRPr="004172A0" w:rsidRDefault="00165C59" w:rsidP="00A3507E">
            <w:pPr>
              <w:pStyle w:val="TableBodyText"/>
              <w:jc w:val="left"/>
            </w:pPr>
            <w:r w:rsidRPr="004172A0">
              <w:t>Governance and leadership</w:t>
            </w:r>
          </w:p>
        </w:tc>
        <w:tc>
          <w:tcPr>
            <w:tcW w:w="1639" w:type="dxa"/>
            <w:tcMar>
              <w:top w:w="0" w:type="dxa"/>
              <w:left w:w="108" w:type="dxa"/>
              <w:bottom w:w="0" w:type="dxa"/>
              <w:right w:w="108" w:type="dxa"/>
            </w:tcMar>
          </w:tcPr>
          <w:p w:rsidR="00165C59" w:rsidRPr="004172A0" w:rsidRDefault="00165C59" w:rsidP="00165C59">
            <w:pPr>
              <w:pStyle w:val="TableUnitsRow"/>
            </w:pPr>
            <w:r w:rsidRPr="004172A0">
              <w:t>77</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77</w:t>
            </w:r>
          </w:p>
        </w:tc>
        <w:tc>
          <w:tcPr>
            <w:tcW w:w="1639" w:type="dxa"/>
            <w:tcMar>
              <w:top w:w="0" w:type="dxa"/>
              <w:left w:w="108" w:type="dxa"/>
              <w:bottom w:w="0" w:type="dxa"/>
              <w:right w:w="108" w:type="dxa"/>
            </w:tcMar>
            <w:hideMark/>
          </w:tcPr>
          <w:p w:rsidR="00165C59" w:rsidRPr="004172A0" w:rsidRDefault="00165C59" w:rsidP="00165C59">
            <w:pPr>
              <w:pStyle w:val="TableUnitsRow"/>
            </w:pPr>
            <w:r w:rsidRPr="004172A0">
              <w:t>80</w:t>
            </w:r>
          </w:p>
        </w:tc>
        <w:tc>
          <w:tcPr>
            <w:tcW w:w="1640" w:type="dxa"/>
            <w:tcMar>
              <w:top w:w="0" w:type="dxa"/>
              <w:left w:w="108" w:type="dxa"/>
              <w:bottom w:w="0" w:type="dxa"/>
              <w:right w:w="108" w:type="dxa"/>
            </w:tcMar>
            <w:hideMark/>
          </w:tcPr>
          <w:p w:rsidR="00165C59" w:rsidRPr="004172A0" w:rsidRDefault="00165C59" w:rsidP="00165C59">
            <w:pPr>
              <w:pStyle w:val="TableUnitsRow"/>
            </w:pPr>
            <w:r w:rsidRPr="004172A0">
              <w:t>80</w:t>
            </w:r>
          </w:p>
        </w:tc>
      </w:tr>
      <w:tr w:rsidR="00165C59" w:rsidRPr="004172A0" w:rsidTr="00165C59">
        <w:trPr>
          <w:cantSplit/>
        </w:trPr>
        <w:tc>
          <w:tcPr>
            <w:tcW w:w="2448" w:type="dxa"/>
            <w:tcMar>
              <w:top w:w="0" w:type="dxa"/>
              <w:left w:w="108" w:type="dxa"/>
              <w:bottom w:w="0" w:type="dxa"/>
              <w:right w:w="108" w:type="dxa"/>
            </w:tcMar>
          </w:tcPr>
          <w:p w:rsidR="00165C59" w:rsidRPr="004172A0" w:rsidRDefault="00165C59" w:rsidP="00A3507E">
            <w:pPr>
              <w:pStyle w:val="TableBodyText"/>
              <w:jc w:val="left"/>
            </w:pPr>
            <w:r w:rsidRPr="004172A0">
              <w:t>Cross cutting</w:t>
            </w:r>
          </w:p>
        </w:tc>
        <w:tc>
          <w:tcPr>
            <w:tcW w:w="1639" w:type="dxa"/>
            <w:tcMar>
              <w:top w:w="0" w:type="dxa"/>
              <w:left w:w="108" w:type="dxa"/>
              <w:bottom w:w="0" w:type="dxa"/>
              <w:right w:w="108" w:type="dxa"/>
            </w:tcMar>
          </w:tcPr>
          <w:p w:rsidR="00165C59" w:rsidRPr="004172A0" w:rsidRDefault="00165C59" w:rsidP="00165C59">
            <w:pPr>
              <w:pStyle w:val="TableUnitsRow"/>
            </w:pPr>
            <w:r w:rsidRPr="004172A0">
              <w:t>12</w:t>
            </w:r>
          </w:p>
        </w:tc>
        <w:tc>
          <w:tcPr>
            <w:tcW w:w="1639" w:type="dxa"/>
            <w:tcMar>
              <w:top w:w="0" w:type="dxa"/>
              <w:left w:w="108" w:type="dxa"/>
              <w:bottom w:w="0" w:type="dxa"/>
              <w:right w:w="108" w:type="dxa"/>
            </w:tcMar>
          </w:tcPr>
          <w:p w:rsidR="00165C59" w:rsidRPr="004172A0" w:rsidRDefault="00165C59" w:rsidP="00165C59">
            <w:pPr>
              <w:pStyle w:val="TableUnitsRow"/>
            </w:pPr>
            <w:r w:rsidRPr="004172A0">
              <w:t>12</w:t>
            </w:r>
          </w:p>
        </w:tc>
        <w:tc>
          <w:tcPr>
            <w:tcW w:w="1639" w:type="dxa"/>
            <w:tcMar>
              <w:top w:w="0" w:type="dxa"/>
              <w:left w:w="108" w:type="dxa"/>
              <w:bottom w:w="0" w:type="dxa"/>
              <w:right w:w="108" w:type="dxa"/>
            </w:tcMar>
          </w:tcPr>
          <w:p w:rsidR="00165C59" w:rsidRPr="004172A0" w:rsidRDefault="00165C59" w:rsidP="00165C59">
            <w:pPr>
              <w:pStyle w:val="TableUnitsRow"/>
            </w:pPr>
            <w:r w:rsidRPr="004172A0">
              <w:t>13</w:t>
            </w:r>
          </w:p>
        </w:tc>
        <w:tc>
          <w:tcPr>
            <w:tcW w:w="1640" w:type="dxa"/>
            <w:tcMar>
              <w:top w:w="0" w:type="dxa"/>
              <w:left w:w="108" w:type="dxa"/>
              <w:bottom w:w="0" w:type="dxa"/>
              <w:right w:w="108" w:type="dxa"/>
            </w:tcMar>
          </w:tcPr>
          <w:p w:rsidR="00165C59" w:rsidRPr="004172A0" w:rsidRDefault="00165C59" w:rsidP="00165C59">
            <w:pPr>
              <w:pStyle w:val="TableUnitsRow"/>
            </w:pPr>
            <w:r w:rsidRPr="004172A0">
              <w:t>13</w:t>
            </w:r>
          </w:p>
        </w:tc>
      </w:tr>
      <w:tr w:rsidR="00165C59" w:rsidRPr="004172A0" w:rsidTr="00165C59">
        <w:trPr>
          <w:cantSplit/>
        </w:trPr>
        <w:tc>
          <w:tcPr>
            <w:tcW w:w="2448" w:type="dxa"/>
            <w:tcBorders>
              <w:top w:val="nil"/>
              <w:left w:val="nil"/>
              <w:bottom w:val="single" w:sz="8" w:space="0" w:color="000000"/>
              <w:right w:val="nil"/>
            </w:tcBorders>
            <w:tcMar>
              <w:top w:w="0" w:type="dxa"/>
              <w:left w:w="108" w:type="dxa"/>
              <w:bottom w:w="0" w:type="dxa"/>
              <w:right w:w="108" w:type="dxa"/>
            </w:tcMar>
            <w:hideMark/>
          </w:tcPr>
          <w:p w:rsidR="00165C59" w:rsidRPr="004172A0" w:rsidRDefault="00165C59" w:rsidP="00A3507E">
            <w:pPr>
              <w:pStyle w:val="TableBodyText"/>
              <w:jc w:val="left"/>
              <w:rPr>
                <w:b/>
                <w:bCs/>
              </w:rPr>
            </w:pPr>
            <w:r w:rsidRPr="004172A0">
              <w:rPr>
                <w:b/>
                <w:bCs/>
              </w:rPr>
              <w:t>Total</w:t>
            </w:r>
          </w:p>
        </w:tc>
        <w:tc>
          <w:tcPr>
            <w:tcW w:w="1639" w:type="dxa"/>
            <w:tcBorders>
              <w:top w:val="nil"/>
              <w:left w:val="nil"/>
              <w:bottom w:val="single" w:sz="8" w:space="0" w:color="000000"/>
              <w:right w:val="nil"/>
            </w:tcBorders>
            <w:tcMar>
              <w:top w:w="0" w:type="dxa"/>
              <w:left w:w="108" w:type="dxa"/>
              <w:bottom w:w="0" w:type="dxa"/>
              <w:right w:w="108" w:type="dxa"/>
            </w:tcMar>
            <w:hideMark/>
          </w:tcPr>
          <w:p w:rsidR="00165C59" w:rsidRPr="004172A0" w:rsidRDefault="00165C59" w:rsidP="00165C59">
            <w:pPr>
              <w:pStyle w:val="TableUnitsRow"/>
              <w:rPr>
                <w:b/>
                <w:bCs/>
              </w:rPr>
            </w:pPr>
            <w:r w:rsidRPr="004172A0">
              <w:rPr>
                <w:b/>
                <w:bCs/>
              </w:rPr>
              <w:t>650</w:t>
            </w:r>
          </w:p>
        </w:tc>
        <w:tc>
          <w:tcPr>
            <w:tcW w:w="1639" w:type="dxa"/>
            <w:tcBorders>
              <w:top w:val="nil"/>
              <w:left w:val="nil"/>
              <w:bottom w:val="single" w:sz="8" w:space="0" w:color="000000"/>
              <w:right w:val="nil"/>
            </w:tcBorders>
            <w:tcMar>
              <w:top w:w="0" w:type="dxa"/>
              <w:left w:w="108" w:type="dxa"/>
              <w:bottom w:w="0" w:type="dxa"/>
              <w:right w:w="108" w:type="dxa"/>
            </w:tcMar>
            <w:hideMark/>
          </w:tcPr>
          <w:p w:rsidR="00165C59" w:rsidRPr="004172A0" w:rsidRDefault="00165C59" w:rsidP="00165C59">
            <w:pPr>
              <w:pStyle w:val="TableUnitsRow"/>
              <w:rPr>
                <w:b/>
                <w:bCs/>
              </w:rPr>
            </w:pPr>
            <w:r w:rsidRPr="004172A0">
              <w:rPr>
                <w:b/>
                <w:bCs/>
              </w:rPr>
              <w:t>655</w:t>
            </w:r>
          </w:p>
        </w:tc>
        <w:tc>
          <w:tcPr>
            <w:tcW w:w="1639" w:type="dxa"/>
            <w:tcBorders>
              <w:top w:val="nil"/>
              <w:left w:val="nil"/>
              <w:bottom w:val="single" w:sz="8" w:space="0" w:color="000000"/>
              <w:right w:val="nil"/>
            </w:tcBorders>
            <w:tcMar>
              <w:top w:w="0" w:type="dxa"/>
              <w:left w:w="108" w:type="dxa"/>
              <w:bottom w:w="0" w:type="dxa"/>
              <w:right w:w="108" w:type="dxa"/>
            </w:tcMar>
            <w:hideMark/>
          </w:tcPr>
          <w:p w:rsidR="00165C59" w:rsidRPr="004172A0" w:rsidRDefault="00165C59" w:rsidP="00165C59">
            <w:pPr>
              <w:pStyle w:val="TableUnitsRow"/>
              <w:rPr>
                <w:b/>
                <w:bCs/>
              </w:rPr>
            </w:pPr>
            <w:r w:rsidRPr="004172A0">
              <w:rPr>
                <w:b/>
                <w:bCs/>
              </w:rPr>
              <w:t>662</w:t>
            </w:r>
          </w:p>
        </w:tc>
        <w:tc>
          <w:tcPr>
            <w:tcW w:w="1640" w:type="dxa"/>
            <w:tcBorders>
              <w:top w:val="nil"/>
              <w:left w:val="nil"/>
              <w:bottom w:val="single" w:sz="8" w:space="0" w:color="000000"/>
              <w:right w:val="nil"/>
            </w:tcBorders>
            <w:tcMar>
              <w:top w:w="0" w:type="dxa"/>
              <w:left w:w="108" w:type="dxa"/>
              <w:bottom w:w="0" w:type="dxa"/>
              <w:right w:w="108" w:type="dxa"/>
            </w:tcMar>
            <w:hideMark/>
          </w:tcPr>
          <w:p w:rsidR="00165C59" w:rsidRPr="004172A0" w:rsidRDefault="00165C59" w:rsidP="00165C59">
            <w:pPr>
              <w:pStyle w:val="TableUnitsRow"/>
              <w:rPr>
                <w:b/>
                <w:bCs/>
              </w:rPr>
            </w:pPr>
            <w:r w:rsidRPr="004172A0">
              <w:rPr>
                <w:b/>
                <w:bCs/>
              </w:rPr>
              <w:t>701</w:t>
            </w:r>
          </w:p>
        </w:tc>
      </w:tr>
    </w:tbl>
    <w:p w:rsidR="00AC614F" w:rsidRDefault="00AC614F" w:rsidP="00306440">
      <w:pPr>
        <w:pStyle w:val="Note"/>
      </w:pPr>
      <w:r w:rsidRPr="004172A0">
        <w:rPr>
          <w:iCs/>
        </w:rPr>
        <w:t>Note:</w:t>
      </w:r>
      <w:r w:rsidRPr="004172A0">
        <w:t xml:space="preserve"> Table does not add to total as items can be counted against more than one building block. </w:t>
      </w:r>
    </w:p>
    <w:p w:rsidR="00306440" w:rsidRPr="00306440" w:rsidRDefault="00306440" w:rsidP="00306440">
      <w:pPr>
        <w:pStyle w:val="BoxSpaceBelow"/>
        <w:rPr>
          <w:rFonts w:eastAsiaTheme="minorHAnsi"/>
        </w:rPr>
      </w:pPr>
    </w:p>
    <w:p w:rsidR="00AC614F" w:rsidRPr="004172A0" w:rsidRDefault="00AC614F" w:rsidP="00165C59">
      <w:pPr>
        <w:pStyle w:val="BodyText"/>
      </w:pPr>
      <w:r w:rsidRPr="004172A0">
        <w:t>Of the 701 items in the Research and Evaluation Register on 30 June 2012, 271 (39</w:t>
      </w:r>
      <w:r w:rsidR="00041DCC">
        <w:t xml:space="preserve"> per cent</w:t>
      </w:r>
      <w:r w:rsidRPr="004172A0">
        <w:t>) were publically released. Th</w:t>
      </w:r>
      <w:r w:rsidR="00057C0D">
        <w:t>o</w:t>
      </w:r>
      <w:r w:rsidRPr="004172A0">
        <w:t xml:space="preserve">se items were analysed by building block and also by topic or theme within each building block. Items were publically available across each of the seven building blocks, with health (80) and safe communities (65) having the most items publically available (Table </w:t>
      </w:r>
      <w:r w:rsidR="00631385">
        <w:t>9.</w:t>
      </w:r>
      <w:r w:rsidRPr="004172A0">
        <w:t>4).</w:t>
      </w:r>
    </w:p>
    <w:p w:rsidR="00AC614F" w:rsidRPr="004172A0" w:rsidRDefault="00AC614F" w:rsidP="00165C59">
      <w:pPr>
        <w:pStyle w:val="TableTitle"/>
      </w:pPr>
      <w:bookmarkStart w:id="10" w:name="here"/>
      <w:bookmarkEnd w:id="10"/>
      <w:r w:rsidRPr="004172A0">
        <w:lastRenderedPageBreak/>
        <w:t xml:space="preserve">Table </w:t>
      </w:r>
      <w:r w:rsidR="00631385">
        <w:t>9.</w:t>
      </w:r>
      <w:r w:rsidRPr="004172A0">
        <w:t>4</w:t>
      </w:r>
      <w:r w:rsidR="00165C59" w:rsidRPr="004172A0">
        <w:tab/>
      </w:r>
      <w:r w:rsidRPr="004172A0">
        <w:t>Research and Evaluation Register publically released items by building block, 30 June 2012</w:t>
      </w:r>
    </w:p>
    <w:tbl>
      <w:tblPr>
        <w:tblW w:w="5000" w:type="pct"/>
        <w:tblBorders>
          <w:top w:val="single" w:sz="4" w:space="0" w:color="000000"/>
          <w:bottom w:val="single" w:sz="4" w:space="0" w:color="000000"/>
        </w:tblBorders>
        <w:tblLayout w:type="fixed"/>
        <w:tblCellMar>
          <w:left w:w="85" w:type="dxa"/>
          <w:right w:w="85" w:type="dxa"/>
        </w:tblCellMar>
        <w:tblLook w:val="04A0" w:firstRow="1" w:lastRow="0" w:firstColumn="1" w:lastColumn="0" w:noHBand="0" w:noVBand="1"/>
      </w:tblPr>
      <w:tblGrid>
        <w:gridCol w:w="3055"/>
        <w:gridCol w:w="1968"/>
        <w:gridCol w:w="2082"/>
        <w:gridCol w:w="1854"/>
      </w:tblGrid>
      <w:tr w:rsidR="00AC614F" w:rsidRPr="004172A0" w:rsidTr="00165C59">
        <w:trPr>
          <w:cantSplit/>
        </w:trPr>
        <w:tc>
          <w:tcPr>
            <w:tcW w:w="3055" w:type="dxa"/>
            <w:tcBorders>
              <w:top w:val="single" w:sz="4" w:space="0" w:color="000000"/>
              <w:left w:val="nil"/>
              <w:bottom w:val="single" w:sz="4" w:space="0" w:color="000000"/>
              <w:right w:val="nil"/>
              <w:tl2br w:val="nil"/>
              <w:tr2bl w:val="nil"/>
            </w:tcBorders>
            <w:shd w:val="clear" w:color="auto" w:fill="auto"/>
            <w:vAlign w:val="bottom"/>
          </w:tcPr>
          <w:p w:rsidR="00AC614F" w:rsidRPr="00246A2C" w:rsidRDefault="00AC614F" w:rsidP="00BC4A71">
            <w:pPr>
              <w:pStyle w:val="TableBodyText"/>
              <w:jc w:val="left"/>
              <w:rPr>
                <w:i/>
              </w:rPr>
            </w:pPr>
            <w:r w:rsidRPr="00246A2C">
              <w:rPr>
                <w:i/>
              </w:rPr>
              <w:t>Building block</w:t>
            </w:r>
          </w:p>
        </w:tc>
        <w:tc>
          <w:tcPr>
            <w:tcW w:w="1968" w:type="dxa"/>
            <w:tcBorders>
              <w:top w:val="single" w:sz="4" w:space="0" w:color="000000"/>
              <w:left w:val="nil"/>
              <w:bottom w:val="single" w:sz="4" w:space="0" w:color="000000"/>
              <w:right w:val="nil"/>
              <w:tl2br w:val="nil"/>
              <w:tr2bl w:val="nil"/>
            </w:tcBorders>
            <w:shd w:val="clear" w:color="auto" w:fill="auto"/>
            <w:vAlign w:val="bottom"/>
          </w:tcPr>
          <w:p w:rsidR="00AC614F" w:rsidRPr="004172A0" w:rsidRDefault="00AC614F" w:rsidP="00165C59">
            <w:pPr>
              <w:pStyle w:val="TableColumnHeading"/>
            </w:pPr>
            <w:r w:rsidRPr="004172A0">
              <w:t>Number released</w:t>
            </w:r>
          </w:p>
        </w:tc>
        <w:tc>
          <w:tcPr>
            <w:tcW w:w="2082" w:type="dxa"/>
            <w:tcBorders>
              <w:top w:val="single" w:sz="4" w:space="0" w:color="000000"/>
              <w:left w:val="nil"/>
              <w:bottom w:val="single" w:sz="4" w:space="0" w:color="000000"/>
              <w:right w:val="nil"/>
              <w:tl2br w:val="nil"/>
              <w:tr2bl w:val="nil"/>
            </w:tcBorders>
          </w:tcPr>
          <w:p w:rsidR="00AC614F" w:rsidRPr="004172A0" w:rsidRDefault="00AC614F" w:rsidP="00165C59">
            <w:pPr>
              <w:pStyle w:val="TableColumnHeading"/>
            </w:pPr>
            <w:r w:rsidRPr="004172A0">
              <w:t>Total on the register</w:t>
            </w:r>
            <w:r w:rsidR="00165C59" w:rsidRPr="004172A0">
              <w:t xml:space="preserve"> </w:t>
            </w:r>
            <w:r w:rsidRPr="004172A0">
              <w:t xml:space="preserve">(by primary building block) </w:t>
            </w:r>
          </w:p>
        </w:tc>
        <w:tc>
          <w:tcPr>
            <w:tcW w:w="1854" w:type="dxa"/>
            <w:tcBorders>
              <w:top w:val="single" w:sz="4" w:space="0" w:color="000000"/>
              <w:left w:val="nil"/>
              <w:bottom w:val="single" w:sz="4" w:space="0" w:color="000000"/>
              <w:right w:val="nil"/>
              <w:tl2br w:val="nil"/>
              <w:tr2bl w:val="nil"/>
            </w:tcBorders>
            <w:shd w:val="clear" w:color="auto" w:fill="auto"/>
            <w:vAlign w:val="bottom"/>
          </w:tcPr>
          <w:p w:rsidR="00AC614F" w:rsidRPr="004172A0" w:rsidRDefault="00AC614F" w:rsidP="00165C59">
            <w:pPr>
              <w:pStyle w:val="TableColumnHeading"/>
            </w:pPr>
            <w:r w:rsidRPr="004172A0">
              <w:t>Per cent</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Early childhood</w:t>
            </w:r>
          </w:p>
        </w:tc>
        <w:tc>
          <w:tcPr>
            <w:tcW w:w="1968" w:type="dxa"/>
            <w:shd w:val="clear" w:color="auto" w:fill="auto"/>
            <w:vAlign w:val="bottom"/>
          </w:tcPr>
          <w:p w:rsidR="00AC614F" w:rsidRPr="004172A0" w:rsidRDefault="00AC614F" w:rsidP="00165C59">
            <w:pPr>
              <w:pStyle w:val="TableUnitsRow"/>
            </w:pPr>
            <w:r w:rsidRPr="004172A0">
              <w:t>23</w:t>
            </w:r>
          </w:p>
        </w:tc>
        <w:tc>
          <w:tcPr>
            <w:tcW w:w="2082" w:type="dxa"/>
            <w:vAlign w:val="bottom"/>
          </w:tcPr>
          <w:p w:rsidR="00AC614F" w:rsidRPr="004172A0" w:rsidRDefault="00AC614F" w:rsidP="00165C59">
            <w:pPr>
              <w:pStyle w:val="TableUnitsRow"/>
            </w:pPr>
            <w:r w:rsidRPr="004172A0">
              <w:t>53</w:t>
            </w:r>
          </w:p>
        </w:tc>
        <w:tc>
          <w:tcPr>
            <w:tcW w:w="1854" w:type="dxa"/>
            <w:shd w:val="clear" w:color="auto" w:fill="auto"/>
            <w:vAlign w:val="bottom"/>
          </w:tcPr>
          <w:p w:rsidR="00AC614F" w:rsidRPr="004172A0" w:rsidRDefault="00AC614F" w:rsidP="00165C59">
            <w:pPr>
              <w:pStyle w:val="TableUnitsRow"/>
            </w:pPr>
            <w:r w:rsidRPr="004172A0">
              <w:t>43.4</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Schooling</w:t>
            </w:r>
          </w:p>
        </w:tc>
        <w:tc>
          <w:tcPr>
            <w:tcW w:w="1968" w:type="dxa"/>
            <w:shd w:val="clear" w:color="auto" w:fill="auto"/>
            <w:vAlign w:val="bottom"/>
          </w:tcPr>
          <w:p w:rsidR="00AC614F" w:rsidRPr="004172A0" w:rsidRDefault="00AC614F" w:rsidP="00165C59">
            <w:pPr>
              <w:pStyle w:val="TableUnitsRow"/>
            </w:pPr>
            <w:r w:rsidRPr="004172A0">
              <w:t>26</w:t>
            </w:r>
          </w:p>
        </w:tc>
        <w:tc>
          <w:tcPr>
            <w:tcW w:w="2082" w:type="dxa"/>
            <w:vAlign w:val="bottom"/>
          </w:tcPr>
          <w:p w:rsidR="00AC614F" w:rsidRPr="004172A0" w:rsidRDefault="00AC614F" w:rsidP="00165C59">
            <w:pPr>
              <w:pStyle w:val="TableUnitsRow"/>
            </w:pPr>
            <w:r w:rsidRPr="004172A0">
              <w:t>101</w:t>
            </w:r>
          </w:p>
        </w:tc>
        <w:tc>
          <w:tcPr>
            <w:tcW w:w="1854" w:type="dxa"/>
            <w:shd w:val="clear" w:color="auto" w:fill="auto"/>
            <w:vAlign w:val="bottom"/>
          </w:tcPr>
          <w:p w:rsidR="00AC614F" w:rsidRPr="004172A0" w:rsidRDefault="00AC614F" w:rsidP="00165C59">
            <w:pPr>
              <w:pStyle w:val="TableUnitsRow"/>
            </w:pPr>
            <w:r w:rsidRPr="004172A0">
              <w:t>25.7</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Health</w:t>
            </w:r>
          </w:p>
        </w:tc>
        <w:tc>
          <w:tcPr>
            <w:tcW w:w="1968" w:type="dxa"/>
            <w:shd w:val="clear" w:color="auto" w:fill="auto"/>
            <w:vAlign w:val="bottom"/>
          </w:tcPr>
          <w:p w:rsidR="00AC614F" w:rsidRPr="004172A0" w:rsidRDefault="00AC614F" w:rsidP="00165C59">
            <w:pPr>
              <w:pStyle w:val="TableUnitsRow"/>
            </w:pPr>
            <w:r w:rsidRPr="004172A0">
              <w:t>80</w:t>
            </w:r>
          </w:p>
        </w:tc>
        <w:tc>
          <w:tcPr>
            <w:tcW w:w="2082" w:type="dxa"/>
            <w:vAlign w:val="bottom"/>
          </w:tcPr>
          <w:p w:rsidR="00AC614F" w:rsidRPr="004172A0" w:rsidRDefault="00AC614F" w:rsidP="00165C59">
            <w:pPr>
              <w:pStyle w:val="TableUnitsRow"/>
            </w:pPr>
            <w:r w:rsidRPr="004172A0">
              <w:t>280</w:t>
            </w:r>
          </w:p>
        </w:tc>
        <w:tc>
          <w:tcPr>
            <w:tcW w:w="1854" w:type="dxa"/>
            <w:shd w:val="clear" w:color="auto" w:fill="auto"/>
            <w:vAlign w:val="bottom"/>
          </w:tcPr>
          <w:p w:rsidR="00AC614F" w:rsidRPr="004172A0" w:rsidRDefault="00AC614F" w:rsidP="00165C59">
            <w:pPr>
              <w:pStyle w:val="TableUnitsRow"/>
            </w:pPr>
            <w:r w:rsidRPr="004172A0">
              <w:t>28.6</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Economic participation</w:t>
            </w:r>
          </w:p>
        </w:tc>
        <w:tc>
          <w:tcPr>
            <w:tcW w:w="1968" w:type="dxa"/>
            <w:shd w:val="clear" w:color="auto" w:fill="auto"/>
            <w:vAlign w:val="bottom"/>
          </w:tcPr>
          <w:p w:rsidR="00AC614F" w:rsidRPr="004172A0" w:rsidRDefault="00AC614F" w:rsidP="00165C59">
            <w:pPr>
              <w:pStyle w:val="TableUnitsRow"/>
            </w:pPr>
            <w:r w:rsidRPr="004172A0">
              <w:t>29</w:t>
            </w:r>
          </w:p>
        </w:tc>
        <w:tc>
          <w:tcPr>
            <w:tcW w:w="2082" w:type="dxa"/>
            <w:vAlign w:val="bottom"/>
          </w:tcPr>
          <w:p w:rsidR="00AC614F" w:rsidRPr="004172A0" w:rsidRDefault="00AC614F" w:rsidP="00165C59">
            <w:pPr>
              <w:pStyle w:val="TableUnitsRow"/>
            </w:pPr>
            <w:r w:rsidRPr="004172A0">
              <w:t>77</w:t>
            </w:r>
          </w:p>
        </w:tc>
        <w:tc>
          <w:tcPr>
            <w:tcW w:w="1854" w:type="dxa"/>
            <w:shd w:val="clear" w:color="auto" w:fill="auto"/>
            <w:vAlign w:val="bottom"/>
          </w:tcPr>
          <w:p w:rsidR="00AC614F" w:rsidRPr="004172A0" w:rsidRDefault="00AC614F" w:rsidP="00165C59">
            <w:pPr>
              <w:pStyle w:val="TableUnitsRow"/>
            </w:pPr>
            <w:r w:rsidRPr="004172A0">
              <w:t>37.7</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Healthy homes</w:t>
            </w:r>
          </w:p>
        </w:tc>
        <w:tc>
          <w:tcPr>
            <w:tcW w:w="1968" w:type="dxa"/>
            <w:shd w:val="clear" w:color="auto" w:fill="auto"/>
            <w:vAlign w:val="bottom"/>
          </w:tcPr>
          <w:p w:rsidR="00AC614F" w:rsidRPr="004172A0" w:rsidRDefault="00AC614F" w:rsidP="00165C59">
            <w:pPr>
              <w:pStyle w:val="TableUnitsRow"/>
            </w:pPr>
            <w:r w:rsidRPr="004172A0">
              <w:t>19</w:t>
            </w:r>
          </w:p>
        </w:tc>
        <w:tc>
          <w:tcPr>
            <w:tcW w:w="2082" w:type="dxa"/>
            <w:vAlign w:val="bottom"/>
          </w:tcPr>
          <w:p w:rsidR="00AC614F" w:rsidRPr="004172A0" w:rsidRDefault="00AC614F" w:rsidP="00165C59">
            <w:pPr>
              <w:pStyle w:val="TableUnitsRow"/>
            </w:pPr>
            <w:r w:rsidRPr="004172A0">
              <w:t>35</w:t>
            </w:r>
          </w:p>
        </w:tc>
        <w:tc>
          <w:tcPr>
            <w:tcW w:w="1854" w:type="dxa"/>
            <w:shd w:val="clear" w:color="auto" w:fill="auto"/>
            <w:vAlign w:val="bottom"/>
          </w:tcPr>
          <w:p w:rsidR="00AC614F" w:rsidRPr="004172A0" w:rsidRDefault="00AC614F" w:rsidP="00165C59">
            <w:pPr>
              <w:pStyle w:val="TableUnitsRow"/>
            </w:pPr>
            <w:r w:rsidRPr="004172A0">
              <w:t>54.3</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Safe communities</w:t>
            </w:r>
          </w:p>
        </w:tc>
        <w:tc>
          <w:tcPr>
            <w:tcW w:w="1968" w:type="dxa"/>
            <w:shd w:val="clear" w:color="auto" w:fill="auto"/>
            <w:vAlign w:val="bottom"/>
          </w:tcPr>
          <w:p w:rsidR="00AC614F" w:rsidRPr="004172A0" w:rsidRDefault="00AC614F" w:rsidP="00165C59">
            <w:pPr>
              <w:pStyle w:val="TableUnitsRow"/>
            </w:pPr>
            <w:r w:rsidRPr="004172A0">
              <w:t>65</w:t>
            </w:r>
          </w:p>
        </w:tc>
        <w:tc>
          <w:tcPr>
            <w:tcW w:w="2082" w:type="dxa"/>
            <w:vAlign w:val="bottom"/>
          </w:tcPr>
          <w:p w:rsidR="00AC614F" w:rsidRPr="004172A0" w:rsidRDefault="00AC614F" w:rsidP="00165C59">
            <w:pPr>
              <w:pStyle w:val="TableUnitsRow"/>
            </w:pPr>
            <w:r w:rsidRPr="004172A0">
              <w:t>114</w:t>
            </w:r>
          </w:p>
        </w:tc>
        <w:tc>
          <w:tcPr>
            <w:tcW w:w="1854" w:type="dxa"/>
            <w:shd w:val="clear" w:color="auto" w:fill="auto"/>
            <w:vAlign w:val="bottom"/>
          </w:tcPr>
          <w:p w:rsidR="00AC614F" w:rsidRPr="004172A0" w:rsidRDefault="00AC614F" w:rsidP="00165C59">
            <w:pPr>
              <w:pStyle w:val="TableUnitsRow"/>
            </w:pPr>
            <w:r w:rsidRPr="004172A0">
              <w:t>57.0</w:t>
            </w:r>
          </w:p>
        </w:tc>
      </w:tr>
      <w:tr w:rsidR="00AC614F" w:rsidRPr="004172A0" w:rsidTr="00165C59">
        <w:trPr>
          <w:cantSplit/>
        </w:trPr>
        <w:tc>
          <w:tcPr>
            <w:tcW w:w="3055" w:type="dxa"/>
            <w:shd w:val="clear" w:color="auto" w:fill="auto"/>
            <w:vAlign w:val="bottom"/>
          </w:tcPr>
          <w:p w:rsidR="00AC614F" w:rsidRPr="004172A0" w:rsidRDefault="00AC614F" w:rsidP="00BC4A71">
            <w:pPr>
              <w:pStyle w:val="TableBodyText"/>
              <w:jc w:val="left"/>
            </w:pPr>
            <w:r w:rsidRPr="004172A0">
              <w:t>Governance and leadership</w:t>
            </w:r>
          </w:p>
        </w:tc>
        <w:tc>
          <w:tcPr>
            <w:tcW w:w="1968" w:type="dxa"/>
            <w:shd w:val="clear" w:color="auto" w:fill="auto"/>
            <w:vAlign w:val="bottom"/>
          </w:tcPr>
          <w:p w:rsidR="00AC614F" w:rsidRPr="004172A0" w:rsidRDefault="00AC614F" w:rsidP="00165C59">
            <w:pPr>
              <w:pStyle w:val="TableUnitsRow"/>
            </w:pPr>
            <w:r w:rsidRPr="004172A0">
              <w:t>18</w:t>
            </w:r>
          </w:p>
        </w:tc>
        <w:tc>
          <w:tcPr>
            <w:tcW w:w="2082" w:type="dxa"/>
            <w:vAlign w:val="bottom"/>
          </w:tcPr>
          <w:p w:rsidR="00AC614F" w:rsidRPr="004172A0" w:rsidRDefault="00AC614F" w:rsidP="00165C59">
            <w:pPr>
              <w:pStyle w:val="TableUnitsRow"/>
            </w:pPr>
            <w:r w:rsidRPr="004172A0">
              <w:t>28</w:t>
            </w:r>
          </w:p>
        </w:tc>
        <w:tc>
          <w:tcPr>
            <w:tcW w:w="1854" w:type="dxa"/>
            <w:shd w:val="clear" w:color="auto" w:fill="auto"/>
            <w:vAlign w:val="bottom"/>
          </w:tcPr>
          <w:p w:rsidR="00AC614F" w:rsidRPr="004172A0" w:rsidRDefault="00AC614F" w:rsidP="00165C59">
            <w:pPr>
              <w:pStyle w:val="TableUnitsRow"/>
            </w:pPr>
            <w:r w:rsidRPr="004172A0">
              <w:t>64.3</w:t>
            </w:r>
          </w:p>
        </w:tc>
      </w:tr>
      <w:tr w:rsidR="00AC614F" w:rsidRPr="004172A0" w:rsidTr="008D5D63">
        <w:trPr>
          <w:cantSplit/>
        </w:trPr>
        <w:tc>
          <w:tcPr>
            <w:tcW w:w="3055" w:type="dxa"/>
            <w:tcBorders>
              <w:bottom w:val="single" w:sz="4" w:space="0" w:color="auto"/>
            </w:tcBorders>
            <w:shd w:val="clear" w:color="auto" w:fill="auto"/>
            <w:vAlign w:val="bottom"/>
          </w:tcPr>
          <w:p w:rsidR="00AC614F" w:rsidRPr="004172A0" w:rsidRDefault="00AC614F" w:rsidP="00BC4A71">
            <w:pPr>
              <w:pStyle w:val="TableBodyText"/>
              <w:jc w:val="left"/>
            </w:pPr>
            <w:r w:rsidRPr="004172A0">
              <w:t>Cross cutting</w:t>
            </w:r>
          </w:p>
        </w:tc>
        <w:tc>
          <w:tcPr>
            <w:tcW w:w="1968" w:type="dxa"/>
            <w:tcBorders>
              <w:bottom w:val="single" w:sz="4" w:space="0" w:color="auto"/>
            </w:tcBorders>
            <w:shd w:val="clear" w:color="auto" w:fill="auto"/>
            <w:vAlign w:val="bottom"/>
          </w:tcPr>
          <w:p w:rsidR="00AC614F" w:rsidRPr="004172A0" w:rsidRDefault="00AC614F" w:rsidP="00165C59">
            <w:pPr>
              <w:pStyle w:val="TableUnitsRow"/>
            </w:pPr>
            <w:r w:rsidRPr="004172A0">
              <w:t>11</w:t>
            </w:r>
          </w:p>
        </w:tc>
        <w:tc>
          <w:tcPr>
            <w:tcW w:w="2082" w:type="dxa"/>
            <w:tcBorders>
              <w:bottom w:val="single" w:sz="4" w:space="0" w:color="auto"/>
            </w:tcBorders>
            <w:vAlign w:val="bottom"/>
          </w:tcPr>
          <w:p w:rsidR="00AC614F" w:rsidRPr="004172A0" w:rsidRDefault="00AC614F" w:rsidP="00165C59">
            <w:pPr>
              <w:pStyle w:val="TableUnitsRow"/>
            </w:pPr>
            <w:r w:rsidRPr="004172A0">
              <w:t>13</w:t>
            </w:r>
          </w:p>
        </w:tc>
        <w:tc>
          <w:tcPr>
            <w:tcW w:w="1854" w:type="dxa"/>
            <w:tcBorders>
              <w:bottom w:val="single" w:sz="4" w:space="0" w:color="auto"/>
            </w:tcBorders>
            <w:shd w:val="clear" w:color="auto" w:fill="auto"/>
            <w:vAlign w:val="bottom"/>
          </w:tcPr>
          <w:p w:rsidR="00AC614F" w:rsidRPr="004172A0" w:rsidRDefault="00AC614F" w:rsidP="00165C59">
            <w:pPr>
              <w:pStyle w:val="TableUnitsRow"/>
            </w:pPr>
            <w:r w:rsidRPr="004172A0">
              <w:t>84.6</w:t>
            </w:r>
          </w:p>
        </w:tc>
      </w:tr>
      <w:tr w:rsidR="008D5D63" w:rsidRPr="008D5D63" w:rsidTr="008D5D63">
        <w:trPr>
          <w:cantSplit/>
        </w:trPr>
        <w:tc>
          <w:tcPr>
            <w:tcW w:w="3055" w:type="dxa"/>
            <w:tcBorders>
              <w:top w:val="single" w:sz="4" w:space="0" w:color="auto"/>
              <w:bottom w:val="single" w:sz="4" w:space="0" w:color="000000"/>
            </w:tcBorders>
            <w:shd w:val="clear" w:color="auto" w:fill="auto"/>
            <w:vAlign w:val="bottom"/>
          </w:tcPr>
          <w:p w:rsidR="008D5D63" w:rsidRPr="008D5D63" w:rsidRDefault="008D5D63" w:rsidP="002B56D0">
            <w:pPr>
              <w:pStyle w:val="TableBodyText"/>
              <w:jc w:val="left"/>
              <w:rPr>
                <w:b/>
              </w:rPr>
            </w:pPr>
            <w:r w:rsidRPr="008D5D63">
              <w:rPr>
                <w:b/>
              </w:rPr>
              <w:t>Total</w:t>
            </w:r>
          </w:p>
        </w:tc>
        <w:tc>
          <w:tcPr>
            <w:tcW w:w="1968" w:type="dxa"/>
            <w:tcBorders>
              <w:top w:val="single" w:sz="4" w:space="0" w:color="auto"/>
              <w:bottom w:val="single" w:sz="4" w:space="0" w:color="000000"/>
            </w:tcBorders>
            <w:shd w:val="clear" w:color="auto" w:fill="auto"/>
            <w:vAlign w:val="bottom"/>
          </w:tcPr>
          <w:p w:rsidR="008D5D63" w:rsidRPr="008D5D63" w:rsidRDefault="00757350" w:rsidP="00165C59">
            <w:pPr>
              <w:pStyle w:val="TableUnitsRow"/>
              <w:rPr>
                <w:b/>
              </w:rPr>
            </w:pPr>
            <w:r>
              <w:rPr>
                <w:b/>
              </w:rPr>
              <w:t>271</w:t>
            </w:r>
          </w:p>
        </w:tc>
        <w:tc>
          <w:tcPr>
            <w:tcW w:w="2082" w:type="dxa"/>
            <w:tcBorders>
              <w:top w:val="single" w:sz="4" w:space="0" w:color="auto"/>
              <w:bottom w:val="single" w:sz="4" w:space="0" w:color="000000"/>
            </w:tcBorders>
            <w:vAlign w:val="bottom"/>
          </w:tcPr>
          <w:p w:rsidR="008D5D63" w:rsidRPr="008D5D63" w:rsidRDefault="00757350" w:rsidP="00165C59">
            <w:pPr>
              <w:pStyle w:val="TableUnitsRow"/>
              <w:rPr>
                <w:b/>
              </w:rPr>
            </w:pPr>
            <w:r>
              <w:rPr>
                <w:b/>
              </w:rPr>
              <w:t>701</w:t>
            </w:r>
          </w:p>
        </w:tc>
        <w:tc>
          <w:tcPr>
            <w:tcW w:w="1854" w:type="dxa"/>
            <w:tcBorders>
              <w:top w:val="single" w:sz="4" w:space="0" w:color="auto"/>
              <w:bottom w:val="single" w:sz="4" w:space="0" w:color="000000"/>
            </w:tcBorders>
            <w:shd w:val="clear" w:color="auto" w:fill="auto"/>
            <w:vAlign w:val="bottom"/>
          </w:tcPr>
          <w:p w:rsidR="008D5D63" w:rsidRPr="008D5D63" w:rsidRDefault="00757350" w:rsidP="00165C59">
            <w:pPr>
              <w:pStyle w:val="TableUnitsRow"/>
              <w:rPr>
                <w:b/>
              </w:rPr>
            </w:pPr>
            <w:r>
              <w:rPr>
                <w:b/>
              </w:rPr>
              <w:t>38.7</w:t>
            </w:r>
          </w:p>
        </w:tc>
      </w:tr>
    </w:tbl>
    <w:p w:rsidR="00165C59" w:rsidRPr="004172A0" w:rsidRDefault="00165C59" w:rsidP="00306440">
      <w:pPr>
        <w:pStyle w:val="BoxSpaceBelow"/>
      </w:pPr>
    </w:p>
    <w:p w:rsidR="00AC614F" w:rsidRPr="004172A0" w:rsidRDefault="00AC614F" w:rsidP="00165C59">
      <w:pPr>
        <w:pStyle w:val="BodyText"/>
      </w:pPr>
      <w:r w:rsidRPr="004172A0">
        <w:t>Within each building block, the publically released items were allocated to a number of themes. In the schooling building block, the major theme was education/teaching strategies. In health, it was disease and mortality, while for healthy homes, it was service delivery. The building block for economic participation contained three main themes: employment strategies, workforce participation, and geography, demography and mobility. The safe communities</w:t>
      </w:r>
      <w:r w:rsidR="004172A0" w:rsidRPr="004172A0">
        <w:t>’</w:t>
      </w:r>
      <w:r w:rsidRPr="004172A0">
        <w:t xml:space="preserve"> building block had two clear themes</w:t>
      </w:r>
      <w:r w:rsidR="00E00168">
        <w:t>:</w:t>
      </w:r>
      <w:r w:rsidRPr="004172A0">
        <w:t xml:space="preserve"> justice system involvement and child welfare and protection. </w:t>
      </w:r>
    </w:p>
    <w:p w:rsidR="00AC614F" w:rsidRPr="004172A0" w:rsidRDefault="00AC614F" w:rsidP="00E027CB">
      <w:pPr>
        <w:pStyle w:val="Heading4"/>
      </w:pPr>
      <w:r w:rsidRPr="004172A0">
        <w:t>Is</w:t>
      </w:r>
      <w:r w:rsidR="00E027CB" w:rsidRPr="004172A0">
        <w:t>sues papers and resource sheets</w:t>
      </w:r>
    </w:p>
    <w:p w:rsidR="00DD5F75" w:rsidRDefault="00AC614F" w:rsidP="00165C59">
      <w:pPr>
        <w:pStyle w:val="BodyText"/>
      </w:pPr>
      <w:r w:rsidRPr="004172A0">
        <w:t xml:space="preserve">Issues papers are comprehensive systematic reviews of topics relevant to the Clearinghouse building blocks that examine </w:t>
      </w:r>
      <w:r w:rsidR="00E00168">
        <w:t xml:space="preserve">Indigenous and non-Indigenous </w:t>
      </w:r>
      <w:r w:rsidRPr="004172A0">
        <w:t>Australian and international research. Resource sheets address particular problem</w:t>
      </w:r>
      <w:r w:rsidR="00B303EC">
        <w:t>s</w:t>
      </w:r>
      <w:r w:rsidR="00757350">
        <w:t>,</w:t>
      </w:r>
      <w:r w:rsidRPr="004172A0">
        <w:t xml:space="preserve"> such as anti-tobacco programs or access to early childhood services. The topics of these are chosen by the </w:t>
      </w:r>
      <w:r w:rsidR="00B303EC">
        <w:t>b</w:t>
      </w:r>
      <w:r w:rsidRPr="004172A0">
        <w:t>oard after input from jurisdictions. All issue</w:t>
      </w:r>
      <w:r w:rsidR="00B303EC">
        <w:t>s</w:t>
      </w:r>
      <w:r w:rsidRPr="004172A0">
        <w:t xml:space="preserve"> papers are written by subject-matter academics. Resource sheets are written by subject-matter specialist</w:t>
      </w:r>
      <w:r w:rsidR="00B303EC">
        <w:t>s</w:t>
      </w:r>
      <w:r w:rsidRPr="004172A0">
        <w:t xml:space="preserve"> and Clearinghouse staff. </w:t>
      </w:r>
    </w:p>
    <w:p w:rsidR="00AC614F" w:rsidRPr="004172A0" w:rsidRDefault="00AC614F" w:rsidP="00165C59">
      <w:pPr>
        <w:pStyle w:val="BodyText"/>
      </w:pPr>
      <w:r w:rsidRPr="004172A0">
        <w:t xml:space="preserve">Box </w:t>
      </w:r>
      <w:r w:rsidR="00B16582">
        <w:t>9.</w:t>
      </w:r>
      <w:r w:rsidRPr="004172A0">
        <w:t>1 shows a summary of key strategies that were found to be effective in improving employment outcomes for Indigenous Australians.</w:t>
      </w:r>
      <w:r w:rsidR="00DD5F75">
        <w:t xml:space="preserve"> Figure </w:t>
      </w:r>
      <w:r w:rsidR="00631385">
        <w:t>9.</w:t>
      </w:r>
      <w:r w:rsidR="00DD5F75">
        <w:t xml:space="preserve">3 illustrates the significance changes in Indigenous employment between 1994 and 2008. </w:t>
      </w:r>
    </w:p>
    <w:p w:rsidR="000E498A" w:rsidRPr="004172A0" w:rsidRDefault="009A6E7A" w:rsidP="000E498A">
      <w:r>
        <w:rPr>
          <w:noProof/>
        </w:rPr>
        <w:lastRenderedPageBreak/>
        <mc:AlternateContent>
          <mc:Choice Requires="wps">
            <w:drawing>
              <wp:inline distT="0" distB="0" distL="0" distR="0">
                <wp:extent cx="5605145" cy="2142490"/>
                <wp:effectExtent l="0" t="0" r="14605" b="1016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2142490"/>
                        </a:xfrm>
                        <a:prstGeom prst="rect">
                          <a:avLst/>
                        </a:prstGeom>
                        <a:solidFill>
                          <a:srgbClr val="FFFFFF"/>
                        </a:solidFill>
                        <a:ln w="9525">
                          <a:solidFill>
                            <a:srgbClr val="000000"/>
                          </a:solidFill>
                          <a:miter lim="800000"/>
                          <a:headEnd/>
                          <a:tailEnd/>
                        </a:ln>
                      </wps:spPr>
                      <wps:txbx>
                        <w:txbxContent>
                          <w:p w:rsidR="000D30CF" w:rsidRPr="00531D92" w:rsidRDefault="000D30CF" w:rsidP="000E498A">
                            <w:pPr>
                              <w:pStyle w:val="BoxTitle"/>
                            </w:pPr>
                            <w:r>
                              <w:t>Box 9.1</w:t>
                            </w:r>
                            <w:r>
                              <w:tab/>
                            </w:r>
                            <w:r w:rsidRPr="00531D92">
                              <w:t>Economic participation</w:t>
                            </w:r>
                            <w:r>
                              <w:t xml:space="preserve"> — key strategies</w:t>
                            </w:r>
                          </w:p>
                          <w:p w:rsidR="000D30CF" w:rsidRPr="00DD5F75" w:rsidRDefault="000D30CF" w:rsidP="00DD5F75">
                            <w:pPr>
                              <w:pStyle w:val="Box"/>
                              <w:keepNext w:val="0"/>
                            </w:pPr>
                            <w:r w:rsidRPr="00DD5F75">
                              <w:t>Increasing human capital through education and training.</w:t>
                            </w:r>
                          </w:p>
                          <w:p w:rsidR="000D30CF" w:rsidRPr="00DD5F75" w:rsidRDefault="000D30CF" w:rsidP="00DD5F75">
                            <w:pPr>
                              <w:pStyle w:val="Box"/>
                              <w:keepNext w:val="0"/>
                            </w:pPr>
                            <w:r w:rsidRPr="00DD5F75">
                              <w:t>Pre-employment assessment and customised training and non-standard recruitment strategies.</w:t>
                            </w:r>
                          </w:p>
                          <w:p w:rsidR="000D30CF" w:rsidRPr="00DD5F75" w:rsidRDefault="000D30CF" w:rsidP="00DD5F75">
                            <w:pPr>
                              <w:pStyle w:val="Box"/>
                              <w:keepNext w:val="0"/>
                            </w:pPr>
                            <w:r w:rsidRPr="00DD5F75">
                              <w:t xml:space="preserve">Multiple support mechanisms to improve retention. </w:t>
                            </w:r>
                          </w:p>
                          <w:p w:rsidR="000D30CF" w:rsidRPr="00DD5F75" w:rsidRDefault="000D30CF" w:rsidP="00DD5F75">
                            <w:pPr>
                              <w:pStyle w:val="Box"/>
                              <w:keepNext w:val="0"/>
                            </w:pPr>
                            <w:r w:rsidRPr="00DD5F75">
                              <w:t>Intensive assistance, including counselling, work experience, financial, referrals to jobs and wage subsidies assistance.</w:t>
                            </w:r>
                          </w:p>
                          <w:p w:rsidR="000D30CF" w:rsidRPr="00DD5F75" w:rsidRDefault="000D30CF" w:rsidP="00DD5F75">
                            <w:pPr>
                              <w:pStyle w:val="Box"/>
                              <w:keepNext w:val="0"/>
                            </w:pPr>
                            <w:r w:rsidRPr="00DD5F75">
                              <w:t xml:space="preserve">A strong macro economy. </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1.35pt;height:16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">
                <v:textbox>
                  <w:txbxContent>
                    <w:p w:rsidR="000D30CF" w:rsidRPr="00531D92" w:rsidRDefault="000D30CF" w:rsidP="000E498A">
                      <w:pPr>
                        <w:pStyle w:val="BoxTitle"/>
                      </w:pPr>
                      <w:r>
                        <w:t>Box 9.1</w:t>
                      </w:r>
                      <w:r>
                        <w:tab/>
                      </w:r>
                      <w:r w:rsidRPr="00531D92">
                        <w:t>Economic participation</w:t>
                      </w:r>
                      <w:r>
                        <w:t xml:space="preserve"> — key strategies</w:t>
                      </w:r>
                    </w:p>
                    <w:p w:rsidR="000D30CF" w:rsidRPr="00DD5F75" w:rsidRDefault="000D30CF" w:rsidP="00DD5F75">
                      <w:pPr>
                        <w:pStyle w:val="Box"/>
                        <w:keepNext w:val="0"/>
                      </w:pPr>
                      <w:r w:rsidRPr="00DD5F75">
                        <w:t>Increasing human capital through education and training.</w:t>
                      </w:r>
                    </w:p>
                    <w:p w:rsidR="000D30CF" w:rsidRPr="00DD5F75" w:rsidRDefault="000D30CF" w:rsidP="00DD5F75">
                      <w:pPr>
                        <w:pStyle w:val="Box"/>
                        <w:keepNext w:val="0"/>
                      </w:pPr>
                      <w:r w:rsidRPr="00DD5F75">
                        <w:t>Pre-employment assessment and customised training and non-standard recruitment strategies.</w:t>
                      </w:r>
                    </w:p>
                    <w:p w:rsidR="000D30CF" w:rsidRPr="00DD5F75" w:rsidRDefault="000D30CF" w:rsidP="00DD5F75">
                      <w:pPr>
                        <w:pStyle w:val="Box"/>
                        <w:keepNext w:val="0"/>
                      </w:pPr>
                      <w:r w:rsidRPr="00DD5F75">
                        <w:t xml:space="preserve">Multiple support mechanisms to improve retention. </w:t>
                      </w:r>
                    </w:p>
                    <w:p w:rsidR="000D30CF" w:rsidRPr="00DD5F75" w:rsidRDefault="000D30CF" w:rsidP="00DD5F75">
                      <w:pPr>
                        <w:pStyle w:val="Box"/>
                        <w:keepNext w:val="0"/>
                      </w:pPr>
                      <w:r w:rsidRPr="00DD5F75">
                        <w:t>Intensive assistance, including counselling, work experience, financial, referrals to jobs and wage subsidies assistance.</w:t>
                      </w:r>
                    </w:p>
                    <w:p w:rsidR="000D30CF" w:rsidRPr="00DD5F75" w:rsidRDefault="000D30CF" w:rsidP="00DD5F75">
                      <w:pPr>
                        <w:pStyle w:val="Box"/>
                        <w:keepNext w:val="0"/>
                      </w:pPr>
                      <w:r w:rsidRPr="00DD5F75">
                        <w:t xml:space="preserve">A strong macro economy. </w:t>
                      </w:r>
                    </w:p>
                  </w:txbxContent>
                </v:textbox>
                <w10:anchorlock/>
              </v:shape>
            </w:pict>
          </mc:Fallback>
        </mc:AlternateContent>
      </w:r>
    </w:p>
    <w:p w:rsidR="00757350" w:rsidRDefault="00757350" w:rsidP="00757350">
      <w:pPr>
        <w:pStyle w:val="BoxSpaceBelow"/>
      </w:pPr>
    </w:p>
    <w:p w:rsidR="00AC614F" w:rsidRPr="004172A0" w:rsidRDefault="00AC614F" w:rsidP="000E498A">
      <w:pPr>
        <w:pStyle w:val="FigureTitle"/>
      </w:pPr>
      <w:r w:rsidRPr="004172A0">
        <w:t xml:space="preserve">Figure </w:t>
      </w:r>
      <w:r w:rsidR="00631385">
        <w:t>9.</w:t>
      </w:r>
      <w:r w:rsidR="00976876">
        <w:t>3</w:t>
      </w:r>
      <w:r w:rsidR="000E498A" w:rsidRPr="004172A0">
        <w:tab/>
      </w:r>
      <w:r w:rsidRPr="004172A0">
        <w:t>Non-</w:t>
      </w:r>
      <w:proofErr w:type="spellStart"/>
      <w:r w:rsidRPr="004172A0">
        <w:t>CDEP</w:t>
      </w:r>
      <w:proofErr w:type="spellEnd"/>
      <w:r w:rsidRPr="004172A0">
        <w:t xml:space="preserve"> </w:t>
      </w:r>
      <w:r w:rsidR="00863407">
        <w:t xml:space="preserve">Indigenous </w:t>
      </w:r>
      <w:r w:rsidRPr="004172A0">
        <w:t xml:space="preserve">employment by geographic remoteness, </w:t>
      </w:r>
      <w:r w:rsidR="00863407">
        <w:t xml:space="preserve">age and </w:t>
      </w:r>
      <w:r w:rsidR="00757350">
        <w:t>sex</w:t>
      </w:r>
      <w:r w:rsidRPr="004172A0">
        <w:t xml:space="preserve">, 1994 </w:t>
      </w:r>
      <w:r w:rsidR="000E498A" w:rsidRPr="004172A0">
        <w:t>and</w:t>
      </w:r>
      <w:r w:rsidRPr="004172A0">
        <w:t xml:space="preserve"> 2008</w:t>
      </w:r>
    </w:p>
    <w:tbl>
      <w:tblPr>
        <w:tblStyle w:val="TableGrid"/>
        <w:tblW w:w="5000" w:type="pct"/>
        <w:tblBorders>
          <w:top w:val="single" w:sz="4" w:space="0" w:color="000000"/>
          <w:left w:val="none" w:sz="0" w:space="0" w:color="auto"/>
          <w:bottom w:val="single" w:sz="4" w:space="0" w:color="000000"/>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9019"/>
      </w:tblGrid>
      <w:tr w:rsidR="00342E05" w:rsidRPr="004172A0" w:rsidTr="00757350">
        <w:trPr>
          <w:cantSplit/>
        </w:trPr>
        <w:tc>
          <w:tcPr>
            <w:tcW w:w="9019" w:type="dxa"/>
          </w:tcPr>
          <w:p w:rsidR="00342E05" w:rsidRPr="004172A0" w:rsidRDefault="00342E05" w:rsidP="000E498A">
            <w:r w:rsidRPr="004172A0">
              <w:rPr>
                <w:noProof/>
              </w:rPr>
              <w:drawing>
                <wp:inline distT="0" distB="0" distL="0" distR="0" wp14:anchorId="146C08E0" wp14:editId="0F9D3B04">
                  <wp:extent cx="2743200" cy="1981200"/>
                  <wp:effectExtent l="0" t="0" r="0" b="0"/>
                  <wp:docPr id="12" name="Chart 12" descr="Figure 9.3 Non-CDEP Indigenous employment by geographic remoteness, age and sex, 1994 and 2008. Results are shown for males and females and remote and non-remote areas."/>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4172A0">
              <w:rPr>
                <w:noProof/>
              </w:rPr>
              <w:drawing>
                <wp:inline distT="0" distB="0" distL="0" distR="0" wp14:anchorId="1DEDC06D" wp14:editId="44FBE360">
                  <wp:extent cx="2743200" cy="1981200"/>
                  <wp:effectExtent l="0" t="0" r="0" b="0"/>
                  <wp:docPr id="13" name="Chart 13" descr="Figure 9.3 Non-CDEP Indigenous employment by geographic remoteness, age and sex, 1994 and 2008. Results are shown for males and females and whether aged under or over 35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00509" w:rsidRDefault="00600509">
            <w:pPr>
              <w:pStyle w:val="Source"/>
              <w:rPr>
                <w:sz w:val="16"/>
                <w:szCs w:val="16"/>
              </w:rPr>
            </w:pPr>
          </w:p>
        </w:tc>
      </w:tr>
    </w:tbl>
    <w:p w:rsidR="00306440" w:rsidRPr="00306440" w:rsidRDefault="00306440" w:rsidP="00306440">
      <w:pPr>
        <w:pStyle w:val="Source"/>
      </w:pPr>
      <w:r w:rsidRPr="00306440">
        <w:rPr>
          <w:i/>
        </w:rPr>
        <w:t>Source</w:t>
      </w:r>
      <w:r>
        <w:rPr>
          <w:i/>
        </w:rPr>
        <w:t>s</w:t>
      </w:r>
      <w:r>
        <w:t xml:space="preserve">: </w:t>
      </w:r>
      <w:proofErr w:type="spellStart"/>
      <w:r w:rsidRPr="00306440">
        <w:t>Gray</w:t>
      </w:r>
      <w:proofErr w:type="spellEnd"/>
      <w:r>
        <w:t xml:space="preserve"> </w:t>
      </w:r>
      <w:r w:rsidRPr="00AD7A53">
        <w:rPr>
          <w:i/>
        </w:rPr>
        <w:t>et al</w:t>
      </w:r>
      <w:r>
        <w:t>. 201</w:t>
      </w:r>
      <w:r w:rsidR="00AD7A53">
        <w:t>2</w:t>
      </w:r>
      <w:r>
        <w:t xml:space="preserve">; </w:t>
      </w:r>
      <w:proofErr w:type="spellStart"/>
      <w:r w:rsidRPr="00306440">
        <w:t>Gray</w:t>
      </w:r>
      <w:proofErr w:type="spellEnd"/>
      <w:r>
        <w:t xml:space="preserve"> </w:t>
      </w:r>
      <w:r w:rsidRPr="00306440">
        <w:t>2012</w:t>
      </w:r>
      <w:r w:rsidR="00DD5F75">
        <w:t xml:space="preserve">; </w:t>
      </w:r>
      <w:proofErr w:type="spellStart"/>
      <w:r w:rsidR="00DD5F75" w:rsidRPr="00757350">
        <w:t>NATSIS</w:t>
      </w:r>
      <w:proofErr w:type="spellEnd"/>
      <w:r w:rsidR="00DD5F75" w:rsidRPr="00757350">
        <w:t xml:space="preserve"> 1994</w:t>
      </w:r>
      <w:r w:rsidR="00DD5F75">
        <w:t xml:space="preserve">; </w:t>
      </w:r>
      <w:proofErr w:type="spellStart"/>
      <w:r w:rsidR="00DD5F75" w:rsidRPr="00757350">
        <w:t>NATSISS</w:t>
      </w:r>
      <w:proofErr w:type="spellEnd"/>
      <w:r w:rsidR="00DD5F75" w:rsidRPr="00757350">
        <w:t xml:space="preserve"> 2008</w:t>
      </w:r>
      <w:r w:rsidR="00DD5F75">
        <w:t>.</w:t>
      </w:r>
    </w:p>
    <w:p w:rsidR="00306440" w:rsidRDefault="00306440" w:rsidP="00306440">
      <w:pPr>
        <w:pStyle w:val="BoxSpaceBelow"/>
      </w:pPr>
    </w:p>
    <w:p w:rsidR="00AC614F" w:rsidRPr="004172A0" w:rsidRDefault="00347C95" w:rsidP="00165C59">
      <w:pPr>
        <w:pStyle w:val="BodyText"/>
      </w:pPr>
      <w:r>
        <w:t xml:space="preserve">Up until September 2012, </w:t>
      </w:r>
      <w:r w:rsidR="00AC614F" w:rsidRPr="004172A0">
        <w:t>the Clearinghouse ha</w:t>
      </w:r>
      <w:r>
        <w:t>d</w:t>
      </w:r>
      <w:r w:rsidR="00AC614F" w:rsidRPr="004172A0">
        <w:t xml:space="preserve"> published three issues papers</w:t>
      </w:r>
      <w:r>
        <w:t xml:space="preserve"> and another </w:t>
      </w:r>
      <w:r w:rsidR="00AC614F" w:rsidRPr="004172A0">
        <w:t xml:space="preserve">four </w:t>
      </w:r>
      <w:r>
        <w:t xml:space="preserve">had been </w:t>
      </w:r>
      <w:r w:rsidR="00AC614F" w:rsidRPr="004172A0">
        <w:t>commissioned. It ha</w:t>
      </w:r>
      <w:r>
        <w:t>d</w:t>
      </w:r>
      <w:r w:rsidR="00AC614F" w:rsidRPr="004172A0">
        <w:t xml:space="preserve"> also published 17 resource sheets</w:t>
      </w:r>
      <w:r>
        <w:t>,</w:t>
      </w:r>
      <w:r w:rsidR="00AC614F" w:rsidRPr="004172A0">
        <w:t xml:space="preserve"> with an additional 1</w:t>
      </w:r>
      <w:r w:rsidR="00306440">
        <w:t>3</w:t>
      </w:r>
      <w:r w:rsidR="00AC614F" w:rsidRPr="004172A0">
        <w:t xml:space="preserve"> at various stages of preparation.</w:t>
      </w:r>
      <w:r w:rsidR="004172A0" w:rsidRPr="004172A0">
        <w:t xml:space="preserve"> </w:t>
      </w:r>
      <w:r w:rsidR="00AC614F" w:rsidRPr="004172A0">
        <w:t xml:space="preserve">Resource sheets and issues papers on early childhood, schooling and health building blocks </w:t>
      </w:r>
      <w:r w:rsidR="0071365D">
        <w:t xml:space="preserve">have </w:t>
      </w:r>
      <w:r w:rsidR="00AC614F" w:rsidRPr="004172A0">
        <w:t>accounted for just over 50</w:t>
      </w:r>
      <w:r w:rsidR="00041DCC">
        <w:t xml:space="preserve"> per cent</w:t>
      </w:r>
      <w:r w:rsidR="00AC614F" w:rsidRPr="004172A0">
        <w:t xml:space="preserve"> of the Clearinghouse publications (Table </w:t>
      </w:r>
      <w:r w:rsidR="00631385">
        <w:t>9.</w:t>
      </w:r>
      <w:r w:rsidR="00AC614F" w:rsidRPr="004172A0">
        <w:t xml:space="preserve">5). </w:t>
      </w:r>
    </w:p>
    <w:p w:rsidR="00AC614F" w:rsidRPr="004172A0" w:rsidRDefault="00AC614F" w:rsidP="00165C59">
      <w:pPr>
        <w:pStyle w:val="TableTitle"/>
      </w:pPr>
      <w:r w:rsidRPr="004172A0">
        <w:lastRenderedPageBreak/>
        <w:t xml:space="preserve">Table </w:t>
      </w:r>
      <w:r w:rsidR="00631385">
        <w:t>9.</w:t>
      </w:r>
      <w:r w:rsidRPr="004172A0">
        <w:t>5</w:t>
      </w:r>
      <w:r w:rsidR="00165C59" w:rsidRPr="004172A0">
        <w:tab/>
      </w:r>
      <w:r w:rsidRPr="004172A0">
        <w:t>Issues papers and resource sheets published and in preparation, September 2012</w:t>
      </w:r>
    </w:p>
    <w:tbl>
      <w:tblPr>
        <w:tblW w:w="5000" w:type="pct"/>
        <w:tblLayout w:type="fixed"/>
        <w:tblCellMar>
          <w:left w:w="115" w:type="dxa"/>
          <w:right w:w="115" w:type="dxa"/>
        </w:tblCellMar>
        <w:tblLook w:val="04A0" w:firstRow="1" w:lastRow="0" w:firstColumn="1" w:lastColumn="0" w:noHBand="0" w:noVBand="1"/>
      </w:tblPr>
      <w:tblGrid>
        <w:gridCol w:w="2995"/>
        <w:gridCol w:w="1506"/>
        <w:gridCol w:w="1506"/>
        <w:gridCol w:w="1506"/>
        <w:gridCol w:w="1506"/>
      </w:tblGrid>
      <w:tr w:rsidR="00AC614F" w:rsidRPr="004172A0" w:rsidTr="00165C59">
        <w:trPr>
          <w:cantSplit/>
        </w:trPr>
        <w:tc>
          <w:tcPr>
            <w:tcW w:w="2995" w:type="dxa"/>
            <w:tcBorders>
              <w:top w:val="single" w:sz="4" w:space="0" w:color="auto"/>
              <w:left w:val="nil"/>
              <w:bottom w:val="single" w:sz="4" w:space="0" w:color="auto"/>
              <w:right w:val="nil"/>
            </w:tcBorders>
            <w:shd w:val="clear" w:color="auto" w:fill="auto"/>
            <w:noWrap/>
            <w:vAlign w:val="bottom"/>
            <w:hideMark/>
          </w:tcPr>
          <w:p w:rsidR="00AC614F" w:rsidRPr="004172A0" w:rsidRDefault="00AC614F" w:rsidP="00A3507E">
            <w:pPr>
              <w:pStyle w:val="TableColumnHeading"/>
              <w:jc w:val="left"/>
            </w:pPr>
            <w:r w:rsidRPr="004172A0">
              <w:t>Type of research</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4172A0" w:rsidRDefault="00AC614F" w:rsidP="00165C59">
            <w:pPr>
              <w:pStyle w:val="TableColumnHeading"/>
            </w:pPr>
            <w:r w:rsidRPr="004172A0">
              <w:t xml:space="preserve">Issues </w:t>
            </w:r>
            <w:r w:rsidR="00347C95">
              <w:t>p</w:t>
            </w:r>
            <w:r w:rsidRPr="004172A0">
              <w:t>apers</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4172A0" w:rsidRDefault="00AC614F" w:rsidP="00165C59">
            <w:pPr>
              <w:pStyle w:val="TableColumnHeading"/>
            </w:pPr>
            <w:r w:rsidRPr="004172A0">
              <w:t xml:space="preserve">Resource </w:t>
            </w:r>
            <w:r w:rsidR="00347C95">
              <w:t>s</w:t>
            </w:r>
            <w:r w:rsidRPr="004172A0">
              <w:t>heets</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4172A0" w:rsidRDefault="00AC614F" w:rsidP="00165C59">
            <w:pPr>
              <w:pStyle w:val="TableColumnHeading"/>
            </w:pPr>
            <w:r w:rsidRPr="004172A0">
              <w:t>Total</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4172A0" w:rsidRDefault="00AC614F" w:rsidP="00165C59">
            <w:pPr>
              <w:pStyle w:val="TableColumnHeading"/>
            </w:pPr>
            <w:r w:rsidRPr="004172A0">
              <w:t>Percentage</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Early childhood</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4</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6</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16.2</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Schooling</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4</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6</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16.2</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Health</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0</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8</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8</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21.6</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Economic participation</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4</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5</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13.5</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Healthy homes</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0</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5.4</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Safe communities</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6</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7</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18.9</w:t>
            </w:r>
          </w:p>
        </w:tc>
      </w:tr>
      <w:tr w:rsidR="00AC614F" w:rsidRPr="004172A0" w:rsidTr="00165C59">
        <w:trPr>
          <w:cantSplit/>
        </w:trPr>
        <w:tc>
          <w:tcPr>
            <w:tcW w:w="2995" w:type="dxa"/>
            <w:tcBorders>
              <w:top w:val="nil"/>
              <w:left w:val="nil"/>
              <w:bottom w:val="nil"/>
              <w:right w:val="nil"/>
            </w:tcBorders>
            <w:shd w:val="clear" w:color="auto" w:fill="auto"/>
            <w:noWrap/>
            <w:vAlign w:val="bottom"/>
            <w:hideMark/>
          </w:tcPr>
          <w:p w:rsidR="00AC614F" w:rsidRPr="004172A0" w:rsidRDefault="00AC614F" w:rsidP="00A3507E">
            <w:pPr>
              <w:pStyle w:val="TableBodyText"/>
              <w:jc w:val="left"/>
            </w:pPr>
            <w:r w:rsidRPr="004172A0">
              <w:t xml:space="preserve">Governance </w:t>
            </w:r>
            <w:r w:rsidR="004172A0" w:rsidRPr="004172A0">
              <w:t>and</w:t>
            </w:r>
            <w:r w:rsidRPr="004172A0">
              <w:t xml:space="preserve"> leadership</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1</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2</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3</w:t>
            </w:r>
          </w:p>
        </w:tc>
        <w:tc>
          <w:tcPr>
            <w:tcW w:w="1506" w:type="dxa"/>
            <w:tcBorders>
              <w:top w:val="nil"/>
              <w:left w:val="nil"/>
              <w:bottom w:val="nil"/>
              <w:right w:val="nil"/>
            </w:tcBorders>
            <w:shd w:val="clear" w:color="auto" w:fill="auto"/>
            <w:noWrap/>
            <w:vAlign w:val="bottom"/>
            <w:hideMark/>
          </w:tcPr>
          <w:p w:rsidR="00AC614F" w:rsidRPr="004172A0" w:rsidRDefault="00AC614F" w:rsidP="00165C59">
            <w:pPr>
              <w:pStyle w:val="TableUnitsRow"/>
            </w:pPr>
            <w:r w:rsidRPr="004172A0">
              <w:t>8.1</w:t>
            </w:r>
          </w:p>
        </w:tc>
      </w:tr>
      <w:tr w:rsidR="00AC614F" w:rsidRPr="004172A0" w:rsidTr="00165C59">
        <w:trPr>
          <w:cantSplit/>
        </w:trPr>
        <w:tc>
          <w:tcPr>
            <w:tcW w:w="2995" w:type="dxa"/>
            <w:tcBorders>
              <w:top w:val="single" w:sz="4" w:space="0" w:color="auto"/>
              <w:left w:val="nil"/>
              <w:bottom w:val="single" w:sz="4" w:space="0" w:color="auto"/>
              <w:right w:val="nil"/>
            </w:tcBorders>
            <w:shd w:val="clear" w:color="auto" w:fill="auto"/>
            <w:noWrap/>
            <w:vAlign w:val="bottom"/>
            <w:hideMark/>
          </w:tcPr>
          <w:p w:rsidR="00AC614F" w:rsidRPr="002A7AC7" w:rsidRDefault="00AC614F" w:rsidP="002B56D0">
            <w:pPr>
              <w:pStyle w:val="TableBodyText"/>
              <w:jc w:val="left"/>
              <w:rPr>
                <w:b/>
              </w:rPr>
            </w:pPr>
            <w:r w:rsidRPr="002A7AC7">
              <w:rPr>
                <w:b/>
              </w:rPr>
              <w:t>Total</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2A7AC7" w:rsidRDefault="00AC614F" w:rsidP="00165C59">
            <w:pPr>
              <w:pStyle w:val="TableUnitsRow"/>
              <w:rPr>
                <w:b/>
              </w:rPr>
            </w:pPr>
            <w:r w:rsidRPr="002A7AC7">
              <w:rPr>
                <w:b/>
              </w:rPr>
              <w:t>7</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2A7AC7" w:rsidRDefault="00AC614F" w:rsidP="00165C59">
            <w:pPr>
              <w:pStyle w:val="TableUnitsRow"/>
              <w:rPr>
                <w:b/>
              </w:rPr>
            </w:pPr>
            <w:r w:rsidRPr="002A7AC7">
              <w:rPr>
                <w:b/>
              </w:rPr>
              <w:t>30</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2A7AC7" w:rsidRDefault="00AC614F" w:rsidP="00165C59">
            <w:pPr>
              <w:pStyle w:val="TableUnitsRow"/>
              <w:rPr>
                <w:b/>
              </w:rPr>
            </w:pPr>
            <w:r w:rsidRPr="002A7AC7">
              <w:rPr>
                <w:b/>
              </w:rPr>
              <w:t>37</w:t>
            </w:r>
          </w:p>
        </w:tc>
        <w:tc>
          <w:tcPr>
            <w:tcW w:w="1506" w:type="dxa"/>
            <w:tcBorders>
              <w:top w:val="single" w:sz="4" w:space="0" w:color="auto"/>
              <w:left w:val="nil"/>
              <w:bottom w:val="single" w:sz="4" w:space="0" w:color="auto"/>
              <w:right w:val="nil"/>
            </w:tcBorders>
            <w:shd w:val="clear" w:color="auto" w:fill="auto"/>
            <w:noWrap/>
            <w:vAlign w:val="bottom"/>
            <w:hideMark/>
          </w:tcPr>
          <w:p w:rsidR="00AC614F" w:rsidRPr="002A7AC7" w:rsidRDefault="00AC614F" w:rsidP="00165C59">
            <w:pPr>
              <w:pStyle w:val="TableUnitsRow"/>
              <w:rPr>
                <w:b/>
              </w:rPr>
            </w:pPr>
            <w:r w:rsidRPr="002A7AC7">
              <w:rPr>
                <w:b/>
              </w:rPr>
              <w:t>100</w:t>
            </w:r>
          </w:p>
        </w:tc>
      </w:tr>
    </w:tbl>
    <w:p w:rsidR="00AC614F" w:rsidRPr="004172A0" w:rsidRDefault="00AC614F" w:rsidP="00306440">
      <w:pPr>
        <w:pStyle w:val="BoxSpaceBelow"/>
      </w:pPr>
    </w:p>
    <w:p w:rsidR="00AC614F" w:rsidRPr="004172A0" w:rsidRDefault="00AC614F" w:rsidP="00E027CB">
      <w:pPr>
        <w:pStyle w:val="Heading3"/>
      </w:pPr>
      <w:r w:rsidRPr="004172A0">
        <w:t xml:space="preserve">What works to overcome Indigenous disadvantage: Key </w:t>
      </w:r>
      <w:proofErr w:type="spellStart"/>
      <w:r w:rsidRPr="004172A0">
        <w:t>learnings</w:t>
      </w:r>
      <w:proofErr w:type="spellEnd"/>
      <w:r w:rsidRPr="004172A0">
        <w:t xml:space="preserve"> and gaps in the evidence </w:t>
      </w:r>
    </w:p>
    <w:p w:rsidR="00AC614F" w:rsidRPr="004172A0" w:rsidRDefault="00AC614F" w:rsidP="00165C59">
      <w:pPr>
        <w:pStyle w:val="BodyText"/>
      </w:pPr>
      <w:r w:rsidRPr="004172A0">
        <w:t xml:space="preserve">Each year the </w:t>
      </w:r>
      <w:r w:rsidR="00910C08" w:rsidRPr="004172A0">
        <w:t xml:space="preserve">Clearinghouse </w:t>
      </w:r>
      <w:r w:rsidRPr="004172A0">
        <w:t xml:space="preserve">produces a report that synthesises the evidence from the assessed collection, the issues papers and resource sheets. The Clearinghouse has been able to identify a number of common principles that are critical </w:t>
      </w:r>
      <w:r w:rsidR="00DE0319">
        <w:t xml:space="preserve">if </w:t>
      </w:r>
      <w:r w:rsidRPr="004172A0">
        <w:t xml:space="preserve">programs and interventions </w:t>
      </w:r>
      <w:r w:rsidR="00DE0319">
        <w:t xml:space="preserve">are to </w:t>
      </w:r>
      <w:r w:rsidRPr="004172A0">
        <w:t>work</w:t>
      </w:r>
      <w:r w:rsidR="00DE0319">
        <w:t>, and</w:t>
      </w:r>
      <w:r w:rsidRPr="004172A0">
        <w:t xml:space="preserve"> some key </w:t>
      </w:r>
      <w:r w:rsidR="0016479D">
        <w:t xml:space="preserve">reasons why programs and interventions do not </w:t>
      </w:r>
      <w:r w:rsidRPr="004172A0">
        <w:t xml:space="preserve">work. Below are some examples from a number of building blocks. </w:t>
      </w:r>
    </w:p>
    <w:p w:rsidR="00AC614F" w:rsidRPr="004172A0" w:rsidRDefault="00AC614F" w:rsidP="00E027CB">
      <w:pPr>
        <w:pStyle w:val="Heading4"/>
      </w:pPr>
      <w:r w:rsidRPr="004172A0">
        <w:t>What works</w:t>
      </w:r>
    </w:p>
    <w:p w:rsidR="00AC614F" w:rsidRPr="004172A0" w:rsidRDefault="00AC614F" w:rsidP="003501B5">
      <w:pPr>
        <w:pStyle w:val="ListBullet"/>
      </w:pPr>
      <w:r w:rsidRPr="004172A0">
        <w:t>Adequate resourcing and planned and comprehensive interventions</w:t>
      </w:r>
      <w:r w:rsidR="00984808">
        <w:t xml:space="preserve"> </w:t>
      </w:r>
      <w:r w:rsidR="0016479D">
        <w:t>—</w:t>
      </w:r>
      <w:r w:rsidR="00984808">
        <w:t xml:space="preserve"> </w:t>
      </w:r>
      <w:r w:rsidR="00DD5F75">
        <w:t>f</w:t>
      </w:r>
      <w:r w:rsidRPr="004172A0">
        <w:t xml:space="preserve">or example, a systematic approach with appropriate funding arrested the escalating epidemic of end-stage kidney failure, reduced suffering for Indigenous people and saved resources (Baker </w:t>
      </w:r>
      <w:r w:rsidRPr="00DD5F75">
        <w:rPr>
          <w:i/>
        </w:rPr>
        <w:t>et al</w:t>
      </w:r>
      <w:r w:rsidRPr="004172A0">
        <w:t>. 2005)</w:t>
      </w:r>
    </w:p>
    <w:p w:rsidR="00AC614F" w:rsidRPr="004172A0" w:rsidRDefault="00AC614F" w:rsidP="003501B5">
      <w:pPr>
        <w:pStyle w:val="ListBullet"/>
      </w:pPr>
      <w:r w:rsidRPr="004172A0">
        <w:t>Community involvement and engagement</w:t>
      </w:r>
      <w:r w:rsidR="00984808">
        <w:t xml:space="preserve"> </w:t>
      </w:r>
      <w:r w:rsidR="0016479D">
        <w:t>—</w:t>
      </w:r>
      <w:r w:rsidR="00984808">
        <w:t xml:space="preserve"> </w:t>
      </w:r>
      <w:r w:rsidR="0016479D">
        <w:t>for example,</w:t>
      </w:r>
      <w:r w:rsidRPr="004172A0">
        <w:t xml:space="preserve"> in the alcohol and substance abuse programs the key success factor</w:t>
      </w:r>
      <w:r w:rsidR="0016479D">
        <w:t>s</w:t>
      </w:r>
      <w:r w:rsidRPr="004172A0">
        <w:t xml:space="preserve"> </w:t>
      </w:r>
      <w:r w:rsidR="0016479D">
        <w:t xml:space="preserve">were </w:t>
      </w:r>
      <w:r w:rsidRPr="004172A0">
        <w:t>strong local leadership, strong community-member engagement, appropriate infrastructure and the use of a paid workforce to ensure long</w:t>
      </w:r>
      <w:r w:rsidR="0016479D">
        <w:t>-</w:t>
      </w:r>
      <w:r w:rsidRPr="004172A0">
        <w:t>term sustainability (</w:t>
      </w:r>
      <w:proofErr w:type="spellStart"/>
      <w:r w:rsidRPr="004172A0">
        <w:t>Gray</w:t>
      </w:r>
      <w:proofErr w:type="spellEnd"/>
      <w:r w:rsidRPr="004172A0">
        <w:t xml:space="preserve"> and Wilkes 2010)</w:t>
      </w:r>
    </w:p>
    <w:p w:rsidR="00AC614F" w:rsidRPr="004172A0" w:rsidRDefault="00AC614F" w:rsidP="003501B5">
      <w:pPr>
        <w:pStyle w:val="ListBullet"/>
      </w:pPr>
      <w:r w:rsidRPr="004172A0">
        <w:t>Respect for Indigenous languages and cultures</w:t>
      </w:r>
      <w:r w:rsidR="00984808">
        <w:t xml:space="preserve"> </w:t>
      </w:r>
      <w:r w:rsidR="0016479D">
        <w:t>—</w:t>
      </w:r>
      <w:r w:rsidR="00984808">
        <w:t xml:space="preserve"> </w:t>
      </w:r>
      <w:r w:rsidR="0016479D">
        <w:t>for example,</w:t>
      </w:r>
      <w:r w:rsidRPr="004172A0">
        <w:t xml:space="preserve"> the school readiness programs were successful because they respected different learning styles in different cultures (</w:t>
      </w:r>
      <w:proofErr w:type="spellStart"/>
      <w:r w:rsidRPr="004172A0">
        <w:t>D</w:t>
      </w:r>
      <w:r w:rsidR="00DD5F75">
        <w:t>ockett</w:t>
      </w:r>
      <w:proofErr w:type="spellEnd"/>
      <w:r w:rsidR="00AD7A53">
        <w:t xml:space="preserve"> </w:t>
      </w:r>
      <w:r w:rsidR="00AD7A53" w:rsidRPr="00AD7A53">
        <w:rPr>
          <w:i/>
        </w:rPr>
        <w:t>et al</w:t>
      </w:r>
      <w:r w:rsidR="00AD7A53">
        <w:t>.</w:t>
      </w:r>
      <w:r w:rsidR="00DD5F75">
        <w:t xml:space="preserve"> 2010)</w:t>
      </w:r>
    </w:p>
    <w:p w:rsidR="00AC614F" w:rsidRPr="004172A0" w:rsidRDefault="00AC614F" w:rsidP="003501B5">
      <w:pPr>
        <w:pStyle w:val="ListBullet"/>
      </w:pPr>
      <w:r w:rsidRPr="004172A0">
        <w:lastRenderedPageBreak/>
        <w:t>Commitment to doing projects with, not for, Indigenous people</w:t>
      </w:r>
      <w:r w:rsidR="00984808">
        <w:t xml:space="preserve"> </w:t>
      </w:r>
      <w:r w:rsidR="0016479D">
        <w:t>—</w:t>
      </w:r>
      <w:r w:rsidR="00984808">
        <w:t xml:space="preserve"> </w:t>
      </w:r>
      <w:r w:rsidR="0016479D">
        <w:t>for example,</w:t>
      </w:r>
      <w:r w:rsidRPr="004172A0">
        <w:t xml:space="preserve"> the N</w:t>
      </w:r>
      <w:r w:rsidR="0016479D">
        <w:t xml:space="preserve">ew </w:t>
      </w:r>
      <w:r w:rsidRPr="004172A0">
        <w:t>S</w:t>
      </w:r>
      <w:r w:rsidR="0016479D">
        <w:t xml:space="preserve">outh </w:t>
      </w:r>
      <w:r w:rsidRPr="004172A0">
        <w:t>W</w:t>
      </w:r>
      <w:r w:rsidR="0016479D">
        <w:t>ales</w:t>
      </w:r>
      <w:r w:rsidRPr="004172A0">
        <w:t xml:space="preserve"> Count </w:t>
      </w:r>
      <w:r w:rsidR="0016479D" w:rsidRPr="004172A0">
        <w:t xml:space="preserve">Me </w:t>
      </w:r>
      <w:r w:rsidRPr="004172A0">
        <w:t xml:space="preserve">In Too numeracy program (Box 2) found that contextual learning was successful and critical, professional development for teachers was essential, effective relationships were vital and Aboriginal community acceptance was essential for </w:t>
      </w:r>
      <w:proofErr w:type="spellStart"/>
      <w:r w:rsidRPr="004172A0">
        <w:t>on</w:t>
      </w:r>
      <w:r w:rsidR="00DD5F75">
        <w:t>-</w:t>
      </w:r>
      <w:r w:rsidRPr="004172A0">
        <w:t>going</w:t>
      </w:r>
      <w:proofErr w:type="spellEnd"/>
      <w:r w:rsidRPr="004172A0">
        <w:t xml:space="preserve"> success (Perry and Howard 2003)</w:t>
      </w:r>
    </w:p>
    <w:p w:rsidR="00AC614F" w:rsidRPr="004172A0" w:rsidRDefault="00AC614F" w:rsidP="003501B5">
      <w:pPr>
        <w:pStyle w:val="ListBullet"/>
      </w:pPr>
      <w:r w:rsidRPr="004172A0">
        <w:t>Development of social capital</w:t>
      </w:r>
      <w:r w:rsidR="00984808">
        <w:t xml:space="preserve"> </w:t>
      </w:r>
      <w:r w:rsidR="0016479D">
        <w:t>—</w:t>
      </w:r>
      <w:r w:rsidR="00984808">
        <w:t xml:space="preserve"> </w:t>
      </w:r>
      <w:r w:rsidR="0016479D">
        <w:t>for example,</w:t>
      </w:r>
      <w:r w:rsidRPr="004172A0">
        <w:t xml:space="preserve"> the Communities for Children </w:t>
      </w:r>
      <w:r w:rsidR="0016479D">
        <w:t>i</w:t>
      </w:r>
      <w:r w:rsidRPr="004172A0">
        <w:t>nitiative highlighted the importance of a collaborative approach to maternal and child health, child-friendly communities, early learning and care, supporting families and parents and working together in partnership (</w:t>
      </w:r>
      <w:proofErr w:type="spellStart"/>
      <w:r w:rsidRPr="004172A0">
        <w:t>Sorin</w:t>
      </w:r>
      <w:proofErr w:type="spellEnd"/>
      <w:r w:rsidRPr="004172A0">
        <w:t xml:space="preserve"> and </w:t>
      </w:r>
      <w:proofErr w:type="spellStart"/>
      <w:r w:rsidRPr="004172A0">
        <w:t>Markotsis</w:t>
      </w:r>
      <w:proofErr w:type="spellEnd"/>
      <w:r w:rsidRPr="004172A0">
        <w:t xml:space="preserve"> 2008)</w:t>
      </w:r>
    </w:p>
    <w:p w:rsidR="00AC614F" w:rsidRPr="004172A0" w:rsidRDefault="00AC614F" w:rsidP="003501B5">
      <w:pPr>
        <w:pStyle w:val="ListBullet"/>
      </w:pPr>
      <w:r w:rsidRPr="004172A0">
        <w:t>Recognising underlying social determinants of health and welfare status</w:t>
      </w:r>
      <w:r w:rsidR="00984808">
        <w:t xml:space="preserve"> </w:t>
      </w:r>
      <w:r w:rsidR="0016479D">
        <w:t>—</w:t>
      </w:r>
      <w:r w:rsidR="00984808">
        <w:t xml:space="preserve"> </w:t>
      </w:r>
      <w:r w:rsidR="0016479D">
        <w:t>for example,</w:t>
      </w:r>
      <w:r w:rsidRPr="004172A0">
        <w:t xml:space="preserve"> the Longitudinal Study of Australian Children demonstrated the influence of financial disadvantage on school readiness (Smart et al. 2008)</w:t>
      </w:r>
    </w:p>
    <w:p w:rsidR="00165C59" w:rsidRPr="004172A0" w:rsidRDefault="00521296" w:rsidP="003501B5">
      <w:pPr>
        <w:pStyle w:val="ListBullet"/>
      </w:pPr>
      <w:r>
        <w:t>Recognising that i</w:t>
      </w:r>
      <w:r w:rsidR="00165C59" w:rsidRPr="004172A0">
        <w:t>ssues are often complex and contextual</w:t>
      </w:r>
      <w:r w:rsidR="00984808">
        <w:t xml:space="preserve"> </w:t>
      </w:r>
      <w:r>
        <w:t>—</w:t>
      </w:r>
      <w:r w:rsidR="00984808">
        <w:t xml:space="preserve"> </w:t>
      </w:r>
      <w:r>
        <w:t>for example,</w:t>
      </w:r>
      <w:r w:rsidR="00165C59" w:rsidRPr="004172A0">
        <w:t xml:space="preserve"> the relationship between neighbourhood conflict, housing standards, high rental costs and frequent house moves and school attendance (Bridge et al. 2003).</w:t>
      </w:r>
    </w:p>
    <w:p w:rsidR="00165C59" w:rsidRDefault="009A6E7A" w:rsidP="00165C59">
      <w:pPr>
        <w:pStyle w:val="BodyText"/>
      </w:pPr>
      <w:r>
        <w:rPr>
          <w:noProof/>
        </w:rPr>
        <mc:AlternateContent>
          <mc:Choice Requires="wps">
            <w:drawing>
              <wp:inline distT="0" distB="0" distL="0" distR="0">
                <wp:extent cx="5605145" cy="3657600"/>
                <wp:effectExtent l="0" t="0" r="14605"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3657600"/>
                        </a:xfrm>
                        <a:prstGeom prst="rect">
                          <a:avLst/>
                        </a:prstGeom>
                        <a:solidFill>
                          <a:srgbClr val="FFFFFF"/>
                        </a:solidFill>
                        <a:ln w="9525">
                          <a:solidFill>
                            <a:srgbClr val="000000"/>
                          </a:solidFill>
                          <a:miter lim="800000"/>
                          <a:headEnd/>
                          <a:tailEnd/>
                        </a:ln>
                      </wps:spPr>
                      <wps:txbx>
                        <w:txbxContent>
                          <w:p w:rsidR="000D30CF" w:rsidRDefault="000D30CF" w:rsidP="00165C59">
                            <w:pPr>
                              <w:pStyle w:val="BoxTitle"/>
                            </w:pPr>
                            <w:r w:rsidRPr="00C9211D">
                              <w:t xml:space="preserve">Box </w:t>
                            </w:r>
                            <w:r>
                              <w:t>9.2</w:t>
                            </w:r>
                            <w:r>
                              <w:tab/>
                            </w:r>
                            <w:r w:rsidRPr="00EA1465">
                              <w:t xml:space="preserve">An excerpt from </w:t>
                            </w:r>
                            <w:r>
                              <w:t>the Clearinghouse assessed collection on</w:t>
                            </w:r>
                            <w:r w:rsidRPr="00EA1465">
                              <w:t xml:space="preserve"> </w:t>
                            </w:r>
                            <w:r>
                              <w:t>the ‘Count Me In Too’ Indigenous program</w:t>
                            </w:r>
                          </w:p>
                          <w:p w:rsidR="000D30CF" w:rsidRPr="004A28B8" w:rsidRDefault="000D30CF" w:rsidP="00165C59">
                            <w:pPr>
                              <w:pStyle w:val="Box"/>
                              <w:rPr>
                                <w:color w:val="000000"/>
                                <w:sz w:val="20"/>
                              </w:rPr>
                            </w:pPr>
                            <w:r>
                              <w:t>The Count Me In Too Indigenous (</w:t>
                            </w:r>
                            <w:proofErr w:type="spellStart"/>
                            <w:r w:rsidRPr="00C92BDD">
                              <w:t>CMITI</w:t>
                            </w:r>
                            <w:proofErr w:type="spellEnd"/>
                            <w:r>
                              <w:t>) program</w:t>
                            </w:r>
                            <w:r w:rsidRPr="00C92BDD">
                              <w:t xml:space="preserve"> was introduced into five primary schools in N</w:t>
                            </w:r>
                            <w:r>
                              <w:t xml:space="preserve">ew </w:t>
                            </w:r>
                            <w:r w:rsidRPr="00C92BDD">
                              <w:t>S</w:t>
                            </w:r>
                            <w:r>
                              <w:t xml:space="preserve">outh </w:t>
                            </w:r>
                            <w:r w:rsidRPr="00C92BDD">
                              <w:t>W</w:t>
                            </w:r>
                            <w:r>
                              <w:t>ales</w:t>
                            </w:r>
                            <w:r w:rsidRPr="00C92BDD">
                              <w:t xml:space="preserve"> during 2001 and provided an opportunity for teachers, Aboriginal educators, parents and communities to develop a local program of numeracy development. The program was the extended Schedule for Early Number Assessment (</w:t>
                            </w:r>
                            <w:proofErr w:type="spellStart"/>
                            <w:r w:rsidRPr="00C92BDD">
                              <w:t>SENA</w:t>
                            </w:r>
                            <w:proofErr w:type="spellEnd"/>
                            <w:r w:rsidRPr="00C92BDD">
                              <w:t>)</w:t>
                            </w:r>
                            <w:r>
                              <w:t>,</w:t>
                            </w:r>
                            <w:r w:rsidRPr="00C92BDD">
                              <w:t xml:space="preserve"> which provided a useful way for listening to Aboriginal children and learning about how they undertake certain mathematical problems. Adapting the </w:t>
                            </w:r>
                            <w:proofErr w:type="spellStart"/>
                            <w:r w:rsidRPr="00C92BDD">
                              <w:t>SENA</w:t>
                            </w:r>
                            <w:proofErr w:type="spellEnd"/>
                            <w:r w:rsidRPr="00C92BDD">
                              <w:t xml:space="preserve"> </w:t>
                            </w:r>
                            <w:r>
                              <w:t xml:space="preserve">and </w:t>
                            </w:r>
                            <w:r w:rsidRPr="00C92BDD">
                              <w:t xml:space="preserve">the activities in the program to meet the local needs of Aboriginal children and their communities increased the potential for learning in a </w:t>
                            </w:r>
                            <w:r>
                              <w:t>meaningful and relevant way.</w:t>
                            </w:r>
                          </w:p>
                          <w:p w:rsidR="000D30CF" w:rsidRPr="00C92BDD" w:rsidRDefault="000D30CF" w:rsidP="00165C59">
                            <w:pPr>
                              <w:pStyle w:val="Box"/>
                            </w:pPr>
                            <w:r w:rsidRPr="00C92BDD">
                              <w:t xml:space="preserve">Those schools who have managed to get their resources and programs organised around the approaches of </w:t>
                            </w:r>
                            <w:proofErr w:type="spellStart"/>
                            <w:r w:rsidRPr="00C92BDD">
                              <w:t>CMITI</w:t>
                            </w:r>
                            <w:proofErr w:type="spellEnd"/>
                            <w:r w:rsidRPr="00C92BDD">
                              <w:t xml:space="preserve"> have developed enthusiastic and coherent teams of educators</w:t>
                            </w:r>
                            <w:r>
                              <w:t>. Those</w:t>
                            </w:r>
                            <w:r w:rsidRPr="00C92BDD">
                              <w:t xml:space="preserve"> who involved their Aboriginal communities have </w:t>
                            </w:r>
                            <w:r>
                              <w:t>achiev</w:t>
                            </w:r>
                            <w:r w:rsidRPr="00C92BDD">
                              <w:t>ed continuing success for their students in te</w:t>
                            </w:r>
                            <w:r>
                              <w:t xml:space="preserve">rms of learning outcomes. </w:t>
                            </w:r>
                          </w:p>
                          <w:p w:rsidR="000D30CF" w:rsidRPr="00C92BDD" w:rsidRDefault="000D30CF" w:rsidP="00165C59">
                            <w:pPr>
                              <w:pStyle w:val="Box"/>
                            </w:pPr>
                            <w:r w:rsidRPr="00C92BDD">
                              <w:t xml:space="preserve">The evaluation of the </w:t>
                            </w:r>
                            <w:proofErr w:type="spellStart"/>
                            <w:r>
                              <w:t>CMITI</w:t>
                            </w:r>
                            <w:proofErr w:type="spellEnd"/>
                            <w:r>
                              <w:t xml:space="preserve"> </w:t>
                            </w:r>
                            <w:r w:rsidRPr="00C92BDD">
                              <w:t>program found that contextual learning was successful and critical, professional development for teachers was essential, effective relationships were vital and Aboriginal community buy-in was essential for ongoing success</w:t>
                            </w:r>
                            <w:r>
                              <w:t xml:space="preserve"> (Perry and Howard 2003)</w:t>
                            </w:r>
                            <w:r w:rsidRPr="00C92BDD">
                              <w:t>.</w:t>
                            </w:r>
                          </w:p>
                        </w:txbxContent>
                      </wps:txbx>
                      <wps:bodyPr rot="0" vert="horz" wrap="square" lIns="91440" tIns="45720" rIns="91440" bIns="45720" anchor="t" anchorCtr="0">
                        <a:noAutofit/>
                      </wps:bodyPr>
                    </wps:wsp>
                  </a:graphicData>
                </a:graphic>
              </wp:inline>
            </w:drawing>
          </mc:Choice>
          <mc:Fallback>
            <w:pict>
              <v:shape id="_x0000_s1027" type="#_x0000_t202" style="width:441.35pt;height:4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">
                <v:textbox>
                  <w:txbxContent>
                    <w:p w:rsidR="000D30CF" w:rsidRDefault="000D30CF" w:rsidP="00165C59">
                      <w:pPr>
                        <w:pStyle w:val="BoxTitle"/>
                      </w:pPr>
                      <w:r w:rsidRPr="00C9211D">
                        <w:t xml:space="preserve">Box </w:t>
                      </w:r>
                      <w:r>
                        <w:t>9.2</w:t>
                      </w:r>
                      <w:r>
                        <w:tab/>
                      </w:r>
                      <w:r w:rsidRPr="00EA1465">
                        <w:t xml:space="preserve">An excerpt from </w:t>
                      </w:r>
                      <w:r>
                        <w:t>the Clearinghouse assessed collection on</w:t>
                      </w:r>
                      <w:r w:rsidRPr="00EA1465">
                        <w:t xml:space="preserve"> </w:t>
                      </w:r>
                      <w:r>
                        <w:t>the ‘Count Me In Too’ Indigenous program</w:t>
                      </w:r>
                    </w:p>
                    <w:p w:rsidR="000D30CF" w:rsidRPr="004A28B8" w:rsidRDefault="000D30CF" w:rsidP="00165C59">
                      <w:pPr>
                        <w:pStyle w:val="Box"/>
                        <w:rPr>
                          <w:color w:val="000000"/>
                          <w:sz w:val="20"/>
                        </w:rPr>
                      </w:pPr>
                      <w:r>
                        <w:t>The Count Me In Too Indigenous (</w:t>
                      </w:r>
                      <w:proofErr w:type="spellStart"/>
                      <w:r w:rsidRPr="00C92BDD">
                        <w:t>CMITI</w:t>
                      </w:r>
                      <w:proofErr w:type="spellEnd"/>
                      <w:r>
                        <w:t>) program</w:t>
                      </w:r>
                      <w:r w:rsidRPr="00C92BDD">
                        <w:t xml:space="preserve"> was introduced into five primary schools in N</w:t>
                      </w:r>
                      <w:r>
                        <w:t xml:space="preserve">ew </w:t>
                      </w:r>
                      <w:r w:rsidRPr="00C92BDD">
                        <w:t>S</w:t>
                      </w:r>
                      <w:r>
                        <w:t xml:space="preserve">outh </w:t>
                      </w:r>
                      <w:r w:rsidRPr="00C92BDD">
                        <w:t>W</w:t>
                      </w:r>
                      <w:r>
                        <w:t>ales</w:t>
                      </w:r>
                      <w:r w:rsidRPr="00C92BDD">
                        <w:t xml:space="preserve"> during 2001 and provided an opportunity for teachers, Aboriginal educators, parents and communities to develop a local program of numeracy development. The program was the extended Schedule for Early Number Assessment (</w:t>
                      </w:r>
                      <w:proofErr w:type="spellStart"/>
                      <w:r w:rsidRPr="00C92BDD">
                        <w:t>SENA</w:t>
                      </w:r>
                      <w:proofErr w:type="spellEnd"/>
                      <w:r w:rsidRPr="00C92BDD">
                        <w:t>)</w:t>
                      </w:r>
                      <w:r>
                        <w:t>,</w:t>
                      </w:r>
                      <w:r w:rsidRPr="00C92BDD">
                        <w:t xml:space="preserve"> which provided a useful way for listening to Aboriginal children and learning about how they undertake certain mathematical problems. Adapting the </w:t>
                      </w:r>
                      <w:proofErr w:type="spellStart"/>
                      <w:r w:rsidRPr="00C92BDD">
                        <w:t>SENA</w:t>
                      </w:r>
                      <w:proofErr w:type="spellEnd"/>
                      <w:r w:rsidRPr="00C92BDD">
                        <w:t xml:space="preserve"> </w:t>
                      </w:r>
                      <w:r>
                        <w:t xml:space="preserve">and </w:t>
                      </w:r>
                      <w:r w:rsidRPr="00C92BDD">
                        <w:t xml:space="preserve">the activities in the program to meet the local needs of Aboriginal children and their communities increased the potential for learning in a </w:t>
                      </w:r>
                      <w:r>
                        <w:t>meaningful and relevant way.</w:t>
                      </w:r>
                    </w:p>
                    <w:p w:rsidR="000D30CF" w:rsidRPr="00C92BDD" w:rsidRDefault="000D30CF" w:rsidP="00165C59">
                      <w:pPr>
                        <w:pStyle w:val="Box"/>
                      </w:pPr>
                      <w:r w:rsidRPr="00C92BDD">
                        <w:t xml:space="preserve">Those schools who have managed to get their resources and programs organised around the approaches of </w:t>
                      </w:r>
                      <w:proofErr w:type="spellStart"/>
                      <w:r w:rsidRPr="00C92BDD">
                        <w:t>CMITI</w:t>
                      </w:r>
                      <w:proofErr w:type="spellEnd"/>
                      <w:r w:rsidRPr="00C92BDD">
                        <w:t xml:space="preserve"> have developed enthusiastic and coherent teams of educators</w:t>
                      </w:r>
                      <w:r>
                        <w:t>. Those</w:t>
                      </w:r>
                      <w:r w:rsidRPr="00C92BDD">
                        <w:t xml:space="preserve"> who involved their Aboriginal communities have </w:t>
                      </w:r>
                      <w:r>
                        <w:t>achiev</w:t>
                      </w:r>
                      <w:r w:rsidRPr="00C92BDD">
                        <w:t>ed continuing success for their students in te</w:t>
                      </w:r>
                      <w:r>
                        <w:t xml:space="preserve">rms of learning outcomes. </w:t>
                      </w:r>
                    </w:p>
                    <w:p w:rsidR="000D30CF" w:rsidRPr="00C92BDD" w:rsidRDefault="000D30CF" w:rsidP="00165C59">
                      <w:pPr>
                        <w:pStyle w:val="Box"/>
                      </w:pPr>
                      <w:r w:rsidRPr="00C92BDD">
                        <w:t xml:space="preserve">The evaluation of the </w:t>
                      </w:r>
                      <w:proofErr w:type="spellStart"/>
                      <w:r>
                        <w:t>CMITI</w:t>
                      </w:r>
                      <w:proofErr w:type="spellEnd"/>
                      <w:r>
                        <w:t xml:space="preserve"> </w:t>
                      </w:r>
                      <w:r w:rsidRPr="00C92BDD">
                        <w:t>program found that contextual learning was successful and critical, professional development for teachers was essential, effective relationships were vital and Aboriginal community buy-in was essential for ongoing success</w:t>
                      </w:r>
                      <w:r>
                        <w:t xml:space="preserve"> (Perry and Howard 2003)</w:t>
                      </w:r>
                      <w:r w:rsidRPr="00C92BDD">
                        <w:t>.</w:t>
                      </w:r>
                    </w:p>
                  </w:txbxContent>
                </v:textbox>
                <w10:anchorlock/>
              </v:shape>
            </w:pict>
          </mc:Fallback>
        </mc:AlternateContent>
      </w:r>
    </w:p>
    <w:p w:rsidR="00F52CAD" w:rsidRPr="004172A0" w:rsidRDefault="00F52CAD" w:rsidP="00F52CAD">
      <w:pPr>
        <w:pStyle w:val="BoxSpaceBelow"/>
      </w:pPr>
    </w:p>
    <w:p w:rsidR="00AC614F" w:rsidRPr="004172A0" w:rsidRDefault="00AC614F" w:rsidP="00E027CB">
      <w:pPr>
        <w:pStyle w:val="Heading4"/>
      </w:pPr>
      <w:r w:rsidRPr="004172A0">
        <w:lastRenderedPageBreak/>
        <w:t>What doesn</w:t>
      </w:r>
      <w:r w:rsidR="004172A0" w:rsidRPr="004172A0">
        <w:t>’</w:t>
      </w:r>
      <w:r w:rsidRPr="004172A0">
        <w:t>t work</w:t>
      </w:r>
    </w:p>
    <w:p w:rsidR="00AC614F" w:rsidRPr="004172A0" w:rsidRDefault="004172A0" w:rsidP="003501B5">
      <w:pPr>
        <w:pStyle w:val="ListBullet"/>
      </w:pPr>
      <w:r w:rsidRPr="004172A0">
        <w:t>‘</w:t>
      </w:r>
      <w:r w:rsidR="00AC614F" w:rsidRPr="004172A0">
        <w:t>One size fits all</w:t>
      </w:r>
      <w:r w:rsidRPr="004172A0">
        <w:t>’</w:t>
      </w:r>
      <w:r w:rsidR="00AC614F" w:rsidRPr="004172A0">
        <w:t xml:space="preserve"> approaches</w:t>
      </w:r>
      <w:r w:rsidR="00984808">
        <w:t xml:space="preserve"> </w:t>
      </w:r>
      <w:r w:rsidR="00B63720">
        <w:t>—</w:t>
      </w:r>
      <w:r w:rsidR="00984808">
        <w:t xml:space="preserve"> </w:t>
      </w:r>
      <w:r w:rsidR="00B63720">
        <w:t>f</w:t>
      </w:r>
      <w:r w:rsidR="00AC614F" w:rsidRPr="004172A0">
        <w:t>or example, residential treatment for alcohol and other drugs dependency is generally not more effective than non-residential treatment. However, evidence indicates that residential treatment is more effective for clients with more severe deterioration, less social stability and high relapse risk (</w:t>
      </w:r>
      <w:proofErr w:type="spellStart"/>
      <w:r w:rsidR="00AC614F" w:rsidRPr="004172A0">
        <w:t>Gray</w:t>
      </w:r>
      <w:proofErr w:type="spellEnd"/>
      <w:r w:rsidR="00314EDE">
        <w:t xml:space="preserve"> </w:t>
      </w:r>
      <w:r w:rsidR="00B63720">
        <w:t xml:space="preserve">and </w:t>
      </w:r>
      <w:r w:rsidR="00AC614F" w:rsidRPr="004172A0">
        <w:t>Wilkes 2010).</w:t>
      </w:r>
    </w:p>
    <w:p w:rsidR="00AC614F" w:rsidRPr="004172A0" w:rsidRDefault="00AC614F" w:rsidP="003501B5">
      <w:pPr>
        <w:pStyle w:val="ListBullet"/>
      </w:pPr>
      <w:r w:rsidRPr="004172A0">
        <w:t>Lack of collaboration and poor access to services</w:t>
      </w:r>
      <w:r w:rsidR="00984808">
        <w:t xml:space="preserve"> </w:t>
      </w:r>
      <w:r w:rsidR="00B63720">
        <w:t>—</w:t>
      </w:r>
      <w:r w:rsidR="00984808">
        <w:t xml:space="preserve"> </w:t>
      </w:r>
      <w:r w:rsidR="00B63720">
        <w:t>f</w:t>
      </w:r>
      <w:r w:rsidRPr="004172A0">
        <w:t>or example, successful interventions require the integration of health services to provide continuity of care, community involvement and local leadership in health-care delivery and culturally appropriate mainstream services. These steps help to ensure the suitability and availability of services, which can thereby improve access by Indigenous Australians</w:t>
      </w:r>
      <w:r w:rsidRPr="004172A0">
        <w:rPr>
          <w:color w:val="1F497D"/>
        </w:rPr>
        <w:t xml:space="preserve"> </w:t>
      </w:r>
      <w:r w:rsidRPr="004172A0">
        <w:t>(</w:t>
      </w:r>
      <w:proofErr w:type="spellStart"/>
      <w:r w:rsidRPr="004172A0">
        <w:t>Gray</w:t>
      </w:r>
      <w:proofErr w:type="spellEnd"/>
      <w:r w:rsidRPr="004172A0">
        <w:t xml:space="preserve"> </w:t>
      </w:r>
      <w:r w:rsidR="00B63720">
        <w:t>and</w:t>
      </w:r>
      <w:r w:rsidRPr="004172A0">
        <w:t xml:space="preserve"> Wilkes 2010</w:t>
      </w:r>
      <w:r w:rsidR="00314EDE">
        <w:t>;</w:t>
      </w:r>
      <w:r w:rsidRPr="004172A0">
        <w:t xml:space="preserve"> Rowley </w:t>
      </w:r>
      <w:r w:rsidRPr="00DD5F75">
        <w:rPr>
          <w:i/>
        </w:rPr>
        <w:t>et</w:t>
      </w:r>
      <w:r w:rsidR="00314EDE" w:rsidRPr="00DD5F75">
        <w:rPr>
          <w:i/>
        </w:rPr>
        <w:t xml:space="preserve"> a</w:t>
      </w:r>
      <w:r w:rsidRPr="00DD5F75">
        <w:rPr>
          <w:i/>
        </w:rPr>
        <w:t>l</w:t>
      </w:r>
      <w:r w:rsidR="00314EDE">
        <w:t>.</w:t>
      </w:r>
      <w:r w:rsidRPr="004172A0">
        <w:t xml:space="preserve"> 2000).</w:t>
      </w:r>
    </w:p>
    <w:p w:rsidR="00AC614F" w:rsidRPr="004172A0" w:rsidRDefault="00AC614F" w:rsidP="003501B5">
      <w:pPr>
        <w:pStyle w:val="ListBullet"/>
      </w:pPr>
      <w:r w:rsidRPr="004172A0">
        <w:t>Interventions without local Indigenous community control and culturally appropriate adaptation</w:t>
      </w:r>
      <w:r w:rsidR="00984808">
        <w:t xml:space="preserve"> </w:t>
      </w:r>
      <w:r w:rsidR="00B63720">
        <w:t>—</w:t>
      </w:r>
      <w:r w:rsidR="00984808">
        <w:t xml:space="preserve"> </w:t>
      </w:r>
      <w:r w:rsidR="00B63720">
        <w:t>f</w:t>
      </w:r>
      <w:r w:rsidRPr="004172A0">
        <w:t xml:space="preserve">or example, evidence indicated external imposition of </w:t>
      </w:r>
      <w:r w:rsidR="004172A0" w:rsidRPr="004172A0">
        <w:t>‘</w:t>
      </w:r>
      <w:r w:rsidRPr="004172A0">
        <w:t>local dry area bans</w:t>
      </w:r>
      <w:r w:rsidR="004172A0" w:rsidRPr="004172A0">
        <w:t>’</w:t>
      </w:r>
      <w:r w:rsidRPr="004172A0">
        <w:t xml:space="preserve"> (where consumption of alcohol is prohibited within a set distance of licensed premises) was ineffective and only served to move the site of public drinking, often to areas where the risk of harm was greater (</w:t>
      </w:r>
      <w:proofErr w:type="spellStart"/>
      <w:r w:rsidRPr="004172A0">
        <w:t>Gray</w:t>
      </w:r>
      <w:proofErr w:type="spellEnd"/>
      <w:r w:rsidRPr="004172A0">
        <w:t xml:space="preserve"> </w:t>
      </w:r>
      <w:r w:rsidR="00B63720">
        <w:t xml:space="preserve">and </w:t>
      </w:r>
      <w:r w:rsidRPr="004172A0">
        <w:t>Wilkes 2010).</w:t>
      </w:r>
    </w:p>
    <w:p w:rsidR="00AC614F" w:rsidRPr="004172A0" w:rsidRDefault="00AC614F" w:rsidP="003501B5">
      <w:pPr>
        <w:pStyle w:val="ListBullet"/>
      </w:pPr>
      <w:r w:rsidRPr="004172A0">
        <w:t>Short-term, one-off funding, piecemeal interventions, provision of services in isolation and failure to develop Indigenous capacity to provide services (</w:t>
      </w:r>
      <w:proofErr w:type="spellStart"/>
      <w:r w:rsidRPr="004172A0">
        <w:t>Helme</w:t>
      </w:r>
      <w:proofErr w:type="spellEnd"/>
      <w:r w:rsidRPr="004172A0">
        <w:t xml:space="preserve"> </w:t>
      </w:r>
      <w:r w:rsidR="00314EDE">
        <w:t>and</w:t>
      </w:r>
      <w:r w:rsidRPr="004172A0">
        <w:t xml:space="preserve"> Lamb 2011</w:t>
      </w:r>
      <w:r w:rsidR="00314EDE">
        <w:t>;</w:t>
      </w:r>
      <w:r w:rsidRPr="004172A0">
        <w:t xml:space="preserve"> </w:t>
      </w:r>
      <w:proofErr w:type="spellStart"/>
      <w:r w:rsidRPr="004172A0">
        <w:t>Gray</w:t>
      </w:r>
      <w:proofErr w:type="spellEnd"/>
      <w:r w:rsidRPr="004172A0">
        <w:t xml:space="preserve"> and Wilkes 2010)</w:t>
      </w:r>
      <w:r w:rsidR="00984808">
        <w:t xml:space="preserve"> </w:t>
      </w:r>
      <w:r w:rsidR="00B63720">
        <w:t>—</w:t>
      </w:r>
      <w:r w:rsidR="00984808">
        <w:t xml:space="preserve"> </w:t>
      </w:r>
      <w:r w:rsidR="00B63720">
        <w:t>f</w:t>
      </w:r>
      <w:r w:rsidRPr="004172A0">
        <w:t>or example, a one-off health assessment with community feedback and an increase in health service use was unlikely to produce long-term health benefits and improvements. An ongoing focus on community development and sustained population health intervention are needed (</w:t>
      </w:r>
      <w:proofErr w:type="spellStart"/>
      <w:r w:rsidRPr="004172A0">
        <w:t>Gracey</w:t>
      </w:r>
      <w:proofErr w:type="spellEnd"/>
      <w:r w:rsidRPr="004172A0">
        <w:t xml:space="preserve"> </w:t>
      </w:r>
      <w:r w:rsidRPr="00AD7A53">
        <w:rPr>
          <w:i/>
        </w:rPr>
        <w:t>et al</w:t>
      </w:r>
      <w:r w:rsidRPr="004172A0">
        <w:t>. 2006).</w:t>
      </w:r>
    </w:p>
    <w:p w:rsidR="00AC614F" w:rsidRPr="004172A0" w:rsidRDefault="006609ED" w:rsidP="00E027CB">
      <w:pPr>
        <w:pStyle w:val="Heading2"/>
      </w:pPr>
      <w:r>
        <w:t>9.6</w:t>
      </w:r>
      <w:r w:rsidR="000E498A" w:rsidRPr="004172A0">
        <w:tab/>
      </w:r>
      <w:r w:rsidR="00AC614F" w:rsidRPr="004172A0">
        <w:t>Clearinghouse products</w:t>
      </w:r>
      <w:r w:rsidR="00435A09">
        <w:t>—communication strategies</w:t>
      </w:r>
    </w:p>
    <w:p w:rsidR="00AC614F" w:rsidRPr="004172A0" w:rsidRDefault="00AC614F" w:rsidP="00165C59">
      <w:pPr>
        <w:pStyle w:val="BodyText"/>
      </w:pPr>
      <w:r w:rsidRPr="004172A0">
        <w:t xml:space="preserve">While </w:t>
      </w:r>
      <w:r w:rsidR="00B63720">
        <w:t xml:space="preserve">the Clearinghouse focuses </w:t>
      </w:r>
      <w:r w:rsidR="00745D3F">
        <w:t xml:space="preserve">to </w:t>
      </w:r>
      <w:r w:rsidRPr="004172A0">
        <w:t xml:space="preserve">a considerable </w:t>
      </w:r>
      <w:r w:rsidR="00745D3F">
        <w:t xml:space="preserve">extent </w:t>
      </w:r>
      <w:r w:rsidRPr="004172A0">
        <w:t xml:space="preserve">on collecting, assessing and improving the evidence, equally as important is the relevance </w:t>
      </w:r>
      <w:r w:rsidR="00745D3F">
        <w:t xml:space="preserve">of that evidence to </w:t>
      </w:r>
      <w:r w:rsidRPr="004172A0">
        <w:t xml:space="preserve">policymakers and </w:t>
      </w:r>
      <w:r w:rsidR="00B63720">
        <w:t xml:space="preserve">how </w:t>
      </w:r>
      <w:r w:rsidR="00745D3F">
        <w:t xml:space="preserve">results are communicated </w:t>
      </w:r>
      <w:r w:rsidRPr="004172A0">
        <w:t>so that they are understood by the people who need to act on the evidence.</w:t>
      </w:r>
      <w:r w:rsidR="004172A0" w:rsidRPr="004172A0">
        <w:t xml:space="preserve"> </w:t>
      </w:r>
    </w:p>
    <w:p w:rsidR="00AC614F" w:rsidRPr="004172A0" w:rsidRDefault="00F52CAD" w:rsidP="00165C59">
      <w:pPr>
        <w:pStyle w:val="BodyText"/>
      </w:pPr>
      <w:r>
        <w:t>A</w:t>
      </w:r>
      <w:r w:rsidR="00AC614F" w:rsidRPr="004172A0">
        <w:t xml:space="preserve"> key challenge for the Clearinghouse is to obtain a better match between the research that government wants and what researchers produce. Edwards (2010) summarised the multiple steps involved in this complex relationship between research use and public policy: what is meant by research use, the forms that it can take, the factors that might affect it, </w:t>
      </w:r>
      <w:r w:rsidR="00745D3F">
        <w:t xml:space="preserve">and </w:t>
      </w:r>
      <w:r w:rsidR="00AC614F" w:rsidRPr="004172A0">
        <w:t xml:space="preserve">the relative merits of different research </w:t>
      </w:r>
      <w:r w:rsidR="00AC614F" w:rsidRPr="004172A0">
        <w:lastRenderedPageBreak/>
        <w:t>strategies.</w:t>
      </w:r>
      <w:r w:rsidR="004172A0" w:rsidRPr="004172A0">
        <w:t xml:space="preserve"> </w:t>
      </w:r>
      <w:r w:rsidR="00AC614F" w:rsidRPr="004172A0">
        <w:t xml:space="preserve">One of the suggested mechanisms to ensure that Clearinghouse products are policy relevant </w:t>
      </w:r>
      <w:r w:rsidR="00745D3F">
        <w:t xml:space="preserve">is </w:t>
      </w:r>
      <w:r w:rsidR="0077668B">
        <w:t>through</w:t>
      </w:r>
      <w:r w:rsidR="00745D3F">
        <w:t xml:space="preserve"> </w:t>
      </w:r>
      <w:r w:rsidR="00AC614F" w:rsidRPr="004172A0">
        <w:t xml:space="preserve">a forum or workshop </w:t>
      </w:r>
      <w:r w:rsidR="0077668B">
        <w:t>involving</w:t>
      </w:r>
      <w:r w:rsidR="00AC614F" w:rsidRPr="004172A0">
        <w:t xml:space="preserve"> policy</w:t>
      </w:r>
      <w:r w:rsidR="0077668B">
        <w:t>-</w:t>
      </w:r>
      <w:r w:rsidR="00AC614F" w:rsidRPr="004172A0">
        <w:t>makers, authors and service providers. This allows early input from all parties to identify how government</w:t>
      </w:r>
      <w:r w:rsidR="00745D3F">
        <w:t>s</w:t>
      </w:r>
      <w:r w:rsidR="00AC614F" w:rsidRPr="004172A0">
        <w:t xml:space="preserve"> can use the research and the key</w:t>
      </w:r>
      <w:r w:rsidR="00165C59" w:rsidRPr="004172A0">
        <w:t xml:space="preserve"> issues from </w:t>
      </w:r>
      <w:r w:rsidR="0077668B">
        <w:t>all</w:t>
      </w:r>
      <w:r w:rsidR="00165C59" w:rsidRPr="004172A0">
        <w:t xml:space="preserve"> perspective</w:t>
      </w:r>
      <w:r w:rsidR="00745D3F">
        <w:t>s</w:t>
      </w:r>
      <w:r w:rsidR="00165C59" w:rsidRPr="004172A0">
        <w:t>.</w:t>
      </w:r>
    </w:p>
    <w:p w:rsidR="00165C59" w:rsidRDefault="009A6E7A" w:rsidP="00165C59">
      <w:pPr>
        <w:pStyle w:val="BodyText"/>
      </w:pPr>
      <w:r>
        <w:rPr>
          <w:noProof/>
        </w:rPr>
        <mc:AlternateContent>
          <mc:Choice Requires="wps">
            <w:drawing>
              <wp:inline distT="0" distB="0" distL="0" distR="0">
                <wp:extent cx="5608955" cy="3450566"/>
                <wp:effectExtent l="0" t="0" r="10795" b="17145"/>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3450566"/>
                        </a:xfrm>
                        <a:prstGeom prst="rect">
                          <a:avLst/>
                        </a:prstGeom>
                        <a:solidFill>
                          <a:srgbClr val="FFFFFF"/>
                        </a:solidFill>
                        <a:ln w="9525">
                          <a:solidFill>
                            <a:srgbClr val="000000"/>
                          </a:solidFill>
                          <a:miter lim="800000"/>
                          <a:headEnd/>
                          <a:tailEnd/>
                        </a:ln>
                      </wps:spPr>
                      <wps:txbx>
                        <w:txbxContent>
                          <w:p w:rsidR="000D30CF" w:rsidRDefault="000D30CF" w:rsidP="00165C59">
                            <w:pPr>
                              <w:pStyle w:val="BoxTitle"/>
                            </w:pPr>
                            <w:r>
                              <w:t>B</w:t>
                            </w:r>
                            <w:r w:rsidRPr="00EA1465">
                              <w:t xml:space="preserve">ox </w:t>
                            </w:r>
                            <w:r>
                              <w:t>9.3</w:t>
                            </w:r>
                            <w:r>
                              <w:tab/>
                            </w:r>
                            <w:r w:rsidRPr="00EA1465">
                              <w:t xml:space="preserve">An excerpt from </w:t>
                            </w:r>
                            <w:r>
                              <w:t xml:space="preserve">the </w:t>
                            </w:r>
                            <w:r w:rsidRPr="00EA1465">
                              <w:t xml:space="preserve">Clearinghouse </w:t>
                            </w:r>
                            <w:r>
                              <w:t>resource sheet ‘</w:t>
                            </w:r>
                            <w:r w:rsidRPr="00EA1465">
                              <w:t>Pathways for Indigenous school leavers</w:t>
                            </w:r>
                            <w:r>
                              <w:t xml:space="preserve"> </w:t>
                            </w:r>
                            <w:r w:rsidRPr="00EA1465">
                              <w:t>to undertake training or gain employment</w:t>
                            </w:r>
                            <w:r>
                              <w:t xml:space="preserve">’ </w:t>
                            </w:r>
                          </w:p>
                          <w:p w:rsidR="000D30CF" w:rsidRPr="00334D61" w:rsidRDefault="000D30CF" w:rsidP="00F52CAD">
                            <w:pPr>
                              <w:pStyle w:val="BoxHeading2"/>
                            </w:pPr>
                            <w:r w:rsidRPr="00334D61">
                              <w:t>What works</w:t>
                            </w:r>
                          </w:p>
                          <w:p w:rsidR="000D30CF" w:rsidRPr="00275E39" w:rsidRDefault="000D30CF" w:rsidP="0077668B">
                            <w:pPr>
                              <w:pStyle w:val="Box"/>
                            </w:pPr>
                            <w:r w:rsidRPr="00275E39">
                              <w:t>Enhancing the potential productivity of the Indigenous workforce by facilitating training and education is the policy most likely to be effective. Accordingly, it is important to first overcome barriers to Indigenous participation in education and training. The recognition of diverse and distinct cultural and social life experiences of Indigenous school-leavers is crucial.</w:t>
                            </w:r>
                          </w:p>
                          <w:p w:rsidR="000D30CF" w:rsidRPr="00275E39" w:rsidRDefault="000D30CF" w:rsidP="0077668B">
                            <w:pPr>
                              <w:pStyle w:val="Box"/>
                            </w:pPr>
                            <w:r w:rsidRPr="00275E39">
                              <w:t>There are good theo</w:t>
                            </w:r>
                            <w:r>
                              <w:t>retical reasons to expect that I</w:t>
                            </w:r>
                            <w:r w:rsidRPr="00275E39">
                              <w:t>ndigenous input is imperative for all activities aimed at increasing indigenous participation in programs and hence their effect. This principle holds for schools, university/VET sectors and labour market programs. The evidence on outcomes is consistent with the benefits of Indigenous participation in program design, but the existing evaluations are largely descriptive.</w:t>
                            </w:r>
                          </w:p>
                          <w:p w:rsidR="000D30CF" w:rsidRDefault="000D30CF" w:rsidP="0077668B">
                            <w:pPr>
                              <w:pStyle w:val="Box"/>
                            </w:pPr>
                            <w:r w:rsidRPr="00275E39">
                              <w:t xml:space="preserve">Among labour market programs, wage subsidy programs are consistently identified as having the best outcomes </w:t>
                            </w:r>
                            <w:r>
                              <w:t>for Indigenous job seekers (Hunter 2010).</w:t>
                            </w:r>
                          </w:p>
                        </w:txbxContent>
                      </wps:txbx>
                      <wps:bodyPr rot="0" vert="horz" wrap="square" lIns="91440" tIns="45720" rIns="91440" bIns="45720" anchor="t" anchorCtr="0" upright="1">
                        <a:noAutofit/>
                      </wps:bodyPr>
                    </wps:wsp>
                  </a:graphicData>
                </a:graphic>
              </wp:inline>
            </w:drawing>
          </mc:Choice>
          <mc:Fallback>
            <w:pict>
              <v:shape id="Text Box 10" o:spid="_x0000_s1028" type="#_x0000_t202" style="width:441.65pt;height:27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">
                <v:textbox>
                  <w:txbxContent>
                    <w:p w:rsidR="000D30CF" w:rsidRDefault="000D30CF" w:rsidP="00165C59">
                      <w:pPr>
                        <w:pStyle w:val="BoxTitle"/>
                      </w:pPr>
                      <w:r>
                        <w:t>B</w:t>
                      </w:r>
                      <w:r w:rsidRPr="00EA1465">
                        <w:t xml:space="preserve">ox </w:t>
                      </w:r>
                      <w:r>
                        <w:t>9.3</w:t>
                      </w:r>
                      <w:r>
                        <w:tab/>
                      </w:r>
                      <w:r w:rsidRPr="00EA1465">
                        <w:t xml:space="preserve">An excerpt from </w:t>
                      </w:r>
                      <w:r>
                        <w:t xml:space="preserve">the </w:t>
                      </w:r>
                      <w:r w:rsidRPr="00EA1465">
                        <w:t xml:space="preserve">Clearinghouse </w:t>
                      </w:r>
                      <w:r>
                        <w:t>resource sheet ‘</w:t>
                      </w:r>
                      <w:r w:rsidRPr="00EA1465">
                        <w:t>Pathways for Indigenous school leavers</w:t>
                      </w:r>
                      <w:r>
                        <w:t xml:space="preserve"> </w:t>
                      </w:r>
                      <w:r w:rsidRPr="00EA1465">
                        <w:t>to undertake training or gain employment</w:t>
                      </w:r>
                      <w:r>
                        <w:t xml:space="preserve">’ </w:t>
                      </w:r>
                    </w:p>
                    <w:p w:rsidR="000D30CF" w:rsidRPr="00334D61" w:rsidRDefault="000D30CF" w:rsidP="00F52CAD">
                      <w:pPr>
                        <w:pStyle w:val="BoxHeading2"/>
                      </w:pPr>
                      <w:r w:rsidRPr="00334D61">
                        <w:t>What works</w:t>
                      </w:r>
                    </w:p>
                    <w:p w:rsidR="000D30CF" w:rsidRPr="00275E39" w:rsidRDefault="000D30CF" w:rsidP="0077668B">
                      <w:pPr>
                        <w:pStyle w:val="Box"/>
                      </w:pPr>
                      <w:r w:rsidRPr="00275E39">
                        <w:t>Enhancing the potential productivity of the Indigenous workforce by facilitating training and education is the policy most likely to be effective. Accordingly, it is important to first overcome barriers to Indigenous participation in education and training. The recognition of diverse and distinct cultural and social life experiences of Indigenous school-leavers is crucial.</w:t>
                      </w:r>
                    </w:p>
                    <w:p w:rsidR="000D30CF" w:rsidRPr="00275E39" w:rsidRDefault="000D30CF" w:rsidP="0077668B">
                      <w:pPr>
                        <w:pStyle w:val="Box"/>
                      </w:pPr>
                      <w:r w:rsidRPr="00275E39">
                        <w:t>There are good theo</w:t>
                      </w:r>
                      <w:r>
                        <w:t>retical reasons to expect that I</w:t>
                      </w:r>
                      <w:r w:rsidRPr="00275E39">
                        <w:t>ndigenous input is imperative for all activities aimed at increasing indigenous participation in programs and hence their effect. This principle holds for schools, university/VET sectors and labour market programs. The evidence on outcomes is consistent with the benefits of Indigenous participation in program design, but the existing evaluations are largely descriptive.</w:t>
                      </w:r>
                    </w:p>
                    <w:p w:rsidR="000D30CF" w:rsidRDefault="000D30CF" w:rsidP="0077668B">
                      <w:pPr>
                        <w:pStyle w:val="Box"/>
                      </w:pPr>
                      <w:r w:rsidRPr="00275E39">
                        <w:t xml:space="preserve">Among labour market programs, wage subsidy programs are consistently identified as having the best outcomes </w:t>
                      </w:r>
                      <w:r>
                        <w:t>for Indigenous job seekers (Hunter 2010).</w:t>
                      </w:r>
                    </w:p>
                  </w:txbxContent>
                </v:textbox>
                <w10:anchorlock/>
              </v:shape>
            </w:pict>
          </mc:Fallback>
        </mc:AlternateContent>
      </w:r>
    </w:p>
    <w:p w:rsidR="0077668B" w:rsidRPr="004172A0" w:rsidRDefault="0077668B" w:rsidP="0077668B">
      <w:pPr>
        <w:pStyle w:val="BoxSpaceBelow"/>
      </w:pPr>
    </w:p>
    <w:p w:rsidR="00AC614F" w:rsidRPr="004172A0" w:rsidRDefault="00AC614F" w:rsidP="00165C59">
      <w:pPr>
        <w:pStyle w:val="BodyText"/>
      </w:pPr>
      <w:r w:rsidRPr="004172A0">
        <w:t xml:space="preserve">Many of the communication strategies that the </w:t>
      </w:r>
      <w:proofErr w:type="spellStart"/>
      <w:r w:rsidRPr="004172A0">
        <w:t>AIHW</w:t>
      </w:r>
      <w:proofErr w:type="spellEnd"/>
      <w:r w:rsidRPr="004172A0">
        <w:t xml:space="preserve"> uses more generally across its range of products have been adopted by the Clearinghouse</w:t>
      </w:r>
      <w:r w:rsidR="00435A09">
        <w:t>; for example</w:t>
      </w:r>
      <w:r w:rsidRPr="004172A0">
        <w:t xml:space="preserve">, free access to information, crisp presentation of information and drawing out </w:t>
      </w:r>
      <w:r w:rsidR="00435A09">
        <w:t xml:space="preserve">of </w:t>
      </w:r>
      <w:r w:rsidRPr="004172A0">
        <w:t>key themes and messages for a range of audiences</w:t>
      </w:r>
      <w:r w:rsidR="0077668B">
        <w:t>,</w:t>
      </w:r>
      <w:r w:rsidRPr="004172A0">
        <w:t xml:space="preserve"> through a range of communication approaches. </w:t>
      </w:r>
    </w:p>
    <w:p w:rsidR="00AC614F" w:rsidRPr="004172A0" w:rsidRDefault="00AC614F" w:rsidP="00165C59">
      <w:pPr>
        <w:pStyle w:val="BodyText"/>
      </w:pPr>
      <w:r w:rsidRPr="004172A0">
        <w:t xml:space="preserve">All </w:t>
      </w:r>
      <w:r w:rsidR="00910C08" w:rsidRPr="004172A0">
        <w:t xml:space="preserve">Clearinghouse </w:t>
      </w:r>
      <w:r w:rsidRPr="004172A0">
        <w:t xml:space="preserve">products are published </w:t>
      </w:r>
      <w:proofErr w:type="spellStart"/>
      <w:r w:rsidRPr="004172A0">
        <w:t>on</w:t>
      </w:r>
      <w:r w:rsidR="0077668B">
        <w:t>-</w:t>
      </w:r>
      <w:r w:rsidRPr="004172A0">
        <w:t>line</w:t>
      </w:r>
      <w:proofErr w:type="spellEnd"/>
      <w:r w:rsidRPr="004172A0">
        <w:t xml:space="preserve"> and are accompanied by media releases highlighting key messages. </w:t>
      </w:r>
      <w:r w:rsidR="0077668B">
        <w:t>T</w:t>
      </w:r>
      <w:r w:rsidRPr="004172A0">
        <w:t>hey all have a simple summary message</w:t>
      </w:r>
      <w:r w:rsidR="00435A09">
        <w:t>,</w:t>
      </w:r>
      <w:r w:rsidRPr="004172A0">
        <w:t xml:space="preserve"> using the headings: </w:t>
      </w:r>
      <w:r w:rsidR="00435A09">
        <w:t>‘</w:t>
      </w:r>
      <w:r w:rsidR="00435A09" w:rsidRPr="004172A0">
        <w:t xml:space="preserve">What </w:t>
      </w:r>
      <w:r w:rsidRPr="004172A0">
        <w:t>we know</w:t>
      </w:r>
      <w:r w:rsidR="00435A09">
        <w:t>’</w:t>
      </w:r>
      <w:r w:rsidRPr="004172A0">
        <w:t xml:space="preserve">, </w:t>
      </w:r>
      <w:r w:rsidR="00435A09">
        <w:t>‘</w:t>
      </w:r>
      <w:r w:rsidR="00435A09" w:rsidRPr="004172A0">
        <w:t xml:space="preserve">What </w:t>
      </w:r>
      <w:r w:rsidRPr="004172A0">
        <w:t>works</w:t>
      </w:r>
      <w:r w:rsidR="00435A09">
        <w:t>’</w:t>
      </w:r>
      <w:r w:rsidRPr="004172A0">
        <w:t xml:space="preserve">, </w:t>
      </w:r>
      <w:r w:rsidR="00435A09">
        <w:t>‘</w:t>
      </w:r>
      <w:r w:rsidR="00435A09" w:rsidRPr="004172A0">
        <w:t xml:space="preserve">What </w:t>
      </w:r>
      <w:r w:rsidRPr="004172A0">
        <w:t>doesn</w:t>
      </w:r>
      <w:r w:rsidR="004172A0" w:rsidRPr="004172A0">
        <w:t>’</w:t>
      </w:r>
      <w:r w:rsidRPr="004172A0">
        <w:t>t work</w:t>
      </w:r>
      <w:r w:rsidR="00435A09">
        <w:t>’</w:t>
      </w:r>
      <w:r w:rsidRPr="004172A0">
        <w:t xml:space="preserve"> and </w:t>
      </w:r>
      <w:r w:rsidR="00435A09">
        <w:t>‘</w:t>
      </w:r>
      <w:r w:rsidR="00435A09" w:rsidRPr="004172A0">
        <w:t xml:space="preserve">What </w:t>
      </w:r>
      <w:r w:rsidRPr="004172A0">
        <w:t>we don</w:t>
      </w:r>
      <w:r w:rsidR="004172A0" w:rsidRPr="004172A0">
        <w:t>’</w:t>
      </w:r>
      <w:r w:rsidRPr="004172A0">
        <w:t>t know</w:t>
      </w:r>
      <w:r w:rsidR="00435A09">
        <w:t>’</w:t>
      </w:r>
      <w:r w:rsidR="0077668B">
        <w:t xml:space="preserve"> (Box </w:t>
      </w:r>
      <w:r w:rsidR="00B16582">
        <w:t>9.</w:t>
      </w:r>
      <w:r w:rsidR="0077668B">
        <w:t>3 illustrates the ‘What works’ section of Resource sheet no. 2</w:t>
      </w:r>
      <w:r w:rsidR="00D52B94">
        <w:t>)</w:t>
      </w:r>
      <w:r w:rsidRPr="004172A0">
        <w:t xml:space="preserve">. This has been an important branding for the Clearinghouse. </w:t>
      </w:r>
    </w:p>
    <w:p w:rsidR="00AC614F" w:rsidRPr="004172A0" w:rsidRDefault="00AC614F" w:rsidP="00165C59">
      <w:pPr>
        <w:pStyle w:val="BodyText"/>
      </w:pPr>
      <w:r w:rsidRPr="004172A0">
        <w:t>During the first two years of its operation, Clearinghouse staff publicised its role, functions and expected outputs through jurisdiction visits and at conferences.</w:t>
      </w:r>
    </w:p>
    <w:p w:rsidR="00AC614F" w:rsidRPr="004172A0" w:rsidRDefault="00AC614F" w:rsidP="00165C59">
      <w:pPr>
        <w:pStyle w:val="BodyText"/>
      </w:pPr>
      <w:r w:rsidRPr="004172A0">
        <w:t xml:space="preserve">In 2012, the Clearinghouse instigated a series of public seminars to make key messages more accessible by providing a forum for discussion </w:t>
      </w:r>
      <w:r w:rsidR="00435A09">
        <w:t xml:space="preserve">among </w:t>
      </w:r>
      <w:r w:rsidRPr="004172A0">
        <w:t>academics, policy</w:t>
      </w:r>
      <w:r w:rsidR="00D52B94">
        <w:t>-</w:t>
      </w:r>
      <w:r w:rsidRPr="004172A0">
        <w:t xml:space="preserve">makers, Clearinghouse staff and other interested parties. The Clearinghouse </w:t>
      </w:r>
      <w:r w:rsidR="00435A09">
        <w:t>s</w:t>
      </w:r>
      <w:r w:rsidRPr="004172A0">
        <w:t xml:space="preserve">eminars are thematic, and are conducted in different capital cities across Australia. The seminar sessions include a panel of publication authors, a government </w:t>
      </w:r>
      <w:r w:rsidRPr="004172A0">
        <w:lastRenderedPageBreak/>
        <w:t xml:space="preserve">representative and a </w:t>
      </w:r>
      <w:r w:rsidR="00A42C7F">
        <w:t xml:space="preserve">member of the </w:t>
      </w:r>
      <w:r w:rsidRPr="004172A0">
        <w:t xml:space="preserve">Clearinghouse staff. The first of these seminar series focused on two topics: </w:t>
      </w:r>
      <w:r w:rsidR="00A42C7F">
        <w:t>‘</w:t>
      </w:r>
      <w:r w:rsidRPr="004172A0">
        <w:t>Increasing Indigenous employment rates</w:t>
      </w:r>
      <w:r w:rsidR="00A42C7F">
        <w:t>’</w:t>
      </w:r>
      <w:r w:rsidRPr="004172A0">
        <w:t xml:space="preserve"> (</w:t>
      </w:r>
      <w:proofErr w:type="spellStart"/>
      <w:r w:rsidRPr="004172A0">
        <w:t>Gray</w:t>
      </w:r>
      <w:proofErr w:type="spellEnd"/>
      <w:r w:rsidR="00AD7A53">
        <w:t xml:space="preserve"> </w:t>
      </w:r>
      <w:r w:rsidR="00AD7A53" w:rsidRPr="00AD7A53">
        <w:rPr>
          <w:i/>
        </w:rPr>
        <w:t>et al</w:t>
      </w:r>
      <w:r w:rsidR="00AD7A53">
        <w:t xml:space="preserve">. </w:t>
      </w:r>
      <w:r w:rsidRPr="004172A0">
        <w:t xml:space="preserve">2012) and </w:t>
      </w:r>
      <w:r w:rsidR="00A42C7F">
        <w:t>‘</w:t>
      </w:r>
      <w:r w:rsidRPr="004172A0">
        <w:t>Strategies to enhance employment of Indigenous ex</w:t>
      </w:r>
      <w:r w:rsidR="00D52B94">
        <w:noBreakHyphen/>
      </w:r>
      <w:r w:rsidRPr="004172A0">
        <w:t>offenders after release from correctional institutions</w:t>
      </w:r>
      <w:r w:rsidR="00A42C7F">
        <w:t>’</w:t>
      </w:r>
      <w:r w:rsidRPr="004172A0">
        <w:t xml:space="preserve"> (</w:t>
      </w:r>
      <w:proofErr w:type="spellStart"/>
      <w:r w:rsidRPr="004172A0">
        <w:t>Graffam</w:t>
      </w:r>
      <w:proofErr w:type="spellEnd"/>
      <w:r w:rsidRPr="004172A0">
        <w:t xml:space="preserve"> and </w:t>
      </w:r>
      <w:proofErr w:type="spellStart"/>
      <w:r w:rsidRPr="004172A0">
        <w:t>Shinkfield</w:t>
      </w:r>
      <w:proofErr w:type="spellEnd"/>
      <w:r w:rsidRPr="004172A0">
        <w:t xml:space="preserve"> 2012). Over 140 people attended the seminar in Canberra</w:t>
      </w:r>
      <w:r w:rsidR="00A42C7F">
        <w:t>,</w:t>
      </w:r>
      <w:r w:rsidRPr="004172A0">
        <w:t xml:space="preserve"> which included representatives from government departments (Commonwealth and A</w:t>
      </w:r>
      <w:r w:rsidR="00A42C7F">
        <w:t xml:space="preserve">ustralian </w:t>
      </w:r>
      <w:r w:rsidRPr="004172A0">
        <w:t>C</w:t>
      </w:r>
      <w:r w:rsidR="00A42C7F">
        <w:t xml:space="preserve">apital </w:t>
      </w:r>
      <w:r w:rsidRPr="004172A0">
        <w:t>T</w:t>
      </w:r>
      <w:r w:rsidR="00A42C7F">
        <w:t>erritory</w:t>
      </w:r>
      <w:r w:rsidRPr="004172A0">
        <w:t>) as well as participants</w:t>
      </w:r>
      <w:r w:rsidR="00A42C7F">
        <w:t xml:space="preserve"> from non-government organisations</w:t>
      </w:r>
      <w:r w:rsidRPr="004172A0">
        <w:t>. Two additional seminars on the same topics</w:t>
      </w:r>
      <w:r w:rsidR="004D59F5">
        <w:t>,</w:t>
      </w:r>
      <w:r w:rsidRPr="004172A0">
        <w:t xml:space="preserve"> held in Adelaide and Brisbane</w:t>
      </w:r>
      <w:r w:rsidR="004D59F5">
        <w:t>,</w:t>
      </w:r>
      <w:r w:rsidRPr="004172A0">
        <w:t xml:space="preserve"> were also well attended. </w:t>
      </w:r>
    </w:p>
    <w:p w:rsidR="00AC614F" w:rsidRPr="004172A0" w:rsidRDefault="00AC614F" w:rsidP="00165C59">
      <w:pPr>
        <w:pStyle w:val="BodyText"/>
      </w:pPr>
      <w:r w:rsidRPr="004172A0">
        <w:t xml:space="preserve">Clearinghouse staff and authors are also encouraged to present key findings at conferences and relevant forums as well as having </w:t>
      </w:r>
      <w:r w:rsidR="00A42C7F" w:rsidRPr="004172A0">
        <w:t xml:space="preserve">Clearinghouse </w:t>
      </w:r>
      <w:r w:rsidRPr="004172A0">
        <w:t>booths at these forums. The Clearinghouse has a quarterly newsletter and continues to promote subscriptions to e-newsletters at presentations and conferences. Currently</w:t>
      </w:r>
      <w:r w:rsidR="004D59F5">
        <w:t>,</w:t>
      </w:r>
      <w:r w:rsidRPr="004172A0">
        <w:t xml:space="preserve"> there are 4111 subscribers to e-newsletter. The </w:t>
      </w:r>
      <w:r w:rsidR="00910C08" w:rsidRPr="004172A0">
        <w:t xml:space="preserve">Clearinghouse </w:t>
      </w:r>
      <w:r w:rsidRPr="004172A0">
        <w:t>continues to assist the public with their enquiries through the Helpdesk (email and telephone).</w:t>
      </w:r>
    </w:p>
    <w:p w:rsidR="00AC614F" w:rsidRPr="004172A0" w:rsidRDefault="00AC614F" w:rsidP="00165C59">
      <w:pPr>
        <w:pStyle w:val="BodyText"/>
      </w:pPr>
      <w:r w:rsidRPr="004172A0">
        <w:t xml:space="preserve">One key question in this type of work is how to maximise the </w:t>
      </w:r>
      <w:r w:rsidR="00A42C7F">
        <w:t xml:space="preserve">impact of Clearinghouse evidence on </w:t>
      </w:r>
      <w:r w:rsidRPr="004172A0">
        <w:t>policy development. This is a complex question. Decision-making is a complex process and evidence is not the only factor contributing to policy</w:t>
      </w:r>
      <w:r w:rsidR="00D52B94">
        <w:t>-</w:t>
      </w:r>
      <w:r w:rsidRPr="004172A0">
        <w:t xml:space="preserve">making. </w:t>
      </w:r>
    </w:p>
    <w:p w:rsidR="00AC614F" w:rsidRPr="004172A0" w:rsidRDefault="00AC614F" w:rsidP="00165C59">
      <w:pPr>
        <w:pStyle w:val="BodyText"/>
      </w:pPr>
      <w:r w:rsidRPr="004172A0">
        <w:t xml:space="preserve">One of the continuing key challenges for the Clearinghouse is </w:t>
      </w:r>
      <w:r w:rsidR="00A42C7F">
        <w:t xml:space="preserve">to </w:t>
      </w:r>
      <w:r w:rsidRPr="004172A0">
        <w:t xml:space="preserve">ensure that government departments provide the </w:t>
      </w:r>
      <w:r w:rsidR="00910C08" w:rsidRPr="004172A0">
        <w:t xml:space="preserve">Clearinghouse </w:t>
      </w:r>
      <w:r w:rsidRPr="004172A0">
        <w:t xml:space="preserve">Research and Evaluation </w:t>
      </w:r>
      <w:r w:rsidR="00A42C7F" w:rsidRPr="004172A0">
        <w:t xml:space="preserve">Register </w:t>
      </w:r>
      <w:r w:rsidRPr="004172A0">
        <w:t>with relevant research and evaluations, noting that this is generally not an issue with academic and independent research. As noted above, an additional</w:t>
      </w:r>
      <w:r w:rsidR="004172A0" w:rsidRPr="004172A0">
        <w:t xml:space="preserve"> </w:t>
      </w:r>
      <w:r w:rsidRPr="004172A0">
        <w:t>key challenge is how to ensure that policy</w:t>
      </w:r>
      <w:r w:rsidR="00D52B94">
        <w:t>-</w:t>
      </w:r>
      <w:r w:rsidRPr="004172A0">
        <w:t xml:space="preserve">makers can better explain what sort of evidence they need to make policy and how they can be assisted to use the evidence, understanding its limitations. An ongoing challenge for the Clearinghouse remains consideration of the best way for research results to be disseminated and communicated to the policy community, as well </w:t>
      </w:r>
      <w:r w:rsidR="00A42C7F">
        <w:t xml:space="preserve">to </w:t>
      </w:r>
      <w:r w:rsidRPr="004172A0">
        <w:t xml:space="preserve">Indigenous people and the general community. </w:t>
      </w:r>
    </w:p>
    <w:p w:rsidR="00AC614F" w:rsidRPr="004172A0" w:rsidRDefault="006609ED" w:rsidP="003501B5">
      <w:pPr>
        <w:pStyle w:val="Heading2"/>
      </w:pPr>
      <w:r>
        <w:t>9.7</w:t>
      </w:r>
      <w:r w:rsidR="000E498A" w:rsidRPr="004172A0">
        <w:tab/>
      </w:r>
      <w:r w:rsidR="00AC614F" w:rsidRPr="004172A0">
        <w:t>Conclusions</w:t>
      </w:r>
    </w:p>
    <w:p w:rsidR="00AC614F" w:rsidRPr="004172A0" w:rsidRDefault="00AC614F" w:rsidP="003501B5">
      <w:pPr>
        <w:pStyle w:val="BodyText"/>
      </w:pPr>
      <w:r w:rsidRPr="004172A0">
        <w:t xml:space="preserve">This paper describes the focus that the </w:t>
      </w:r>
      <w:proofErr w:type="spellStart"/>
      <w:r w:rsidRPr="004172A0">
        <w:t>AIHW</w:t>
      </w:r>
      <w:proofErr w:type="spellEnd"/>
      <w:r w:rsidRPr="004172A0">
        <w:t xml:space="preserve"> has placed on health and welfare outcomes for Indigenous Australians, concentrating on the measurement of the effectiveness of services provided to Indigenous people. The mechanisms used by the </w:t>
      </w:r>
      <w:proofErr w:type="spellStart"/>
      <w:r w:rsidRPr="004172A0">
        <w:t>AIHW</w:t>
      </w:r>
      <w:proofErr w:type="spellEnd"/>
      <w:r w:rsidRPr="004172A0">
        <w:t xml:space="preserve"> to provide this information to the general community and key stakeholders</w:t>
      </w:r>
      <w:r w:rsidR="00A42C7F">
        <w:t>,</w:t>
      </w:r>
      <w:r w:rsidRPr="004172A0">
        <w:t xml:space="preserve"> including the policy community and service providers</w:t>
      </w:r>
      <w:r w:rsidR="00A42C7F">
        <w:t>,</w:t>
      </w:r>
      <w:r w:rsidRPr="004172A0">
        <w:t xml:space="preserve"> are </w:t>
      </w:r>
      <w:r w:rsidR="00A42C7F">
        <w:t xml:space="preserve">also </w:t>
      </w:r>
      <w:r w:rsidRPr="004172A0">
        <w:t>described.</w:t>
      </w:r>
    </w:p>
    <w:p w:rsidR="00AC614F" w:rsidRPr="004172A0" w:rsidRDefault="00AC614F" w:rsidP="003501B5">
      <w:pPr>
        <w:pStyle w:val="BodyText"/>
      </w:pPr>
      <w:r w:rsidRPr="004172A0">
        <w:lastRenderedPageBreak/>
        <w:t xml:space="preserve">The paper emphasises the particular role played by the Closing the Gap Clearinghouse, that is a joint venture of the </w:t>
      </w:r>
      <w:proofErr w:type="spellStart"/>
      <w:r w:rsidRPr="004172A0">
        <w:t>AIHW</w:t>
      </w:r>
      <w:proofErr w:type="spellEnd"/>
      <w:r w:rsidRPr="004172A0">
        <w:t xml:space="preserve"> and </w:t>
      </w:r>
      <w:proofErr w:type="spellStart"/>
      <w:r w:rsidRPr="004172A0">
        <w:t>AIFS</w:t>
      </w:r>
      <w:proofErr w:type="spellEnd"/>
      <w:r w:rsidRPr="004172A0">
        <w:t xml:space="preserve">, funded by all Australian governments under a </w:t>
      </w:r>
      <w:r w:rsidR="00A42C7F">
        <w:t>n</w:t>
      </w:r>
      <w:r w:rsidRPr="004172A0">
        <w:t xml:space="preserve">ational </w:t>
      </w:r>
      <w:r w:rsidR="00A42C7F">
        <w:t>p</w:t>
      </w:r>
      <w:r w:rsidRPr="004172A0">
        <w:t xml:space="preserve">artnership </w:t>
      </w:r>
      <w:r w:rsidR="00A42C7F">
        <w:t>a</w:t>
      </w:r>
      <w:r w:rsidRPr="004172A0">
        <w:t xml:space="preserve">greement. </w:t>
      </w:r>
    </w:p>
    <w:p w:rsidR="00AC614F" w:rsidRPr="004172A0" w:rsidRDefault="00AC614F" w:rsidP="003501B5">
      <w:pPr>
        <w:pStyle w:val="BodyText"/>
      </w:pPr>
      <w:r w:rsidRPr="004172A0">
        <w:t xml:space="preserve">The broader </w:t>
      </w:r>
      <w:proofErr w:type="spellStart"/>
      <w:r w:rsidRPr="004172A0">
        <w:t>AIHW</w:t>
      </w:r>
      <w:proofErr w:type="spellEnd"/>
      <w:r w:rsidRPr="004172A0">
        <w:t xml:space="preserve"> experience with innovative presentation of information is a work in progress. It necessarily includes consideration of the range of information needs and information preferences across the wide stakeholder audience</w:t>
      </w:r>
      <w:r w:rsidR="00A42C7F">
        <w:t xml:space="preserve">. The </w:t>
      </w:r>
      <w:r w:rsidRPr="004172A0">
        <w:t xml:space="preserve">Clearinghouse has been able to benefit from the innovative approaches adopted across the </w:t>
      </w:r>
      <w:proofErr w:type="spellStart"/>
      <w:r w:rsidRPr="004172A0">
        <w:t>AIHW</w:t>
      </w:r>
      <w:proofErr w:type="spellEnd"/>
      <w:r w:rsidRPr="004172A0">
        <w:t>.</w:t>
      </w:r>
    </w:p>
    <w:p w:rsidR="00AC614F" w:rsidRPr="004172A0" w:rsidRDefault="00AC614F" w:rsidP="003501B5">
      <w:pPr>
        <w:pStyle w:val="Heading2"/>
      </w:pPr>
      <w:r w:rsidRPr="004172A0">
        <w:t>References</w:t>
      </w:r>
      <w:r w:rsidR="00207DDD">
        <w:t xml:space="preserve"> </w:t>
      </w:r>
    </w:p>
    <w:p w:rsidR="00AC614F" w:rsidRDefault="005A4ADE" w:rsidP="00AC614F">
      <w:pPr>
        <w:pStyle w:val="Reference"/>
      </w:pPr>
      <w:proofErr w:type="spellStart"/>
      <w:r>
        <w:t>AIHW</w:t>
      </w:r>
      <w:proofErr w:type="spellEnd"/>
      <w:r>
        <w:t xml:space="preserve"> (</w:t>
      </w:r>
      <w:r w:rsidR="00AC614F" w:rsidRPr="004172A0">
        <w:t xml:space="preserve">Australian </w:t>
      </w:r>
      <w:r w:rsidR="00D5020C">
        <w:t>Institute of Health and Welfare</w:t>
      </w:r>
      <w:r>
        <w:t>)</w:t>
      </w:r>
      <w:r w:rsidR="00AC614F" w:rsidRPr="004172A0">
        <w:t xml:space="preserve"> 2010, </w:t>
      </w:r>
      <w:r w:rsidR="007F5725" w:rsidRPr="00D52B94">
        <w:rPr>
          <w:i/>
        </w:rPr>
        <w:t xml:space="preserve">National </w:t>
      </w:r>
      <w:r w:rsidR="00033697" w:rsidRPr="00207DDD">
        <w:rPr>
          <w:i/>
        </w:rPr>
        <w:t xml:space="preserve">Best Practice Guidelines </w:t>
      </w:r>
      <w:r w:rsidR="007F5725" w:rsidRPr="00D52B94">
        <w:rPr>
          <w:i/>
        </w:rPr>
        <w:t xml:space="preserve">for </w:t>
      </w:r>
      <w:r w:rsidR="00033697" w:rsidRPr="00207DDD">
        <w:rPr>
          <w:i/>
        </w:rPr>
        <w:t xml:space="preserve">Collecting </w:t>
      </w:r>
      <w:r w:rsidR="007F5725" w:rsidRPr="00D52B94">
        <w:rPr>
          <w:i/>
        </w:rPr>
        <w:t xml:space="preserve">Indigenous </w:t>
      </w:r>
      <w:r w:rsidR="00033697" w:rsidRPr="00207DDD">
        <w:rPr>
          <w:i/>
        </w:rPr>
        <w:t xml:space="preserve">Status </w:t>
      </w:r>
      <w:r w:rsidR="007F5725" w:rsidRPr="00D52B94">
        <w:rPr>
          <w:i/>
        </w:rPr>
        <w:t xml:space="preserve">in </w:t>
      </w:r>
      <w:r w:rsidR="00033697" w:rsidRPr="00207DDD">
        <w:rPr>
          <w:i/>
        </w:rPr>
        <w:t>Health Data Sets</w:t>
      </w:r>
      <w:r w:rsidR="00AC614F" w:rsidRPr="004172A0">
        <w:t xml:space="preserve">, Cat. no. </w:t>
      </w:r>
      <w:proofErr w:type="spellStart"/>
      <w:r w:rsidR="00AC614F" w:rsidRPr="004172A0">
        <w:t>IHW</w:t>
      </w:r>
      <w:proofErr w:type="spellEnd"/>
      <w:r w:rsidR="00D52B94">
        <w:t> </w:t>
      </w:r>
      <w:r w:rsidR="00AC614F" w:rsidRPr="004172A0">
        <w:t xml:space="preserve">29, </w:t>
      </w:r>
      <w:proofErr w:type="spellStart"/>
      <w:r w:rsidR="00AC614F" w:rsidRPr="004172A0">
        <w:t>AIHW</w:t>
      </w:r>
      <w:proofErr w:type="spellEnd"/>
      <w:r>
        <w:t>, Canberra</w:t>
      </w:r>
      <w:r w:rsidR="00AC614F" w:rsidRPr="004172A0">
        <w:t>.</w:t>
      </w:r>
    </w:p>
    <w:p w:rsidR="00207DDD" w:rsidRDefault="00207DDD" w:rsidP="00AC614F">
      <w:pPr>
        <w:pStyle w:val="Reference"/>
      </w:pPr>
      <w:r>
        <w:t xml:space="preserve">—— </w:t>
      </w:r>
      <w:proofErr w:type="spellStart"/>
      <w:r w:rsidRPr="004172A0">
        <w:t>2011</w:t>
      </w:r>
      <w:r>
        <w:t>a</w:t>
      </w:r>
      <w:proofErr w:type="spellEnd"/>
      <w:r w:rsidRPr="004172A0">
        <w:t xml:space="preserve">, </w:t>
      </w:r>
      <w:r w:rsidR="007F5725" w:rsidRPr="00D52B94">
        <w:rPr>
          <w:i/>
        </w:rPr>
        <w:t xml:space="preserve">Aboriginal and Torres Strait Islander Health Performance Framework 2010: </w:t>
      </w:r>
      <w:r w:rsidR="00033697" w:rsidRPr="00207DDD">
        <w:rPr>
          <w:i/>
        </w:rPr>
        <w:t>Detailed Analyses</w:t>
      </w:r>
      <w:r w:rsidRPr="004172A0">
        <w:t xml:space="preserve">, Cat. no. </w:t>
      </w:r>
      <w:proofErr w:type="spellStart"/>
      <w:r w:rsidRPr="004172A0">
        <w:t>IHW</w:t>
      </w:r>
      <w:proofErr w:type="spellEnd"/>
      <w:r w:rsidRPr="004172A0">
        <w:t xml:space="preserve"> 53</w:t>
      </w:r>
      <w:r>
        <w:t>,</w:t>
      </w:r>
      <w:r w:rsidRPr="004172A0">
        <w:t xml:space="preserve"> </w:t>
      </w:r>
      <w:proofErr w:type="spellStart"/>
      <w:r w:rsidRPr="004172A0">
        <w:t>AIHW</w:t>
      </w:r>
      <w:proofErr w:type="spellEnd"/>
      <w:r>
        <w:t>, Canberra</w:t>
      </w:r>
      <w:r w:rsidRPr="004172A0">
        <w:t>.</w:t>
      </w:r>
    </w:p>
    <w:p w:rsidR="00AC614F" w:rsidRPr="004172A0" w:rsidRDefault="005A4ADE" w:rsidP="00AC614F">
      <w:pPr>
        <w:pStyle w:val="Reference"/>
      </w:pPr>
      <w:r>
        <w:t xml:space="preserve">—— </w:t>
      </w:r>
      <w:proofErr w:type="spellStart"/>
      <w:r w:rsidR="00AC614F" w:rsidRPr="004172A0">
        <w:t>2011</w:t>
      </w:r>
      <w:r w:rsidR="00207DDD">
        <w:t>b</w:t>
      </w:r>
      <w:proofErr w:type="spellEnd"/>
      <w:r w:rsidR="00AC614F" w:rsidRPr="004172A0">
        <w:t xml:space="preserve">, </w:t>
      </w:r>
      <w:r w:rsidR="00033697" w:rsidRPr="00033697">
        <w:rPr>
          <w:i/>
        </w:rPr>
        <w:t xml:space="preserve">The Health </w:t>
      </w:r>
      <w:r w:rsidR="00033697">
        <w:rPr>
          <w:i/>
        </w:rPr>
        <w:t>a</w:t>
      </w:r>
      <w:r w:rsidR="00033697" w:rsidRPr="00033697">
        <w:rPr>
          <w:i/>
        </w:rPr>
        <w:t xml:space="preserve">nd Welfare Of Australia’s Aboriginal And </w:t>
      </w:r>
      <w:r w:rsidR="00033697">
        <w:rPr>
          <w:i/>
        </w:rPr>
        <w:t>Torres Strait Islander People, a</w:t>
      </w:r>
      <w:r w:rsidR="00033697" w:rsidRPr="00033697">
        <w:rPr>
          <w:i/>
        </w:rPr>
        <w:t>n Overview Report</w:t>
      </w:r>
      <w:r w:rsidR="00AC614F" w:rsidRPr="004172A0">
        <w:t>, Cat no</w:t>
      </w:r>
      <w:r w:rsidR="00A42C7F">
        <w:t>.</w:t>
      </w:r>
      <w:r w:rsidR="00AC614F" w:rsidRPr="004172A0">
        <w:t xml:space="preserve"> </w:t>
      </w:r>
      <w:proofErr w:type="spellStart"/>
      <w:r w:rsidR="00AC614F" w:rsidRPr="004172A0">
        <w:t>IHW</w:t>
      </w:r>
      <w:proofErr w:type="spellEnd"/>
      <w:r w:rsidR="00AC614F" w:rsidRPr="004172A0">
        <w:t xml:space="preserve"> 42, </w:t>
      </w:r>
      <w:proofErr w:type="spellStart"/>
      <w:r w:rsidR="00AC614F" w:rsidRPr="004172A0">
        <w:t>AIHW</w:t>
      </w:r>
      <w:proofErr w:type="spellEnd"/>
      <w:r>
        <w:t>, Canberra</w:t>
      </w:r>
      <w:r w:rsidR="00AC614F" w:rsidRPr="004172A0">
        <w:t xml:space="preserve">. </w:t>
      </w:r>
    </w:p>
    <w:p w:rsidR="00AC614F" w:rsidRPr="004172A0" w:rsidRDefault="005A4ADE" w:rsidP="00AC614F">
      <w:pPr>
        <w:pStyle w:val="Reference"/>
      </w:pPr>
      <w:r>
        <w:t xml:space="preserve">—— </w:t>
      </w:r>
      <w:proofErr w:type="spellStart"/>
      <w:r w:rsidR="00AC614F" w:rsidRPr="004172A0">
        <w:t>2012</w:t>
      </w:r>
      <w:r w:rsidR="008B3474">
        <w:t>a</w:t>
      </w:r>
      <w:proofErr w:type="spellEnd"/>
      <w:r w:rsidR="00AC614F" w:rsidRPr="004172A0">
        <w:t xml:space="preserve">, </w:t>
      </w:r>
      <w:r w:rsidR="007F5725" w:rsidRPr="00D52B94">
        <w:rPr>
          <w:i/>
        </w:rPr>
        <w:t xml:space="preserve">An </w:t>
      </w:r>
      <w:r w:rsidR="00033697" w:rsidRPr="00207DDD">
        <w:rPr>
          <w:i/>
        </w:rPr>
        <w:t xml:space="preserve">Enhanced Mortality Database </w:t>
      </w:r>
      <w:r w:rsidR="007F5725" w:rsidRPr="00D52B94">
        <w:rPr>
          <w:i/>
        </w:rPr>
        <w:t xml:space="preserve">for </w:t>
      </w:r>
      <w:r w:rsidR="00033697" w:rsidRPr="00207DDD">
        <w:rPr>
          <w:i/>
        </w:rPr>
        <w:t xml:space="preserve">Estimating </w:t>
      </w:r>
      <w:r w:rsidR="007F5725" w:rsidRPr="00D52B94">
        <w:rPr>
          <w:i/>
        </w:rPr>
        <w:t xml:space="preserve">Indigenous </w:t>
      </w:r>
      <w:r w:rsidR="00033697" w:rsidRPr="00207DDD">
        <w:rPr>
          <w:i/>
        </w:rPr>
        <w:t>Life Expectancy</w:t>
      </w:r>
      <w:r w:rsidR="007F5725" w:rsidRPr="00D52B94">
        <w:rPr>
          <w:i/>
        </w:rPr>
        <w:t xml:space="preserve">: A </w:t>
      </w:r>
      <w:r w:rsidR="00033697" w:rsidRPr="00207DDD">
        <w:rPr>
          <w:i/>
        </w:rPr>
        <w:t>Feasibility Study</w:t>
      </w:r>
      <w:r w:rsidR="00AC614F" w:rsidRPr="004172A0">
        <w:t xml:space="preserve">, Cat no. </w:t>
      </w:r>
      <w:proofErr w:type="spellStart"/>
      <w:r w:rsidR="00AC614F" w:rsidRPr="004172A0">
        <w:t>IHW</w:t>
      </w:r>
      <w:proofErr w:type="spellEnd"/>
      <w:r w:rsidR="00AC614F" w:rsidRPr="004172A0">
        <w:t xml:space="preserve"> 75, </w:t>
      </w:r>
      <w:proofErr w:type="spellStart"/>
      <w:r w:rsidR="00AC614F" w:rsidRPr="004172A0">
        <w:t>AIHW</w:t>
      </w:r>
      <w:proofErr w:type="spellEnd"/>
      <w:r>
        <w:t>, Canberra</w:t>
      </w:r>
      <w:r w:rsidR="00AC614F" w:rsidRPr="004172A0">
        <w:t xml:space="preserve">. </w:t>
      </w:r>
    </w:p>
    <w:p w:rsidR="00AC614F" w:rsidRPr="004172A0" w:rsidRDefault="005A4ADE" w:rsidP="00AC614F">
      <w:pPr>
        <w:pStyle w:val="Reference"/>
      </w:pPr>
      <w:r>
        <w:t xml:space="preserve">—— </w:t>
      </w:r>
      <w:proofErr w:type="spellStart"/>
      <w:r w:rsidR="00AC614F" w:rsidRPr="004172A0">
        <w:t>2012</w:t>
      </w:r>
      <w:r w:rsidR="008B3474">
        <w:t>b</w:t>
      </w:r>
      <w:proofErr w:type="spellEnd"/>
      <w:r w:rsidR="00D5020C">
        <w:t>,</w:t>
      </w:r>
      <w:r w:rsidR="00AC614F" w:rsidRPr="004172A0">
        <w:t xml:space="preserve"> </w:t>
      </w:r>
      <w:r w:rsidR="007F5725" w:rsidRPr="00D52B94">
        <w:rPr>
          <w:i/>
        </w:rPr>
        <w:t xml:space="preserve">Northern Territory Emergency Response Child Health Check Initiative: </w:t>
      </w:r>
      <w:r w:rsidR="00033697">
        <w:rPr>
          <w:i/>
        </w:rPr>
        <w:t>Follow-up Services for Oral a</w:t>
      </w:r>
      <w:r w:rsidR="00033697" w:rsidRPr="000C5294">
        <w:rPr>
          <w:i/>
        </w:rPr>
        <w:t>nd Ear Health</w:t>
      </w:r>
      <w:r w:rsidR="00AC614F" w:rsidRPr="004172A0">
        <w:t xml:space="preserve">, final report, August 2007 – June 2012. Cat. </w:t>
      </w:r>
      <w:r w:rsidR="00D5020C">
        <w:t>n</w:t>
      </w:r>
      <w:r w:rsidR="00AC614F" w:rsidRPr="004172A0">
        <w:t xml:space="preserve">o. DEN 223. </w:t>
      </w:r>
      <w:proofErr w:type="spellStart"/>
      <w:r w:rsidR="00AC614F" w:rsidRPr="004172A0">
        <w:t>AIHW</w:t>
      </w:r>
      <w:proofErr w:type="spellEnd"/>
      <w:r>
        <w:t>, Canberra</w:t>
      </w:r>
      <w:r w:rsidR="00AC614F" w:rsidRPr="004172A0">
        <w:t>.</w:t>
      </w:r>
    </w:p>
    <w:p w:rsidR="00AC614F" w:rsidRPr="004172A0" w:rsidRDefault="005A4ADE" w:rsidP="00AC614F">
      <w:pPr>
        <w:pStyle w:val="Reference"/>
      </w:pPr>
      <w:r>
        <w:t xml:space="preserve">—— </w:t>
      </w:r>
      <w:r w:rsidR="00AC614F" w:rsidRPr="004172A0">
        <w:t>and Australian Bureau of Statistics 2012</w:t>
      </w:r>
      <w:r w:rsidR="00D5020C">
        <w:t>,</w:t>
      </w:r>
      <w:r w:rsidR="00AC614F" w:rsidRPr="004172A0">
        <w:t xml:space="preserve"> </w:t>
      </w:r>
      <w:r w:rsidR="007F5725" w:rsidRPr="00D52B94">
        <w:rPr>
          <w:i/>
        </w:rPr>
        <w:t xml:space="preserve">National Best Practice Guidelines for </w:t>
      </w:r>
      <w:r w:rsidR="00033697" w:rsidRPr="000C5294">
        <w:rPr>
          <w:i/>
        </w:rPr>
        <w:t xml:space="preserve">Data Linkage Activities Relating </w:t>
      </w:r>
      <w:r w:rsidR="00033697">
        <w:rPr>
          <w:i/>
        </w:rPr>
        <w:t>t</w:t>
      </w:r>
      <w:r w:rsidR="00033697" w:rsidRPr="000C5294">
        <w:rPr>
          <w:i/>
        </w:rPr>
        <w:t>o Aboriginal And Torres Strait Islander People</w:t>
      </w:r>
      <w:r w:rsidR="00207DDD">
        <w:t>,</w:t>
      </w:r>
      <w:r w:rsidR="00AC614F" w:rsidRPr="004172A0">
        <w:t xml:space="preserve"> </w:t>
      </w:r>
      <w:proofErr w:type="spellStart"/>
      <w:r w:rsidR="00AC614F" w:rsidRPr="004172A0">
        <w:t>AIHW</w:t>
      </w:r>
      <w:proofErr w:type="spellEnd"/>
      <w:r w:rsidR="00AC614F" w:rsidRPr="004172A0">
        <w:t xml:space="preserve"> Cat. </w:t>
      </w:r>
      <w:r w:rsidR="00D5020C">
        <w:t>n</w:t>
      </w:r>
      <w:r w:rsidR="00AC614F" w:rsidRPr="004172A0">
        <w:t>o. 74</w:t>
      </w:r>
      <w:r>
        <w:t>,</w:t>
      </w:r>
      <w:r w:rsidR="00AC614F" w:rsidRPr="004172A0">
        <w:t xml:space="preserve"> </w:t>
      </w:r>
      <w:proofErr w:type="spellStart"/>
      <w:r w:rsidR="00AC614F" w:rsidRPr="004172A0">
        <w:t>AIHW</w:t>
      </w:r>
      <w:proofErr w:type="spellEnd"/>
      <w:r>
        <w:t>, Canberra</w:t>
      </w:r>
      <w:r w:rsidR="00AC614F" w:rsidRPr="004172A0">
        <w:t xml:space="preserve">. </w:t>
      </w:r>
    </w:p>
    <w:p w:rsidR="00AC614F" w:rsidRPr="004172A0" w:rsidRDefault="005A4ADE" w:rsidP="00AC614F">
      <w:pPr>
        <w:pStyle w:val="Reference"/>
      </w:pPr>
      <w:r>
        <w:t xml:space="preserve">—— </w:t>
      </w:r>
      <w:r w:rsidR="00AC614F" w:rsidRPr="004172A0">
        <w:t xml:space="preserve">and </w:t>
      </w:r>
      <w:proofErr w:type="spellStart"/>
      <w:r w:rsidR="00F834F2">
        <w:t>AIFS</w:t>
      </w:r>
      <w:proofErr w:type="spellEnd"/>
      <w:r w:rsidR="00F834F2">
        <w:t xml:space="preserve"> (</w:t>
      </w:r>
      <w:r w:rsidR="00AC614F" w:rsidRPr="004172A0">
        <w:t>Australian Institute of Family Studies)</w:t>
      </w:r>
      <w:r w:rsidR="00D52B94">
        <w:t xml:space="preserve"> 201</w:t>
      </w:r>
      <w:r w:rsidR="005F3116">
        <w:t>1</w:t>
      </w:r>
      <w:r w:rsidR="00D52B94">
        <w:t>, 201</w:t>
      </w:r>
      <w:r w:rsidR="005F3116">
        <w:t>2</w:t>
      </w:r>
      <w:r w:rsidR="00D5020C">
        <w:t>,</w:t>
      </w:r>
      <w:r w:rsidR="00AC614F" w:rsidRPr="004172A0">
        <w:t xml:space="preserve"> </w:t>
      </w:r>
      <w:r w:rsidR="007F5725" w:rsidRPr="00D52B94">
        <w:rPr>
          <w:i/>
        </w:rPr>
        <w:t xml:space="preserve">What </w:t>
      </w:r>
      <w:r w:rsidR="00033697" w:rsidRPr="00D52B94">
        <w:rPr>
          <w:i/>
        </w:rPr>
        <w:t>Works to Overcome Indigenous Disa</w:t>
      </w:r>
      <w:r w:rsidR="00033697">
        <w:rPr>
          <w:i/>
        </w:rPr>
        <w:t xml:space="preserve">dvantage: Key </w:t>
      </w:r>
      <w:proofErr w:type="spellStart"/>
      <w:r w:rsidR="00033697">
        <w:rPr>
          <w:i/>
        </w:rPr>
        <w:t>Learnings</w:t>
      </w:r>
      <w:proofErr w:type="spellEnd"/>
      <w:r w:rsidR="00033697">
        <w:rPr>
          <w:i/>
        </w:rPr>
        <w:t xml:space="preserve"> and Gaps in t</w:t>
      </w:r>
      <w:r w:rsidR="00033697" w:rsidRPr="000C5294">
        <w:rPr>
          <w:i/>
        </w:rPr>
        <w:t>he Evidence</w:t>
      </w:r>
      <w:r w:rsidR="00AC614F" w:rsidRPr="004172A0">
        <w:t>, produced for the Closing the Gap Clearinghouse</w:t>
      </w:r>
      <w:r w:rsidR="00F834F2">
        <w:t>,</w:t>
      </w:r>
      <w:r w:rsidR="00AC614F" w:rsidRPr="004172A0">
        <w:t xml:space="preserve"> </w:t>
      </w:r>
      <w:proofErr w:type="spellStart"/>
      <w:r w:rsidR="00AC614F" w:rsidRPr="004172A0">
        <w:t>AIHW</w:t>
      </w:r>
      <w:proofErr w:type="spellEnd"/>
      <w:r w:rsidR="00F834F2">
        <w:t>, Canberra</w:t>
      </w:r>
      <w:r w:rsidR="00AC614F" w:rsidRPr="004172A0">
        <w:t xml:space="preserve"> and </w:t>
      </w:r>
      <w:proofErr w:type="spellStart"/>
      <w:r w:rsidR="00AC614F" w:rsidRPr="004172A0">
        <w:t>AIFS</w:t>
      </w:r>
      <w:proofErr w:type="spellEnd"/>
      <w:r w:rsidR="00F834F2">
        <w:t>, Melbourne</w:t>
      </w:r>
      <w:r w:rsidR="00AC614F" w:rsidRPr="004172A0">
        <w:t xml:space="preserve">. </w:t>
      </w:r>
    </w:p>
    <w:p w:rsidR="00AC614F" w:rsidRPr="004172A0" w:rsidRDefault="005A4ADE" w:rsidP="00AC614F">
      <w:pPr>
        <w:pStyle w:val="Reference"/>
      </w:pPr>
      <w:r>
        <w:t xml:space="preserve">—— </w:t>
      </w:r>
      <w:r w:rsidR="00AC614F" w:rsidRPr="004172A0">
        <w:t>and Department of Health and Ageing 2008</w:t>
      </w:r>
      <w:r w:rsidR="00D5020C">
        <w:t>,</w:t>
      </w:r>
      <w:r w:rsidR="00AC614F" w:rsidRPr="004172A0">
        <w:t xml:space="preserve"> </w:t>
      </w:r>
      <w:r w:rsidR="007F5725" w:rsidRPr="00D52B94">
        <w:rPr>
          <w:i/>
        </w:rPr>
        <w:t xml:space="preserve">Progress of the Northern Territory Emergency Response Child Health Check Initiative: </w:t>
      </w:r>
      <w:r w:rsidR="00033697" w:rsidRPr="000C5294">
        <w:rPr>
          <w:i/>
        </w:rPr>
        <w:t xml:space="preserve">Preliminary Results </w:t>
      </w:r>
      <w:r w:rsidR="007F5725" w:rsidRPr="00D52B94">
        <w:rPr>
          <w:i/>
        </w:rPr>
        <w:t xml:space="preserve">from the Child Health Check and </w:t>
      </w:r>
      <w:r w:rsidR="00033697" w:rsidRPr="000C5294">
        <w:rPr>
          <w:i/>
        </w:rPr>
        <w:t>Follow</w:t>
      </w:r>
      <w:r w:rsidR="007F5725" w:rsidRPr="00D52B94">
        <w:rPr>
          <w:i/>
        </w:rPr>
        <w:t xml:space="preserve">-up </w:t>
      </w:r>
      <w:r w:rsidR="00033697" w:rsidRPr="000C5294">
        <w:rPr>
          <w:i/>
        </w:rPr>
        <w:t>Data Collections</w:t>
      </w:r>
      <w:r w:rsidR="00F834F2">
        <w:t>,</w:t>
      </w:r>
      <w:r w:rsidR="00AC614F" w:rsidRPr="004172A0">
        <w:t xml:space="preserve"> Cat. no. </w:t>
      </w:r>
      <w:proofErr w:type="spellStart"/>
      <w:r w:rsidR="00AC614F" w:rsidRPr="004172A0">
        <w:t>IHW</w:t>
      </w:r>
      <w:proofErr w:type="spellEnd"/>
      <w:r w:rsidR="00AC614F" w:rsidRPr="004172A0">
        <w:t xml:space="preserve"> 25</w:t>
      </w:r>
      <w:r w:rsidR="00F834F2">
        <w:t xml:space="preserve">, </w:t>
      </w:r>
      <w:proofErr w:type="spellStart"/>
      <w:r w:rsidR="00AC614F" w:rsidRPr="004172A0">
        <w:t>AIHW</w:t>
      </w:r>
      <w:proofErr w:type="spellEnd"/>
      <w:r w:rsidR="00F834F2">
        <w:t>, Canberra</w:t>
      </w:r>
      <w:r w:rsidR="00AC614F" w:rsidRPr="004172A0">
        <w:t>.</w:t>
      </w:r>
    </w:p>
    <w:p w:rsidR="00AC614F" w:rsidRPr="004172A0" w:rsidRDefault="005A4ADE" w:rsidP="00AC614F">
      <w:pPr>
        <w:pStyle w:val="Reference"/>
      </w:pPr>
      <w:r>
        <w:t xml:space="preserve">—— </w:t>
      </w:r>
      <w:r w:rsidR="00D52B94">
        <w:t>——</w:t>
      </w:r>
      <w:r w:rsidR="00AC614F" w:rsidRPr="004172A0">
        <w:t xml:space="preserve"> 2009</w:t>
      </w:r>
      <w:r w:rsidR="00D5020C">
        <w:t>,</w:t>
      </w:r>
      <w:r w:rsidR="00AC614F" w:rsidRPr="004172A0">
        <w:t xml:space="preserve"> </w:t>
      </w:r>
      <w:r w:rsidR="007F5725" w:rsidRPr="00D52B94">
        <w:rPr>
          <w:i/>
        </w:rPr>
        <w:t xml:space="preserve">Progress of the Northern Territory Emergency Response Child Health Check Initiative: Update on </w:t>
      </w:r>
      <w:r w:rsidR="00033697" w:rsidRPr="000C5294">
        <w:rPr>
          <w:i/>
        </w:rPr>
        <w:t xml:space="preserve">Results </w:t>
      </w:r>
      <w:r w:rsidR="007F5725" w:rsidRPr="00D52B94">
        <w:rPr>
          <w:i/>
        </w:rPr>
        <w:t xml:space="preserve">from the Child Health Check and </w:t>
      </w:r>
      <w:r w:rsidR="00033697" w:rsidRPr="000C5294">
        <w:rPr>
          <w:i/>
        </w:rPr>
        <w:t>Follow</w:t>
      </w:r>
      <w:r w:rsidR="007F5725" w:rsidRPr="00D52B94">
        <w:rPr>
          <w:i/>
        </w:rPr>
        <w:t xml:space="preserve">-up </w:t>
      </w:r>
      <w:r w:rsidR="00033697" w:rsidRPr="000C5294">
        <w:rPr>
          <w:i/>
        </w:rPr>
        <w:t>Data Collections</w:t>
      </w:r>
      <w:r w:rsidR="00F834F2">
        <w:t>,</w:t>
      </w:r>
      <w:r w:rsidR="00AC614F" w:rsidRPr="004172A0">
        <w:t xml:space="preserve"> Cat. no. </w:t>
      </w:r>
      <w:proofErr w:type="spellStart"/>
      <w:r w:rsidR="00AC614F" w:rsidRPr="004172A0">
        <w:t>IHW</w:t>
      </w:r>
      <w:proofErr w:type="spellEnd"/>
      <w:r w:rsidR="00AC614F" w:rsidRPr="004172A0">
        <w:t xml:space="preserve"> 28</w:t>
      </w:r>
      <w:r w:rsidR="00F834F2">
        <w:t>,</w:t>
      </w:r>
      <w:r w:rsidR="00AC614F" w:rsidRPr="004172A0">
        <w:t xml:space="preserve"> </w:t>
      </w:r>
      <w:proofErr w:type="spellStart"/>
      <w:r w:rsidR="00AC614F" w:rsidRPr="004172A0">
        <w:t>AIHW</w:t>
      </w:r>
      <w:proofErr w:type="spellEnd"/>
      <w:r w:rsidR="00F834F2">
        <w:t>, Canberra</w:t>
      </w:r>
      <w:r w:rsidR="00AC614F" w:rsidRPr="004172A0">
        <w:t>.</w:t>
      </w:r>
    </w:p>
    <w:p w:rsidR="00AC614F" w:rsidRPr="004172A0" w:rsidRDefault="00AC614F" w:rsidP="00AC614F">
      <w:pPr>
        <w:pStyle w:val="Reference"/>
      </w:pPr>
      <w:r w:rsidRPr="004172A0">
        <w:lastRenderedPageBreak/>
        <w:t>Baker, P.</w:t>
      </w:r>
      <w:r w:rsidR="0065044C">
        <w:t>,</w:t>
      </w:r>
      <w:r w:rsidRPr="004172A0">
        <w:t xml:space="preserve"> Hoy, W.</w:t>
      </w:r>
      <w:r w:rsidR="004172A0" w:rsidRPr="004172A0">
        <w:t xml:space="preserve"> </w:t>
      </w:r>
      <w:r w:rsidR="00D5020C">
        <w:t>and</w:t>
      </w:r>
      <w:r w:rsidRPr="004172A0">
        <w:t xml:space="preserve"> Thomas, R. 2005, </w:t>
      </w:r>
      <w:r w:rsidR="000C5294">
        <w:t>‘</w:t>
      </w:r>
      <w:r w:rsidRPr="004172A0">
        <w:t>Cost-effectiveness analysis of a kidney and cardiovascular disease treatment program in an Australian Aboriginal population</w:t>
      </w:r>
      <w:r w:rsidR="000C5294">
        <w:t>’</w:t>
      </w:r>
      <w:r w:rsidRPr="004172A0">
        <w:t xml:space="preserve">, </w:t>
      </w:r>
      <w:r w:rsidR="007F5725" w:rsidRPr="00D52B94">
        <w:rPr>
          <w:i/>
        </w:rPr>
        <w:t>Advances in Chronic Kidney Disease</w:t>
      </w:r>
      <w:r w:rsidRPr="004172A0">
        <w:t>, vol. 12, issue 1, pp. 22</w:t>
      </w:r>
      <w:r w:rsidR="004172A0" w:rsidRPr="004172A0">
        <w:t>–</w:t>
      </w:r>
      <w:r w:rsidRPr="004172A0">
        <w:t xml:space="preserve">31. </w:t>
      </w:r>
    </w:p>
    <w:p w:rsidR="00AC614F" w:rsidRPr="004172A0" w:rsidRDefault="00AC614F" w:rsidP="00AC614F">
      <w:pPr>
        <w:pStyle w:val="Reference"/>
      </w:pPr>
      <w:r w:rsidRPr="004172A0">
        <w:t>Bridge, C.</w:t>
      </w:r>
      <w:r w:rsidR="0065044C">
        <w:t>,</w:t>
      </w:r>
      <w:r w:rsidR="004172A0" w:rsidRPr="004172A0">
        <w:t xml:space="preserve"> </w:t>
      </w:r>
      <w:proofErr w:type="spellStart"/>
      <w:r w:rsidRPr="004172A0">
        <w:t>Flatau</w:t>
      </w:r>
      <w:proofErr w:type="spellEnd"/>
      <w:r w:rsidRPr="004172A0">
        <w:t>, P.</w:t>
      </w:r>
      <w:r w:rsidR="0065044C">
        <w:t>,</w:t>
      </w:r>
      <w:r w:rsidRPr="004172A0">
        <w:t xml:space="preserve"> Whelan, S.</w:t>
      </w:r>
      <w:r w:rsidR="0065044C">
        <w:t>,</w:t>
      </w:r>
      <w:r w:rsidRPr="004172A0">
        <w:t xml:space="preserve"> Wood, G. </w:t>
      </w:r>
      <w:r w:rsidR="00D5020C">
        <w:t>and</w:t>
      </w:r>
      <w:r w:rsidRPr="004172A0">
        <w:t xml:space="preserve"> Yates, J. 2003, </w:t>
      </w:r>
      <w:r w:rsidR="007F5725" w:rsidRPr="00D52B94">
        <w:rPr>
          <w:i/>
        </w:rPr>
        <w:t xml:space="preserve">Housing </w:t>
      </w:r>
      <w:r w:rsidR="00F834F2" w:rsidRPr="00F834F2">
        <w:rPr>
          <w:i/>
        </w:rPr>
        <w:t xml:space="preserve">Assistance </w:t>
      </w:r>
      <w:r w:rsidR="007F5725" w:rsidRPr="00D52B94">
        <w:rPr>
          <w:i/>
        </w:rPr>
        <w:t xml:space="preserve">and </w:t>
      </w:r>
      <w:r w:rsidR="00F834F2" w:rsidRPr="00F834F2">
        <w:rPr>
          <w:i/>
        </w:rPr>
        <w:t>Non</w:t>
      </w:r>
      <w:r w:rsidR="007F5725" w:rsidRPr="00D52B94">
        <w:rPr>
          <w:i/>
        </w:rPr>
        <w:t xml:space="preserve">-shelter </w:t>
      </w:r>
      <w:r w:rsidR="00F834F2" w:rsidRPr="00F834F2">
        <w:rPr>
          <w:i/>
        </w:rPr>
        <w:t>Outcomes</w:t>
      </w:r>
      <w:r w:rsidR="007F5725" w:rsidRPr="00D52B94">
        <w:rPr>
          <w:i/>
        </w:rPr>
        <w:t xml:space="preserve">: </w:t>
      </w:r>
      <w:r w:rsidR="00F834F2" w:rsidRPr="00F834F2">
        <w:rPr>
          <w:i/>
        </w:rPr>
        <w:t>Final Report</w:t>
      </w:r>
      <w:r w:rsidRPr="004172A0">
        <w:t>, Australian Housing and Urban Research Institute</w:t>
      </w:r>
      <w:r w:rsidR="00F834F2">
        <w:t>, Melbourne</w:t>
      </w:r>
      <w:r w:rsidRPr="004172A0">
        <w:t>.</w:t>
      </w:r>
      <w:r w:rsidR="004172A0" w:rsidRPr="004172A0">
        <w:t xml:space="preserve"> </w:t>
      </w:r>
    </w:p>
    <w:p w:rsidR="00AC614F" w:rsidRPr="004172A0" w:rsidRDefault="00AC614F" w:rsidP="00AC614F">
      <w:pPr>
        <w:pStyle w:val="Reference"/>
      </w:pPr>
      <w:proofErr w:type="spellStart"/>
      <w:r w:rsidRPr="004172A0">
        <w:t>CSDH</w:t>
      </w:r>
      <w:proofErr w:type="spellEnd"/>
      <w:r w:rsidR="00F834F2">
        <w:t xml:space="preserve"> (</w:t>
      </w:r>
      <w:r w:rsidR="00F834F2" w:rsidRPr="004172A0">
        <w:t>Commission on Social Determinants of Health</w:t>
      </w:r>
      <w:r w:rsidR="00F834F2">
        <w:t>)</w:t>
      </w:r>
      <w:r w:rsidRPr="004172A0">
        <w:t xml:space="preserve"> 2008</w:t>
      </w:r>
      <w:r w:rsidR="00D5020C">
        <w:t>,</w:t>
      </w:r>
      <w:r w:rsidRPr="004172A0">
        <w:t xml:space="preserve"> </w:t>
      </w:r>
      <w:r w:rsidR="007F5725" w:rsidRPr="00D52B94">
        <w:rPr>
          <w:i/>
        </w:rPr>
        <w:t xml:space="preserve">Closing the </w:t>
      </w:r>
      <w:r w:rsidR="00F834F2" w:rsidRPr="00F834F2">
        <w:rPr>
          <w:i/>
        </w:rPr>
        <w:t xml:space="preserve">Gap </w:t>
      </w:r>
      <w:r w:rsidR="007F5725" w:rsidRPr="00D52B94">
        <w:rPr>
          <w:i/>
        </w:rPr>
        <w:t xml:space="preserve">in a </w:t>
      </w:r>
      <w:r w:rsidR="00F834F2" w:rsidRPr="00F834F2">
        <w:rPr>
          <w:i/>
        </w:rPr>
        <w:t>Generation</w:t>
      </w:r>
      <w:r w:rsidR="007F5725" w:rsidRPr="00D52B94">
        <w:rPr>
          <w:i/>
        </w:rPr>
        <w:t xml:space="preserve">, </w:t>
      </w:r>
      <w:r w:rsidR="00F834F2" w:rsidRPr="00F834F2">
        <w:rPr>
          <w:i/>
        </w:rPr>
        <w:t xml:space="preserve">Health Equity </w:t>
      </w:r>
      <w:r w:rsidR="00D52B94">
        <w:rPr>
          <w:i/>
        </w:rPr>
        <w:t>through</w:t>
      </w:r>
      <w:r w:rsidR="007F5725" w:rsidRPr="00D52B94">
        <w:rPr>
          <w:i/>
        </w:rPr>
        <w:t xml:space="preserve"> </w:t>
      </w:r>
      <w:r w:rsidR="00F834F2" w:rsidRPr="00F834F2">
        <w:rPr>
          <w:i/>
        </w:rPr>
        <w:t xml:space="preserve">Action </w:t>
      </w:r>
      <w:r w:rsidR="007F5725" w:rsidRPr="00D52B94">
        <w:rPr>
          <w:i/>
        </w:rPr>
        <w:t xml:space="preserve">on the </w:t>
      </w:r>
      <w:r w:rsidR="00F834F2" w:rsidRPr="00F834F2">
        <w:rPr>
          <w:i/>
        </w:rPr>
        <w:t xml:space="preserve">Social Determinants </w:t>
      </w:r>
      <w:r w:rsidR="007F5725" w:rsidRPr="00D52B94">
        <w:rPr>
          <w:i/>
        </w:rPr>
        <w:t xml:space="preserve">of </w:t>
      </w:r>
      <w:r w:rsidR="00F834F2" w:rsidRPr="00F834F2">
        <w:rPr>
          <w:i/>
        </w:rPr>
        <w:t>Health</w:t>
      </w:r>
      <w:r w:rsidRPr="004172A0">
        <w:t>, Final report of the Commission on Social Determinants of Health, World Health Organisation</w:t>
      </w:r>
      <w:r w:rsidR="00F834F2">
        <w:t>, Geneva</w:t>
      </w:r>
      <w:r w:rsidRPr="004172A0">
        <w:t>.</w:t>
      </w:r>
      <w:r w:rsidR="004172A0" w:rsidRPr="004172A0">
        <w:t xml:space="preserve"> </w:t>
      </w:r>
    </w:p>
    <w:p w:rsidR="00AC614F" w:rsidRPr="004172A0" w:rsidRDefault="00AC614F" w:rsidP="00AC614F">
      <w:pPr>
        <w:pStyle w:val="Reference"/>
      </w:pPr>
      <w:proofErr w:type="spellStart"/>
      <w:r w:rsidRPr="004172A0">
        <w:t>Dockett</w:t>
      </w:r>
      <w:proofErr w:type="spellEnd"/>
      <w:r w:rsidRPr="004172A0">
        <w:t xml:space="preserve">, S., Perry, B. </w:t>
      </w:r>
      <w:r w:rsidR="000C5294">
        <w:t xml:space="preserve">and </w:t>
      </w:r>
      <w:r w:rsidRPr="004172A0">
        <w:t>Kearney, E.</w:t>
      </w:r>
      <w:r w:rsidR="004172A0" w:rsidRPr="004172A0">
        <w:t xml:space="preserve"> </w:t>
      </w:r>
      <w:r w:rsidRPr="004172A0">
        <w:t>2010</w:t>
      </w:r>
      <w:r w:rsidR="00D5020C">
        <w:t>,</w:t>
      </w:r>
      <w:r w:rsidRPr="004172A0">
        <w:t xml:space="preserve"> </w:t>
      </w:r>
      <w:r w:rsidR="007F5725" w:rsidRPr="00D52B94">
        <w:rPr>
          <w:i/>
        </w:rPr>
        <w:t xml:space="preserve">School </w:t>
      </w:r>
      <w:r w:rsidR="00033697" w:rsidRPr="000C5294">
        <w:rPr>
          <w:i/>
        </w:rPr>
        <w:t>Readiness</w:t>
      </w:r>
      <w:r w:rsidR="007F5725" w:rsidRPr="00D52B94">
        <w:rPr>
          <w:i/>
        </w:rPr>
        <w:t xml:space="preserve">: What does it </w:t>
      </w:r>
      <w:r w:rsidR="00033697" w:rsidRPr="000C5294">
        <w:rPr>
          <w:i/>
        </w:rPr>
        <w:t xml:space="preserve">Mean </w:t>
      </w:r>
      <w:r w:rsidR="007F5725" w:rsidRPr="00D52B94">
        <w:rPr>
          <w:i/>
        </w:rPr>
        <w:t xml:space="preserve">for Indigenous </w:t>
      </w:r>
      <w:r w:rsidR="00033697" w:rsidRPr="000C5294">
        <w:rPr>
          <w:i/>
        </w:rPr>
        <w:t>Children</w:t>
      </w:r>
      <w:r w:rsidR="007F5725" w:rsidRPr="00D52B94">
        <w:rPr>
          <w:i/>
        </w:rPr>
        <w:t xml:space="preserve">, </w:t>
      </w:r>
      <w:r w:rsidR="00033697" w:rsidRPr="000C5294">
        <w:rPr>
          <w:i/>
        </w:rPr>
        <w:t>Families</w:t>
      </w:r>
      <w:r w:rsidR="007F5725" w:rsidRPr="00D52B94">
        <w:rPr>
          <w:i/>
        </w:rPr>
        <w:t xml:space="preserve">, </w:t>
      </w:r>
      <w:r w:rsidR="00033697" w:rsidRPr="000C5294">
        <w:rPr>
          <w:i/>
        </w:rPr>
        <w:t xml:space="preserve">Schools </w:t>
      </w:r>
      <w:r w:rsidR="007F5725" w:rsidRPr="00D52B94">
        <w:rPr>
          <w:i/>
        </w:rPr>
        <w:t xml:space="preserve">and </w:t>
      </w:r>
      <w:r w:rsidR="00033697" w:rsidRPr="000C5294">
        <w:rPr>
          <w:i/>
        </w:rPr>
        <w:t>Communities</w:t>
      </w:r>
      <w:r w:rsidR="007F5725" w:rsidRPr="00D52B94">
        <w:rPr>
          <w:i/>
        </w:rPr>
        <w:t>?</w:t>
      </w:r>
      <w:r w:rsidRPr="004172A0">
        <w:t xml:space="preserve"> Issues Paper No</w:t>
      </w:r>
      <w:r w:rsidR="00D5020C">
        <w:t>.</w:t>
      </w:r>
      <w:r w:rsidR="00D52B94">
        <w:t> </w:t>
      </w:r>
      <w:r w:rsidRPr="004172A0">
        <w:t xml:space="preserve">2 produced for the Closing the Gap Clearinghouse, Canberra, </w:t>
      </w:r>
      <w:proofErr w:type="spellStart"/>
      <w:r w:rsidR="00F834F2">
        <w:t>AIHW</w:t>
      </w:r>
      <w:proofErr w:type="spellEnd"/>
      <w:r w:rsidR="00F834F2">
        <w:t xml:space="preserve">, Canberra and </w:t>
      </w:r>
      <w:proofErr w:type="spellStart"/>
      <w:r w:rsidR="00F834F2">
        <w:t>AIFS</w:t>
      </w:r>
      <w:proofErr w:type="spellEnd"/>
      <w:r w:rsidR="00F834F2">
        <w:t>, Melbourne</w:t>
      </w:r>
      <w:r w:rsidRPr="004172A0">
        <w:t>.</w:t>
      </w:r>
    </w:p>
    <w:p w:rsidR="00AC614F" w:rsidRPr="004172A0" w:rsidRDefault="00AC614F" w:rsidP="00AC614F">
      <w:pPr>
        <w:pStyle w:val="Reference"/>
      </w:pPr>
      <w:r w:rsidRPr="004172A0">
        <w:t>Edwards, M. 2010</w:t>
      </w:r>
      <w:r w:rsidR="00D5020C">
        <w:t>,</w:t>
      </w:r>
      <w:r w:rsidRPr="004172A0">
        <w:t xml:space="preserve"> </w:t>
      </w:r>
      <w:r w:rsidR="000C5294">
        <w:t>‘</w:t>
      </w:r>
      <w:r w:rsidRPr="004172A0">
        <w:t>In search of useful research: demand and supply challenges for policy makers</w:t>
      </w:r>
      <w:r w:rsidR="000C5294">
        <w:t>’</w:t>
      </w:r>
      <w:r w:rsidRPr="004172A0">
        <w:t xml:space="preserve">, </w:t>
      </w:r>
      <w:r w:rsidR="007F5725" w:rsidRPr="00D52B94">
        <w:rPr>
          <w:i/>
        </w:rPr>
        <w:t>Public Administration Today</w:t>
      </w:r>
      <w:r w:rsidR="00D5020C">
        <w:t>,</w:t>
      </w:r>
      <w:r w:rsidRPr="004172A0">
        <w:t xml:space="preserve"> </w:t>
      </w:r>
      <w:r w:rsidR="00D5020C">
        <w:t>i</w:t>
      </w:r>
      <w:r w:rsidRPr="004172A0">
        <w:t>ssue 24</w:t>
      </w:r>
      <w:r w:rsidR="00D5020C">
        <w:t>,</w:t>
      </w:r>
      <w:r w:rsidRPr="004172A0">
        <w:t xml:space="preserve"> </w:t>
      </w:r>
      <w:r w:rsidR="00D5020C">
        <w:t xml:space="preserve">pp. </w:t>
      </w:r>
      <w:r w:rsidRPr="004172A0">
        <w:t>56–64.</w:t>
      </w:r>
    </w:p>
    <w:p w:rsidR="005A4ADE" w:rsidRPr="004172A0" w:rsidRDefault="005A4ADE" w:rsidP="005A4ADE">
      <w:pPr>
        <w:pStyle w:val="Reference"/>
      </w:pPr>
      <w:proofErr w:type="spellStart"/>
      <w:r w:rsidRPr="004172A0">
        <w:t>Gracey</w:t>
      </w:r>
      <w:proofErr w:type="spellEnd"/>
      <w:r>
        <w:t>,</w:t>
      </w:r>
      <w:r w:rsidRPr="004172A0">
        <w:t xml:space="preserve"> M</w:t>
      </w:r>
      <w:r>
        <w:t>.</w:t>
      </w:r>
      <w:r w:rsidRPr="004172A0">
        <w:t>, Bridge</w:t>
      </w:r>
      <w:r>
        <w:t>,</w:t>
      </w:r>
      <w:r w:rsidRPr="004172A0">
        <w:t xml:space="preserve"> E</w:t>
      </w:r>
      <w:r>
        <w:t>.</w:t>
      </w:r>
      <w:r w:rsidRPr="004172A0">
        <w:t>, Martin</w:t>
      </w:r>
      <w:r>
        <w:t>,</w:t>
      </w:r>
      <w:r w:rsidRPr="004172A0">
        <w:t xml:space="preserve"> D</w:t>
      </w:r>
      <w:r>
        <w:t>.</w:t>
      </w:r>
      <w:r w:rsidRPr="004172A0">
        <w:t>, Jones</w:t>
      </w:r>
      <w:r>
        <w:t>,</w:t>
      </w:r>
      <w:r w:rsidRPr="004172A0">
        <w:t xml:space="preserve"> T</w:t>
      </w:r>
      <w:r>
        <w:t>.</w:t>
      </w:r>
      <w:r w:rsidRPr="004172A0">
        <w:t xml:space="preserve">, </w:t>
      </w:r>
      <w:proofErr w:type="spellStart"/>
      <w:r w:rsidRPr="004172A0">
        <w:t>Spargo</w:t>
      </w:r>
      <w:proofErr w:type="spellEnd"/>
      <w:r>
        <w:t>,</w:t>
      </w:r>
      <w:r w:rsidRPr="004172A0">
        <w:t xml:space="preserve"> </w:t>
      </w:r>
      <w:proofErr w:type="spellStart"/>
      <w:r w:rsidRPr="004172A0">
        <w:t>R</w:t>
      </w:r>
      <w:r>
        <w:t>.</w:t>
      </w:r>
      <w:r w:rsidRPr="004172A0">
        <w:t>M</w:t>
      </w:r>
      <w:proofErr w:type="spellEnd"/>
      <w:r>
        <w:t>.</w:t>
      </w:r>
      <w:r w:rsidR="00D52B94">
        <w:t xml:space="preserve"> and</w:t>
      </w:r>
      <w:r w:rsidRPr="004172A0">
        <w:t xml:space="preserve"> </w:t>
      </w:r>
      <w:proofErr w:type="spellStart"/>
      <w:r w:rsidRPr="004172A0">
        <w:t>Shephard</w:t>
      </w:r>
      <w:proofErr w:type="spellEnd"/>
      <w:r>
        <w:t>,</w:t>
      </w:r>
      <w:r w:rsidRPr="004172A0">
        <w:t xml:space="preserve"> M</w:t>
      </w:r>
      <w:r>
        <w:t>.</w:t>
      </w:r>
      <w:r w:rsidRPr="004172A0">
        <w:t xml:space="preserve"> 2006</w:t>
      </w:r>
      <w:r>
        <w:t>,</w:t>
      </w:r>
      <w:r w:rsidRPr="004172A0">
        <w:t xml:space="preserve"> </w:t>
      </w:r>
      <w:r w:rsidR="000C5294">
        <w:t>‘A</w:t>
      </w:r>
      <w:r w:rsidR="000C5294" w:rsidRPr="004172A0">
        <w:t xml:space="preserve">n </w:t>
      </w:r>
      <w:r w:rsidRPr="004172A0">
        <w:t>Aboriginal-driven program to prevent, contro</w:t>
      </w:r>
      <w:r w:rsidR="000C5294">
        <w:t>l and manage nutrition-related “</w:t>
      </w:r>
      <w:r w:rsidRPr="004172A0">
        <w:t>lifestyle</w:t>
      </w:r>
      <w:r w:rsidR="000C5294">
        <w:t>”</w:t>
      </w:r>
      <w:r w:rsidRPr="004172A0">
        <w:t xml:space="preserve"> diseases</w:t>
      </w:r>
      <w:r>
        <w:t>,</w:t>
      </w:r>
      <w:r w:rsidRPr="004172A0">
        <w:t xml:space="preserve"> including diabetes</w:t>
      </w:r>
      <w:r w:rsidR="000C5294">
        <w:t>’</w:t>
      </w:r>
      <w:r>
        <w:t>,</w:t>
      </w:r>
      <w:r w:rsidRPr="004172A0">
        <w:t xml:space="preserve"> </w:t>
      </w:r>
      <w:r w:rsidRPr="00600509">
        <w:rPr>
          <w:i/>
        </w:rPr>
        <w:t>Asia Pacific Journal of Clinical Nutrition</w:t>
      </w:r>
      <w:r>
        <w:t>,</w:t>
      </w:r>
      <w:r w:rsidRPr="004172A0">
        <w:t xml:space="preserve"> </w:t>
      </w:r>
      <w:r>
        <w:t xml:space="preserve">vol. </w:t>
      </w:r>
      <w:r w:rsidRPr="004172A0">
        <w:t>15</w:t>
      </w:r>
      <w:r>
        <w:t xml:space="preserve">, no. 2, pp. </w:t>
      </w:r>
      <w:r w:rsidRPr="004172A0">
        <w:t>178–88.</w:t>
      </w:r>
    </w:p>
    <w:p w:rsidR="00AC614F" w:rsidRPr="004172A0" w:rsidRDefault="00AC614F" w:rsidP="00AC614F">
      <w:pPr>
        <w:pStyle w:val="Reference"/>
      </w:pPr>
      <w:proofErr w:type="spellStart"/>
      <w:r w:rsidRPr="004172A0">
        <w:t>Graffam</w:t>
      </w:r>
      <w:proofErr w:type="spellEnd"/>
      <w:r w:rsidRPr="004172A0">
        <w:t xml:space="preserve">, J. </w:t>
      </w:r>
      <w:r w:rsidR="00D5020C">
        <w:t>and</w:t>
      </w:r>
      <w:r w:rsidRPr="004172A0">
        <w:t xml:space="preserve"> </w:t>
      </w:r>
      <w:proofErr w:type="spellStart"/>
      <w:r w:rsidRPr="004172A0">
        <w:t>Shinkfield</w:t>
      </w:r>
      <w:proofErr w:type="spellEnd"/>
      <w:r w:rsidRPr="004172A0">
        <w:t xml:space="preserve">, A. 2012, </w:t>
      </w:r>
      <w:r w:rsidR="007F5725" w:rsidRPr="00D52B94">
        <w:rPr>
          <w:i/>
        </w:rPr>
        <w:t xml:space="preserve">Strategies to </w:t>
      </w:r>
      <w:r w:rsidR="00033697" w:rsidRPr="000C5294">
        <w:rPr>
          <w:i/>
        </w:rPr>
        <w:t xml:space="preserve">Enhance Employment </w:t>
      </w:r>
      <w:r w:rsidR="00033697">
        <w:rPr>
          <w:i/>
        </w:rPr>
        <w:t>of Indigenous Ex-o</w:t>
      </w:r>
      <w:r w:rsidR="00033697" w:rsidRPr="000C5294">
        <w:rPr>
          <w:i/>
        </w:rPr>
        <w:t xml:space="preserve">ffenders </w:t>
      </w:r>
      <w:r w:rsidR="00033697">
        <w:rPr>
          <w:i/>
        </w:rPr>
        <w:t>after Release f</w:t>
      </w:r>
      <w:r w:rsidR="00033697" w:rsidRPr="000C5294">
        <w:rPr>
          <w:i/>
        </w:rPr>
        <w:t>rom Correctional Institutions</w:t>
      </w:r>
      <w:r w:rsidRPr="004172A0">
        <w:t xml:space="preserve">, Resource </w:t>
      </w:r>
      <w:r w:rsidR="000C5294">
        <w:t>s</w:t>
      </w:r>
      <w:r w:rsidR="000C5294" w:rsidRPr="004172A0">
        <w:t xml:space="preserve">heet </w:t>
      </w:r>
      <w:r w:rsidRPr="004172A0">
        <w:t xml:space="preserve">no. 12, produced for the Closing the Gap Clearinghouse, </w:t>
      </w:r>
      <w:proofErr w:type="spellStart"/>
      <w:r w:rsidR="00F834F2">
        <w:t>AIHW</w:t>
      </w:r>
      <w:proofErr w:type="spellEnd"/>
      <w:r w:rsidR="00F834F2">
        <w:t xml:space="preserve">, Canberra and </w:t>
      </w:r>
      <w:proofErr w:type="spellStart"/>
      <w:r w:rsidR="00F834F2">
        <w:t>AIFS</w:t>
      </w:r>
      <w:proofErr w:type="spellEnd"/>
      <w:r w:rsidR="00F834F2">
        <w:t>, Melbourne</w:t>
      </w:r>
      <w:r w:rsidRPr="004172A0">
        <w:t>.</w:t>
      </w:r>
    </w:p>
    <w:p w:rsidR="00AC614F" w:rsidRDefault="00AC614F" w:rsidP="00AC614F">
      <w:pPr>
        <w:pStyle w:val="Reference"/>
      </w:pPr>
      <w:proofErr w:type="spellStart"/>
      <w:r w:rsidRPr="004172A0">
        <w:t>Gray</w:t>
      </w:r>
      <w:proofErr w:type="spellEnd"/>
      <w:r w:rsidRPr="004172A0">
        <w:t>, D.</w:t>
      </w:r>
      <w:r w:rsidR="004172A0" w:rsidRPr="004172A0">
        <w:t xml:space="preserve"> </w:t>
      </w:r>
      <w:r w:rsidR="00D5020C">
        <w:t>and</w:t>
      </w:r>
      <w:r w:rsidRPr="004172A0">
        <w:t xml:space="preserve"> Wilkes, T.</w:t>
      </w:r>
      <w:r w:rsidR="004172A0" w:rsidRPr="004172A0">
        <w:t xml:space="preserve"> </w:t>
      </w:r>
      <w:r w:rsidRPr="004172A0">
        <w:t xml:space="preserve">2010, </w:t>
      </w:r>
      <w:r w:rsidR="007F5725" w:rsidRPr="00D52B94">
        <w:rPr>
          <w:i/>
        </w:rPr>
        <w:t xml:space="preserve">Reducing </w:t>
      </w:r>
      <w:r w:rsidR="00033697" w:rsidRPr="000C5294">
        <w:rPr>
          <w:i/>
        </w:rPr>
        <w:t xml:space="preserve">Alcohol </w:t>
      </w:r>
      <w:r w:rsidR="007F5725" w:rsidRPr="00D52B94">
        <w:rPr>
          <w:i/>
        </w:rPr>
        <w:t xml:space="preserve">and other </w:t>
      </w:r>
      <w:r w:rsidR="00033697" w:rsidRPr="000C5294">
        <w:rPr>
          <w:i/>
        </w:rPr>
        <w:t>Drug Related Harm</w:t>
      </w:r>
      <w:r w:rsidRPr="004172A0">
        <w:t xml:space="preserve">, Resource sheet no. 3, produced for the Closing the Gap Clearinghouse, </w:t>
      </w:r>
      <w:proofErr w:type="spellStart"/>
      <w:r w:rsidR="00F834F2">
        <w:t>AIHW</w:t>
      </w:r>
      <w:proofErr w:type="spellEnd"/>
      <w:r w:rsidR="00F834F2">
        <w:t xml:space="preserve">, </w:t>
      </w:r>
      <w:r w:rsidRPr="004172A0">
        <w:t>Canberra</w:t>
      </w:r>
      <w:r w:rsidR="00F834F2">
        <w:t xml:space="preserve"> and </w:t>
      </w:r>
      <w:proofErr w:type="spellStart"/>
      <w:r w:rsidR="00F834F2">
        <w:t>AIFS</w:t>
      </w:r>
      <w:proofErr w:type="spellEnd"/>
      <w:r w:rsidR="00F834F2">
        <w:t>,</w:t>
      </w:r>
      <w:r w:rsidRPr="004172A0">
        <w:t xml:space="preserve"> Melbourne.</w:t>
      </w:r>
    </w:p>
    <w:p w:rsidR="005A4ADE" w:rsidRPr="004172A0" w:rsidRDefault="005A4ADE" w:rsidP="005A4ADE">
      <w:pPr>
        <w:pStyle w:val="Reference"/>
      </w:pPr>
      <w:proofErr w:type="spellStart"/>
      <w:r>
        <w:t>Gray</w:t>
      </w:r>
      <w:proofErr w:type="spellEnd"/>
      <w:r>
        <w:t xml:space="preserve"> M. 2012,</w:t>
      </w:r>
      <w:r w:rsidRPr="004172A0">
        <w:t xml:space="preserve"> </w:t>
      </w:r>
      <w:r w:rsidR="00D52B94">
        <w:t>‘</w:t>
      </w:r>
      <w:r w:rsidRPr="004172A0">
        <w:t>What works to increase Indigenous employment?</w:t>
      </w:r>
      <w:r w:rsidR="00D52B94">
        <w:t>’,</w:t>
      </w:r>
      <w:r w:rsidRPr="004172A0">
        <w:t xml:space="preserve"> Closing the Gap Clearinghouse seminar presentation</w:t>
      </w:r>
      <w:r w:rsidR="00D52B94">
        <w:t>,</w:t>
      </w:r>
      <w:r w:rsidRPr="004172A0">
        <w:t xml:space="preserve"> 19 March 2012, Canberra</w:t>
      </w:r>
      <w:r>
        <w:t>.</w:t>
      </w:r>
    </w:p>
    <w:p w:rsidR="00AC614F" w:rsidRPr="004172A0" w:rsidRDefault="00AC614F" w:rsidP="00AC614F">
      <w:pPr>
        <w:pStyle w:val="Reference"/>
      </w:pPr>
      <w:proofErr w:type="spellStart"/>
      <w:r w:rsidRPr="004172A0">
        <w:t>Gray</w:t>
      </w:r>
      <w:proofErr w:type="spellEnd"/>
      <w:r w:rsidRPr="004172A0">
        <w:t>, M. Hunter, B</w:t>
      </w:r>
      <w:r w:rsidR="00D5020C">
        <w:t>.</w:t>
      </w:r>
      <w:r w:rsidRPr="004172A0">
        <w:t xml:space="preserve"> </w:t>
      </w:r>
      <w:r w:rsidR="00D5020C">
        <w:t xml:space="preserve">and </w:t>
      </w:r>
      <w:proofErr w:type="spellStart"/>
      <w:r w:rsidRPr="004172A0">
        <w:t>Lohoar</w:t>
      </w:r>
      <w:proofErr w:type="spellEnd"/>
      <w:r w:rsidRPr="004172A0">
        <w:t xml:space="preserve"> S</w:t>
      </w:r>
      <w:r w:rsidR="00D5020C">
        <w:t>.</w:t>
      </w:r>
      <w:r w:rsidRPr="004172A0">
        <w:t xml:space="preserve"> 2012</w:t>
      </w:r>
      <w:r w:rsidR="00D5020C">
        <w:t>,</w:t>
      </w:r>
      <w:r w:rsidRPr="004172A0">
        <w:t xml:space="preserve"> </w:t>
      </w:r>
      <w:r w:rsidR="007F5725" w:rsidRPr="00D52B94">
        <w:rPr>
          <w:i/>
        </w:rPr>
        <w:t xml:space="preserve">Increasing Indigenous </w:t>
      </w:r>
      <w:r w:rsidR="00033697" w:rsidRPr="000C5294">
        <w:rPr>
          <w:i/>
        </w:rPr>
        <w:t>Employment Rates</w:t>
      </w:r>
      <w:r w:rsidRPr="004172A0">
        <w:t xml:space="preserve">, Issues </w:t>
      </w:r>
      <w:r w:rsidR="00F52CAD">
        <w:t>P</w:t>
      </w:r>
      <w:r w:rsidRPr="004172A0">
        <w:t xml:space="preserve">aper no. 3, produced for the Closing the Gap Clearinghouse, </w:t>
      </w:r>
      <w:proofErr w:type="spellStart"/>
      <w:r w:rsidR="00E40D25">
        <w:t>AIHW</w:t>
      </w:r>
      <w:proofErr w:type="spellEnd"/>
      <w:r w:rsidR="00E40D25">
        <w:t xml:space="preserve">, </w:t>
      </w:r>
      <w:r w:rsidRPr="004172A0">
        <w:t>Canberra</w:t>
      </w:r>
      <w:r w:rsidR="00E40D25">
        <w:t xml:space="preserve"> and </w:t>
      </w:r>
      <w:proofErr w:type="spellStart"/>
      <w:r w:rsidR="00E40D25">
        <w:t>AIFS</w:t>
      </w:r>
      <w:proofErr w:type="spellEnd"/>
      <w:r w:rsidR="00E40D25">
        <w:t xml:space="preserve">, Melbourne. </w:t>
      </w:r>
    </w:p>
    <w:p w:rsidR="00AC614F" w:rsidRPr="004172A0" w:rsidRDefault="00AC614F" w:rsidP="00AC614F">
      <w:pPr>
        <w:pStyle w:val="Reference"/>
      </w:pPr>
      <w:proofErr w:type="spellStart"/>
      <w:r w:rsidRPr="004172A0">
        <w:t>Helme</w:t>
      </w:r>
      <w:proofErr w:type="spellEnd"/>
      <w:r w:rsidR="00D5020C">
        <w:t>,</w:t>
      </w:r>
      <w:r w:rsidRPr="004172A0">
        <w:t xml:space="preserve"> S</w:t>
      </w:r>
      <w:r w:rsidR="00D5020C">
        <w:t>.</w:t>
      </w:r>
      <w:r w:rsidRPr="004172A0">
        <w:t xml:space="preserve"> </w:t>
      </w:r>
      <w:r w:rsidR="00D5020C">
        <w:t xml:space="preserve">and </w:t>
      </w:r>
      <w:r w:rsidRPr="004172A0">
        <w:t>Lamb</w:t>
      </w:r>
      <w:r w:rsidR="00D5020C">
        <w:t>,</w:t>
      </w:r>
      <w:r w:rsidRPr="004172A0">
        <w:t xml:space="preserve"> S</w:t>
      </w:r>
      <w:r w:rsidR="00D5020C">
        <w:t>.</w:t>
      </w:r>
      <w:r w:rsidRPr="004172A0">
        <w:t xml:space="preserve"> 2011</w:t>
      </w:r>
      <w:r w:rsidR="00D5020C">
        <w:t>,</w:t>
      </w:r>
      <w:r w:rsidRPr="004172A0">
        <w:t xml:space="preserve"> </w:t>
      </w:r>
      <w:r w:rsidR="007F5725" w:rsidRPr="00AD7A53">
        <w:rPr>
          <w:i/>
        </w:rPr>
        <w:t xml:space="preserve">Closing the </w:t>
      </w:r>
      <w:r w:rsidR="00033697" w:rsidRPr="000C5294">
        <w:rPr>
          <w:i/>
        </w:rPr>
        <w:t xml:space="preserve">School Completion Gap </w:t>
      </w:r>
      <w:r w:rsidR="007F5725" w:rsidRPr="00AD7A53">
        <w:rPr>
          <w:i/>
        </w:rPr>
        <w:t xml:space="preserve">for Indigenous </w:t>
      </w:r>
      <w:r w:rsidR="00033697" w:rsidRPr="000C5294">
        <w:rPr>
          <w:i/>
        </w:rPr>
        <w:t>Students</w:t>
      </w:r>
      <w:r w:rsidR="000C5294">
        <w:t>,</w:t>
      </w:r>
      <w:r w:rsidRPr="004172A0">
        <w:t xml:space="preserve"> </w:t>
      </w:r>
      <w:r w:rsidR="00AD7A53" w:rsidRPr="00AD7A53">
        <w:t xml:space="preserve">Resource sheet no. </w:t>
      </w:r>
      <w:r w:rsidR="00AD7A53">
        <w:t xml:space="preserve">6, </w:t>
      </w:r>
      <w:r w:rsidR="000C5294">
        <w:t>p</w:t>
      </w:r>
      <w:r w:rsidRPr="004172A0">
        <w:t>roduced for the Closing the Gap Clearinghouse</w:t>
      </w:r>
      <w:r w:rsidR="00E40D25">
        <w:t xml:space="preserve">, </w:t>
      </w:r>
      <w:proofErr w:type="spellStart"/>
      <w:r w:rsidR="00E40D25">
        <w:t>AIHW</w:t>
      </w:r>
      <w:proofErr w:type="spellEnd"/>
      <w:r w:rsidR="00E40D25">
        <w:t>,</w:t>
      </w:r>
      <w:r w:rsidRPr="004172A0">
        <w:t xml:space="preserve"> Canberra</w:t>
      </w:r>
      <w:r w:rsidR="00E40D25">
        <w:t xml:space="preserve"> and </w:t>
      </w:r>
      <w:proofErr w:type="spellStart"/>
      <w:r w:rsidR="00E40D25">
        <w:t>AIFS</w:t>
      </w:r>
      <w:proofErr w:type="spellEnd"/>
      <w:r w:rsidR="00E40D25">
        <w:t>, Melbourne</w:t>
      </w:r>
      <w:r w:rsidRPr="004172A0">
        <w:t>.</w:t>
      </w:r>
    </w:p>
    <w:p w:rsidR="00AC614F" w:rsidRPr="004172A0" w:rsidRDefault="00AC614F" w:rsidP="00AC614F">
      <w:pPr>
        <w:pStyle w:val="Reference"/>
      </w:pPr>
      <w:r w:rsidRPr="004172A0">
        <w:lastRenderedPageBreak/>
        <w:t xml:space="preserve">Hunter, B. 2010, </w:t>
      </w:r>
      <w:r w:rsidR="007F5725" w:rsidRPr="00AD7A53">
        <w:rPr>
          <w:i/>
        </w:rPr>
        <w:t xml:space="preserve">Pathways for Indigenous </w:t>
      </w:r>
      <w:r w:rsidR="00033697" w:rsidRPr="000C5294">
        <w:rPr>
          <w:i/>
        </w:rPr>
        <w:t xml:space="preserve">School Leavers </w:t>
      </w:r>
      <w:r w:rsidR="00033697">
        <w:rPr>
          <w:i/>
        </w:rPr>
        <w:t>to Undertake Training o</w:t>
      </w:r>
      <w:r w:rsidR="00033697" w:rsidRPr="000C5294">
        <w:rPr>
          <w:i/>
        </w:rPr>
        <w:t>r Gain Employmen</w:t>
      </w:r>
      <w:r w:rsidR="007F5725" w:rsidRPr="00AD7A53">
        <w:rPr>
          <w:i/>
        </w:rPr>
        <w:t>t</w:t>
      </w:r>
      <w:r w:rsidRPr="004172A0">
        <w:t xml:space="preserve">, Resource sheet no. 2, produced for the Closing the Gap Clearinghouse, </w:t>
      </w:r>
      <w:proofErr w:type="spellStart"/>
      <w:r w:rsidR="00E40D25">
        <w:t>AIHW</w:t>
      </w:r>
      <w:proofErr w:type="spellEnd"/>
      <w:r w:rsidR="00E40D25">
        <w:t xml:space="preserve">, </w:t>
      </w:r>
      <w:r w:rsidRPr="004172A0">
        <w:t>Canberra</w:t>
      </w:r>
      <w:r w:rsidR="00E40D25">
        <w:t xml:space="preserve"> and </w:t>
      </w:r>
      <w:proofErr w:type="spellStart"/>
      <w:r w:rsidR="00E40D25">
        <w:t>AIFS</w:t>
      </w:r>
      <w:proofErr w:type="spellEnd"/>
      <w:r w:rsidR="00E40D25">
        <w:t xml:space="preserve">, Melbourne. </w:t>
      </w:r>
    </w:p>
    <w:p w:rsidR="00AC614F" w:rsidRDefault="00AC614F" w:rsidP="00AC614F">
      <w:pPr>
        <w:pStyle w:val="Reference"/>
      </w:pPr>
      <w:proofErr w:type="spellStart"/>
      <w:r w:rsidRPr="004172A0">
        <w:t>Pawson</w:t>
      </w:r>
      <w:proofErr w:type="spellEnd"/>
      <w:r w:rsidRPr="004172A0">
        <w:t>, R.</w:t>
      </w:r>
      <w:r w:rsidR="00D5020C">
        <w:t>,</w:t>
      </w:r>
      <w:r w:rsidRPr="004172A0">
        <w:t xml:space="preserve"> </w:t>
      </w:r>
      <w:proofErr w:type="spellStart"/>
      <w:r w:rsidRPr="004172A0">
        <w:t>Greenhalgh</w:t>
      </w:r>
      <w:proofErr w:type="spellEnd"/>
      <w:r w:rsidRPr="004172A0">
        <w:t>, P.</w:t>
      </w:r>
      <w:r w:rsidR="00D5020C">
        <w:t>,</w:t>
      </w:r>
      <w:r w:rsidRPr="004172A0">
        <w:t xml:space="preserve"> Harvey G.</w:t>
      </w:r>
      <w:r w:rsidR="0065044C">
        <w:t xml:space="preserve"> and</w:t>
      </w:r>
      <w:r w:rsidRPr="004172A0">
        <w:t xml:space="preserve"> </w:t>
      </w:r>
      <w:proofErr w:type="spellStart"/>
      <w:r w:rsidRPr="004172A0">
        <w:t>Walshe</w:t>
      </w:r>
      <w:proofErr w:type="spellEnd"/>
      <w:r w:rsidRPr="004172A0">
        <w:t xml:space="preserve"> K. 2004</w:t>
      </w:r>
      <w:r w:rsidR="00D5020C">
        <w:t>,</w:t>
      </w:r>
      <w:r w:rsidRPr="004172A0">
        <w:t xml:space="preserve"> </w:t>
      </w:r>
      <w:r w:rsidR="00AD7A53">
        <w:rPr>
          <w:i/>
        </w:rPr>
        <w:t>Realist</w:t>
      </w:r>
      <w:r w:rsidR="007F5725" w:rsidRPr="00AD7A53">
        <w:rPr>
          <w:i/>
        </w:rPr>
        <w:t xml:space="preserve"> Synthesis: </w:t>
      </w:r>
      <w:r w:rsidR="00033697" w:rsidRPr="00245B1D">
        <w:rPr>
          <w:i/>
        </w:rPr>
        <w:t xml:space="preserve">An </w:t>
      </w:r>
      <w:r w:rsidR="00E40D25" w:rsidRPr="00E40D25">
        <w:rPr>
          <w:i/>
        </w:rPr>
        <w:t>Introduction</w:t>
      </w:r>
      <w:r w:rsidRPr="004172A0">
        <w:t xml:space="preserve">, </w:t>
      </w:r>
      <w:proofErr w:type="spellStart"/>
      <w:r w:rsidRPr="004172A0">
        <w:t>E</w:t>
      </w:r>
      <w:r w:rsidR="00AD7A53">
        <w:t>SR</w:t>
      </w:r>
      <w:r w:rsidRPr="004172A0">
        <w:t>C</w:t>
      </w:r>
      <w:proofErr w:type="spellEnd"/>
      <w:r w:rsidRPr="004172A0">
        <w:t xml:space="preserve"> Research Methods </w:t>
      </w:r>
      <w:proofErr w:type="spellStart"/>
      <w:r w:rsidRPr="004172A0">
        <w:t>Programme</w:t>
      </w:r>
      <w:proofErr w:type="spellEnd"/>
      <w:r w:rsidRPr="004172A0">
        <w:t xml:space="preserve"> Papers no</w:t>
      </w:r>
      <w:r w:rsidR="00E40D25">
        <w:t>.</w:t>
      </w:r>
      <w:r w:rsidRPr="004172A0">
        <w:t xml:space="preserve"> 2, </w:t>
      </w:r>
      <w:r w:rsidR="00AD7A53">
        <w:t xml:space="preserve">University of Manchester, United Kingdom. </w:t>
      </w:r>
    </w:p>
    <w:p w:rsidR="00AC614F" w:rsidRPr="004172A0" w:rsidRDefault="00AC614F" w:rsidP="00AC614F">
      <w:pPr>
        <w:pStyle w:val="Reference"/>
        <w:rPr>
          <w:sz w:val="20"/>
        </w:rPr>
      </w:pPr>
      <w:r w:rsidRPr="004172A0">
        <w:t>Perry, B.</w:t>
      </w:r>
      <w:r w:rsidR="0065044C">
        <w:t xml:space="preserve"> and</w:t>
      </w:r>
      <w:r w:rsidRPr="004172A0">
        <w:t xml:space="preserve"> Howard, P. 2003, </w:t>
      </w:r>
      <w:r w:rsidR="007F5725" w:rsidRPr="00AD7A53">
        <w:rPr>
          <w:i/>
        </w:rPr>
        <w:t>Report on the Count Me In Too Indigenous Project</w:t>
      </w:r>
      <w:r w:rsidRPr="004172A0">
        <w:t xml:space="preserve"> </w:t>
      </w:r>
      <w:r w:rsidR="007F5725" w:rsidRPr="00B833E9">
        <w:rPr>
          <w:i/>
        </w:rPr>
        <w:t>during</w:t>
      </w:r>
      <w:r w:rsidR="00AD7A53" w:rsidRPr="00AD7A53">
        <w:rPr>
          <w:i/>
        </w:rPr>
        <w:t xml:space="preserve"> 2002</w:t>
      </w:r>
      <w:r w:rsidRPr="004172A0">
        <w:t>,</w:t>
      </w:r>
      <w:r w:rsidR="004172A0" w:rsidRPr="004172A0">
        <w:t xml:space="preserve"> </w:t>
      </w:r>
      <w:r w:rsidRPr="004172A0">
        <w:t>N</w:t>
      </w:r>
      <w:r w:rsidR="00E40D25">
        <w:t xml:space="preserve">ew </w:t>
      </w:r>
      <w:r w:rsidRPr="004172A0">
        <w:t>S</w:t>
      </w:r>
      <w:r w:rsidR="00E40D25">
        <w:t xml:space="preserve">outh </w:t>
      </w:r>
      <w:r w:rsidRPr="004172A0">
        <w:t>W</w:t>
      </w:r>
      <w:r w:rsidR="00E40D25">
        <w:t>ales</w:t>
      </w:r>
      <w:r w:rsidRPr="004172A0">
        <w:t xml:space="preserve"> Dep</w:t>
      </w:r>
      <w:r w:rsidR="005A4ADE">
        <w:t>artment</w:t>
      </w:r>
      <w:r w:rsidRPr="004172A0">
        <w:t xml:space="preserve"> of Education and Training, Professional Support and Curriculum Directorate, Sydney, NSW.</w:t>
      </w:r>
    </w:p>
    <w:p w:rsidR="00AC614F" w:rsidRPr="004172A0" w:rsidRDefault="00AC614F" w:rsidP="00AC614F">
      <w:pPr>
        <w:pStyle w:val="Reference"/>
      </w:pPr>
      <w:r w:rsidRPr="004172A0">
        <w:t>Rowley</w:t>
      </w:r>
      <w:r w:rsidR="00D5020C">
        <w:t>,</w:t>
      </w:r>
      <w:r w:rsidRPr="004172A0">
        <w:t xml:space="preserve"> </w:t>
      </w:r>
      <w:proofErr w:type="spellStart"/>
      <w:r w:rsidRPr="004172A0">
        <w:t>K</w:t>
      </w:r>
      <w:r w:rsidR="00D5020C">
        <w:t>.</w:t>
      </w:r>
      <w:r w:rsidRPr="004172A0">
        <w:t>G</w:t>
      </w:r>
      <w:proofErr w:type="spellEnd"/>
      <w:r w:rsidR="00D5020C">
        <w:t>.</w:t>
      </w:r>
      <w:r w:rsidRPr="004172A0">
        <w:t>, Daniel</w:t>
      </w:r>
      <w:r w:rsidR="00D5020C">
        <w:t>,</w:t>
      </w:r>
      <w:r w:rsidRPr="004172A0">
        <w:t xml:space="preserve"> M</w:t>
      </w:r>
      <w:r w:rsidR="00D5020C">
        <w:t>.</w:t>
      </w:r>
      <w:r w:rsidRPr="004172A0">
        <w:t>, Skinner</w:t>
      </w:r>
      <w:r w:rsidR="00D5020C">
        <w:t>,</w:t>
      </w:r>
      <w:r w:rsidRPr="004172A0">
        <w:t xml:space="preserve"> K</w:t>
      </w:r>
      <w:r w:rsidR="00D5020C">
        <w:t>.</w:t>
      </w:r>
      <w:r w:rsidRPr="004172A0">
        <w:t>, Skinner</w:t>
      </w:r>
      <w:r w:rsidR="00D5020C">
        <w:t>,</w:t>
      </w:r>
      <w:r w:rsidRPr="004172A0">
        <w:t xml:space="preserve"> M</w:t>
      </w:r>
      <w:r w:rsidR="00D5020C">
        <w:t>.</w:t>
      </w:r>
      <w:r w:rsidRPr="004172A0">
        <w:t>, White</w:t>
      </w:r>
      <w:r w:rsidR="00D5020C">
        <w:t>,</w:t>
      </w:r>
      <w:r w:rsidRPr="004172A0">
        <w:t xml:space="preserve"> </w:t>
      </w:r>
      <w:proofErr w:type="spellStart"/>
      <w:r w:rsidRPr="004172A0">
        <w:t>G</w:t>
      </w:r>
      <w:r w:rsidR="00D5020C">
        <w:t>.</w:t>
      </w:r>
      <w:r w:rsidRPr="004172A0">
        <w:t>A</w:t>
      </w:r>
      <w:proofErr w:type="spellEnd"/>
      <w:r w:rsidR="00D5020C">
        <w:t>. and</w:t>
      </w:r>
      <w:r w:rsidRPr="004172A0">
        <w:t xml:space="preserve"> O</w:t>
      </w:r>
      <w:r w:rsidR="004172A0" w:rsidRPr="004172A0">
        <w:t>’</w:t>
      </w:r>
      <w:r w:rsidRPr="004172A0">
        <w:t>Dea</w:t>
      </w:r>
      <w:r w:rsidR="00D5020C">
        <w:t>,</w:t>
      </w:r>
      <w:r w:rsidRPr="004172A0">
        <w:t xml:space="preserve"> K</w:t>
      </w:r>
      <w:r w:rsidR="00D5020C">
        <w:t>.</w:t>
      </w:r>
      <w:r w:rsidRPr="004172A0">
        <w:t xml:space="preserve"> 2000</w:t>
      </w:r>
      <w:r w:rsidR="00D5020C">
        <w:t>,</w:t>
      </w:r>
      <w:r w:rsidRPr="004172A0">
        <w:t xml:space="preserve"> </w:t>
      </w:r>
      <w:r w:rsidR="000C5294">
        <w:t>‘</w:t>
      </w:r>
      <w:r w:rsidRPr="004172A0">
        <w:t xml:space="preserve">Effectiveness of a community-directed </w:t>
      </w:r>
      <w:r w:rsidR="00033697">
        <w:t>“</w:t>
      </w:r>
      <w:r w:rsidRPr="004172A0">
        <w:t>healthy lifestyle</w:t>
      </w:r>
      <w:r w:rsidR="00033697">
        <w:t>”</w:t>
      </w:r>
      <w:r w:rsidRPr="004172A0">
        <w:t xml:space="preserve"> program in a remote Australian Aboriginal community</w:t>
      </w:r>
      <w:r w:rsidR="000C5294">
        <w:t>’</w:t>
      </w:r>
      <w:r w:rsidR="00C17A1B">
        <w:t>,</w:t>
      </w:r>
      <w:r w:rsidRPr="004172A0">
        <w:t xml:space="preserve"> </w:t>
      </w:r>
      <w:r w:rsidR="007F5725" w:rsidRPr="00AD7A53">
        <w:rPr>
          <w:i/>
        </w:rPr>
        <w:t>Australian and New Zealand Journal of Public Health</w:t>
      </w:r>
      <w:r w:rsidR="00C17A1B">
        <w:t>, vol.</w:t>
      </w:r>
      <w:r w:rsidRPr="004172A0">
        <w:t xml:space="preserve"> 24</w:t>
      </w:r>
      <w:r w:rsidR="00C17A1B">
        <w:t xml:space="preserve">, no. 2, pp. </w:t>
      </w:r>
      <w:r w:rsidRPr="004172A0">
        <w:t>136–44.</w:t>
      </w:r>
    </w:p>
    <w:p w:rsidR="00AC614F" w:rsidRPr="004172A0" w:rsidRDefault="00AC614F" w:rsidP="00AC614F">
      <w:pPr>
        <w:pStyle w:val="Reference"/>
      </w:pPr>
      <w:r w:rsidRPr="004172A0">
        <w:t>Smart, D.</w:t>
      </w:r>
      <w:r w:rsidR="00E40D25">
        <w:t>,</w:t>
      </w:r>
      <w:r w:rsidRPr="004172A0">
        <w:t xml:space="preserve"> </w:t>
      </w:r>
      <w:proofErr w:type="spellStart"/>
      <w:r w:rsidRPr="004172A0">
        <w:t>Sanson</w:t>
      </w:r>
      <w:proofErr w:type="spellEnd"/>
      <w:r w:rsidRPr="004172A0">
        <w:t>, A.</w:t>
      </w:r>
      <w:r w:rsidR="00E40D25">
        <w:t>,</w:t>
      </w:r>
      <w:r w:rsidRPr="004172A0">
        <w:t xml:space="preserve"> Baxter, J.</w:t>
      </w:r>
      <w:r w:rsidR="00E40D25">
        <w:t>,</w:t>
      </w:r>
      <w:r w:rsidRPr="004172A0">
        <w:t xml:space="preserve"> Edwards, B. </w:t>
      </w:r>
      <w:r w:rsidR="00C17A1B">
        <w:t xml:space="preserve">and </w:t>
      </w:r>
      <w:r w:rsidRPr="004172A0">
        <w:t xml:space="preserve">Hayes, A. 2008, </w:t>
      </w:r>
      <w:r w:rsidR="007F5725" w:rsidRPr="00AD7A53">
        <w:rPr>
          <w:i/>
        </w:rPr>
        <w:t>Home-to-</w:t>
      </w:r>
      <w:r w:rsidR="00E40D25" w:rsidRPr="00E40D25">
        <w:rPr>
          <w:i/>
        </w:rPr>
        <w:t xml:space="preserve">School Transitions </w:t>
      </w:r>
      <w:r w:rsidR="007F5725" w:rsidRPr="00AD7A53">
        <w:rPr>
          <w:i/>
        </w:rPr>
        <w:t xml:space="preserve">for </w:t>
      </w:r>
      <w:r w:rsidR="00E40D25" w:rsidRPr="00E40D25">
        <w:rPr>
          <w:i/>
        </w:rPr>
        <w:t>Financially Disadvantaged Children</w:t>
      </w:r>
      <w:r w:rsidR="007F5725" w:rsidRPr="00AD7A53">
        <w:rPr>
          <w:i/>
        </w:rPr>
        <w:t xml:space="preserve">: </w:t>
      </w:r>
      <w:r w:rsidR="00E40D25" w:rsidRPr="00E40D25">
        <w:rPr>
          <w:i/>
        </w:rPr>
        <w:t>Final Report</w:t>
      </w:r>
      <w:r w:rsidR="00E40D25">
        <w:t>,</w:t>
      </w:r>
      <w:r w:rsidRPr="004172A0">
        <w:t xml:space="preserve"> The Smith Family</w:t>
      </w:r>
      <w:r w:rsidR="00E40D25">
        <w:t>, Sydney</w:t>
      </w:r>
      <w:r w:rsidRPr="004172A0">
        <w:t>.</w:t>
      </w:r>
    </w:p>
    <w:p w:rsidR="009E1844" w:rsidRPr="004172A0" w:rsidRDefault="00AC614F" w:rsidP="00AC614F">
      <w:pPr>
        <w:pStyle w:val="Reference"/>
      </w:pPr>
      <w:proofErr w:type="spellStart"/>
      <w:r w:rsidRPr="004172A0">
        <w:t>Sorin</w:t>
      </w:r>
      <w:proofErr w:type="spellEnd"/>
      <w:r w:rsidRPr="004172A0">
        <w:t xml:space="preserve">, R. </w:t>
      </w:r>
      <w:r w:rsidR="00C17A1B">
        <w:t xml:space="preserve">and </w:t>
      </w:r>
      <w:proofErr w:type="spellStart"/>
      <w:r w:rsidRPr="004172A0">
        <w:t>Markotsis</w:t>
      </w:r>
      <w:proofErr w:type="spellEnd"/>
      <w:r w:rsidRPr="004172A0">
        <w:t xml:space="preserve">, J. 2008, </w:t>
      </w:r>
      <w:r w:rsidR="007F5725" w:rsidRPr="00AD7A53">
        <w:rPr>
          <w:i/>
        </w:rPr>
        <w:t xml:space="preserve">Building a </w:t>
      </w:r>
      <w:r w:rsidR="00F43DAD" w:rsidRPr="00F43DAD">
        <w:rPr>
          <w:i/>
        </w:rPr>
        <w:t xml:space="preserve">Solid Foundation </w:t>
      </w:r>
      <w:r w:rsidR="007F5725" w:rsidRPr="00AD7A53">
        <w:rPr>
          <w:i/>
        </w:rPr>
        <w:t xml:space="preserve">for </w:t>
      </w:r>
      <w:r w:rsidR="00F43DAD" w:rsidRPr="00F43DAD">
        <w:rPr>
          <w:i/>
        </w:rPr>
        <w:t>School</w:t>
      </w:r>
      <w:r w:rsidR="007F5725" w:rsidRPr="00AD7A53">
        <w:rPr>
          <w:i/>
        </w:rPr>
        <w:t xml:space="preserve">: </w:t>
      </w:r>
      <w:r w:rsidR="009E3251">
        <w:rPr>
          <w:i/>
        </w:rPr>
        <w:t>A</w:t>
      </w:r>
      <w:r w:rsidR="009E3251" w:rsidRPr="00245B1D">
        <w:rPr>
          <w:i/>
        </w:rPr>
        <w:t xml:space="preserve"> </w:t>
      </w:r>
      <w:r w:rsidR="00F43DAD" w:rsidRPr="00F43DAD">
        <w:rPr>
          <w:i/>
        </w:rPr>
        <w:t>Communities Approach</w:t>
      </w:r>
      <w:r w:rsidRPr="004172A0">
        <w:t>, Australian Research Alliance for Children and Youth, Perth.</w:t>
      </w:r>
    </w:p>
    <w:sectPr w:rsidR="009E1844" w:rsidRPr="004172A0" w:rsidSect="001D2F03">
      <w:headerReference w:type="even" r:id="rId17"/>
      <w:headerReference w:type="default" r:id="rId18"/>
      <w:footerReference w:type="even" r:id="rId19"/>
      <w:footerReference w:type="default" r:id="rId20"/>
      <w:headerReference w:type="first" r:id="rId21"/>
      <w:footerReference w:type="first" r:id="rId22"/>
      <w:pgSz w:w="11907" w:h="16840" w:code="9"/>
      <w:pgMar w:top="1985" w:right="1304" w:bottom="1418" w:left="1814" w:header="1701" w:footer="567" w:gutter="0"/>
      <w:pgNumType w:start="13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0CF" w:rsidRDefault="000D30CF">
      <w:r>
        <w:separator/>
      </w:r>
    </w:p>
  </w:endnote>
  <w:endnote w:type="continuationSeparator" w:id="0">
    <w:p w:rsidR="000D30CF" w:rsidRDefault="000D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D30CF">
      <w:trPr>
        <w:trHeight w:hRule="exact" w:val="740"/>
      </w:trPr>
      <w:tc>
        <w:tcPr>
          <w:tcW w:w="510" w:type="dxa"/>
          <w:tcBorders>
            <w:top w:val="single" w:sz="6" w:space="0" w:color="auto"/>
          </w:tcBorders>
        </w:tcPr>
        <w:p w:rsidR="000D30CF" w:rsidRDefault="000D30C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D1176">
            <w:rPr>
              <w:rStyle w:val="PageNumber"/>
              <w:noProof/>
            </w:rPr>
            <w:t>150</w:t>
          </w:r>
          <w:r>
            <w:rPr>
              <w:rStyle w:val="PageNumber"/>
            </w:rPr>
            <w:fldChar w:fldCharType="end"/>
          </w:r>
        </w:p>
      </w:tc>
      <w:tc>
        <w:tcPr>
          <w:tcW w:w="1644" w:type="dxa"/>
          <w:tcBorders>
            <w:top w:val="single" w:sz="6" w:space="0" w:color="auto"/>
          </w:tcBorders>
        </w:tcPr>
        <w:p w:rsidR="000D30CF" w:rsidRDefault="00CD1176" w:rsidP="0019293B">
          <w:pPr>
            <w:pStyle w:val="Footer"/>
          </w:pPr>
          <w:r>
            <w:fldChar w:fldCharType="begin"/>
          </w:r>
          <w:r>
            <w:instrText xml:space="preserve"> SUBJECT  \* MERGEFORMAT </w:instrText>
          </w:r>
          <w:r>
            <w:fldChar w:fldCharType="separate"/>
          </w:r>
          <w:r w:rsidR="005012CD">
            <w:t>Better Indigenous Policies: The Role of Evaluation</w:t>
          </w:r>
          <w:r>
            <w:fldChar w:fldCharType="end"/>
          </w:r>
        </w:p>
      </w:tc>
      <w:tc>
        <w:tcPr>
          <w:tcW w:w="6634" w:type="dxa"/>
        </w:tcPr>
        <w:p w:rsidR="000D30CF" w:rsidRDefault="000D30CF" w:rsidP="0019293B">
          <w:pPr>
            <w:pStyle w:val="Footer"/>
          </w:pPr>
        </w:p>
      </w:tc>
    </w:tr>
  </w:tbl>
  <w:p w:rsidR="000D30CF" w:rsidRDefault="000D30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D30CF">
      <w:trPr>
        <w:trHeight w:hRule="exact" w:val="740"/>
      </w:trPr>
      <w:tc>
        <w:tcPr>
          <w:tcW w:w="6634" w:type="dxa"/>
        </w:tcPr>
        <w:p w:rsidR="000D30CF" w:rsidRDefault="000D30CF">
          <w:pPr>
            <w:pStyle w:val="Footer"/>
            <w:ind w:right="360" w:firstLine="360"/>
          </w:pPr>
        </w:p>
      </w:tc>
      <w:tc>
        <w:tcPr>
          <w:tcW w:w="1644" w:type="dxa"/>
          <w:tcBorders>
            <w:top w:val="single" w:sz="6" w:space="0" w:color="auto"/>
          </w:tcBorders>
        </w:tcPr>
        <w:p w:rsidR="000D30CF" w:rsidRDefault="00CD1176">
          <w:pPr>
            <w:pStyle w:val="Footer"/>
          </w:pPr>
          <w:r>
            <w:fldChar w:fldCharType="begin"/>
          </w:r>
          <w:r>
            <w:instrText xml:space="preserve"> TITLE  \* MERGEFORMAT </w:instrText>
          </w:r>
          <w:r>
            <w:fldChar w:fldCharType="separate"/>
          </w:r>
          <w:r w:rsidR="005012CD">
            <w:t>Communicating Evaluation Outcomes</w:t>
          </w:r>
          <w:r>
            <w:fldChar w:fldCharType="end"/>
          </w:r>
        </w:p>
      </w:tc>
      <w:tc>
        <w:tcPr>
          <w:tcW w:w="510" w:type="dxa"/>
          <w:tcBorders>
            <w:top w:val="single" w:sz="6" w:space="0" w:color="auto"/>
          </w:tcBorders>
        </w:tcPr>
        <w:p w:rsidR="000D30CF" w:rsidRDefault="000D30CF">
          <w:pPr>
            <w:pStyle w:val="Footer"/>
            <w:jc w:val="right"/>
          </w:pPr>
          <w:r>
            <w:rPr>
              <w:rStyle w:val="PageNumber"/>
            </w:rPr>
            <w:fldChar w:fldCharType="begin"/>
          </w:r>
          <w:r>
            <w:rPr>
              <w:rStyle w:val="PageNumber"/>
            </w:rPr>
            <w:instrText xml:space="preserve">PAGE  </w:instrText>
          </w:r>
          <w:r>
            <w:rPr>
              <w:rStyle w:val="PageNumber"/>
            </w:rPr>
            <w:fldChar w:fldCharType="separate"/>
          </w:r>
          <w:r w:rsidR="00CD1176">
            <w:rPr>
              <w:rStyle w:val="PageNumber"/>
              <w:noProof/>
            </w:rPr>
            <w:t>131</w:t>
          </w:r>
          <w:r>
            <w:rPr>
              <w:rStyle w:val="PageNumber"/>
            </w:rPr>
            <w:fldChar w:fldCharType="end"/>
          </w:r>
        </w:p>
      </w:tc>
    </w:tr>
  </w:tbl>
  <w:p w:rsidR="000D30CF" w:rsidRDefault="000D30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7F" w:rsidRDefault="00CA3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0CF" w:rsidRDefault="000D30CF">
      <w:r>
        <w:separator/>
      </w:r>
    </w:p>
  </w:footnote>
  <w:footnote w:type="continuationSeparator" w:id="0">
    <w:p w:rsidR="000D30CF" w:rsidRDefault="000D30CF">
      <w:r>
        <w:continuationSeparator/>
      </w:r>
    </w:p>
  </w:footnote>
  <w:footnote w:id="1">
    <w:p w:rsidR="00F97BD2" w:rsidRPr="003501B5" w:rsidRDefault="00F97BD2" w:rsidP="00F97BD2">
      <w:pPr>
        <w:pStyle w:val="FootnoteText"/>
      </w:pPr>
      <w:r w:rsidRPr="003501B5">
        <w:rPr>
          <w:rStyle w:val="FootnoteReference"/>
        </w:rPr>
        <w:footnoteRef/>
      </w:r>
      <w:r>
        <w:t xml:space="preserve"> Director, Australian Institute of Health and Welfare.</w:t>
      </w:r>
    </w:p>
  </w:footnote>
  <w:footnote w:id="2">
    <w:p w:rsidR="000D30CF" w:rsidRPr="003501B5" w:rsidRDefault="000D30CF" w:rsidP="003501B5">
      <w:pPr>
        <w:pStyle w:val="FootnoteText"/>
      </w:pPr>
      <w:r w:rsidRPr="003501B5">
        <w:rPr>
          <w:rStyle w:val="FootnoteReference"/>
        </w:rPr>
        <w:footnoteRef/>
      </w:r>
      <w:r>
        <w:t xml:space="preserve"> </w:t>
      </w:r>
      <w:r w:rsidR="00F97BD2" w:rsidRPr="00163728">
        <w:t>Manager, Social and Indigenous Group,</w:t>
      </w:r>
      <w:r w:rsidR="00F97BD2">
        <w:t xml:space="preserve"> </w:t>
      </w:r>
      <w:r>
        <w:t>Australian Institute of Health and Welfare.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D30CF">
      <w:tc>
        <w:tcPr>
          <w:tcW w:w="2155" w:type="dxa"/>
          <w:tcBorders>
            <w:top w:val="single" w:sz="24" w:space="0" w:color="auto"/>
          </w:tcBorders>
        </w:tcPr>
        <w:p w:rsidR="000D30CF" w:rsidRDefault="000D30CF" w:rsidP="0019293B">
          <w:pPr>
            <w:pStyle w:val="HeaderEven"/>
          </w:pPr>
        </w:p>
      </w:tc>
      <w:tc>
        <w:tcPr>
          <w:tcW w:w="6634" w:type="dxa"/>
          <w:tcBorders>
            <w:top w:val="single" w:sz="6" w:space="0" w:color="auto"/>
          </w:tcBorders>
        </w:tcPr>
        <w:p w:rsidR="000D30CF" w:rsidRDefault="000D30CF" w:rsidP="0019293B">
          <w:pPr>
            <w:pStyle w:val="HeaderEven"/>
          </w:pPr>
        </w:p>
      </w:tc>
    </w:tr>
  </w:tbl>
  <w:p w:rsidR="000D30CF" w:rsidRDefault="000D30C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D30CF">
      <w:tc>
        <w:tcPr>
          <w:tcW w:w="6634" w:type="dxa"/>
          <w:tcBorders>
            <w:top w:val="single" w:sz="6" w:space="0" w:color="auto"/>
          </w:tcBorders>
        </w:tcPr>
        <w:p w:rsidR="000D30CF" w:rsidRDefault="000D30CF" w:rsidP="00E669E2">
          <w:pPr>
            <w:pStyle w:val="HeaderOdd"/>
          </w:pPr>
        </w:p>
      </w:tc>
      <w:tc>
        <w:tcPr>
          <w:tcW w:w="2155" w:type="dxa"/>
          <w:tcBorders>
            <w:top w:val="single" w:sz="24" w:space="0" w:color="auto"/>
          </w:tcBorders>
        </w:tcPr>
        <w:p w:rsidR="000D30CF" w:rsidRDefault="000D30CF" w:rsidP="00E669E2">
          <w:pPr>
            <w:pStyle w:val="HeaderOdd"/>
          </w:pPr>
        </w:p>
      </w:tc>
    </w:tr>
  </w:tbl>
  <w:p w:rsidR="000D30CF" w:rsidRDefault="000D30C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7F" w:rsidRDefault="00CA35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2"/>
  </w:num>
  <w:num w:numId="3">
    <w:abstractNumId w:val="7"/>
  </w:num>
  <w:num w:numId="4">
    <w:abstractNumId w:val="25"/>
  </w:num>
  <w:num w:numId="5">
    <w:abstractNumId w:val="9"/>
  </w:num>
  <w:num w:numId="6">
    <w:abstractNumId w:val="37"/>
  </w:num>
  <w:num w:numId="7">
    <w:abstractNumId w:val="28"/>
  </w:num>
  <w:num w:numId="8">
    <w:abstractNumId w:val="43"/>
  </w:num>
  <w:num w:numId="9">
    <w:abstractNumId w:val="16"/>
  </w:num>
  <w:num w:numId="10">
    <w:abstractNumId w:val="26"/>
  </w:num>
  <w:num w:numId="11">
    <w:abstractNumId w:val="15"/>
  </w:num>
  <w:num w:numId="12">
    <w:abstractNumId w:val="14"/>
  </w:num>
  <w:num w:numId="13">
    <w:abstractNumId w:val="17"/>
  </w:num>
  <w:num w:numId="14">
    <w:abstractNumId w:val="19"/>
  </w:num>
  <w:num w:numId="15">
    <w:abstractNumId w:val="22"/>
  </w:num>
  <w:num w:numId="16">
    <w:abstractNumId w:val="10"/>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municating Evaluation Outcomes"/>
    <w:docVar w:name="ShortReportTitle" w:val="Better Indigenous Policies: The Role of Evaluation"/>
  </w:docVars>
  <w:rsids>
    <w:rsidRoot w:val="00047575"/>
    <w:rsid w:val="00007755"/>
    <w:rsid w:val="00011772"/>
    <w:rsid w:val="000227D5"/>
    <w:rsid w:val="000245AA"/>
    <w:rsid w:val="00033697"/>
    <w:rsid w:val="0003664B"/>
    <w:rsid w:val="0004111F"/>
    <w:rsid w:val="00041DCC"/>
    <w:rsid w:val="00047575"/>
    <w:rsid w:val="000565B3"/>
    <w:rsid w:val="00057C0D"/>
    <w:rsid w:val="0007150B"/>
    <w:rsid w:val="00071B59"/>
    <w:rsid w:val="0008684C"/>
    <w:rsid w:val="000938F5"/>
    <w:rsid w:val="00096E55"/>
    <w:rsid w:val="000B601B"/>
    <w:rsid w:val="000C207E"/>
    <w:rsid w:val="000C5294"/>
    <w:rsid w:val="000D30CF"/>
    <w:rsid w:val="000E498A"/>
    <w:rsid w:val="000E4CE3"/>
    <w:rsid w:val="000F0035"/>
    <w:rsid w:val="000F420B"/>
    <w:rsid w:val="00110116"/>
    <w:rsid w:val="00120072"/>
    <w:rsid w:val="00126EB8"/>
    <w:rsid w:val="001274D4"/>
    <w:rsid w:val="00132F06"/>
    <w:rsid w:val="001363AA"/>
    <w:rsid w:val="001377EA"/>
    <w:rsid w:val="0016479D"/>
    <w:rsid w:val="00165C59"/>
    <w:rsid w:val="0017306C"/>
    <w:rsid w:val="00183E82"/>
    <w:rsid w:val="001878BB"/>
    <w:rsid w:val="00187E6B"/>
    <w:rsid w:val="00191AE0"/>
    <w:rsid w:val="0019293B"/>
    <w:rsid w:val="001C0865"/>
    <w:rsid w:val="001C3ABA"/>
    <w:rsid w:val="001D2F03"/>
    <w:rsid w:val="001E7BE8"/>
    <w:rsid w:val="001F0248"/>
    <w:rsid w:val="001F3EB3"/>
    <w:rsid w:val="001F4F86"/>
    <w:rsid w:val="00202C2C"/>
    <w:rsid w:val="00207DDD"/>
    <w:rsid w:val="002135AB"/>
    <w:rsid w:val="002144BE"/>
    <w:rsid w:val="00215FF8"/>
    <w:rsid w:val="00242279"/>
    <w:rsid w:val="00245B1D"/>
    <w:rsid w:val="00245C82"/>
    <w:rsid w:val="00246A2C"/>
    <w:rsid w:val="00276387"/>
    <w:rsid w:val="00291B40"/>
    <w:rsid w:val="002A7AC7"/>
    <w:rsid w:val="002B4008"/>
    <w:rsid w:val="002B56D0"/>
    <w:rsid w:val="002D0E8E"/>
    <w:rsid w:val="002E5587"/>
    <w:rsid w:val="00301189"/>
    <w:rsid w:val="00306440"/>
    <w:rsid w:val="00314EDE"/>
    <w:rsid w:val="00323E09"/>
    <w:rsid w:val="00326FD3"/>
    <w:rsid w:val="00333932"/>
    <w:rsid w:val="00342E05"/>
    <w:rsid w:val="003452F8"/>
    <w:rsid w:val="00347C95"/>
    <w:rsid w:val="003501B5"/>
    <w:rsid w:val="003518AA"/>
    <w:rsid w:val="00352165"/>
    <w:rsid w:val="00353182"/>
    <w:rsid w:val="003565D9"/>
    <w:rsid w:val="003602E1"/>
    <w:rsid w:val="00366B16"/>
    <w:rsid w:val="0037026F"/>
    <w:rsid w:val="00371240"/>
    <w:rsid w:val="00374731"/>
    <w:rsid w:val="00376E59"/>
    <w:rsid w:val="003919F9"/>
    <w:rsid w:val="003C38B5"/>
    <w:rsid w:val="003C5D99"/>
    <w:rsid w:val="003E2F59"/>
    <w:rsid w:val="003F0789"/>
    <w:rsid w:val="00401882"/>
    <w:rsid w:val="00405EF9"/>
    <w:rsid w:val="004100C8"/>
    <w:rsid w:val="00411DBD"/>
    <w:rsid w:val="00412ACE"/>
    <w:rsid w:val="0041586D"/>
    <w:rsid w:val="004172A0"/>
    <w:rsid w:val="00431249"/>
    <w:rsid w:val="00434C19"/>
    <w:rsid w:val="00435A09"/>
    <w:rsid w:val="00450810"/>
    <w:rsid w:val="00473C66"/>
    <w:rsid w:val="00477144"/>
    <w:rsid w:val="00491380"/>
    <w:rsid w:val="0049459F"/>
    <w:rsid w:val="004A38DD"/>
    <w:rsid w:val="004B43AE"/>
    <w:rsid w:val="004C30ED"/>
    <w:rsid w:val="004D5675"/>
    <w:rsid w:val="004D59F5"/>
    <w:rsid w:val="004F2E59"/>
    <w:rsid w:val="004F6595"/>
    <w:rsid w:val="005012CD"/>
    <w:rsid w:val="00521296"/>
    <w:rsid w:val="00523639"/>
    <w:rsid w:val="00531FE5"/>
    <w:rsid w:val="0053390B"/>
    <w:rsid w:val="005343CE"/>
    <w:rsid w:val="005402FA"/>
    <w:rsid w:val="005803FE"/>
    <w:rsid w:val="00583C39"/>
    <w:rsid w:val="00587F28"/>
    <w:rsid w:val="005909CF"/>
    <w:rsid w:val="00591E71"/>
    <w:rsid w:val="005A0D41"/>
    <w:rsid w:val="005A4ADE"/>
    <w:rsid w:val="005F3116"/>
    <w:rsid w:val="00600509"/>
    <w:rsid w:val="006044D3"/>
    <w:rsid w:val="006078B9"/>
    <w:rsid w:val="00607BF1"/>
    <w:rsid w:val="00630D4D"/>
    <w:rsid w:val="00631385"/>
    <w:rsid w:val="00632A74"/>
    <w:rsid w:val="006473B3"/>
    <w:rsid w:val="0065044C"/>
    <w:rsid w:val="006609ED"/>
    <w:rsid w:val="00682E5D"/>
    <w:rsid w:val="00694235"/>
    <w:rsid w:val="006A0D1A"/>
    <w:rsid w:val="006A4655"/>
    <w:rsid w:val="006B2B3C"/>
    <w:rsid w:val="006C1D81"/>
    <w:rsid w:val="006C7038"/>
    <w:rsid w:val="006D5D9D"/>
    <w:rsid w:val="006E73EF"/>
    <w:rsid w:val="0071365D"/>
    <w:rsid w:val="00714D4D"/>
    <w:rsid w:val="00731B64"/>
    <w:rsid w:val="00745D3F"/>
    <w:rsid w:val="00757350"/>
    <w:rsid w:val="007604BB"/>
    <w:rsid w:val="0077668B"/>
    <w:rsid w:val="00785232"/>
    <w:rsid w:val="007A21EB"/>
    <w:rsid w:val="007B1A93"/>
    <w:rsid w:val="007C1624"/>
    <w:rsid w:val="007C36C9"/>
    <w:rsid w:val="007D6401"/>
    <w:rsid w:val="007E01E4"/>
    <w:rsid w:val="007F15A9"/>
    <w:rsid w:val="007F5725"/>
    <w:rsid w:val="007F6526"/>
    <w:rsid w:val="007F7107"/>
    <w:rsid w:val="00800D4C"/>
    <w:rsid w:val="0081030F"/>
    <w:rsid w:val="0082087D"/>
    <w:rsid w:val="00835771"/>
    <w:rsid w:val="00842933"/>
    <w:rsid w:val="0086082C"/>
    <w:rsid w:val="008617C8"/>
    <w:rsid w:val="00863407"/>
    <w:rsid w:val="00864ADC"/>
    <w:rsid w:val="0087124C"/>
    <w:rsid w:val="00880153"/>
    <w:rsid w:val="00880F97"/>
    <w:rsid w:val="0088133A"/>
    <w:rsid w:val="0088448C"/>
    <w:rsid w:val="0089285E"/>
    <w:rsid w:val="0089436C"/>
    <w:rsid w:val="008B3474"/>
    <w:rsid w:val="008D365C"/>
    <w:rsid w:val="008D5D63"/>
    <w:rsid w:val="008E6DB9"/>
    <w:rsid w:val="009030BF"/>
    <w:rsid w:val="0091032F"/>
    <w:rsid w:val="00910C08"/>
    <w:rsid w:val="00914368"/>
    <w:rsid w:val="00931076"/>
    <w:rsid w:val="009345D9"/>
    <w:rsid w:val="00934B15"/>
    <w:rsid w:val="00940C87"/>
    <w:rsid w:val="00942B62"/>
    <w:rsid w:val="0095323B"/>
    <w:rsid w:val="00956A0C"/>
    <w:rsid w:val="00956BD9"/>
    <w:rsid w:val="00962489"/>
    <w:rsid w:val="009668CE"/>
    <w:rsid w:val="00976876"/>
    <w:rsid w:val="00984808"/>
    <w:rsid w:val="00990C2C"/>
    <w:rsid w:val="00994572"/>
    <w:rsid w:val="0099515B"/>
    <w:rsid w:val="009A6E7A"/>
    <w:rsid w:val="009E1844"/>
    <w:rsid w:val="009E3251"/>
    <w:rsid w:val="009E7114"/>
    <w:rsid w:val="009F0D1B"/>
    <w:rsid w:val="009F696D"/>
    <w:rsid w:val="009F6BC6"/>
    <w:rsid w:val="00A14D34"/>
    <w:rsid w:val="00A17328"/>
    <w:rsid w:val="00A23A20"/>
    <w:rsid w:val="00A268B9"/>
    <w:rsid w:val="00A2703A"/>
    <w:rsid w:val="00A33DFF"/>
    <w:rsid w:val="00A3507E"/>
    <w:rsid w:val="00A35115"/>
    <w:rsid w:val="00A36D9A"/>
    <w:rsid w:val="00A42C7F"/>
    <w:rsid w:val="00A45463"/>
    <w:rsid w:val="00A554AB"/>
    <w:rsid w:val="00A57062"/>
    <w:rsid w:val="00A759A5"/>
    <w:rsid w:val="00A92B53"/>
    <w:rsid w:val="00A94FA6"/>
    <w:rsid w:val="00A976B3"/>
    <w:rsid w:val="00AA49A0"/>
    <w:rsid w:val="00AA6710"/>
    <w:rsid w:val="00AB0681"/>
    <w:rsid w:val="00AC614F"/>
    <w:rsid w:val="00AD520B"/>
    <w:rsid w:val="00AD587D"/>
    <w:rsid w:val="00AD7A53"/>
    <w:rsid w:val="00B16582"/>
    <w:rsid w:val="00B303EC"/>
    <w:rsid w:val="00B3575C"/>
    <w:rsid w:val="00B425C3"/>
    <w:rsid w:val="00B440AD"/>
    <w:rsid w:val="00B53E7E"/>
    <w:rsid w:val="00B6342E"/>
    <w:rsid w:val="00B63720"/>
    <w:rsid w:val="00B7113F"/>
    <w:rsid w:val="00B833E9"/>
    <w:rsid w:val="00BA73B6"/>
    <w:rsid w:val="00BA7E27"/>
    <w:rsid w:val="00BB2603"/>
    <w:rsid w:val="00BB4FCD"/>
    <w:rsid w:val="00BC04E9"/>
    <w:rsid w:val="00BC4A71"/>
    <w:rsid w:val="00BD13EA"/>
    <w:rsid w:val="00BD2EAF"/>
    <w:rsid w:val="00BE3808"/>
    <w:rsid w:val="00BF72EC"/>
    <w:rsid w:val="00C062E9"/>
    <w:rsid w:val="00C07B64"/>
    <w:rsid w:val="00C106B5"/>
    <w:rsid w:val="00C13083"/>
    <w:rsid w:val="00C13721"/>
    <w:rsid w:val="00C14FE4"/>
    <w:rsid w:val="00C17A1B"/>
    <w:rsid w:val="00C17F31"/>
    <w:rsid w:val="00C206AE"/>
    <w:rsid w:val="00C3066D"/>
    <w:rsid w:val="00C52416"/>
    <w:rsid w:val="00C543F4"/>
    <w:rsid w:val="00C6291C"/>
    <w:rsid w:val="00C633CB"/>
    <w:rsid w:val="00C736B7"/>
    <w:rsid w:val="00C81D4A"/>
    <w:rsid w:val="00C8762C"/>
    <w:rsid w:val="00CA00F9"/>
    <w:rsid w:val="00CA2961"/>
    <w:rsid w:val="00CA357F"/>
    <w:rsid w:val="00CB50D7"/>
    <w:rsid w:val="00CB7177"/>
    <w:rsid w:val="00CC1998"/>
    <w:rsid w:val="00CC4946"/>
    <w:rsid w:val="00CD1176"/>
    <w:rsid w:val="00CE38C0"/>
    <w:rsid w:val="00D270A4"/>
    <w:rsid w:val="00D31FE9"/>
    <w:rsid w:val="00D34E1B"/>
    <w:rsid w:val="00D376BA"/>
    <w:rsid w:val="00D45634"/>
    <w:rsid w:val="00D5020C"/>
    <w:rsid w:val="00D52B94"/>
    <w:rsid w:val="00D549F8"/>
    <w:rsid w:val="00D5568A"/>
    <w:rsid w:val="00D63D73"/>
    <w:rsid w:val="00D64452"/>
    <w:rsid w:val="00D66E1E"/>
    <w:rsid w:val="00D7232D"/>
    <w:rsid w:val="00D75722"/>
    <w:rsid w:val="00D80CF5"/>
    <w:rsid w:val="00DA5BBA"/>
    <w:rsid w:val="00DB26D2"/>
    <w:rsid w:val="00DB67C9"/>
    <w:rsid w:val="00DC0C95"/>
    <w:rsid w:val="00DD4731"/>
    <w:rsid w:val="00DD5F75"/>
    <w:rsid w:val="00DD6580"/>
    <w:rsid w:val="00DE0319"/>
    <w:rsid w:val="00E00168"/>
    <w:rsid w:val="00E027CB"/>
    <w:rsid w:val="00E17C72"/>
    <w:rsid w:val="00E21FC6"/>
    <w:rsid w:val="00E36082"/>
    <w:rsid w:val="00E40D25"/>
    <w:rsid w:val="00E431A9"/>
    <w:rsid w:val="00E50F70"/>
    <w:rsid w:val="00E669E2"/>
    <w:rsid w:val="00E76135"/>
    <w:rsid w:val="00E82F4F"/>
    <w:rsid w:val="00EA531B"/>
    <w:rsid w:val="00EC2844"/>
    <w:rsid w:val="00EC5500"/>
    <w:rsid w:val="00EF6C6C"/>
    <w:rsid w:val="00F056FC"/>
    <w:rsid w:val="00F10476"/>
    <w:rsid w:val="00F135D8"/>
    <w:rsid w:val="00F31299"/>
    <w:rsid w:val="00F3534A"/>
    <w:rsid w:val="00F43DAD"/>
    <w:rsid w:val="00F51609"/>
    <w:rsid w:val="00F52CAD"/>
    <w:rsid w:val="00F81006"/>
    <w:rsid w:val="00F834F2"/>
    <w:rsid w:val="00F85325"/>
    <w:rsid w:val="00F97BD2"/>
    <w:rsid w:val="00FD12BD"/>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1176"/>
    <w:rPr>
      <w:sz w:val="26"/>
      <w:szCs w:val="24"/>
    </w:rPr>
  </w:style>
  <w:style w:type="paragraph" w:styleId="Heading1">
    <w:name w:val="heading 1"/>
    <w:basedOn w:val="BodyText"/>
    <w:next w:val="BodyText"/>
    <w:link w:val="Heading1Char"/>
    <w:rsid w:val="00CD117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D117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D1176"/>
    <w:pPr>
      <w:spacing w:before="560" w:line="320" w:lineRule="exact"/>
      <w:ind w:left="0" w:firstLine="0"/>
      <w:outlineLvl w:val="2"/>
    </w:pPr>
    <w:rPr>
      <w:sz w:val="26"/>
    </w:rPr>
  </w:style>
  <w:style w:type="paragraph" w:styleId="Heading4">
    <w:name w:val="heading 4"/>
    <w:basedOn w:val="Heading3"/>
    <w:next w:val="BodyText"/>
    <w:link w:val="Heading4Char"/>
    <w:qFormat/>
    <w:rsid w:val="00CD1176"/>
    <w:pPr>
      <w:spacing w:before="480"/>
      <w:outlineLvl w:val="3"/>
    </w:pPr>
    <w:rPr>
      <w:b w:val="0"/>
      <w:i/>
      <w:sz w:val="24"/>
    </w:rPr>
  </w:style>
  <w:style w:type="paragraph" w:styleId="Heading5">
    <w:name w:val="heading 5"/>
    <w:basedOn w:val="Heading4"/>
    <w:next w:val="BodyText"/>
    <w:link w:val="Heading5Char"/>
    <w:qFormat/>
    <w:rsid w:val="00CD1176"/>
    <w:pPr>
      <w:outlineLvl w:val="4"/>
    </w:pPr>
    <w:rPr>
      <w:rFonts w:ascii="Times New Roman" w:hAnsi="Times New Roman"/>
      <w:sz w:val="26"/>
    </w:rPr>
  </w:style>
  <w:style w:type="paragraph" w:styleId="Heading6">
    <w:name w:val="heading 6"/>
    <w:basedOn w:val="BodyText"/>
    <w:next w:val="BodyText"/>
    <w:rsid w:val="00CD1176"/>
    <w:pPr>
      <w:spacing w:after="60"/>
      <w:jc w:val="left"/>
      <w:outlineLvl w:val="5"/>
    </w:pPr>
    <w:rPr>
      <w:i/>
      <w:sz w:val="22"/>
    </w:rPr>
  </w:style>
  <w:style w:type="paragraph" w:styleId="Heading7">
    <w:name w:val="heading 7"/>
    <w:basedOn w:val="BodyText"/>
    <w:next w:val="BodyText"/>
    <w:rsid w:val="00CD1176"/>
    <w:pPr>
      <w:spacing w:after="60" w:line="240" w:lineRule="auto"/>
      <w:jc w:val="left"/>
      <w:outlineLvl w:val="6"/>
    </w:pPr>
    <w:rPr>
      <w:rFonts w:ascii="Arial" w:hAnsi="Arial"/>
      <w:sz w:val="20"/>
    </w:rPr>
  </w:style>
  <w:style w:type="paragraph" w:styleId="Heading8">
    <w:name w:val="heading 8"/>
    <w:basedOn w:val="BodyText"/>
    <w:next w:val="BodyText"/>
    <w:rsid w:val="00CD1176"/>
    <w:pPr>
      <w:spacing w:after="60" w:line="240" w:lineRule="auto"/>
      <w:jc w:val="left"/>
      <w:outlineLvl w:val="7"/>
    </w:pPr>
    <w:rPr>
      <w:rFonts w:ascii="Arial" w:hAnsi="Arial"/>
      <w:i/>
      <w:sz w:val="20"/>
    </w:rPr>
  </w:style>
  <w:style w:type="paragraph" w:styleId="Heading9">
    <w:name w:val="heading 9"/>
    <w:basedOn w:val="BodyText"/>
    <w:next w:val="BodyText"/>
    <w:rsid w:val="00CD117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D11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176"/>
  </w:style>
  <w:style w:type="paragraph" w:styleId="BodyText">
    <w:name w:val="Body Text"/>
    <w:qFormat/>
    <w:rsid w:val="00CD1176"/>
    <w:pPr>
      <w:spacing w:before="240" w:line="320" w:lineRule="atLeast"/>
      <w:jc w:val="both"/>
    </w:pPr>
    <w:rPr>
      <w:sz w:val="26"/>
    </w:rPr>
  </w:style>
  <w:style w:type="paragraph" w:styleId="Footer">
    <w:name w:val="footer"/>
    <w:basedOn w:val="BodyText"/>
    <w:link w:val="FooterChar"/>
    <w:rsid w:val="00CD1176"/>
    <w:pPr>
      <w:spacing w:before="80" w:line="200" w:lineRule="exact"/>
      <w:ind w:right="6"/>
      <w:jc w:val="left"/>
    </w:pPr>
    <w:rPr>
      <w:caps/>
      <w:spacing w:val="-4"/>
      <w:sz w:val="16"/>
    </w:rPr>
  </w:style>
  <w:style w:type="paragraph" w:customStyle="1" w:styleId="FooterEnd">
    <w:name w:val="Footer End"/>
    <w:basedOn w:val="Footer"/>
    <w:rsid w:val="00CD1176"/>
    <w:pPr>
      <w:spacing w:before="0" w:line="20" w:lineRule="exact"/>
    </w:pPr>
  </w:style>
  <w:style w:type="paragraph" w:styleId="Header">
    <w:name w:val="header"/>
    <w:basedOn w:val="BodyText"/>
    <w:link w:val="HeaderChar"/>
    <w:rsid w:val="00CD117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D1176"/>
    <w:pPr>
      <w:spacing w:line="20" w:lineRule="exact"/>
    </w:pPr>
    <w:rPr>
      <w:sz w:val="16"/>
    </w:rPr>
  </w:style>
  <w:style w:type="paragraph" w:customStyle="1" w:styleId="HeaderEven">
    <w:name w:val="Header Even"/>
    <w:basedOn w:val="Header"/>
    <w:semiHidden/>
    <w:rsid w:val="00CD1176"/>
  </w:style>
  <w:style w:type="paragraph" w:customStyle="1" w:styleId="HeaderOdd">
    <w:name w:val="Header Odd"/>
    <w:basedOn w:val="Header"/>
    <w:semiHidden/>
    <w:rsid w:val="00CD1176"/>
  </w:style>
  <w:style w:type="character" w:styleId="PageNumber">
    <w:name w:val="page number"/>
    <w:basedOn w:val="DefaultParagraphFont"/>
    <w:rsid w:val="00CD1176"/>
    <w:rPr>
      <w:rFonts w:ascii="Arial" w:hAnsi="Arial"/>
      <w:b/>
      <w:sz w:val="16"/>
    </w:rPr>
  </w:style>
  <w:style w:type="paragraph" w:customStyle="1" w:styleId="Abbreviation">
    <w:name w:val="Abbreviation"/>
    <w:basedOn w:val="BodyText"/>
    <w:rsid w:val="00CD1176"/>
    <w:pPr>
      <w:spacing w:before="120"/>
      <w:ind w:left="2381" w:hanging="2381"/>
      <w:jc w:val="left"/>
    </w:pPr>
  </w:style>
  <w:style w:type="paragraph" w:customStyle="1" w:styleId="Box">
    <w:name w:val="Box"/>
    <w:basedOn w:val="BodyText"/>
    <w:qFormat/>
    <w:rsid w:val="00CD1176"/>
    <w:pPr>
      <w:keepNext/>
      <w:spacing w:before="120" w:line="280" w:lineRule="atLeast"/>
    </w:pPr>
    <w:rPr>
      <w:rFonts w:ascii="Arial" w:hAnsi="Arial"/>
      <w:sz w:val="22"/>
    </w:rPr>
  </w:style>
  <w:style w:type="paragraph" w:customStyle="1" w:styleId="BoxContinued">
    <w:name w:val="Box Continued"/>
    <w:basedOn w:val="BodyText"/>
    <w:next w:val="BodyText"/>
    <w:semiHidden/>
    <w:rsid w:val="00CD1176"/>
    <w:pPr>
      <w:spacing w:before="180" w:line="220" w:lineRule="exact"/>
      <w:jc w:val="right"/>
    </w:pPr>
    <w:rPr>
      <w:rFonts w:ascii="Arial" w:hAnsi="Arial"/>
      <w:sz w:val="18"/>
    </w:rPr>
  </w:style>
  <w:style w:type="paragraph" w:customStyle="1" w:styleId="BoxHeading1">
    <w:name w:val="Box Heading 1"/>
    <w:basedOn w:val="BodyText"/>
    <w:next w:val="Box"/>
    <w:rsid w:val="00CD1176"/>
    <w:pPr>
      <w:keepNext/>
      <w:spacing w:before="200" w:line="280" w:lineRule="atLeast"/>
    </w:pPr>
    <w:rPr>
      <w:rFonts w:ascii="Arial" w:hAnsi="Arial"/>
      <w:b/>
      <w:sz w:val="22"/>
    </w:rPr>
  </w:style>
  <w:style w:type="paragraph" w:customStyle="1" w:styleId="BoxHeading2">
    <w:name w:val="Box Heading 2"/>
    <w:basedOn w:val="BoxHeading1"/>
    <w:next w:val="Normal"/>
    <w:rsid w:val="00CD1176"/>
    <w:rPr>
      <w:b w:val="0"/>
      <w:i/>
    </w:rPr>
  </w:style>
  <w:style w:type="paragraph" w:customStyle="1" w:styleId="BoxListBullet">
    <w:name w:val="Box List Bullet"/>
    <w:basedOn w:val="BodyText"/>
    <w:rsid w:val="00CD1176"/>
    <w:pPr>
      <w:keepNext/>
      <w:numPr>
        <w:numId w:val="1"/>
      </w:numPr>
      <w:spacing w:before="60" w:line="280" w:lineRule="atLeast"/>
    </w:pPr>
    <w:rPr>
      <w:rFonts w:ascii="Arial" w:hAnsi="Arial"/>
      <w:sz w:val="22"/>
    </w:rPr>
  </w:style>
  <w:style w:type="paragraph" w:customStyle="1" w:styleId="BoxListBullet2">
    <w:name w:val="Box List Bullet 2"/>
    <w:basedOn w:val="BodyText"/>
    <w:rsid w:val="00CD1176"/>
    <w:pPr>
      <w:keepNext/>
      <w:numPr>
        <w:numId w:val="16"/>
      </w:numPr>
      <w:spacing w:before="60" w:line="280" w:lineRule="atLeast"/>
    </w:pPr>
    <w:rPr>
      <w:rFonts w:ascii="Arial" w:hAnsi="Arial"/>
      <w:sz w:val="22"/>
    </w:rPr>
  </w:style>
  <w:style w:type="paragraph" w:customStyle="1" w:styleId="BoxListNumber">
    <w:name w:val="Box List Number"/>
    <w:basedOn w:val="BodyText"/>
    <w:rsid w:val="00CD1176"/>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CD1176"/>
    <w:pPr>
      <w:numPr>
        <w:ilvl w:val="1"/>
      </w:numPr>
    </w:pPr>
  </w:style>
  <w:style w:type="paragraph" w:customStyle="1" w:styleId="BoxQuote">
    <w:name w:val="Box Quote"/>
    <w:basedOn w:val="BodyText"/>
    <w:next w:val="Box"/>
    <w:rsid w:val="00CD1176"/>
    <w:pPr>
      <w:keepNext/>
      <w:spacing w:before="60" w:line="260" w:lineRule="exact"/>
      <w:ind w:left="284"/>
    </w:pPr>
    <w:rPr>
      <w:rFonts w:ascii="Arial" w:hAnsi="Arial"/>
      <w:sz w:val="20"/>
    </w:rPr>
  </w:style>
  <w:style w:type="paragraph" w:customStyle="1" w:styleId="Note">
    <w:name w:val="Note"/>
    <w:basedOn w:val="BodyText"/>
    <w:next w:val="BodyText"/>
    <w:rsid w:val="00CD1176"/>
    <w:pPr>
      <w:keepLines/>
      <w:spacing w:before="80" w:line="220" w:lineRule="exact"/>
    </w:pPr>
    <w:rPr>
      <w:rFonts w:ascii="Arial" w:hAnsi="Arial"/>
      <w:sz w:val="18"/>
    </w:rPr>
  </w:style>
  <w:style w:type="paragraph" w:customStyle="1" w:styleId="Source">
    <w:name w:val="Source"/>
    <w:basedOn w:val="Note"/>
    <w:next w:val="BodyText"/>
    <w:rsid w:val="00CD1176"/>
    <w:pPr>
      <w:spacing w:after="120"/>
    </w:pPr>
  </w:style>
  <w:style w:type="paragraph" w:customStyle="1" w:styleId="BoxSource">
    <w:name w:val="Box Source"/>
    <w:basedOn w:val="Source"/>
    <w:next w:val="BodyText"/>
    <w:rsid w:val="00CD1176"/>
    <w:pPr>
      <w:spacing w:before="180" w:after="0"/>
    </w:pPr>
  </w:style>
  <w:style w:type="paragraph" w:customStyle="1" w:styleId="BoxSpaceAbove">
    <w:name w:val="Box Space Above"/>
    <w:basedOn w:val="BodyText"/>
    <w:rsid w:val="00CD1176"/>
    <w:pPr>
      <w:keepNext/>
      <w:spacing w:before="360" w:line="80" w:lineRule="exact"/>
      <w:jc w:val="left"/>
    </w:pPr>
  </w:style>
  <w:style w:type="paragraph" w:styleId="Caption">
    <w:name w:val="caption"/>
    <w:basedOn w:val="Normal"/>
    <w:next w:val="BodyText"/>
    <w:rsid w:val="00CD117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D1176"/>
    <w:pPr>
      <w:spacing w:before="120" w:after="0"/>
      <w:ind w:left="1304" w:hanging="1304"/>
    </w:pPr>
    <w:rPr>
      <w:sz w:val="24"/>
    </w:rPr>
  </w:style>
  <w:style w:type="paragraph" w:customStyle="1" w:styleId="BoxSubtitle">
    <w:name w:val="Box Subtitle"/>
    <w:basedOn w:val="BoxTitle"/>
    <w:next w:val="Normal"/>
    <w:rsid w:val="00CD1176"/>
    <w:pPr>
      <w:spacing w:after="80" w:line="200" w:lineRule="exact"/>
      <w:ind w:firstLine="0"/>
    </w:pPr>
    <w:rPr>
      <w:b w:val="0"/>
      <w:sz w:val="20"/>
    </w:rPr>
  </w:style>
  <w:style w:type="paragraph" w:customStyle="1" w:styleId="Chapter">
    <w:name w:val="Chapter"/>
    <w:basedOn w:val="Heading1"/>
    <w:next w:val="BodyText"/>
    <w:semiHidden/>
    <w:rsid w:val="00CD1176"/>
    <w:pPr>
      <w:ind w:left="0" w:firstLine="0"/>
      <w:outlineLvl w:val="9"/>
    </w:pPr>
  </w:style>
  <w:style w:type="paragraph" w:customStyle="1" w:styleId="ChapterSummary">
    <w:name w:val="Chapter Summary"/>
    <w:basedOn w:val="BodyText"/>
    <w:rsid w:val="00CD1176"/>
    <w:pPr>
      <w:ind w:left="907"/>
    </w:pPr>
    <w:rPr>
      <w:rFonts w:ascii="Arial" w:hAnsi="Arial"/>
      <w:b/>
      <w:sz w:val="22"/>
    </w:rPr>
  </w:style>
  <w:style w:type="character" w:styleId="CommentReference">
    <w:name w:val="annotation reference"/>
    <w:basedOn w:val="DefaultParagraphFont"/>
    <w:semiHidden/>
    <w:rsid w:val="00CD1176"/>
    <w:rPr>
      <w:b/>
      <w:vanish/>
      <w:color w:val="FF00FF"/>
      <w:sz w:val="20"/>
    </w:rPr>
  </w:style>
  <w:style w:type="paragraph" w:styleId="CommentText">
    <w:name w:val="annotation text"/>
    <w:basedOn w:val="Normal"/>
    <w:link w:val="CommentTextChar"/>
    <w:semiHidden/>
    <w:rsid w:val="00CD1176"/>
    <w:pPr>
      <w:spacing w:before="120" w:line="240" w:lineRule="atLeast"/>
      <w:ind w:left="567" w:hanging="567"/>
    </w:pPr>
    <w:rPr>
      <w:sz w:val="20"/>
    </w:rPr>
  </w:style>
  <w:style w:type="paragraph" w:customStyle="1" w:styleId="Continued">
    <w:name w:val="Continued"/>
    <w:basedOn w:val="BoxContinued"/>
    <w:next w:val="BodyText"/>
    <w:rsid w:val="00CD1176"/>
  </w:style>
  <w:style w:type="character" w:customStyle="1" w:styleId="DocumentInfo">
    <w:name w:val="Document Info"/>
    <w:basedOn w:val="DefaultParagraphFont"/>
    <w:semiHidden/>
    <w:rsid w:val="00CD1176"/>
    <w:rPr>
      <w:rFonts w:ascii="Arial" w:hAnsi="Arial"/>
      <w:sz w:val="14"/>
    </w:rPr>
  </w:style>
  <w:style w:type="character" w:customStyle="1" w:styleId="DraftingNote">
    <w:name w:val="Drafting Note"/>
    <w:basedOn w:val="DefaultParagraphFont"/>
    <w:rsid w:val="00CD1176"/>
    <w:rPr>
      <w:b/>
      <w:color w:val="FF0000"/>
      <w:sz w:val="24"/>
      <w:u w:val="dotted"/>
    </w:rPr>
  </w:style>
  <w:style w:type="paragraph" w:customStyle="1" w:styleId="Figure">
    <w:name w:val="Figure"/>
    <w:basedOn w:val="BodyText"/>
    <w:rsid w:val="00CD1176"/>
    <w:pPr>
      <w:keepNext/>
      <w:spacing w:before="120" w:after="120" w:line="240" w:lineRule="atLeast"/>
      <w:jc w:val="center"/>
    </w:pPr>
  </w:style>
  <w:style w:type="paragraph" w:customStyle="1" w:styleId="FigureTitle">
    <w:name w:val="Figure Title"/>
    <w:basedOn w:val="Caption"/>
    <w:next w:val="Subtitle"/>
    <w:rsid w:val="00CD1176"/>
    <w:rPr>
      <w:sz w:val="24"/>
    </w:rPr>
  </w:style>
  <w:style w:type="paragraph" w:styleId="Subtitle">
    <w:name w:val="Subtitle"/>
    <w:basedOn w:val="Caption"/>
    <w:link w:val="SubtitleChar"/>
    <w:rsid w:val="00CD1176"/>
    <w:pPr>
      <w:spacing w:before="0" w:line="200" w:lineRule="exact"/>
      <w:ind w:firstLine="0"/>
    </w:pPr>
    <w:rPr>
      <w:b w:val="0"/>
      <w:sz w:val="20"/>
    </w:rPr>
  </w:style>
  <w:style w:type="paragraph" w:customStyle="1" w:styleId="Finding">
    <w:name w:val="Finding"/>
    <w:basedOn w:val="BodyText"/>
    <w:rsid w:val="00CD1176"/>
    <w:pPr>
      <w:keepLines/>
      <w:spacing w:before="180"/>
    </w:pPr>
    <w:rPr>
      <w:i/>
    </w:rPr>
  </w:style>
  <w:style w:type="paragraph" w:customStyle="1" w:styleId="FindingBullet">
    <w:name w:val="Finding Bullet"/>
    <w:basedOn w:val="Finding"/>
    <w:rsid w:val="00CD1176"/>
    <w:pPr>
      <w:numPr>
        <w:numId w:val="2"/>
      </w:numPr>
      <w:spacing w:before="80"/>
    </w:pPr>
  </w:style>
  <w:style w:type="paragraph" w:customStyle="1" w:styleId="FindingNoTitle">
    <w:name w:val="Finding NoTitle"/>
    <w:basedOn w:val="Finding"/>
    <w:semiHidden/>
    <w:rsid w:val="00CD1176"/>
    <w:pPr>
      <w:spacing w:before="240"/>
    </w:pPr>
  </w:style>
  <w:style w:type="paragraph" w:customStyle="1" w:styleId="RecTitle">
    <w:name w:val="Rec Title"/>
    <w:basedOn w:val="BodyText"/>
    <w:next w:val="Normal"/>
    <w:rsid w:val="00CD1176"/>
    <w:pPr>
      <w:keepNext/>
      <w:keepLines/>
    </w:pPr>
    <w:rPr>
      <w:caps/>
      <w:sz w:val="20"/>
    </w:rPr>
  </w:style>
  <w:style w:type="paragraph" w:customStyle="1" w:styleId="FindingTitle">
    <w:name w:val="Finding Title"/>
    <w:basedOn w:val="RecTitle"/>
    <w:next w:val="Finding"/>
    <w:rsid w:val="00CD1176"/>
    <w:pPr>
      <w:framePr w:wrap="notBeside" w:hAnchor="text"/>
    </w:pPr>
  </w:style>
  <w:style w:type="character" w:styleId="FootnoteReference">
    <w:name w:val="footnote reference"/>
    <w:basedOn w:val="DefaultParagraphFont"/>
    <w:rsid w:val="00CD1176"/>
    <w:rPr>
      <w:rFonts w:ascii="Times New Roman" w:hAnsi="Times New Roman"/>
      <w:position w:val="6"/>
      <w:sz w:val="22"/>
      <w:vertAlign w:val="baseline"/>
    </w:rPr>
  </w:style>
  <w:style w:type="paragraph" w:styleId="FootnoteText">
    <w:name w:val="footnote text"/>
    <w:basedOn w:val="BodyText"/>
    <w:link w:val="FootnoteTextChar"/>
    <w:rsid w:val="00CD117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D1176"/>
    <w:pPr>
      <w:spacing w:before="360" w:after="120"/>
    </w:pPr>
    <w:rPr>
      <w:rFonts w:ascii="Arial" w:hAnsi="Arial"/>
      <w:sz w:val="24"/>
    </w:rPr>
  </w:style>
  <w:style w:type="paragraph" w:customStyle="1" w:styleId="Jurisdictioncommentsbodytext">
    <w:name w:val="Jurisdiction comments body text"/>
    <w:rsid w:val="00CD1176"/>
    <w:pPr>
      <w:spacing w:after="140"/>
      <w:jc w:val="both"/>
    </w:pPr>
    <w:rPr>
      <w:rFonts w:ascii="Arial" w:hAnsi="Arial"/>
      <w:sz w:val="24"/>
      <w:lang w:eastAsia="en-US"/>
    </w:rPr>
  </w:style>
  <w:style w:type="paragraph" w:customStyle="1" w:styleId="Jurisdictioncommentsheading">
    <w:name w:val="Jurisdiction comments heading"/>
    <w:rsid w:val="00CD117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D1176"/>
    <w:pPr>
      <w:numPr>
        <w:numId w:val="3"/>
      </w:numPr>
      <w:spacing w:after="140"/>
      <w:jc w:val="both"/>
    </w:pPr>
    <w:rPr>
      <w:rFonts w:ascii="Arial" w:hAnsi="Arial"/>
      <w:sz w:val="24"/>
      <w:lang w:eastAsia="en-US"/>
    </w:rPr>
  </w:style>
  <w:style w:type="paragraph" w:styleId="ListBullet">
    <w:name w:val="List Bullet"/>
    <w:basedOn w:val="BodyText"/>
    <w:rsid w:val="00CD1176"/>
    <w:pPr>
      <w:numPr>
        <w:numId w:val="4"/>
      </w:numPr>
      <w:spacing w:before="120"/>
    </w:pPr>
  </w:style>
  <w:style w:type="paragraph" w:styleId="ListBullet2">
    <w:name w:val="List Bullet 2"/>
    <w:basedOn w:val="BodyText"/>
    <w:rsid w:val="00CD1176"/>
    <w:pPr>
      <w:numPr>
        <w:numId w:val="5"/>
      </w:numPr>
      <w:spacing w:before="120"/>
    </w:pPr>
  </w:style>
  <w:style w:type="paragraph" w:styleId="ListBullet3">
    <w:name w:val="List Bullet 3"/>
    <w:basedOn w:val="BodyText"/>
    <w:rsid w:val="00CD1176"/>
    <w:pPr>
      <w:numPr>
        <w:numId w:val="6"/>
      </w:numPr>
      <w:spacing w:before="120"/>
    </w:pPr>
  </w:style>
  <w:style w:type="paragraph" w:styleId="ListNumber">
    <w:name w:val="List Number"/>
    <w:basedOn w:val="BodyText"/>
    <w:rsid w:val="00CD1176"/>
    <w:pPr>
      <w:numPr>
        <w:numId w:val="11"/>
      </w:numPr>
      <w:spacing w:before="120"/>
    </w:pPr>
  </w:style>
  <w:style w:type="paragraph" w:styleId="ListNumber2">
    <w:name w:val="List Number 2"/>
    <w:basedOn w:val="ListNumber"/>
    <w:rsid w:val="00CD1176"/>
    <w:pPr>
      <w:numPr>
        <w:ilvl w:val="1"/>
      </w:numPr>
    </w:pPr>
  </w:style>
  <w:style w:type="paragraph" w:styleId="ListNumber3">
    <w:name w:val="List Number 3"/>
    <w:basedOn w:val="ListNumber2"/>
    <w:rsid w:val="00CD1176"/>
    <w:pPr>
      <w:numPr>
        <w:ilvl w:val="2"/>
      </w:numPr>
    </w:pPr>
  </w:style>
  <w:style w:type="character" w:customStyle="1" w:styleId="NoteLabel">
    <w:name w:val="Note Label"/>
    <w:basedOn w:val="DefaultParagraphFont"/>
    <w:rsid w:val="00CD1176"/>
    <w:rPr>
      <w:rFonts w:ascii="Arial" w:hAnsi="Arial"/>
      <w:b/>
      <w:position w:val="6"/>
      <w:sz w:val="18"/>
    </w:rPr>
  </w:style>
  <w:style w:type="paragraph" w:customStyle="1" w:styleId="PartDivider">
    <w:name w:val="Part Divider"/>
    <w:basedOn w:val="BodyText"/>
    <w:next w:val="BodyText"/>
    <w:semiHidden/>
    <w:rsid w:val="00CD1176"/>
    <w:pPr>
      <w:spacing w:before="0" w:line="40" w:lineRule="exact"/>
      <w:jc w:val="right"/>
    </w:pPr>
    <w:rPr>
      <w:smallCaps/>
      <w:sz w:val="16"/>
    </w:rPr>
  </w:style>
  <w:style w:type="paragraph" w:customStyle="1" w:styleId="PartNumber">
    <w:name w:val="Part Number"/>
    <w:basedOn w:val="BodyText"/>
    <w:next w:val="BodyText"/>
    <w:semiHidden/>
    <w:rsid w:val="00CD1176"/>
    <w:pPr>
      <w:spacing w:before="4000" w:line="320" w:lineRule="exact"/>
      <w:ind w:left="6634"/>
      <w:jc w:val="right"/>
    </w:pPr>
    <w:rPr>
      <w:smallCaps/>
      <w:spacing w:val="60"/>
      <w:sz w:val="32"/>
    </w:rPr>
  </w:style>
  <w:style w:type="paragraph" w:customStyle="1" w:styleId="PartTitle">
    <w:name w:val="Part Title"/>
    <w:basedOn w:val="BodyText"/>
    <w:semiHidden/>
    <w:rsid w:val="00CD1176"/>
    <w:pPr>
      <w:spacing w:before="160" w:after="1360" w:line="520" w:lineRule="exact"/>
      <w:ind w:right="2381"/>
      <w:jc w:val="right"/>
    </w:pPr>
    <w:rPr>
      <w:smallCaps/>
      <w:sz w:val="52"/>
    </w:rPr>
  </w:style>
  <w:style w:type="paragraph" w:styleId="Quote">
    <w:name w:val="Quote"/>
    <w:basedOn w:val="BodyText"/>
    <w:next w:val="BodyText"/>
    <w:qFormat/>
    <w:rsid w:val="00CD1176"/>
    <w:pPr>
      <w:spacing w:before="120" w:line="280" w:lineRule="exact"/>
      <w:ind w:left="340"/>
    </w:pPr>
    <w:rPr>
      <w:sz w:val="24"/>
    </w:rPr>
  </w:style>
  <w:style w:type="paragraph" w:customStyle="1" w:styleId="QuoteBullet">
    <w:name w:val="Quote Bullet"/>
    <w:basedOn w:val="Quote"/>
    <w:rsid w:val="00CD1176"/>
    <w:pPr>
      <w:numPr>
        <w:numId w:val="7"/>
      </w:numPr>
    </w:pPr>
  </w:style>
  <w:style w:type="paragraph" w:customStyle="1" w:styleId="Rec">
    <w:name w:val="Rec"/>
    <w:basedOn w:val="BodyText"/>
    <w:rsid w:val="00CD1176"/>
    <w:pPr>
      <w:keepLines/>
      <w:spacing w:before="180"/>
    </w:pPr>
    <w:rPr>
      <w:b/>
      <w:i/>
    </w:rPr>
  </w:style>
  <w:style w:type="paragraph" w:customStyle="1" w:styleId="RecBullet">
    <w:name w:val="Rec Bullet"/>
    <w:basedOn w:val="Rec"/>
    <w:rsid w:val="00CD1176"/>
    <w:pPr>
      <w:numPr>
        <w:numId w:val="8"/>
      </w:numPr>
      <w:spacing w:before="80"/>
    </w:pPr>
  </w:style>
  <w:style w:type="paragraph" w:customStyle="1" w:styleId="RecB">
    <w:name w:val="RecB"/>
    <w:basedOn w:val="Normal"/>
    <w:semiHidden/>
    <w:rsid w:val="00CD117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D1176"/>
    <w:pPr>
      <w:numPr>
        <w:numId w:val="13"/>
      </w:numPr>
      <w:spacing w:before="80"/>
    </w:pPr>
  </w:style>
  <w:style w:type="paragraph" w:customStyle="1" w:styleId="RecBNoTitle">
    <w:name w:val="RecB NoTitle"/>
    <w:basedOn w:val="RecB"/>
    <w:semiHidden/>
    <w:rsid w:val="00CD1176"/>
    <w:pPr>
      <w:spacing w:before="240"/>
    </w:pPr>
  </w:style>
  <w:style w:type="paragraph" w:customStyle="1" w:styleId="Reference">
    <w:name w:val="Reference"/>
    <w:basedOn w:val="BodyText"/>
    <w:rsid w:val="00CD1176"/>
    <w:pPr>
      <w:spacing w:before="120"/>
      <w:ind w:left="340" w:hanging="340"/>
    </w:pPr>
  </w:style>
  <w:style w:type="paragraph" w:customStyle="1" w:styleId="SequenceInfo">
    <w:name w:val="Sequence Info"/>
    <w:basedOn w:val="BodyText"/>
    <w:semiHidden/>
    <w:rsid w:val="00CD1176"/>
    <w:rPr>
      <w:vanish/>
      <w:sz w:val="16"/>
    </w:rPr>
  </w:style>
  <w:style w:type="paragraph" w:customStyle="1" w:styleId="SideNote">
    <w:name w:val="Side Note"/>
    <w:basedOn w:val="BodyText"/>
    <w:next w:val="BodyText"/>
    <w:semiHidden/>
    <w:rsid w:val="00CD117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D1176"/>
    <w:pPr>
      <w:framePr w:wrap="around"/>
      <w:numPr>
        <w:numId w:val="9"/>
      </w:numPr>
      <w:tabs>
        <w:tab w:val="left" w:pos="227"/>
      </w:tabs>
    </w:pPr>
  </w:style>
  <w:style w:type="paragraph" w:customStyle="1" w:styleId="SideNoteGraphic">
    <w:name w:val="Side Note Graphic"/>
    <w:basedOn w:val="SideNote"/>
    <w:next w:val="BodyText"/>
    <w:semiHidden/>
    <w:rsid w:val="00CD1176"/>
    <w:pPr>
      <w:framePr w:wrap="around"/>
    </w:pPr>
  </w:style>
  <w:style w:type="paragraph" w:customStyle="1" w:styleId="TableBodyText">
    <w:name w:val="Table Body Text"/>
    <w:basedOn w:val="BodyText"/>
    <w:rsid w:val="00CD117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D1176"/>
    <w:pPr>
      <w:numPr>
        <w:numId w:val="10"/>
      </w:numPr>
      <w:jc w:val="left"/>
    </w:pPr>
  </w:style>
  <w:style w:type="paragraph" w:customStyle="1" w:styleId="TableColumnHeading">
    <w:name w:val="Table Column Heading"/>
    <w:basedOn w:val="TableBodyText"/>
    <w:rsid w:val="00CD1176"/>
    <w:pPr>
      <w:spacing w:before="80" w:after="80"/>
    </w:pPr>
    <w:rPr>
      <w:i/>
    </w:rPr>
  </w:style>
  <w:style w:type="paragraph" w:styleId="TOC2">
    <w:name w:val="toc 2"/>
    <w:basedOn w:val="BodyText"/>
    <w:semiHidden/>
    <w:rsid w:val="00CD1176"/>
    <w:pPr>
      <w:tabs>
        <w:tab w:val="right" w:pos="8789"/>
      </w:tabs>
      <w:ind w:left="510" w:right="851" w:hanging="510"/>
      <w:jc w:val="left"/>
    </w:pPr>
    <w:rPr>
      <w:b/>
    </w:rPr>
  </w:style>
  <w:style w:type="paragraph" w:styleId="TOC3">
    <w:name w:val="toc 3"/>
    <w:basedOn w:val="TOC2"/>
    <w:semiHidden/>
    <w:rsid w:val="00CD1176"/>
    <w:pPr>
      <w:spacing w:before="60"/>
      <w:ind w:left="1190" w:hanging="680"/>
    </w:pPr>
    <w:rPr>
      <w:b w:val="0"/>
    </w:rPr>
  </w:style>
  <w:style w:type="paragraph" w:styleId="TableofFigures">
    <w:name w:val="table of figures"/>
    <w:basedOn w:val="TOC3"/>
    <w:next w:val="BodyText"/>
    <w:semiHidden/>
    <w:rsid w:val="00CD1176"/>
    <w:pPr>
      <w:ind w:left="737" w:hanging="737"/>
    </w:pPr>
  </w:style>
  <w:style w:type="paragraph" w:customStyle="1" w:styleId="TableTitle">
    <w:name w:val="Table Title"/>
    <w:basedOn w:val="Caption"/>
    <w:next w:val="Subtitle"/>
    <w:rsid w:val="00CD1176"/>
    <w:rPr>
      <w:sz w:val="24"/>
    </w:rPr>
  </w:style>
  <w:style w:type="paragraph" w:customStyle="1" w:styleId="TableUnitsRow">
    <w:name w:val="Table Units Row"/>
    <w:basedOn w:val="TableBodyText"/>
    <w:rsid w:val="00CD1176"/>
    <w:pPr>
      <w:spacing w:before="80" w:after="80"/>
    </w:pPr>
  </w:style>
  <w:style w:type="paragraph" w:styleId="TOC1">
    <w:name w:val="toc 1"/>
    <w:basedOn w:val="Normal"/>
    <w:next w:val="TOC2"/>
    <w:semiHidden/>
    <w:rsid w:val="00CD1176"/>
    <w:pPr>
      <w:tabs>
        <w:tab w:val="right" w:pos="8789"/>
      </w:tabs>
      <w:spacing w:before="480" w:after="60" w:line="320" w:lineRule="exact"/>
      <w:ind w:left="1191" w:right="851" w:hanging="1191"/>
    </w:pPr>
    <w:rPr>
      <w:b/>
      <w:caps/>
    </w:rPr>
  </w:style>
  <w:style w:type="paragraph" w:styleId="TOC4">
    <w:name w:val="toc 4"/>
    <w:basedOn w:val="TOC3"/>
    <w:semiHidden/>
    <w:rsid w:val="00CD1176"/>
    <w:pPr>
      <w:ind w:left="1191" w:firstLine="0"/>
    </w:pPr>
  </w:style>
  <w:style w:type="paragraph" w:customStyle="1" w:styleId="RecBBullet2">
    <w:name w:val="RecB Bullet 2"/>
    <w:basedOn w:val="ListBullet2"/>
    <w:semiHidden/>
    <w:rsid w:val="00CD1176"/>
    <w:pPr>
      <w:pBdr>
        <w:left w:val="single" w:sz="24" w:space="29" w:color="C0C0C0"/>
      </w:pBdr>
    </w:pPr>
    <w:rPr>
      <w:b/>
      <w:i/>
    </w:rPr>
  </w:style>
  <w:style w:type="paragraph" w:styleId="BalloonText">
    <w:name w:val="Balloon Text"/>
    <w:basedOn w:val="Normal"/>
    <w:link w:val="BalloonTextChar"/>
    <w:rsid w:val="00CD1176"/>
    <w:rPr>
      <w:rFonts w:ascii="Tahoma" w:hAnsi="Tahoma" w:cs="Tahoma"/>
      <w:sz w:val="16"/>
      <w:szCs w:val="16"/>
    </w:rPr>
  </w:style>
  <w:style w:type="character" w:customStyle="1" w:styleId="BalloonTextChar">
    <w:name w:val="Balloon Text Char"/>
    <w:basedOn w:val="DefaultParagraphFont"/>
    <w:link w:val="BalloonText"/>
    <w:rsid w:val="00CD1176"/>
    <w:rPr>
      <w:rFonts w:ascii="Tahoma" w:hAnsi="Tahoma" w:cs="Tahoma"/>
      <w:sz w:val="16"/>
      <w:szCs w:val="16"/>
    </w:rPr>
  </w:style>
  <w:style w:type="character" w:customStyle="1" w:styleId="SubtitleChar">
    <w:name w:val="Subtitle Char"/>
    <w:basedOn w:val="DefaultParagraphFont"/>
    <w:link w:val="Subtitle"/>
    <w:rsid w:val="00CD1176"/>
    <w:rPr>
      <w:rFonts w:ascii="Arial" w:hAnsi="Arial"/>
      <w:szCs w:val="24"/>
    </w:rPr>
  </w:style>
  <w:style w:type="paragraph" w:customStyle="1" w:styleId="BoxListBullet3">
    <w:name w:val="Box List Bullet 3"/>
    <w:basedOn w:val="ListBullet3"/>
    <w:rsid w:val="00CD1176"/>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D1176"/>
    <w:rPr>
      <w:i/>
      <w:iCs/>
    </w:rPr>
  </w:style>
  <w:style w:type="paragraph" w:customStyle="1" w:styleId="BoxQuoteBullet">
    <w:name w:val="Box Quote Bullet"/>
    <w:basedOn w:val="BoxQuote"/>
    <w:next w:val="Box"/>
    <w:rsid w:val="00CD1176"/>
    <w:pPr>
      <w:numPr>
        <w:numId w:val="14"/>
      </w:numPr>
      <w:ind w:left="568" w:hanging="284"/>
    </w:pPr>
  </w:style>
  <w:style w:type="paragraph" w:customStyle="1" w:styleId="InformationRequestBullet">
    <w:name w:val="Information Request Bullet"/>
    <w:basedOn w:val="ListBullet"/>
    <w:next w:val="BodyText"/>
    <w:rsid w:val="00CD1176"/>
    <w:pPr>
      <w:numPr>
        <w:numId w:val="15"/>
      </w:numPr>
      <w:ind w:left="340" w:hanging="340"/>
    </w:pPr>
    <w:rPr>
      <w:rFonts w:ascii="Arial" w:hAnsi="Arial"/>
      <w:i/>
      <w:sz w:val="24"/>
    </w:rPr>
  </w:style>
  <w:style w:type="paragraph" w:customStyle="1" w:styleId="BoxSpaceBelow">
    <w:name w:val="Box Space Below"/>
    <w:basedOn w:val="Box"/>
    <w:rsid w:val="00CD1176"/>
    <w:pPr>
      <w:keepNext w:val="0"/>
      <w:spacing w:before="60" w:after="60" w:line="80" w:lineRule="exact"/>
    </w:pPr>
    <w:rPr>
      <w:sz w:val="14"/>
    </w:rPr>
  </w:style>
  <w:style w:type="paragraph" w:customStyle="1" w:styleId="Author">
    <w:name w:val="Author"/>
    <w:basedOn w:val="Normal"/>
    <w:rsid w:val="006609ED"/>
    <w:rPr>
      <w:rFonts w:ascii="Arial" w:hAnsi="Arial"/>
      <w:b/>
      <w:sz w:val="28"/>
    </w:rPr>
  </w:style>
  <w:style w:type="character" w:customStyle="1" w:styleId="Heading4Char">
    <w:name w:val="Heading 4 Char"/>
    <w:basedOn w:val="DefaultParagraphFont"/>
    <w:link w:val="Heading4"/>
    <w:rsid w:val="00AC614F"/>
    <w:rPr>
      <w:rFonts w:ascii="Arial" w:hAnsi="Arial"/>
      <w:i/>
      <w:sz w:val="24"/>
    </w:rPr>
  </w:style>
  <w:style w:type="character" w:customStyle="1" w:styleId="HeaderChar">
    <w:name w:val="Header Char"/>
    <w:basedOn w:val="DefaultParagraphFont"/>
    <w:link w:val="Header"/>
    <w:rsid w:val="00AC614F"/>
    <w:rPr>
      <w:rFonts w:ascii="Arial" w:hAnsi="Arial"/>
      <w:caps/>
      <w:sz w:val="26"/>
    </w:rPr>
  </w:style>
  <w:style w:type="character" w:customStyle="1" w:styleId="FooterChar">
    <w:name w:val="Footer Char"/>
    <w:basedOn w:val="DefaultParagraphFont"/>
    <w:link w:val="Footer"/>
    <w:rsid w:val="00AC614F"/>
    <w:rPr>
      <w:caps/>
      <w:spacing w:val="-4"/>
      <w:sz w:val="16"/>
    </w:rPr>
  </w:style>
  <w:style w:type="character" w:customStyle="1" w:styleId="Heading3Char">
    <w:name w:val="Heading 3 Char"/>
    <w:basedOn w:val="DefaultParagraphFont"/>
    <w:link w:val="Heading3"/>
    <w:rsid w:val="00AC614F"/>
    <w:rPr>
      <w:rFonts w:ascii="Arial" w:hAnsi="Arial"/>
      <w:b/>
      <w:sz w:val="26"/>
    </w:rPr>
  </w:style>
  <w:style w:type="character" w:customStyle="1" w:styleId="FootnoteTextChar">
    <w:name w:val="Footnote Text Char"/>
    <w:basedOn w:val="DefaultParagraphFont"/>
    <w:link w:val="FootnoteText"/>
    <w:rsid w:val="00AC614F"/>
    <w:rPr>
      <w:sz w:val="22"/>
    </w:rPr>
  </w:style>
  <w:style w:type="character" w:styleId="Hyperlink">
    <w:name w:val="Hyperlink"/>
    <w:rsid w:val="00AC614F"/>
    <w:rPr>
      <w:color w:val="0000FF"/>
      <w:u w:val="single"/>
    </w:rPr>
  </w:style>
  <w:style w:type="character" w:customStyle="1" w:styleId="Heading2Char">
    <w:name w:val="Heading 2 Char"/>
    <w:basedOn w:val="DefaultParagraphFont"/>
    <w:link w:val="Heading2"/>
    <w:rsid w:val="00AC614F"/>
    <w:rPr>
      <w:rFonts w:ascii="Arial" w:hAnsi="Arial"/>
      <w:b/>
      <w:sz w:val="32"/>
    </w:rPr>
  </w:style>
  <w:style w:type="table" w:styleId="TableGrid">
    <w:name w:val="Table Grid"/>
    <w:basedOn w:val="TableNormal"/>
    <w:rsid w:val="00AC614F"/>
    <w:pPr>
      <w:spacing w:before="60" w:after="40" w:line="260" w:lineRule="atLeast"/>
    </w:pPr>
    <w:rPr>
      <w:rFonts w:ascii="Book Antiqua" w:hAnsi="Book Antiqu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AC614F"/>
    <w:rPr>
      <w:i/>
      <w:sz w:val="26"/>
    </w:rPr>
  </w:style>
  <w:style w:type="character" w:customStyle="1" w:styleId="Heading1Char">
    <w:name w:val="Heading 1 Char"/>
    <w:basedOn w:val="DefaultParagraphFont"/>
    <w:link w:val="Heading1"/>
    <w:rsid w:val="00AC614F"/>
    <w:rPr>
      <w:sz w:val="52"/>
    </w:rPr>
  </w:style>
  <w:style w:type="paragraph" w:styleId="CommentSubject">
    <w:name w:val="annotation subject"/>
    <w:basedOn w:val="CommentText"/>
    <w:next w:val="CommentText"/>
    <w:link w:val="CommentSubjectChar"/>
    <w:rsid w:val="00041DC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41DCC"/>
    <w:rPr>
      <w:szCs w:val="24"/>
    </w:rPr>
  </w:style>
  <w:style w:type="character" w:customStyle="1" w:styleId="CommentSubjectChar">
    <w:name w:val="Comment Subject Char"/>
    <w:basedOn w:val="CommentTextChar"/>
    <w:link w:val="CommentSubject"/>
    <w:rsid w:val="00041DCC"/>
    <w:rPr>
      <w:szCs w:val="24"/>
    </w:rPr>
  </w:style>
  <w:style w:type="paragraph" w:customStyle="1" w:styleId="AbstractHeading">
    <w:name w:val="AbstractHeading"/>
    <w:basedOn w:val="AbstractText"/>
    <w:rsid w:val="006609ED"/>
    <w:pPr>
      <w:spacing w:before="240"/>
    </w:pPr>
    <w:rPr>
      <w:b/>
    </w:rPr>
  </w:style>
  <w:style w:type="paragraph" w:customStyle="1" w:styleId="AbstractText">
    <w:name w:val="AbstractText"/>
    <w:basedOn w:val="Normal"/>
    <w:rsid w:val="006609ED"/>
    <w:pPr>
      <w:spacing w:before="120" w:after="120" w:line="320" w:lineRule="atLeast"/>
      <w:ind w:left="907"/>
    </w:pPr>
    <w:rPr>
      <w:rFonts w:ascii="Arial" w:hAnsi="Arial"/>
      <w:sz w:val="22"/>
    </w:rPr>
  </w:style>
  <w:style w:type="paragraph" w:styleId="DocumentMap">
    <w:name w:val="Document Map"/>
    <w:basedOn w:val="Normal"/>
    <w:link w:val="DocumentMapChar"/>
    <w:rsid w:val="00C106B5"/>
    <w:rPr>
      <w:rFonts w:ascii="Tahoma" w:hAnsi="Tahoma" w:cs="Tahoma"/>
      <w:sz w:val="16"/>
      <w:szCs w:val="16"/>
    </w:rPr>
  </w:style>
  <w:style w:type="character" w:customStyle="1" w:styleId="DocumentMapChar">
    <w:name w:val="Document Map Char"/>
    <w:basedOn w:val="DefaultParagraphFont"/>
    <w:link w:val="DocumentMap"/>
    <w:rsid w:val="00C106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1176"/>
    <w:rPr>
      <w:sz w:val="26"/>
      <w:szCs w:val="24"/>
    </w:rPr>
  </w:style>
  <w:style w:type="paragraph" w:styleId="Heading1">
    <w:name w:val="heading 1"/>
    <w:basedOn w:val="BodyText"/>
    <w:next w:val="BodyText"/>
    <w:link w:val="Heading1Char"/>
    <w:rsid w:val="00CD117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CD117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D1176"/>
    <w:pPr>
      <w:spacing w:before="560" w:line="320" w:lineRule="exact"/>
      <w:ind w:left="0" w:firstLine="0"/>
      <w:outlineLvl w:val="2"/>
    </w:pPr>
    <w:rPr>
      <w:sz w:val="26"/>
    </w:rPr>
  </w:style>
  <w:style w:type="paragraph" w:styleId="Heading4">
    <w:name w:val="heading 4"/>
    <w:basedOn w:val="Heading3"/>
    <w:next w:val="BodyText"/>
    <w:link w:val="Heading4Char"/>
    <w:qFormat/>
    <w:rsid w:val="00CD1176"/>
    <w:pPr>
      <w:spacing w:before="480"/>
      <w:outlineLvl w:val="3"/>
    </w:pPr>
    <w:rPr>
      <w:b w:val="0"/>
      <w:i/>
      <w:sz w:val="24"/>
    </w:rPr>
  </w:style>
  <w:style w:type="paragraph" w:styleId="Heading5">
    <w:name w:val="heading 5"/>
    <w:basedOn w:val="Heading4"/>
    <w:next w:val="BodyText"/>
    <w:link w:val="Heading5Char"/>
    <w:qFormat/>
    <w:rsid w:val="00CD1176"/>
    <w:pPr>
      <w:outlineLvl w:val="4"/>
    </w:pPr>
    <w:rPr>
      <w:rFonts w:ascii="Times New Roman" w:hAnsi="Times New Roman"/>
      <w:sz w:val="26"/>
    </w:rPr>
  </w:style>
  <w:style w:type="paragraph" w:styleId="Heading6">
    <w:name w:val="heading 6"/>
    <w:basedOn w:val="BodyText"/>
    <w:next w:val="BodyText"/>
    <w:rsid w:val="00CD1176"/>
    <w:pPr>
      <w:spacing w:after="60"/>
      <w:jc w:val="left"/>
      <w:outlineLvl w:val="5"/>
    </w:pPr>
    <w:rPr>
      <w:i/>
      <w:sz w:val="22"/>
    </w:rPr>
  </w:style>
  <w:style w:type="paragraph" w:styleId="Heading7">
    <w:name w:val="heading 7"/>
    <w:basedOn w:val="BodyText"/>
    <w:next w:val="BodyText"/>
    <w:rsid w:val="00CD1176"/>
    <w:pPr>
      <w:spacing w:after="60" w:line="240" w:lineRule="auto"/>
      <w:jc w:val="left"/>
      <w:outlineLvl w:val="6"/>
    </w:pPr>
    <w:rPr>
      <w:rFonts w:ascii="Arial" w:hAnsi="Arial"/>
      <w:sz w:val="20"/>
    </w:rPr>
  </w:style>
  <w:style w:type="paragraph" w:styleId="Heading8">
    <w:name w:val="heading 8"/>
    <w:basedOn w:val="BodyText"/>
    <w:next w:val="BodyText"/>
    <w:rsid w:val="00CD1176"/>
    <w:pPr>
      <w:spacing w:after="60" w:line="240" w:lineRule="auto"/>
      <w:jc w:val="left"/>
      <w:outlineLvl w:val="7"/>
    </w:pPr>
    <w:rPr>
      <w:rFonts w:ascii="Arial" w:hAnsi="Arial"/>
      <w:i/>
      <w:sz w:val="20"/>
    </w:rPr>
  </w:style>
  <w:style w:type="paragraph" w:styleId="Heading9">
    <w:name w:val="heading 9"/>
    <w:basedOn w:val="BodyText"/>
    <w:next w:val="BodyText"/>
    <w:rsid w:val="00CD117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D11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176"/>
  </w:style>
  <w:style w:type="paragraph" w:styleId="BodyText">
    <w:name w:val="Body Text"/>
    <w:qFormat/>
    <w:rsid w:val="00CD1176"/>
    <w:pPr>
      <w:spacing w:before="240" w:line="320" w:lineRule="atLeast"/>
      <w:jc w:val="both"/>
    </w:pPr>
    <w:rPr>
      <w:sz w:val="26"/>
    </w:rPr>
  </w:style>
  <w:style w:type="paragraph" w:styleId="Footer">
    <w:name w:val="footer"/>
    <w:basedOn w:val="BodyText"/>
    <w:link w:val="FooterChar"/>
    <w:rsid w:val="00CD1176"/>
    <w:pPr>
      <w:spacing w:before="80" w:line="200" w:lineRule="exact"/>
      <w:ind w:right="6"/>
      <w:jc w:val="left"/>
    </w:pPr>
    <w:rPr>
      <w:caps/>
      <w:spacing w:val="-4"/>
      <w:sz w:val="16"/>
    </w:rPr>
  </w:style>
  <w:style w:type="paragraph" w:customStyle="1" w:styleId="FooterEnd">
    <w:name w:val="Footer End"/>
    <w:basedOn w:val="Footer"/>
    <w:rsid w:val="00CD1176"/>
    <w:pPr>
      <w:spacing w:before="0" w:line="20" w:lineRule="exact"/>
    </w:pPr>
  </w:style>
  <w:style w:type="paragraph" w:styleId="Header">
    <w:name w:val="header"/>
    <w:basedOn w:val="BodyText"/>
    <w:link w:val="HeaderChar"/>
    <w:rsid w:val="00CD117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D1176"/>
    <w:pPr>
      <w:spacing w:line="20" w:lineRule="exact"/>
    </w:pPr>
    <w:rPr>
      <w:sz w:val="16"/>
    </w:rPr>
  </w:style>
  <w:style w:type="paragraph" w:customStyle="1" w:styleId="HeaderEven">
    <w:name w:val="Header Even"/>
    <w:basedOn w:val="Header"/>
    <w:semiHidden/>
    <w:rsid w:val="00CD1176"/>
  </w:style>
  <w:style w:type="paragraph" w:customStyle="1" w:styleId="HeaderOdd">
    <w:name w:val="Header Odd"/>
    <w:basedOn w:val="Header"/>
    <w:semiHidden/>
    <w:rsid w:val="00CD1176"/>
  </w:style>
  <w:style w:type="character" w:styleId="PageNumber">
    <w:name w:val="page number"/>
    <w:basedOn w:val="DefaultParagraphFont"/>
    <w:rsid w:val="00CD1176"/>
    <w:rPr>
      <w:rFonts w:ascii="Arial" w:hAnsi="Arial"/>
      <w:b/>
      <w:sz w:val="16"/>
    </w:rPr>
  </w:style>
  <w:style w:type="paragraph" w:customStyle="1" w:styleId="Abbreviation">
    <w:name w:val="Abbreviation"/>
    <w:basedOn w:val="BodyText"/>
    <w:rsid w:val="00CD1176"/>
    <w:pPr>
      <w:spacing w:before="120"/>
      <w:ind w:left="2381" w:hanging="2381"/>
      <w:jc w:val="left"/>
    </w:pPr>
  </w:style>
  <w:style w:type="paragraph" w:customStyle="1" w:styleId="Box">
    <w:name w:val="Box"/>
    <w:basedOn w:val="BodyText"/>
    <w:qFormat/>
    <w:rsid w:val="00CD1176"/>
    <w:pPr>
      <w:keepNext/>
      <w:spacing w:before="120" w:line="280" w:lineRule="atLeast"/>
    </w:pPr>
    <w:rPr>
      <w:rFonts w:ascii="Arial" w:hAnsi="Arial"/>
      <w:sz w:val="22"/>
    </w:rPr>
  </w:style>
  <w:style w:type="paragraph" w:customStyle="1" w:styleId="BoxContinued">
    <w:name w:val="Box Continued"/>
    <w:basedOn w:val="BodyText"/>
    <w:next w:val="BodyText"/>
    <w:semiHidden/>
    <w:rsid w:val="00CD1176"/>
    <w:pPr>
      <w:spacing w:before="180" w:line="220" w:lineRule="exact"/>
      <w:jc w:val="right"/>
    </w:pPr>
    <w:rPr>
      <w:rFonts w:ascii="Arial" w:hAnsi="Arial"/>
      <w:sz w:val="18"/>
    </w:rPr>
  </w:style>
  <w:style w:type="paragraph" w:customStyle="1" w:styleId="BoxHeading1">
    <w:name w:val="Box Heading 1"/>
    <w:basedOn w:val="BodyText"/>
    <w:next w:val="Box"/>
    <w:rsid w:val="00CD1176"/>
    <w:pPr>
      <w:keepNext/>
      <w:spacing w:before="200" w:line="280" w:lineRule="atLeast"/>
    </w:pPr>
    <w:rPr>
      <w:rFonts w:ascii="Arial" w:hAnsi="Arial"/>
      <w:b/>
      <w:sz w:val="22"/>
    </w:rPr>
  </w:style>
  <w:style w:type="paragraph" w:customStyle="1" w:styleId="BoxHeading2">
    <w:name w:val="Box Heading 2"/>
    <w:basedOn w:val="BoxHeading1"/>
    <w:next w:val="Normal"/>
    <w:rsid w:val="00CD1176"/>
    <w:rPr>
      <w:b w:val="0"/>
      <w:i/>
    </w:rPr>
  </w:style>
  <w:style w:type="paragraph" w:customStyle="1" w:styleId="BoxListBullet">
    <w:name w:val="Box List Bullet"/>
    <w:basedOn w:val="BodyText"/>
    <w:rsid w:val="00CD1176"/>
    <w:pPr>
      <w:keepNext/>
      <w:numPr>
        <w:numId w:val="1"/>
      </w:numPr>
      <w:spacing w:before="60" w:line="280" w:lineRule="atLeast"/>
    </w:pPr>
    <w:rPr>
      <w:rFonts w:ascii="Arial" w:hAnsi="Arial"/>
      <w:sz w:val="22"/>
    </w:rPr>
  </w:style>
  <w:style w:type="paragraph" w:customStyle="1" w:styleId="BoxListBullet2">
    <w:name w:val="Box List Bullet 2"/>
    <w:basedOn w:val="BodyText"/>
    <w:rsid w:val="00CD1176"/>
    <w:pPr>
      <w:keepNext/>
      <w:numPr>
        <w:numId w:val="16"/>
      </w:numPr>
      <w:spacing w:before="60" w:line="280" w:lineRule="atLeast"/>
    </w:pPr>
    <w:rPr>
      <w:rFonts w:ascii="Arial" w:hAnsi="Arial"/>
      <w:sz w:val="22"/>
    </w:rPr>
  </w:style>
  <w:style w:type="paragraph" w:customStyle="1" w:styleId="BoxListNumber">
    <w:name w:val="Box List Number"/>
    <w:basedOn w:val="BodyText"/>
    <w:rsid w:val="00CD1176"/>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CD1176"/>
    <w:pPr>
      <w:numPr>
        <w:ilvl w:val="1"/>
      </w:numPr>
    </w:pPr>
  </w:style>
  <w:style w:type="paragraph" w:customStyle="1" w:styleId="BoxQuote">
    <w:name w:val="Box Quote"/>
    <w:basedOn w:val="BodyText"/>
    <w:next w:val="Box"/>
    <w:rsid w:val="00CD1176"/>
    <w:pPr>
      <w:keepNext/>
      <w:spacing w:before="60" w:line="260" w:lineRule="exact"/>
      <w:ind w:left="284"/>
    </w:pPr>
    <w:rPr>
      <w:rFonts w:ascii="Arial" w:hAnsi="Arial"/>
      <w:sz w:val="20"/>
    </w:rPr>
  </w:style>
  <w:style w:type="paragraph" w:customStyle="1" w:styleId="Note">
    <w:name w:val="Note"/>
    <w:basedOn w:val="BodyText"/>
    <w:next w:val="BodyText"/>
    <w:rsid w:val="00CD1176"/>
    <w:pPr>
      <w:keepLines/>
      <w:spacing w:before="80" w:line="220" w:lineRule="exact"/>
    </w:pPr>
    <w:rPr>
      <w:rFonts w:ascii="Arial" w:hAnsi="Arial"/>
      <w:sz w:val="18"/>
    </w:rPr>
  </w:style>
  <w:style w:type="paragraph" w:customStyle="1" w:styleId="Source">
    <w:name w:val="Source"/>
    <w:basedOn w:val="Note"/>
    <w:next w:val="BodyText"/>
    <w:rsid w:val="00CD1176"/>
    <w:pPr>
      <w:spacing w:after="120"/>
    </w:pPr>
  </w:style>
  <w:style w:type="paragraph" w:customStyle="1" w:styleId="BoxSource">
    <w:name w:val="Box Source"/>
    <w:basedOn w:val="Source"/>
    <w:next w:val="BodyText"/>
    <w:rsid w:val="00CD1176"/>
    <w:pPr>
      <w:spacing w:before="180" w:after="0"/>
    </w:pPr>
  </w:style>
  <w:style w:type="paragraph" w:customStyle="1" w:styleId="BoxSpaceAbove">
    <w:name w:val="Box Space Above"/>
    <w:basedOn w:val="BodyText"/>
    <w:rsid w:val="00CD1176"/>
    <w:pPr>
      <w:keepNext/>
      <w:spacing w:before="360" w:line="80" w:lineRule="exact"/>
      <w:jc w:val="left"/>
    </w:pPr>
  </w:style>
  <w:style w:type="paragraph" w:styleId="Caption">
    <w:name w:val="caption"/>
    <w:basedOn w:val="Normal"/>
    <w:next w:val="BodyText"/>
    <w:rsid w:val="00CD117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D1176"/>
    <w:pPr>
      <w:spacing w:before="120" w:after="0"/>
      <w:ind w:left="1304" w:hanging="1304"/>
    </w:pPr>
    <w:rPr>
      <w:sz w:val="24"/>
    </w:rPr>
  </w:style>
  <w:style w:type="paragraph" w:customStyle="1" w:styleId="BoxSubtitle">
    <w:name w:val="Box Subtitle"/>
    <w:basedOn w:val="BoxTitle"/>
    <w:next w:val="Normal"/>
    <w:rsid w:val="00CD1176"/>
    <w:pPr>
      <w:spacing w:after="80" w:line="200" w:lineRule="exact"/>
      <w:ind w:firstLine="0"/>
    </w:pPr>
    <w:rPr>
      <w:b w:val="0"/>
      <w:sz w:val="20"/>
    </w:rPr>
  </w:style>
  <w:style w:type="paragraph" w:customStyle="1" w:styleId="Chapter">
    <w:name w:val="Chapter"/>
    <w:basedOn w:val="Heading1"/>
    <w:next w:val="BodyText"/>
    <w:semiHidden/>
    <w:rsid w:val="00CD1176"/>
    <w:pPr>
      <w:ind w:left="0" w:firstLine="0"/>
      <w:outlineLvl w:val="9"/>
    </w:pPr>
  </w:style>
  <w:style w:type="paragraph" w:customStyle="1" w:styleId="ChapterSummary">
    <w:name w:val="Chapter Summary"/>
    <w:basedOn w:val="BodyText"/>
    <w:rsid w:val="00CD1176"/>
    <w:pPr>
      <w:ind w:left="907"/>
    </w:pPr>
    <w:rPr>
      <w:rFonts w:ascii="Arial" w:hAnsi="Arial"/>
      <w:b/>
      <w:sz w:val="22"/>
    </w:rPr>
  </w:style>
  <w:style w:type="character" w:styleId="CommentReference">
    <w:name w:val="annotation reference"/>
    <w:basedOn w:val="DefaultParagraphFont"/>
    <w:semiHidden/>
    <w:rsid w:val="00CD1176"/>
    <w:rPr>
      <w:b/>
      <w:vanish/>
      <w:color w:val="FF00FF"/>
      <w:sz w:val="20"/>
    </w:rPr>
  </w:style>
  <w:style w:type="paragraph" w:styleId="CommentText">
    <w:name w:val="annotation text"/>
    <w:basedOn w:val="Normal"/>
    <w:link w:val="CommentTextChar"/>
    <w:semiHidden/>
    <w:rsid w:val="00CD1176"/>
    <w:pPr>
      <w:spacing w:before="120" w:line="240" w:lineRule="atLeast"/>
      <w:ind w:left="567" w:hanging="567"/>
    </w:pPr>
    <w:rPr>
      <w:sz w:val="20"/>
    </w:rPr>
  </w:style>
  <w:style w:type="paragraph" w:customStyle="1" w:styleId="Continued">
    <w:name w:val="Continued"/>
    <w:basedOn w:val="BoxContinued"/>
    <w:next w:val="BodyText"/>
    <w:rsid w:val="00CD1176"/>
  </w:style>
  <w:style w:type="character" w:customStyle="1" w:styleId="DocumentInfo">
    <w:name w:val="Document Info"/>
    <w:basedOn w:val="DefaultParagraphFont"/>
    <w:semiHidden/>
    <w:rsid w:val="00CD1176"/>
    <w:rPr>
      <w:rFonts w:ascii="Arial" w:hAnsi="Arial"/>
      <w:sz w:val="14"/>
    </w:rPr>
  </w:style>
  <w:style w:type="character" w:customStyle="1" w:styleId="DraftingNote">
    <w:name w:val="Drafting Note"/>
    <w:basedOn w:val="DefaultParagraphFont"/>
    <w:rsid w:val="00CD1176"/>
    <w:rPr>
      <w:b/>
      <w:color w:val="FF0000"/>
      <w:sz w:val="24"/>
      <w:u w:val="dotted"/>
    </w:rPr>
  </w:style>
  <w:style w:type="paragraph" w:customStyle="1" w:styleId="Figure">
    <w:name w:val="Figure"/>
    <w:basedOn w:val="BodyText"/>
    <w:rsid w:val="00CD1176"/>
    <w:pPr>
      <w:keepNext/>
      <w:spacing w:before="120" w:after="120" w:line="240" w:lineRule="atLeast"/>
      <w:jc w:val="center"/>
    </w:pPr>
  </w:style>
  <w:style w:type="paragraph" w:customStyle="1" w:styleId="FigureTitle">
    <w:name w:val="Figure Title"/>
    <w:basedOn w:val="Caption"/>
    <w:next w:val="Subtitle"/>
    <w:rsid w:val="00CD1176"/>
    <w:rPr>
      <w:sz w:val="24"/>
    </w:rPr>
  </w:style>
  <w:style w:type="paragraph" w:styleId="Subtitle">
    <w:name w:val="Subtitle"/>
    <w:basedOn w:val="Caption"/>
    <w:link w:val="SubtitleChar"/>
    <w:rsid w:val="00CD1176"/>
    <w:pPr>
      <w:spacing w:before="0" w:line="200" w:lineRule="exact"/>
      <w:ind w:firstLine="0"/>
    </w:pPr>
    <w:rPr>
      <w:b w:val="0"/>
      <w:sz w:val="20"/>
    </w:rPr>
  </w:style>
  <w:style w:type="paragraph" w:customStyle="1" w:styleId="Finding">
    <w:name w:val="Finding"/>
    <w:basedOn w:val="BodyText"/>
    <w:rsid w:val="00CD1176"/>
    <w:pPr>
      <w:keepLines/>
      <w:spacing w:before="180"/>
    </w:pPr>
    <w:rPr>
      <w:i/>
    </w:rPr>
  </w:style>
  <w:style w:type="paragraph" w:customStyle="1" w:styleId="FindingBullet">
    <w:name w:val="Finding Bullet"/>
    <w:basedOn w:val="Finding"/>
    <w:rsid w:val="00CD1176"/>
    <w:pPr>
      <w:numPr>
        <w:numId w:val="2"/>
      </w:numPr>
      <w:spacing w:before="80"/>
    </w:pPr>
  </w:style>
  <w:style w:type="paragraph" w:customStyle="1" w:styleId="FindingNoTitle">
    <w:name w:val="Finding NoTitle"/>
    <w:basedOn w:val="Finding"/>
    <w:semiHidden/>
    <w:rsid w:val="00CD1176"/>
    <w:pPr>
      <w:spacing w:before="240"/>
    </w:pPr>
  </w:style>
  <w:style w:type="paragraph" w:customStyle="1" w:styleId="RecTitle">
    <w:name w:val="Rec Title"/>
    <w:basedOn w:val="BodyText"/>
    <w:next w:val="Normal"/>
    <w:rsid w:val="00CD1176"/>
    <w:pPr>
      <w:keepNext/>
      <w:keepLines/>
    </w:pPr>
    <w:rPr>
      <w:caps/>
      <w:sz w:val="20"/>
    </w:rPr>
  </w:style>
  <w:style w:type="paragraph" w:customStyle="1" w:styleId="FindingTitle">
    <w:name w:val="Finding Title"/>
    <w:basedOn w:val="RecTitle"/>
    <w:next w:val="Finding"/>
    <w:rsid w:val="00CD1176"/>
    <w:pPr>
      <w:framePr w:wrap="notBeside" w:hAnchor="text"/>
    </w:pPr>
  </w:style>
  <w:style w:type="character" w:styleId="FootnoteReference">
    <w:name w:val="footnote reference"/>
    <w:basedOn w:val="DefaultParagraphFont"/>
    <w:rsid w:val="00CD1176"/>
    <w:rPr>
      <w:rFonts w:ascii="Times New Roman" w:hAnsi="Times New Roman"/>
      <w:position w:val="6"/>
      <w:sz w:val="22"/>
      <w:vertAlign w:val="baseline"/>
    </w:rPr>
  </w:style>
  <w:style w:type="paragraph" w:styleId="FootnoteText">
    <w:name w:val="footnote text"/>
    <w:basedOn w:val="BodyText"/>
    <w:link w:val="FootnoteTextChar"/>
    <w:rsid w:val="00CD117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D1176"/>
    <w:pPr>
      <w:spacing w:before="360" w:after="120"/>
    </w:pPr>
    <w:rPr>
      <w:rFonts w:ascii="Arial" w:hAnsi="Arial"/>
      <w:sz w:val="24"/>
    </w:rPr>
  </w:style>
  <w:style w:type="paragraph" w:customStyle="1" w:styleId="Jurisdictioncommentsbodytext">
    <w:name w:val="Jurisdiction comments body text"/>
    <w:rsid w:val="00CD1176"/>
    <w:pPr>
      <w:spacing w:after="140"/>
      <w:jc w:val="both"/>
    </w:pPr>
    <w:rPr>
      <w:rFonts w:ascii="Arial" w:hAnsi="Arial"/>
      <w:sz w:val="24"/>
      <w:lang w:eastAsia="en-US"/>
    </w:rPr>
  </w:style>
  <w:style w:type="paragraph" w:customStyle="1" w:styleId="Jurisdictioncommentsheading">
    <w:name w:val="Jurisdiction comments heading"/>
    <w:rsid w:val="00CD117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D1176"/>
    <w:pPr>
      <w:numPr>
        <w:numId w:val="3"/>
      </w:numPr>
      <w:spacing w:after="140"/>
      <w:jc w:val="both"/>
    </w:pPr>
    <w:rPr>
      <w:rFonts w:ascii="Arial" w:hAnsi="Arial"/>
      <w:sz w:val="24"/>
      <w:lang w:eastAsia="en-US"/>
    </w:rPr>
  </w:style>
  <w:style w:type="paragraph" w:styleId="ListBullet">
    <w:name w:val="List Bullet"/>
    <w:basedOn w:val="BodyText"/>
    <w:rsid w:val="00CD1176"/>
    <w:pPr>
      <w:numPr>
        <w:numId w:val="4"/>
      </w:numPr>
      <w:spacing w:before="120"/>
    </w:pPr>
  </w:style>
  <w:style w:type="paragraph" w:styleId="ListBullet2">
    <w:name w:val="List Bullet 2"/>
    <w:basedOn w:val="BodyText"/>
    <w:rsid w:val="00CD1176"/>
    <w:pPr>
      <w:numPr>
        <w:numId w:val="5"/>
      </w:numPr>
      <w:spacing w:before="120"/>
    </w:pPr>
  </w:style>
  <w:style w:type="paragraph" w:styleId="ListBullet3">
    <w:name w:val="List Bullet 3"/>
    <w:basedOn w:val="BodyText"/>
    <w:rsid w:val="00CD1176"/>
    <w:pPr>
      <w:numPr>
        <w:numId w:val="6"/>
      </w:numPr>
      <w:spacing w:before="120"/>
    </w:pPr>
  </w:style>
  <w:style w:type="paragraph" w:styleId="ListNumber">
    <w:name w:val="List Number"/>
    <w:basedOn w:val="BodyText"/>
    <w:rsid w:val="00CD1176"/>
    <w:pPr>
      <w:numPr>
        <w:numId w:val="11"/>
      </w:numPr>
      <w:spacing w:before="120"/>
    </w:pPr>
  </w:style>
  <w:style w:type="paragraph" w:styleId="ListNumber2">
    <w:name w:val="List Number 2"/>
    <w:basedOn w:val="ListNumber"/>
    <w:rsid w:val="00CD1176"/>
    <w:pPr>
      <w:numPr>
        <w:ilvl w:val="1"/>
      </w:numPr>
    </w:pPr>
  </w:style>
  <w:style w:type="paragraph" w:styleId="ListNumber3">
    <w:name w:val="List Number 3"/>
    <w:basedOn w:val="ListNumber2"/>
    <w:rsid w:val="00CD1176"/>
    <w:pPr>
      <w:numPr>
        <w:ilvl w:val="2"/>
      </w:numPr>
    </w:pPr>
  </w:style>
  <w:style w:type="character" w:customStyle="1" w:styleId="NoteLabel">
    <w:name w:val="Note Label"/>
    <w:basedOn w:val="DefaultParagraphFont"/>
    <w:rsid w:val="00CD1176"/>
    <w:rPr>
      <w:rFonts w:ascii="Arial" w:hAnsi="Arial"/>
      <w:b/>
      <w:position w:val="6"/>
      <w:sz w:val="18"/>
    </w:rPr>
  </w:style>
  <w:style w:type="paragraph" w:customStyle="1" w:styleId="PartDivider">
    <w:name w:val="Part Divider"/>
    <w:basedOn w:val="BodyText"/>
    <w:next w:val="BodyText"/>
    <w:semiHidden/>
    <w:rsid w:val="00CD1176"/>
    <w:pPr>
      <w:spacing w:before="0" w:line="40" w:lineRule="exact"/>
      <w:jc w:val="right"/>
    </w:pPr>
    <w:rPr>
      <w:smallCaps/>
      <w:sz w:val="16"/>
    </w:rPr>
  </w:style>
  <w:style w:type="paragraph" w:customStyle="1" w:styleId="PartNumber">
    <w:name w:val="Part Number"/>
    <w:basedOn w:val="BodyText"/>
    <w:next w:val="BodyText"/>
    <w:semiHidden/>
    <w:rsid w:val="00CD1176"/>
    <w:pPr>
      <w:spacing w:before="4000" w:line="320" w:lineRule="exact"/>
      <w:ind w:left="6634"/>
      <w:jc w:val="right"/>
    </w:pPr>
    <w:rPr>
      <w:smallCaps/>
      <w:spacing w:val="60"/>
      <w:sz w:val="32"/>
    </w:rPr>
  </w:style>
  <w:style w:type="paragraph" w:customStyle="1" w:styleId="PartTitle">
    <w:name w:val="Part Title"/>
    <w:basedOn w:val="BodyText"/>
    <w:semiHidden/>
    <w:rsid w:val="00CD1176"/>
    <w:pPr>
      <w:spacing w:before="160" w:after="1360" w:line="520" w:lineRule="exact"/>
      <w:ind w:right="2381"/>
      <w:jc w:val="right"/>
    </w:pPr>
    <w:rPr>
      <w:smallCaps/>
      <w:sz w:val="52"/>
    </w:rPr>
  </w:style>
  <w:style w:type="paragraph" w:styleId="Quote">
    <w:name w:val="Quote"/>
    <w:basedOn w:val="BodyText"/>
    <w:next w:val="BodyText"/>
    <w:qFormat/>
    <w:rsid w:val="00CD1176"/>
    <w:pPr>
      <w:spacing w:before="120" w:line="280" w:lineRule="exact"/>
      <w:ind w:left="340"/>
    </w:pPr>
    <w:rPr>
      <w:sz w:val="24"/>
    </w:rPr>
  </w:style>
  <w:style w:type="paragraph" w:customStyle="1" w:styleId="QuoteBullet">
    <w:name w:val="Quote Bullet"/>
    <w:basedOn w:val="Quote"/>
    <w:rsid w:val="00CD1176"/>
    <w:pPr>
      <w:numPr>
        <w:numId w:val="7"/>
      </w:numPr>
    </w:pPr>
  </w:style>
  <w:style w:type="paragraph" w:customStyle="1" w:styleId="Rec">
    <w:name w:val="Rec"/>
    <w:basedOn w:val="BodyText"/>
    <w:rsid w:val="00CD1176"/>
    <w:pPr>
      <w:keepLines/>
      <w:spacing w:before="180"/>
    </w:pPr>
    <w:rPr>
      <w:b/>
      <w:i/>
    </w:rPr>
  </w:style>
  <w:style w:type="paragraph" w:customStyle="1" w:styleId="RecBullet">
    <w:name w:val="Rec Bullet"/>
    <w:basedOn w:val="Rec"/>
    <w:rsid w:val="00CD1176"/>
    <w:pPr>
      <w:numPr>
        <w:numId w:val="8"/>
      </w:numPr>
      <w:spacing w:before="80"/>
    </w:pPr>
  </w:style>
  <w:style w:type="paragraph" w:customStyle="1" w:styleId="RecB">
    <w:name w:val="RecB"/>
    <w:basedOn w:val="Normal"/>
    <w:semiHidden/>
    <w:rsid w:val="00CD117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D1176"/>
    <w:pPr>
      <w:numPr>
        <w:numId w:val="13"/>
      </w:numPr>
      <w:spacing w:before="80"/>
    </w:pPr>
  </w:style>
  <w:style w:type="paragraph" w:customStyle="1" w:styleId="RecBNoTitle">
    <w:name w:val="RecB NoTitle"/>
    <w:basedOn w:val="RecB"/>
    <w:semiHidden/>
    <w:rsid w:val="00CD1176"/>
    <w:pPr>
      <w:spacing w:before="240"/>
    </w:pPr>
  </w:style>
  <w:style w:type="paragraph" w:customStyle="1" w:styleId="Reference">
    <w:name w:val="Reference"/>
    <w:basedOn w:val="BodyText"/>
    <w:rsid w:val="00CD1176"/>
    <w:pPr>
      <w:spacing w:before="120"/>
      <w:ind w:left="340" w:hanging="340"/>
    </w:pPr>
  </w:style>
  <w:style w:type="paragraph" w:customStyle="1" w:styleId="SequenceInfo">
    <w:name w:val="Sequence Info"/>
    <w:basedOn w:val="BodyText"/>
    <w:semiHidden/>
    <w:rsid w:val="00CD1176"/>
    <w:rPr>
      <w:vanish/>
      <w:sz w:val="16"/>
    </w:rPr>
  </w:style>
  <w:style w:type="paragraph" w:customStyle="1" w:styleId="SideNote">
    <w:name w:val="Side Note"/>
    <w:basedOn w:val="BodyText"/>
    <w:next w:val="BodyText"/>
    <w:semiHidden/>
    <w:rsid w:val="00CD117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D1176"/>
    <w:pPr>
      <w:framePr w:wrap="around"/>
      <w:numPr>
        <w:numId w:val="9"/>
      </w:numPr>
      <w:tabs>
        <w:tab w:val="left" w:pos="227"/>
      </w:tabs>
    </w:pPr>
  </w:style>
  <w:style w:type="paragraph" w:customStyle="1" w:styleId="SideNoteGraphic">
    <w:name w:val="Side Note Graphic"/>
    <w:basedOn w:val="SideNote"/>
    <w:next w:val="BodyText"/>
    <w:semiHidden/>
    <w:rsid w:val="00CD1176"/>
    <w:pPr>
      <w:framePr w:wrap="around"/>
    </w:pPr>
  </w:style>
  <w:style w:type="paragraph" w:customStyle="1" w:styleId="TableBodyText">
    <w:name w:val="Table Body Text"/>
    <w:basedOn w:val="BodyText"/>
    <w:rsid w:val="00CD117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D1176"/>
    <w:pPr>
      <w:numPr>
        <w:numId w:val="10"/>
      </w:numPr>
      <w:jc w:val="left"/>
    </w:pPr>
  </w:style>
  <w:style w:type="paragraph" w:customStyle="1" w:styleId="TableColumnHeading">
    <w:name w:val="Table Column Heading"/>
    <w:basedOn w:val="TableBodyText"/>
    <w:rsid w:val="00CD1176"/>
    <w:pPr>
      <w:spacing w:before="80" w:after="80"/>
    </w:pPr>
    <w:rPr>
      <w:i/>
    </w:rPr>
  </w:style>
  <w:style w:type="paragraph" w:styleId="TOC2">
    <w:name w:val="toc 2"/>
    <w:basedOn w:val="BodyText"/>
    <w:semiHidden/>
    <w:rsid w:val="00CD1176"/>
    <w:pPr>
      <w:tabs>
        <w:tab w:val="right" w:pos="8789"/>
      </w:tabs>
      <w:ind w:left="510" w:right="851" w:hanging="510"/>
      <w:jc w:val="left"/>
    </w:pPr>
    <w:rPr>
      <w:b/>
    </w:rPr>
  </w:style>
  <w:style w:type="paragraph" w:styleId="TOC3">
    <w:name w:val="toc 3"/>
    <w:basedOn w:val="TOC2"/>
    <w:semiHidden/>
    <w:rsid w:val="00CD1176"/>
    <w:pPr>
      <w:spacing w:before="60"/>
      <w:ind w:left="1190" w:hanging="680"/>
    </w:pPr>
    <w:rPr>
      <w:b w:val="0"/>
    </w:rPr>
  </w:style>
  <w:style w:type="paragraph" w:styleId="TableofFigures">
    <w:name w:val="table of figures"/>
    <w:basedOn w:val="TOC3"/>
    <w:next w:val="BodyText"/>
    <w:semiHidden/>
    <w:rsid w:val="00CD1176"/>
    <w:pPr>
      <w:ind w:left="737" w:hanging="737"/>
    </w:pPr>
  </w:style>
  <w:style w:type="paragraph" w:customStyle="1" w:styleId="TableTitle">
    <w:name w:val="Table Title"/>
    <w:basedOn w:val="Caption"/>
    <w:next w:val="Subtitle"/>
    <w:rsid w:val="00CD1176"/>
    <w:rPr>
      <w:sz w:val="24"/>
    </w:rPr>
  </w:style>
  <w:style w:type="paragraph" w:customStyle="1" w:styleId="TableUnitsRow">
    <w:name w:val="Table Units Row"/>
    <w:basedOn w:val="TableBodyText"/>
    <w:rsid w:val="00CD1176"/>
    <w:pPr>
      <w:spacing w:before="80" w:after="80"/>
    </w:pPr>
  </w:style>
  <w:style w:type="paragraph" w:styleId="TOC1">
    <w:name w:val="toc 1"/>
    <w:basedOn w:val="Normal"/>
    <w:next w:val="TOC2"/>
    <w:semiHidden/>
    <w:rsid w:val="00CD1176"/>
    <w:pPr>
      <w:tabs>
        <w:tab w:val="right" w:pos="8789"/>
      </w:tabs>
      <w:spacing w:before="480" w:after="60" w:line="320" w:lineRule="exact"/>
      <w:ind w:left="1191" w:right="851" w:hanging="1191"/>
    </w:pPr>
    <w:rPr>
      <w:b/>
      <w:caps/>
    </w:rPr>
  </w:style>
  <w:style w:type="paragraph" w:styleId="TOC4">
    <w:name w:val="toc 4"/>
    <w:basedOn w:val="TOC3"/>
    <w:semiHidden/>
    <w:rsid w:val="00CD1176"/>
    <w:pPr>
      <w:ind w:left="1191" w:firstLine="0"/>
    </w:pPr>
  </w:style>
  <w:style w:type="paragraph" w:customStyle="1" w:styleId="RecBBullet2">
    <w:name w:val="RecB Bullet 2"/>
    <w:basedOn w:val="ListBullet2"/>
    <w:semiHidden/>
    <w:rsid w:val="00CD1176"/>
    <w:pPr>
      <w:pBdr>
        <w:left w:val="single" w:sz="24" w:space="29" w:color="C0C0C0"/>
      </w:pBdr>
    </w:pPr>
    <w:rPr>
      <w:b/>
      <w:i/>
    </w:rPr>
  </w:style>
  <w:style w:type="paragraph" w:styleId="BalloonText">
    <w:name w:val="Balloon Text"/>
    <w:basedOn w:val="Normal"/>
    <w:link w:val="BalloonTextChar"/>
    <w:rsid w:val="00CD1176"/>
    <w:rPr>
      <w:rFonts w:ascii="Tahoma" w:hAnsi="Tahoma" w:cs="Tahoma"/>
      <w:sz w:val="16"/>
      <w:szCs w:val="16"/>
    </w:rPr>
  </w:style>
  <w:style w:type="character" w:customStyle="1" w:styleId="BalloonTextChar">
    <w:name w:val="Balloon Text Char"/>
    <w:basedOn w:val="DefaultParagraphFont"/>
    <w:link w:val="BalloonText"/>
    <w:rsid w:val="00CD1176"/>
    <w:rPr>
      <w:rFonts w:ascii="Tahoma" w:hAnsi="Tahoma" w:cs="Tahoma"/>
      <w:sz w:val="16"/>
      <w:szCs w:val="16"/>
    </w:rPr>
  </w:style>
  <w:style w:type="character" w:customStyle="1" w:styleId="SubtitleChar">
    <w:name w:val="Subtitle Char"/>
    <w:basedOn w:val="DefaultParagraphFont"/>
    <w:link w:val="Subtitle"/>
    <w:rsid w:val="00CD1176"/>
    <w:rPr>
      <w:rFonts w:ascii="Arial" w:hAnsi="Arial"/>
      <w:szCs w:val="24"/>
    </w:rPr>
  </w:style>
  <w:style w:type="paragraph" w:customStyle="1" w:styleId="BoxListBullet3">
    <w:name w:val="Box List Bullet 3"/>
    <w:basedOn w:val="ListBullet3"/>
    <w:rsid w:val="00CD1176"/>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D1176"/>
    <w:rPr>
      <w:i/>
      <w:iCs/>
    </w:rPr>
  </w:style>
  <w:style w:type="paragraph" w:customStyle="1" w:styleId="BoxQuoteBullet">
    <w:name w:val="Box Quote Bullet"/>
    <w:basedOn w:val="BoxQuote"/>
    <w:next w:val="Box"/>
    <w:rsid w:val="00CD1176"/>
    <w:pPr>
      <w:numPr>
        <w:numId w:val="14"/>
      </w:numPr>
      <w:ind w:left="568" w:hanging="284"/>
    </w:pPr>
  </w:style>
  <w:style w:type="paragraph" w:customStyle="1" w:styleId="InformationRequestBullet">
    <w:name w:val="Information Request Bullet"/>
    <w:basedOn w:val="ListBullet"/>
    <w:next w:val="BodyText"/>
    <w:rsid w:val="00CD1176"/>
    <w:pPr>
      <w:numPr>
        <w:numId w:val="15"/>
      </w:numPr>
      <w:ind w:left="340" w:hanging="340"/>
    </w:pPr>
    <w:rPr>
      <w:rFonts w:ascii="Arial" w:hAnsi="Arial"/>
      <w:i/>
      <w:sz w:val="24"/>
    </w:rPr>
  </w:style>
  <w:style w:type="paragraph" w:customStyle="1" w:styleId="BoxSpaceBelow">
    <w:name w:val="Box Space Below"/>
    <w:basedOn w:val="Box"/>
    <w:rsid w:val="00CD1176"/>
    <w:pPr>
      <w:keepNext w:val="0"/>
      <w:spacing w:before="60" w:after="60" w:line="80" w:lineRule="exact"/>
    </w:pPr>
    <w:rPr>
      <w:sz w:val="14"/>
    </w:rPr>
  </w:style>
  <w:style w:type="paragraph" w:customStyle="1" w:styleId="Author">
    <w:name w:val="Author"/>
    <w:basedOn w:val="Normal"/>
    <w:rsid w:val="006609ED"/>
    <w:rPr>
      <w:rFonts w:ascii="Arial" w:hAnsi="Arial"/>
      <w:b/>
      <w:sz w:val="28"/>
    </w:rPr>
  </w:style>
  <w:style w:type="character" w:customStyle="1" w:styleId="Heading4Char">
    <w:name w:val="Heading 4 Char"/>
    <w:basedOn w:val="DefaultParagraphFont"/>
    <w:link w:val="Heading4"/>
    <w:rsid w:val="00AC614F"/>
    <w:rPr>
      <w:rFonts w:ascii="Arial" w:hAnsi="Arial"/>
      <w:i/>
      <w:sz w:val="24"/>
    </w:rPr>
  </w:style>
  <w:style w:type="character" w:customStyle="1" w:styleId="HeaderChar">
    <w:name w:val="Header Char"/>
    <w:basedOn w:val="DefaultParagraphFont"/>
    <w:link w:val="Header"/>
    <w:rsid w:val="00AC614F"/>
    <w:rPr>
      <w:rFonts w:ascii="Arial" w:hAnsi="Arial"/>
      <w:caps/>
      <w:sz w:val="26"/>
    </w:rPr>
  </w:style>
  <w:style w:type="character" w:customStyle="1" w:styleId="FooterChar">
    <w:name w:val="Footer Char"/>
    <w:basedOn w:val="DefaultParagraphFont"/>
    <w:link w:val="Footer"/>
    <w:rsid w:val="00AC614F"/>
    <w:rPr>
      <w:caps/>
      <w:spacing w:val="-4"/>
      <w:sz w:val="16"/>
    </w:rPr>
  </w:style>
  <w:style w:type="character" w:customStyle="1" w:styleId="Heading3Char">
    <w:name w:val="Heading 3 Char"/>
    <w:basedOn w:val="DefaultParagraphFont"/>
    <w:link w:val="Heading3"/>
    <w:rsid w:val="00AC614F"/>
    <w:rPr>
      <w:rFonts w:ascii="Arial" w:hAnsi="Arial"/>
      <w:b/>
      <w:sz w:val="26"/>
    </w:rPr>
  </w:style>
  <w:style w:type="character" w:customStyle="1" w:styleId="FootnoteTextChar">
    <w:name w:val="Footnote Text Char"/>
    <w:basedOn w:val="DefaultParagraphFont"/>
    <w:link w:val="FootnoteText"/>
    <w:rsid w:val="00AC614F"/>
    <w:rPr>
      <w:sz w:val="22"/>
    </w:rPr>
  </w:style>
  <w:style w:type="character" w:styleId="Hyperlink">
    <w:name w:val="Hyperlink"/>
    <w:rsid w:val="00AC614F"/>
    <w:rPr>
      <w:color w:val="0000FF"/>
      <w:u w:val="single"/>
    </w:rPr>
  </w:style>
  <w:style w:type="character" w:customStyle="1" w:styleId="Heading2Char">
    <w:name w:val="Heading 2 Char"/>
    <w:basedOn w:val="DefaultParagraphFont"/>
    <w:link w:val="Heading2"/>
    <w:rsid w:val="00AC614F"/>
    <w:rPr>
      <w:rFonts w:ascii="Arial" w:hAnsi="Arial"/>
      <w:b/>
      <w:sz w:val="32"/>
    </w:rPr>
  </w:style>
  <w:style w:type="table" w:styleId="TableGrid">
    <w:name w:val="Table Grid"/>
    <w:basedOn w:val="TableNormal"/>
    <w:rsid w:val="00AC614F"/>
    <w:pPr>
      <w:spacing w:before="60" w:after="40" w:line="260" w:lineRule="atLeast"/>
    </w:pPr>
    <w:rPr>
      <w:rFonts w:ascii="Book Antiqua" w:hAnsi="Book Antiqu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AC614F"/>
    <w:rPr>
      <w:i/>
      <w:sz w:val="26"/>
    </w:rPr>
  </w:style>
  <w:style w:type="character" w:customStyle="1" w:styleId="Heading1Char">
    <w:name w:val="Heading 1 Char"/>
    <w:basedOn w:val="DefaultParagraphFont"/>
    <w:link w:val="Heading1"/>
    <w:rsid w:val="00AC614F"/>
    <w:rPr>
      <w:sz w:val="52"/>
    </w:rPr>
  </w:style>
  <w:style w:type="paragraph" w:styleId="CommentSubject">
    <w:name w:val="annotation subject"/>
    <w:basedOn w:val="CommentText"/>
    <w:next w:val="CommentText"/>
    <w:link w:val="CommentSubjectChar"/>
    <w:rsid w:val="00041DC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41DCC"/>
    <w:rPr>
      <w:szCs w:val="24"/>
    </w:rPr>
  </w:style>
  <w:style w:type="character" w:customStyle="1" w:styleId="CommentSubjectChar">
    <w:name w:val="Comment Subject Char"/>
    <w:basedOn w:val="CommentTextChar"/>
    <w:link w:val="CommentSubject"/>
    <w:rsid w:val="00041DCC"/>
    <w:rPr>
      <w:szCs w:val="24"/>
    </w:rPr>
  </w:style>
  <w:style w:type="paragraph" w:customStyle="1" w:styleId="AbstractHeading">
    <w:name w:val="AbstractHeading"/>
    <w:basedOn w:val="AbstractText"/>
    <w:rsid w:val="006609ED"/>
    <w:pPr>
      <w:spacing w:before="240"/>
    </w:pPr>
    <w:rPr>
      <w:b/>
    </w:rPr>
  </w:style>
  <w:style w:type="paragraph" w:customStyle="1" w:styleId="AbstractText">
    <w:name w:val="AbstractText"/>
    <w:basedOn w:val="Normal"/>
    <w:rsid w:val="006609ED"/>
    <w:pPr>
      <w:spacing w:before="120" w:after="120" w:line="320" w:lineRule="atLeast"/>
      <w:ind w:left="907"/>
    </w:pPr>
    <w:rPr>
      <w:rFonts w:ascii="Arial" w:hAnsi="Arial"/>
      <w:sz w:val="22"/>
    </w:rPr>
  </w:style>
  <w:style w:type="paragraph" w:styleId="DocumentMap">
    <w:name w:val="Document Map"/>
    <w:basedOn w:val="Normal"/>
    <w:link w:val="DocumentMapChar"/>
    <w:rsid w:val="00C106B5"/>
    <w:rPr>
      <w:rFonts w:ascii="Tahoma" w:hAnsi="Tahoma" w:cs="Tahoma"/>
      <w:sz w:val="16"/>
      <w:szCs w:val="16"/>
    </w:rPr>
  </w:style>
  <w:style w:type="character" w:customStyle="1" w:styleId="DocumentMapChar">
    <w:name w:val="Document Map Char"/>
    <w:basedOn w:val="DefaultParagraphFont"/>
    <w:link w:val="DocumentMap"/>
    <w:rsid w:val="00C106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rose\users$\ramsayro\desktop\Revised%20figure%209.2%20data%20for%20PC.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3914409722222218E-2"/>
          <c:y val="8.5238582140422625E-2"/>
          <c:w val="0.84484749636797452"/>
          <c:h val="0.68200988606401314"/>
        </c:manualLayout>
      </c:layout>
      <c:barChart>
        <c:barDir val="col"/>
        <c:grouping val="stacked"/>
        <c:varyColors val="0"/>
        <c:ser>
          <c:idx val="0"/>
          <c:order val="0"/>
          <c:tx>
            <c:strRef>
              <c:f>'Figure 1.2'!$C$30:$D$30</c:f>
              <c:strCache>
                <c:ptCount val="1"/>
                <c:pt idx="0">
                  <c:v>Quantitative comparison group</c:v>
                </c:pt>
              </c:strCache>
            </c:strRef>
          </c:tx>
          <c:spPr>
            <a:pattFill prst="ltDnDiag">
              <a:fgClr>
                <a:srgbClr val="4F81BD"/>
              </a:fgClr>
              <a:bgClr>
                <a:sysClr val="window" lastClr="FFFFFF"/>
              </a:bgClr>
            </a:pattFill>
            <a:ln>
              <a:solidFill>
                <a:schemeClr val="tx1"/>
              </a:solidFill>
            </a:ln>
          </c:spPr>
          <c:invertIfNegative val="0"/>
          <c:cat>
            <c:strRef>
              <c:f>'Figure 1.2'!$B$32:$B$37</c:f>
              <c:strCache>
                <c:ptCount val="6"/>
                <c:pt idx="0">
                  <c:v>Australian
(Indigenous)                                         n=291</c:v>
                </c:pt>
                <c:pt idx="1">
                  <c:v>Australian 
(non-Indigenous)           n=183</c:v>
                </c:pt>
                <c:pt idx="2">
                  <c:v>US/Canada/NZ (Indigenous)                 n=81</c:v>
                </c:pt>
                <c:pt idx="3">
                  <c:v>US/Canada/NZ 
(non-Indigenous)                 n=167</c:v>
                </c:pt>
                <c:pt idx="4">
                  <c:v>Other international 
Indigenous
n=24</c:v>
                </c:pt>
                <c:pt idx="5">
                  <c:v>Other international 
(non-Indigenous)             n=86</c:v>
                </c:pt>
              </c:strCache>
            </c:strRef>
          </c:cat>
          <c:val>
            <c:numRef>
              <c:f>'Figure 1.2'!$D$32:$D$37</c:f>
              <c:numCache>
                <c:formatCode>0.0</c:formatCode>
                <c:ptCount val="6"/>
                <c:pt idx="0">
                  <c:v>22.7</c:v>
                </c:pt>
                <c:pt idx="1">
                  <c:v>22.4</c:v>
                </c:pt>
                <c:pt idx="2">
                  <c:v>32.1</c:v>
                </c:pt>
                <c:pt idx="3">
                  <c:v>50.3</c:v>
                </c:pt>
                <c:pt idx="4">
                  <c:v>50</c:v>
                </c:pt>
                <c:pt idx="5">
                  <c:v>38.4</c:v>
                </c:pt>
              </c:numCache>
            </c:numRef>
          </c:val>
        </c:ser>
        <c:ser>
          <c:idx val="1"/>
          <c:order val="1"/>
          <c:tx>
            <c:strRef>
              <c:f>'Figure 1.2'!$E$30:$F$30</c:f>
              <c:strCache>
                <c:ptCount val="1"/>
                <c:pt idx="0">
                  <c:v>Other quantitative</c:v>
                </c:pt>
              </c:strCache>
            </c:strRef>
          </c:tx>
          <c:spPr>
            <a:ln>
              <a:solidFill>
                <a:sysClr val="windowText" lastClr="000000"/>
              </a:solidFill>
            </a:ln>
          </c:spPr>
          <c:invertIfNegative val="0"/>
          <c:cat>
            <c:strRef>
              <c:f>'Figure 1.2'!$B$32:$B$37</c:f>
              <c:strCache>
                <c:ptCount val="6"/>
                <c:pt idx="0">
                  <c:v>Australian
(Indigenous)                                         n=291</c:v>
                </c:pt>
                <c:pt idx="1">
                  <c:v>Australian 
(non-Indigenous)           n=183</c:v>
                </c:pt>
                <c:pt idx="2">
                  <c:v>US/Canada/NZ (Indigenous)                 n=81</c:v>
                </c:pt>
                <c:pt idx="3">
                  <c:v>US/Canada/NZ 
(non-Indigenous)                 n=167</c:v>
                </c:pt>
                <c:pt idx="4">
                  <c:v>Other international 
Indigenous
n=24</c:v>
                </c:pt>
                <c:pt idx="5">
                  <c:v>Other international 
(non-Indigenous)             n=86</c:v>
                </c:pt>
              </c:strCache>
            </c:strRef>
          </c:cat>
          <c:val>
            <c:numRef>
              <c:f>'Figure 1.2'!$F$32:$F$37</c:f>
              <c:numCache>
                <c:formatCode>0.0</c:formatCode>
                <c:ptCount val="6"/>
                <c:pt idx="0">
                  <c:v>41.2</c:v>
                </c:pt>
                <c:pt idx="1">
                  <c:v>44.8</c:v>
                </c:pt>
                <c:pt idx="2">
                  <c:v>28.4</c:v>
                </c:pt>
                <c:pt idx="3">
                  <c:v>24.6</c:v>
                </c:pt>
                <c:pt idx="4">
                  <c:v>25</c:v>
                </c:pt>
                <c:pt idx="5">
                  <c:v>26.7</c:v>
                </c:pt>
              </c:numCache>
            </c:numRef>
          </c:val>
        </c:ser>
        <c:ser>
          <c:idx val="2"/>
          <c:order val="2"/>
          <c:tx>
            <c:strRef>
              <c:f>'Figure 1.2'!$G$30:$H$30</c:f>
              <c:strCache>
                <c:ptCount val="1"/>
                <c:pt idx="0">
                  <c:v>Qualitative</c:v>
                </c:pt>
              </c:strCache>
            </c:strRef>
          </c:tx>
          <c:spPr>
            <a:ln>
              <a:solidFill>
                <a:sysClr val="windowText" lastClr="000000"/>
              </a:solidFill>
            </a:ln>
          </c:spPr>
          <c:invertIfNegative val="0"/>
          <c:cat>
            <c:strRef>
              <c:f>'Figure 1.2'!$B$32:$B$37</c:f>
              <c:strCache>
                <c:ptCount val="6"/>
                <c:pt idx="0">
                  <c:v>Australian
(Indigenous)                                         n=291</c:v>
                </c:pt>
                <c:pt idx="1">
                  <c:v>Australian 
(non-Indigenous)           n=183</c:v>
                </c:pt>
                <c:pt idx="2">
                  <c:v>US/Canada/NZ (Indigenous)                 n=81</c:v>
                </c:pt>
                <c:pt idx="3">
                  <c:v>US/Canada/NZ 
(non-Indigenous)                 n=167</c:v>
                </c:pt>
                <c:pt idx="4">
                  <c:v>Other international 
Indigenous
n=24</c:v>
                </c:pt>
                <c:pt idx="5">
                  <c:v>Other international 
(non-Indigenous)             n=86</c:v>
                </c:pt>
              </c:strCache>
            </c:strRef>
          </c:cat>
          <c:val>
            <c:numRef>
              <c:f>'Figure 1.2'!$H$32:$H$37</c:f>
              <c:numCache>
                <c:formatCode>0.0</c:formatCode>
                <c:ptCount val="6"/>
                <c:pt idx="0">
                  <c:v>25.4</c:v>
                </c:pt>
                <c:pt idx="1">
                  <c:v>22.4</c:v>
                </c:pt>
                <c:pt idx="2">
                  <c:v>23.5</c:v>
                </c:pt>
                <c:pt idx="3">
                  <c:v>7.2</c:v>
                </c:pt>
                <c:pt idx="4">
                  <c:v>16.7</c:v>
                </c:pt>
                <c:pt idx="5">
                  <c:v>15.1</c:v>
                </c:pt>
              </c:numCache>
            </c:numRef>
          </c:val>
        </c:ser>
        <c:ser>
          <c:idx val="3"/>
          <c:order val="3"/>
          <c:tx>
            <c:strRef>
              <c:f>'Figure 1.2'!$I$30:$J$30</c:f>
              <c:strCache>
                <c:ptCount val="1"/>
                <c:pt idx="0">
                  <c:v>Literature review</c:v>
                </c:pt>
              </c:strCache>
            </c:strRef>
          </c:tx>
          <c:spPr>
            <a:ln>
              <a:solidFill>
                <a:sysClr val="windowText" lastClr="000000"/>
              </a:solidFill>
            </a:ln>
          </c:spPr>
          <c:invertIfNegative val="0"/>
          <c:cat>
            <c:strRef>
              <c:f>'Figure 1.2'!$B$32:$B$37</c:f>
              <c:strCache>
                <c:ptCount val="6"/>
                <c:pt idx="0">
                  <c:v>Australian
(Indigenous)                                         n=291</c:v>
                </c:pt>
                <c:pt idx="1">
                  <c:v>Australian 
(non-Indigenous)           n=183</c:v>
                </c:pt>
                <c:pt idx="2">
                  <c:v>US/Canada/NZ (Indigenous)                 n=81</c:v>
                </c:pt>
                <c:pt idx="3">
                  <c:v>US/Canada/NZ 
(non-Indigenous)                 n=167</c:v>
                </c:pt>
                <c:pt idx="4">
                  <c:v>Other international 
Indigenous
n=24</c:v>
                </c:pt>
                <c:pt idx="5">
                  <c:v>Other international 
(non-Indigenous)             n=86</c:v>
                </c:pt>
              </c:strCache>
            </c:strRef>
          </c:cat>
          <c:val>
            <c:numRef>
              <c:f>'Figure 1.2'!$J$32:$J$37</c:f>
              <c:numCache>
                <c:formatCode>0.0</c:formatCode>
                <c:ptCount val="6"/>
                <c:pt idx="0">
                  <c:v>10.7</c:v>
                </c:pt>
                <c:pt idx="1">
                  <c:v>10.4</c:v>
                </c:pt>
                <c:pt idx="2">
                  <c:v>16</c:v>
                </c:pt>
                <c:pt idx="3">
                  <c:v>17.899999999999999</c:v>
                </c:pt>
                <c:pt idx="4">
                  <c:v>8.33</c:v>
                </c:pt>
                <c:pt idx="5">
                  <c:v>19.8</c:v>
                </c:pt>
              </c:numCache>
            </c:numRef>
          </c:val>
        </c:ser>
        <c:dLbls>
          <c:showLegendKey val="0"/>
          <c:showVal val="0"/>
          <c:showCatName val="0"/>
          <c:showSerName val="0"/>
          <c:showPercent val="0"/>
          <c:showBubbleSize val="0"/>
        </c:dLbls>
        <c:gapWidth val="61"/>
        <c:overlap val="100"/>
        <c:axId val="185469952"/>
        <c:axId val="185479936"/>
      </c:barChart>
      <c:catAx>
        <c:axId val="185469952"/>
        <c:scaling>
          <c:orientation val="minMax"/>
        </c:scaling>
        <c:delete val="0"/>
        <c:axPos val="b"/>
        <c:majorTickMark val="out"/>
        <c:minorTickMark val="none"/>
        <c:tickLblPos val="nextTo"/>
        <c:txPr>
          <a:bodyPr/>
          <a:lstStyle/>
          <a:p>
            <a:pPr>
              <a:defRPr sz="800">
                <a:latin typeface="Arial" pitchFamily="34" charset="0"/>
                <a:cs typeface="Arial" pitchFamily="34" charset="0"/>
              </a:defRPr>
            </a:pPr>
            <a:endParaRPr lang="en-US"/>
          </a:p>
        </c:txPr>
        <c:crossAx val="185479936"/>
        <c:crosses val="autoZero"/>
        <c:auto val="1"/>
        <c:lblAlgn val="ctr"/>
        <c:lblOffset val="100"/>
        <c:noMultiLvlLbl val="0"/>
      </c:catAx>
      <c:valAx>
        <c:axId val="185479936"/>
        <c:scaling>
          <c:orientation val="minMax"/>
          <c:max val="100"/>
        </c:scaling>
        <c:delete val="0"/>
        <c:axPos val="l"/>
        <c:majorGridlines>
          <c:spPr>
            <a:ln>
              <a:noFill/>
            </a:ln>
          </c:spPr>
        </c:majorGridlines>
        <c:numFmt formatCode="0.0" sourceLinked="1"/>
        <c:majorTickMark val="out"/>
        <c:minorTickMark val="none"/>
        <c:tickLblPos val="nextTo"/>
        <c:txPr>
          <a:bodyPr/>
          <a:lstStyle/>
          <a:p>
            <a:pPr>
              <a:defRPr sz="800">
                <a:latin typeface="Arial" pitchFamily="34" charset="0"/>
                <a:cs typeface="Arial" pitchFamily="34" charset="0"/>
              </a:defRPr>
            </a:pPr>
            <a:endParaRPr lang="en-US"/>
          </a:p>
        </c:txPr>
        <c:crossAx val="185469952"/>
        <c:crosses val="autoZero"/>
        <c:crossBetween val="between"/>
        <c:majorUnit val="20"/>
      </c:valAx>
    </c:plotArea>
    <c:legend>
      <c:legendPos val="b"/>
      <c:overlay val="0"/>
      <c:txPr>
        <a:bodyPr/>
        <a:lstStyle/>
        <a:p>
          <a:pPr>
            <a:defRPr sz="800">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200628438671728"/>
          <c:y val="0.14809408439329738"/>
          <c:w val="0.86681465038845973"/>
          <c:h val="0.65062335958005346"/>
        </c:manualLayout>
      </c:layout>
      <c:barChart>
        <c:barDir val="col"/>
        <c:grouping val="clustered"/>
        <c:varyColors val="0"/>
        <c:ser>
          <c:idx val="0"/>
          <c:order val="0"/>
          <c:tx>
            <c:strRef>
              <c:f>'Data for Fig rem &amp; age 94 2008'!$A$5</c:f>
              <c:strCache>
                <c:ptCount val="1"/>
                <c:pt idx="0">
                  <c:v>1994</c:v>
                </c:pt>
              </c:strCache>
            </c:strRef>
          </c:tx>
          <c:invertIfNegative val="0"/>
          <c:dLbls>
            <c:delete val="1"/>
          </c:dLbls>
          <c:cat>
            <c:multiLvlStrRef>
              <c:f>'Data for Fig rem &amp; age 94 2008'!$B$3:$E$4</c:f>
              <c:multiLvlStrCache>
                <c:ptCount val="4"/>
                <c:lvl>
                  <c:pt idx="0">
                    <c:v>Remote</c:v>
                  </c:pt>
                  <c:pt idx="1">
                    <c:v>Non-remote</c:v>
                  </c:pt>
                  <c:pt idx="2">
                    <c:v>Remote</c:v>
                  </c:pt>
                  <c:pt idx="3">
                    <c:v>Non-remote</c:v>
                  </c:pt>
                </c:lvl>
                <c:lvl>
                  <c:pt idx="0">
                    <c:v>Female</c:v>
                  </c:pt>
                  <c:pt idx="2">
                    <c:v>Male</c:v>
                  </c:pt>
                </c:lvl>
              </c:multiLvlStrCache>
            </c:multiLvlStrRef>
          </c:cat>
          <c:val>
            <c:numRef>
              <c:f>'Data for Fig rem &amp; age 94 2008'!$B$5:$E$5</c:f>
              <c:numCache>
                <c:formatCode>0.0%</c:formatCode>
                <c:ptCount val="4"/>
                <c:pt idx="0">
                  <c:v>0.17007220000000001</c:v>
                </c:pt>
                <c:pt idx="1">
                  <c:v>0.2835394</c:v>
                </c:pt>
                <c:pt idx="2">
                  <c:v>0.23076050000000001</c:v>
                </c:pt>
                <c:pt idx="3">
                  <c:v>0.44416290000000008</c:v>
                </c:pt>
              </c:numCache>
            </c:numRef>
          </c:val>
        </c:ser>
        <c:ser>
          <c:idx val="1"/>
          <c:order val="1"/>
          <c:tx>
            <c:strRef>
              <c:f>'Data for Fig rem &amp; age 94 2008'!$A$6</c:f>
              <c:strCache>
                <c:ptCount val="1"/>
                <c:pt idx="0">
                  <c:v>2008</c:v>
                </c:pt>
              </c:strCache>
            </c:strRef>
          </c:tx>
          <c:spPr>
            <a:pattFill prst="ltDnDiag">
              <a:fgClr>
                <a:schemeClr val="accent1"/>
              </a:fgClr>
              <a:bgClr>
                <a:schemeClr val="bg1"/>
              </a:bgClr>
            </a:pattFill>
          </c:spPr>
          <c:invertIfNegative val="0"/>
          <c:dLbls>
            <c:delete val="1"/>
          </c:dLbls>
          <c:cat>
            <c:multiLvlStrRef>
              <c:f>'Data for Fig rem &amp; age 94 2008'!$B$3:$E$4</c:f>
              <c:multiLvlStrCache>
                <c:ptCount val="4"/>
                <c:lvl>
                  <c:pt idx="0">
                    <c:v>Remote</c:v>
                  </c:pt>
                  <c:pt idx="1">
                    <c:v>Non-remote</c:v>
                  </c:pt>
                  <c:pt idx="2">
                    <c:v>Remote</c:v>
                  </c:pt>
                  <c:pt idx="3">
                    <c:v>Non-remote</c:v>
                  </c:pt>
                </c:lvl>
                <c:lvl>
                  <c:pt idx="0">
                    <c:v>Female</c:v>
                  </c:pt>
                  <c:pt idx="2">
                    <c:v>Male</c:v>
                  </c:pt>
                </c:lvl>
              </c:multiLvlStrCache>
            </c:multiLvlStrRef>
          </c:cat>
          <c:val>
            <c:numRef>
              <c:f>'Data for Fig rem &amp; age 94 2008'!$B$6:$E$6</c:f>
              <c:numCache>
                <c:formatCode>0.0%</c:formatCode>
                <c:ptCount val="4"/>
                <c:pt idx="0">
                  <c:v>0.30704190000000031</c:v>
                </c:pt>
                <c:pt idx="1">
                  <c:v>0.47059530000000005</c:v>
                </c:pt>
                <c:pt idx="2">
                  <c:v>0.38870560000000032</c:v>
                </c:pt>
                <c:pt idx="3">
                  <c:v>0.65718980000000116</c:v>
                </c:pt>
              </c:numCache>
            </c:numRef>
          </c:val>
        </c:ser>
        <c:dLbls>
          <c:showLegendKey val="0"/>
          <c:showVal val="1"/>
          <c:showCatName val="0"/>
          <c:showSerName val="0"/>
          <c:showPercent val="0"/>
          <c:showBubbleSize val="0"/>
        </c:dLbls>
        <c:gapWidth val="150"/>
        <c:axId val="185528320"/>
        <c:axId val="185529856"/>
      </c:barChart>
      <c:catAx>
        <c:axId val="185528320"/>
        <c:scaling>
          <c:orientation val="minMax"/>
        </c:scaling>
        <c:delete val="0"/>
        <c:axPos val="b"/>
        <c:numFmt formatCode="General" sourceLinked="1"/>
        <c:majorTickMark val="out"/>
        <c:minorTickMark val="none"/>
        <c:tickLblPos val="nextTo"/>
        <c:txPr>
          <a:bodyPr rot="0" vert="horz"/>
          <a:lstStyle/>
          <a:p>
            <a:pPr>
              <a:defRPr sz="800">
                <a:latin typeface="Arial" pitchFamily="34" charset="0"/>
                <a:cs typeface="Arial" pitchFamily="34" charset="0"/>
              </a:defRPr>
            </a:pPr>
            <a:endParaRPr lang="en-US"/>
          </a:p>
        </c:txPr>
        <c:crossAx val="185529856"/>
        <c:crosses val="autoZero"/>
        <c:auto val="1"/>
        <c:lblAlgn val="ctr"/>
        <c:lblOffset val="100"/>
        <c:noMultiLvlLbl val="0"/>
      </c:catAx>
      <c:valAx>
        <c:axId val="185529856"/>
        <c:scaling>
          <c:orientation val="minMax"/>
        </c:scaling>
        <c:delete val="0"/>
        <c:axPos val="l"/>
        <c:numFmt formatCode="0%" sourceLinked="0"/>
        <c:majorTickMark val="out"/>
        <c:minorTickMark val="none"/>
        <c:tickLblPos val="nextTo"/>
        <c:txPr>
          <a:bodyPr rot="0" vert="horz"/>
          <a:lstStyle/>
          <a:p>
            <a:pPr>
              <a:defRPr sz="800">
                <a:latin typeface="Arial" pitchFamily="34" charset="0"/>
                <a:cs typeface="Arial" pitchFamily="34" charset="0"/>
              </a:defRPr>
            </a:pPr>
            <a:endParaRPr lang="en-US"/>
          </a:p>
        </c:txPr>
        <c:crossAx val="185528320"/>
        <c:crosses val="autoZero"/>
        <c:crossBetween val="between"/>
      </c:valAx>
    </c:plotArea>
    <c:legend>
      <c:legendPos val="r"/>
      <c:layout>
        <c:manualLayout>
          <c:xMode val="edge"/>
          <c:yMode val="edge"/>
          <c:x val="0.32366622489020613"/>
          <c:y val="4.5573389864728524E-3"/>
          <c:w val="0.40132672402182568"/>
          <c:h val="0.1379310270642399"/>
        </c:manualLayout>
      </c:layout>
      <c:overlay val="0"/>
      <c:txPr>
        <a:bodyPr/>
        <a:lstStyle/>
        <a:p>
          <a:pPr>
            <a:defRPr sz="800">
              <a:latin typeface="Arial" pitchFamily="34" charset="0"/>
              <a:cs typeface="Arial" pitchFamily="34" charset="0"/>
            </a:defRPr>
          </a:pPr>
          <a:endParaRPr lang="en-US"/>
        </a:p>
      </c:txPr>
    </c:legend>
    <c:plotVisOnly val="1"/>
    <c:dispBlanksAs val="gap"/>
    <c:showDLblsOverMax val="0"/>
  </c:chart>
  <c:spPr>
    <a:ln>
      <a:noFill/>
    </a:ln>
  </c:spPr>
  <c:txPr>
    <a:bodyPr/>
    <a:lstStyle/>
    <a:p>
      <a:pPr>
        <a:defRPr sz="12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69992402265509"/>
          <c:y val="2.6356816017466842E-2"/>
          <c:w val="0.88772374640966312"/>
          <c:h val="0.73704317933709662"/>
        </c:manualLayout>
      </c:layout>
      <c:barChart>
        <c:barDir val="col"/>
        <c:grouping val="clustered"/>
        <c:varyColors val="0"/>
        <c:ser>
          <c:idx val="0"/>
          <c:order val="0"/>
          <c:tx>
            <c:strRef>
              <c:f>'Data for Fig rem &amp; age 94 2008'!$A$5</c:f>
              <c:strCache>
                <c:ptCount val="1"/>
                <c:pt idx="0">
                  <c:v>1994</c:v>
                </c:pt>
              </c:strCache>
            </c:strRef>
          </c:tx>
          <c:invertIfNegative val="0"/>
          <c:cat>
            <c:multiLvlStrRef>
              <c:f>'Data for Fig rem &amp; age 94 2008'!$B$13:$E$14</c:f>
              <c:multiLvlStrCache>
                <c:ptCount val="4"/>
                <c:lvl>
                  <c:pt idx="0">
                    <c:v>Aged under 35</c:v>
                  </c:pt>
                  <c:pt idx="1">
                    <c:v>Aged 35 or over</c:v>
                  </c:pt>
                  <c:pt idx="2">
                    <c:v>Aged under 35</c:v>
                  </c:pt>
                  <c:pt idx="3">
                    <c:v>Aged 35 or over</c:v>
                  </c:pt>
                </c:lvl>
                <c:lvl>
                  <c:pt idx="0">
                    <c:v>Female</c:v>
                  </c:pt>
                  <c:pt idx="2">
                    <c:v>Male</c:v>
                  </c:pt>
                </c:lvl>
              </c:multiLvlStrCache>
            </c:multiLvlStrRef>
          </c:cat>
          <c:val>
            <c:numRef>
              <c:f>'Data for Fig rem &amp; age 94 2008'!$B$15:$E$15</c:f>
              <c:numCache>
                <c:formatCode>0%</c:formatCode>
                <c:ptCount val="4"/>
                <c:pt idx="0">
                  <c:v>0.2220724</c:v>
                </c:pt>
                <c:pt idx="1">
                  <c:v>0.28719100000000003</c:v>
                </c:pt>
                <c:pt idx="2">
                  <c:v>0.36104440000000032</c:v>
                </c:pt>
                <c:pt idx="3">
                  <c:v>0.40374109999999996</c:v>
                </c:pt>
              </c:numCache>
            </c:numRef>
          </c:val>
        </c:ser>
        <c:ser>
          <c:idx val="1"/>
          <c:order val="1"/>
          <c:tx>
            <c:strRef>
              <c:f>'Data for Fig rem &amp; age 94 2008'!$A$6</c:f>
              <c:strCache>
                <c:ptCount val="1"/>
                <c:pt idx="0">
                  <c:v>2008</c:v>
                </c:pt>
              </c:strCache>
            </c:strRef>
          </c:tx>
          <c:spPr>
            <a:pattFill prst="ltDnDiag">
              <a:fgClr>
                <a:schemeClr val="accent1"/>
              </a:fgClr>
              <a:bgClr>
                <a:schemeClr val="bg1"/>
              </a:bgClr>
            </a:pattFill>
          </c:spPr>
          <c:invertIfNegative val="0"/>
          <c:cat>
            <c:multiLvlStrRef>
              <c:f>'Data for Fig rem &amp; age 94 2008'!$B$13:$E$14</c:f>
              <c:multiLvlStrCache>
                <c:ptCount val="4"/>
                <c:lvl>
                  <c:pt idx="0">
                    <c:v>Aged under 35</c:v>
                  </c:pt>
                  <c:pt idx="1">
                    <c:v>Aged 35 or over</c:v>
                  </c:pt>
                  <c:pt idx="2">
                    <c:v>Aged under 35</c:v>
                  </c:pt>
                  <c:pt idx="3">
                    <c:v>Aged 35 or over</c:v>
                  </c:pt>
                </c:lvl>
                <c:lvl>
                  <c:pt idx="0">
                    <c:v>Female</c:v>
                  </c:pt>
                  <c:pt idx="2">
                    <c:v>Male</c:v>
                  </c:pt>
                </c:lvl>
              </c:multiLvlStrCache>
            </c:multiLvlStrRef>
          </c:cat>
          <c:val>
            <c:numRef>
              <c:f>'Data for Fig rem &amp; age 94 2008'!$B$16:$E$16</c:f>
              <c:numCache>
                <c:formatCode>0%</c:formatCode>
                <c:ptCount val="4"/>
                <c:pt idx="0">
                  <c:v>0.38623360000000001</c:v>
                </c:pt>
                <c:pt idx="1">
                  <c:v>0.47087000000000051</c:v>
                </c:pt>
                <c:pt idx="2">
                  <c:v>0.58112980000000003</c:v>
                </c:pt>
                <c:pt idx="3">
                  <c:v>0.59420469999999959</c:v>
                </c:pt>
              </c:numCache>
            </c:numRef>
          </c:val>
        </c:ser>
        <c:dLbls>
          <c:showLegendKey val="0"/>
          <c:showVal val="0"/>
          <c:showCatName val="0"/>
          <c:showSerName val="0"/>
          <c:showPercent val="0"/>
          <c:showBubbleSize val="0"/>
        </c:dLbls>
        <c:gapWidth val="150"/>
        <c:axId val="186915072"/>
        <c:axId val="186937344"/>
      </c:barChart>
      <c:catAx>
        <c:axId val="186915072"/>
        <c:scaling>
          <c:orientation val="minMax"/>
        </c:scaling>
        <c:delete val="0"/>
        <c:axPos val="b"/>
        <c:numFmt formatCode="General" sourceLinked="1"/>
        <c:majorTickMark val="out"/>
        <c:minorTickMark val="none"/>
        <c:tickLblPos val="nextTo"/>
        <c:txPr>
          <a:bodyPr rot="0" vert="horz"/>
          <a:lstStyle/>
          <a:p>
            <a:pPr>
              <a:defRPr sz="800">
                <a:latin typeface="Arial" pitchFamily="34" charset="0"/>
                <a:cs typeface="Arial" pitchFamily="34" charset="0"/>
              </a:defRPr>
            </a:pPr>
            <a:endParaRPr lang="en-US"/>
          </a:p>
        </c:txPr>
        <c:crossAx val="186937344"/>
        <c:crosses val="autoZero"/>
        <c:auto val="1"/>
        <c:lblAlgn val="ctr"/>
        <c:lblOffset val="100"/>
        <c:noMultiLvlLbl val="0"/>
      </c:catAx>
      <c:valAx>
        <c:axId val="186937344"/>
        <c:scaling>
          <c:orientation val="minMax"/>
        </c:scaling>
        <c:delete val="0"/>
        <c:axPos val="l"/>
        <c:numFmt formatCode="0%" sourceLinked="1"/>
        <c:majorTickMark val="out"/>
        <c:minorTickMark val="none"/>
        <c:tickLblPos val="nextTo"/>
        <c:txPr>
          <a:bodyPr rot="0" vert="horz"/>
          <a:lstStyle/>
          <a:p>
            <a:pPr>
              <a:defRPr sz="800">
                <a:latin typeface="Arial" pitchFamily="34" charset="0"/>
                <a:cs typeface="Arial" pitchFamily="34" charset="0"/>
              </a:defRPr>
            </a:pPr>
            <a:endParaRPr lang="en-US"/>
          </a:p>
        </c:txPr>
        <c:crossAx val="186915072"/>
        <c:crosses val="autoZero"/>
        <c:crossBetween val="between"/>
      </c:valAx>
    </c:plotArea>
    <c:legend>
      <c:legendPos val="r"/>
      <c:layout>
        <c:manualLayout>
          <c:xMode val="edge"/>
          <c:yMode val="edge"/>
          <c:x val="0.29622481339909179"/>
          <c:y val="3.6734580497654892E-2"/>
          <c:w val="0.39156336756576443"/>
          <c:h val="0.13067141702828899"/>
        </c:manualLayout>
      </c:layout>
      <c:overlay val="0"/>
      <c:txPr>
        <a:bodyPr/>
        <a:lstStyle/>
        <a:p>
          <a:pPr>
            <a:defRPr sz="800">
              <a:latin typeface="Arial" pitchFamily="34" charset="0"/>
              <a:cs typeface="Arial" pitchFamily="34" charset="0"/>
            </a:defRPr>
          </a:pPr>
          <a:endParaRPr lang="en-US"/>
        </a:p>
      </c:txPr>
    </c:legend>
    <c:plotVisOnly val="1"/>
    <c:dispBlanksAs val="gap"/>
    <c:showDLblsOverMax val="0"/>
  </c:chart>
  <c:spPr>
    <a:ln>
      <a:noFill/>
    </a:ln>
  </c:spPr>
  <c:txPr>
    <a:bodyPr/>
    <a:lstStyle/>
    <a:p>
      <a:pPr>
        <a:defRPr sz="1400"/>
      </a:pPr>
      <a:endParaRPr lang="en-US"/>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E17B1E-CA6F-44AD-B931-3272E6C5513E}" type="doc">
      <dgm:prSet loTypeId="urn:microsoft.com/office/officeart/2005/8/layout/orgChart1" loCatId="hierarchy" qsTypeId="urn:microsoft.com/office/officeart/2005/8/quickstyle/simple1" qsCatId="simple" csTypeId="urn:microsoft.com/office/officeart/2005/8/colors/accent2_5" csCatId="accent2" phldr="1"/>
      <dgm:spPr/>
      <dgm:t>
        <a:bodyPr/>
        <a:lstStyle/>
        <a:p>
          <a:endParaRPr lang="en-AU"/>
        </a:p>
      </dgm:t>
    </dgm:pt>
    <dgm:pt modelId="{4CB481C9-C8E1-48D0-A75E-9D40C58EA02E}">
      <dgm:prSet phldrT="[Text]" custT="1"/>
      <dgm:spPr>
        <a:solidFill>
          <a:schemeClr val="accent1">
            <a:alpha val="84000"/>
          </a:schemeClr>
        </a:solidFill>
      </dgm:spPr>
      <dgm:t>
        <a:bodyPr/>
        <a:lstStyle/>
        <a:p>
          <a:r>
            <a:rPr lang="en-AU" sz="800" b="1">
              <a:solidFill>
                <a:schemeClr val="bg1"/>
              </a:solidFill>
              <a:latin typeface="Arial" pitchFamily="34" charset="0"/>
              <a:cs typeface="Arial" pitchFamily="34" charset="0"/>
            </a:rPr>
            <a:t>Clearinghouse products</a:t>
          </a:r>
        </a:p>
      </dgm:t>
    </dgm:pt>
    <dgm:pt modelId="{19350431-9E95-4283-8B86-8753391FC3A9}" type="parTrans" cxnId="{4C6B0A1E-91FD-467C-A1D4-8BC8D766F2CD}">
      <dgm:prSet/>
      <dgm:spPr/>
      <dgm:t>
        <a:bodyPr/>
        <a:lstStyle/>
        <a:p>
          <a:endParaRPr lang="en-AU">
            <a:solidFill>
              <a:sysClr val="windowText" lastClr="000000"/>
            </a:solidFill>
            <a:latin typeface="Arial" pitchFamily="34" charset="0"/>
            <a:cs typeface="Arial" pitchFamily="34" charset="0"/>
          </a:endParaRPr>
        </a:p>
      </dgm:t>
    </dgm:pt>
    <dgm:pt modelId="{0DB5FC1F-3EED-4C75-B8DD-984D59549738}" type="sibTrans" cxnId="{4C6B0A1E-91FD-467C-A1D4-8BC8D766F2CD}">
      <dgm:prSet/>
      <dgm:spPr/>
      <dgm:t>
        <a:bodyPr/>
        <a:lstStyle/>
        <a:p>
          <a:endParaRPr lang="en-AU">
            <a:solidFill>
              <a:sysClr val="windowText" lastClr="000000"/>
            </a:solidFill>
            <a:latin typeface="Arial" pitchFamily="34" charset="0"/>
            <a:cs typeface="Arial" pitchFamily="34" charset="0"/>
          </a:endParaRPr>
        </a:p>
      </dgm:t>
    </dgm:pt>
    <dgm:pt modelId="{D605CE55-2C62-4322-A7FC-5F57B96DC211}">
      <dgm:prSet phldrT="[Text]" custT="1"/>
      <dgm:spPr>
        <a:solidFill>
          <a:schemeClr val="accent4">
            <a:lumMod val="40000"/>
            <a:lumOff val="60000"/>
            <a:alpha val="94000"/>
          </a:schemeClr>
        </a:solidFill>
      </dgm:spPr>
      <dgm:t>
        <a:bodyPr/>
        <a:lstStyle/>
        <a:p>
          <a:r>
            <a:rPr lang="en-AU" sz="800">
              <a:solidFill>
                <a:sysClr val="windowText" lastClr="000000"/>
              </a:solidFill>
              <a:latin typeface="Arial" pitchFamily="34" charset="0"/>
              <a:cs typeface="Arial" pitchFamily="34" charset="0"/>
            </a:rPr>
            <a:t>Resource sheets</a:t>
          </a:r>
          <a:endParaRPr lang="en-AU" sz="900">
            <a:latin typeface="Arial" pitchFamily="34" charset="0"/>
            <a:cs typeface="Arial" pitchFamily="34" charset="0"/>
          </a:endParaRPr>
        </a:p>
      </dgm:t>
    </dgm:pt>
    <dgm:pt modelId="{A670C1E6-5E48-4B85-A20D-F9CBE2D171B5}" type="parTrans" cxnId="{A628325D-A344-4104-9B7C-EEA5AB28B3F2}">
      <dgm:prSet/>
      <dgm:spPr/>
      <dgm:t>
        <a:bodyPr/>
        <a:lstStyle/>
        <a:p>
          <a:endParaRPr lang="en-AU">
            <a:solidFill>
              <a:sysClr val="windowText" lastClr="000000"/>
            </a:solidFill>
            <a:latin typeface="Arial" pitchFamily="34" charset="0"/>
            <a:cs typeface="Arial" pitchFamily="34" charset="0"/>
          </a:endParaRPr>
        </a:p>
      </dgm:t>
    </dgm:pt>
    <dgm:pt modelId="{38252DE3-FF23-4F75-86AA-44380C8F7462}" type="sibTrans" cxnId="{A628325D-A344-4104-9B7C-EEA5AB28B3F2}">
      <dgm:prSet/>
      <dgm:spPr/>
      <dgm:t>
        <a:bodyPr/>
        <a:lstStyle/>
        <a:p>
          <a:endParaRPr lang="en-AU">
            <a:solidFill>
              <a:sysClr val="windowText" lastClr="000000"/>
            </a:solidFill>
            <a:latin typeface="Arial" pitchFamily="34" charset="0"/>
            <a:cs typeface="Arial" pitchFamily="34" charset="0"/>
          </a:endParaRPr>
        </a:p>
      </dgm:t>
    </dgm:pt>
    <dgm:pt modelId="{03A85371-34B5-4FE4-A857-C0E84D63456C}">
      <dgm:prSet phldrT="[Text]" custT="1"/>
      <dgm:spPr>
        <a:solidFill>
          <a:schemeClr val="accent4">
            <a:lumMod val="40000"/>
            <a:lumOff val="60000"/>
            <a:alpha val="94000"/>
          </a:schemeClr>
        </a:solidFill>
      </dgm:spPr>
      <dgm:t>
        <a:bodyPr/>
        <a:lstStyle/>
        <a:p>
          <a:r>
            <a:rPr lang="en-AU" sz="800">
              <a:solidFill>
                <a:sysClr val="windowText" lastClr="000000"/>
              </a:solidFill>
              <a:latin typeface="Arial" pitchFamily="34" charset="0"/>
              <a:cs typeface="Arial" pitchFamily="34" charset="0"/>
            </a:rPr>
            <a:t>Issues papers</a:t>
          </a:r>
          <a:endParaRPr lang="en-AU" sz="800">
            <a:latin typeface="Arial" pitchFamily="34" charset="0"/>
            <a:cs typeface="Arial" pitchFamily="34" charset="0"/>
          </a:endParaRPr>
        </a:p>
      </dgm:t>
    </dgm:pt>
    <dgm:pt modelId="{C4D19035-63DC-4065-89EF-2552B226D67D}" type="parTrans" cxnId="{261B6F2A-65F3-4869-A15B-5A474CB36FD4}">
      <dgm:prSet/>
      <dgm:spPr>
        <a:ln>
          <a:solidFill>
            <a:schemeClr val="accent2"/>
          </a:solidFill>
        </a:ln>
      </dgm:spPr>
      <dgm:t>
        <a:bodyPr/>
        <a:lstStyle/>
        <a:p>
          <a:endParaRPr lang="en-AU">
            <a:solidFill>
              <a:sysClr val="windowText" lastClr="000000"/>
            </a:solidFill>
            <a:latin typeface="Arial" pitchFamily="34" charset="0"/>
            <a:cs typeface="Arial" pitchFamily="34" charset="0"/>
          </a:endParaRPr>
        </a:p>
      </dgm:t>
    </dgm:pt>
    <dgm:pt modelId="{81F5F7C1-E8D7-4D54-AEDD-E9D9DDCEC766}" type="sibTrans" cxnId="{261B6F2A-65F3-4869-A15B-5A474CB36FD4}">
      <dgm:prSet/>
      <dgm:spPr/>
      <dgm:t>
        <a:bodyPr/>
        <a:lstStyle/>
        <a:p>
          <a:endParaRPr lang="en-AU">
            <a:solidFill>
              <a:sysClr val="windowText" lastClr="000000"/>
            </a:solidFill>
            <a:latin typeface="Arial" pitchFamily="34" charset="0"/>
            <a:cs typeface="Arial" pitchFamily="34" charset="0"/>
          </a:endParaRPr>
        </a:p>
      </dgm:t>
    </dgm:pt>
    <dgm:pt modelId="{8010AFB5-3F8B-455D-B520-277C48DF08AB}">
      <dgm:prSet custT="1"/>
      <dgm:spPr>
        <a:solidFill>
          <a:schemeClr val="accent4">
            <a:lumMod val="40000"/>
            <a:lumOff val="60000"/>
            <a:alpha val="94000"/>
          </a:schemeClr>
        </a:solidFill>
      </dgm:spPr>
      <dgm:t>
        <a:bodyPr/>
        <a:lstStyle/>
        <a:p>
          <a:r>
            <a:rPr lang="en-AU" sz="800">
              <a:solidFill>
                <a:sysClr val="windowText" lastClr="000000"/>
              </a:solidFill>
              <a:latin typeface="Arial" pitchFamily="34" charset="0"/>
              <a:cs typeface="Arial" pitchFamily="34" charset="0"/>
            </a:rPr>
            <a:t>Assessed collection</a:t>
          </a:r>
        </a:p>
      </dgm:t>
    </dgm:pt>
    <dgm:pt modelId="{B765D650-4208-405D-AC7B-1A7E672E1535}" type="parTrans" cxnId="{38CDBA36-E20C-4965-89EC-432A6D171082}">
      <dgm:prSet/>
      <dgm:spPr>
        <a:ln>
          <a:solidFill>
            <a:schemeClr val="accent2"/>
          </a:solidFill>
        </a:ln>
      </dgm:spPr>
      <dgm:t>
        <a:bodyPr/>
        <a:lstStyle/>
        <a:p>
          <a:endParaRPr lang="en-AU">
            <a:solidFill>
              <a:sysClr val="windowText" lastClr="000000"/>
            </a:solidFill>
            <a:latin typeface="Arial" pitchFamily="34" charset="0"/>
            <a:cs typeface="Arial" pitchFamily="34" charset="0"/>
          </a:endParaRPr>
        </a:p>
      </dgm:t>
    </dgm:pt>
    <dgm:pt modelId="{1B61784C-0D3B-4FE6-9CC1-135B93A1B216}" type="sibTrans" cxnId="{38CDBA36-E20C-4965-89EC-432A6D171082}">
      <dgm:prSet/>
      <dgm:spPr/>
      <dgm:t>
        <a:bodyPr/>
        <a:lstStyle/>
        <a:p>
          <a:endParaRPr lang="en-AU">
            <a:solidFill>
              <a:sysClr val="windowText" lastClr="000000"/>
            </a:solidFill>
            <a:latin typeface="Arial" pitchFamily="34" charset="0"/>
            <a:cs typeface="Arial" pitchFamily="34" charset="0"/>
          </a:endParaRPr>
        </a:p>
      </dgm:t>
    </dgm:pt>
    <dgm:pt modelId="{7231391D-D620-49B3-8F2E-70A5E4E8BC8F}">
      <dgm:prSet phldrT="[Text]" custT="1"/>
      <dgm:spPr>
        <a:solidFill>
          <a:schemeClr val="accent4">
            <a:lumMod val="40000"/>
            <a:lumOff val="60000"/>
            <a:alpha val="94000"/>
          </a:schemeClr>
        </a:solidFill>
      </dgm:spPr>
      <dgm:t>
        <a:bodyPr/>
        <a:lstStyle/>
        <a:p>
          <a:r>
            <a:rPr lang="en-AU" sz="800">
              <a:solidFill>
                <a:sysClr val="windowText" lastClr="000000"/>
              </a:solidFill>
              <a:latin typeface="Arial" pitchFamily="34" charset="0"/>
              <a:cs typeface="Arial" pitchFamily="34" charset="0"/>
            </a:rPr>
            <a:t>Research and Evaluation Register</a:t>
          </a:r>
        </a:p>
      </dgm:t>
    </dgm:pt>
    <dgm:pt modelId="{F74DFA82-1EFF-4D71-A173-1CB4CD45659E}" type="parTrans" cxnId="{84732FBE-0836-417C-92A3-A2B7473CC729}">
      <dgm:prSet/>
      <dgm:spPr>
        <a:ln>
          <a:solidFill>
            <a:schemeClr val="accent2"/>
          </a:solidFill>
        </a:ln>
      </dgm:spPr>
      <dgm:t>
        <a:bodyPr/>
        <a:lstStyle/>
        <a:p>
          <a:endParaRPr lang="en-AU">
            <a:solidFill>
              <a:sysClr val="windowText" lastClr="000000"/>
            </a:solidFill>
            <a:latin typeface="Arial" pitchFamily="34" charset="0"/>
            <a:cs typeface="Arial" pitchFamily="34" charset="0"/>
          </a:endParaRPr>
        </a:p>
      </dgm:t>
    </dgm:pt>
    <dgm:pt modelId="{24298062-6EF5-411D-9242-0FFAEC31B73F}" type="sibTrans" cxnId="{84732FBE-0836-417C-92A3-A2B7473CC729}">
      <dgm:prSet/>
      <dgm:spPr/>
      <dgm:t>
        <a:bodyPr/>
        <a:lstStyle/>
        <a:p>
          <a:endParaRPr lang="en-AU">
            <a:solidFill>
              <a:sysClr val="windowText" lastClr="000000"/>
            </a:solidFill>
            <a:latin typeface="Arial" pitchFamily="34" charset="0"/>
            <a:cs typeface="Arial" pitchFamily="34" charset="0"/>
          </a:endParaRPr>
        </a:p>
      </dgm:t>
    </dgm:pt>
    <dgm:pt modelId="{0C48F3A8-B538-4F07-8FC0-BB3EF76D0122}">
      <dgm:prSet custT="1"/>
      <dgm:spPr>
        <a:solidFill>
          <a:schemeClr val="accent1">
            <a:alpha val="56000"/>
          </a:schemeClr>
        </a:solidFill>
      </dgm:spPr>
      <dgm:t>
        <a:bodyPr/>
        <a:lstStyle/>
        <a:p>
          <a:pPr algn="ctr">
            <a:lnSpc>
              <a:spcPct val="90000"/>
            </a:lnSpc>
            <a:spcBef>
              <a:spcPct val="0"/>
            </a:spcBef>
            <a:spcAft>
              <a:spcPct val="35000"/>
            </a:spcAft>
          </a:pPr>
          <a:r>
            <a:rPr lang="en-AU" sz="900" b="1">
              <a:solidFill>
                <a:sysClr val="windowText" lastClr="000000"/>
              </a:solidFill>
              <a:latin typeface="Arial" pitchFamily="34" charset="0"/>
              <a:cs typeface="Arial" pitchFamily="34" charset="0"/>
            </a:rPr>
            <a:t>Characteristics of the research</a:t>
          </a:r>
        </a:p>
        <a:p>
          <a:pPr marL="108000" algn="l">
            <a:lnSpc>
              <a:spcPts val="1080"/>
            </a:lnSpc>
            <a:spcBef>
              <a:spcPts val="600"/>
            </a:spcBef>
            <a:spcAft>
              <a:spcPts val="600"/>
            </a:spcAft>
          </a:pPr>
          <a:r>
            <a:rPr lang="en-AU" sz="800">
              <a:solidFill>
                <a:sysClr val="windowText" lastClr="000000"/>
              </a:solidFill>
              <a:latin typeface="Arial" pitchFamily="34" charset="0"/>
              <a:cs typeface="Arial" pitchFamily="34" charset="0"/>
            </a:rPr>
            <a:t>- type of research </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type of publication </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whether a cost analysis was undertaken </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whether an evaluation component was included</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whether the program/activity was designed for </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Indigenous Australians </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participant study population</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country of research</a:t>
          </a:r>
          <a:br>
            <a:rPr lang="en-AU" sz="800">
              <a:solidFill>
                <a:sysClr val="windowText" lastClr="000000"/>
              </a:solidFill>
              <a:latin typeface="Arial" pitchFamily="34" charset="0"/>
              <a:cs typeface="Arial" pitchFamily="34" charset="0"/>
            </a:rPr>
          </a:br>
          <a:r>
            <a:rPr lang="en-AU" sz="800">
              <a:solidFill>
                <a:sysClr val="windowText" lastClr="000000"/>
              </a:solidFill>
              <a:latin typeface="Arial" pitchFamily="34" charset="0"/>
              <a:cs typeface="Arial" pitchFamily="34" charset="0"/>
            </a:rPr>
            <a:t>- Australian geographic location</a:t>
          </a:r>
        </a:p>
      </dgm:t>
    </dgm:pt>
    <dgm:pt modelId="{064CD2F7-4BF8-4C68-9BEF-E213CD629556}" type="parTrans" cxnId="{F7C9CB66-90B4-4D59-AC7A-7B97BC02C4ED}">
      <dgm:prSet/>
      <dgm:spPr>
        <a:ln>
          <a:solidFill>
            <a:schemeClr val="bg1"/>
          </a:solidFill>
        </a:ln>
      </dgm:spPr>
      <dgm:t>
        <a:bodyPr/>
        <a:lstStyle/>
        <a:p>
          <a:endParaRPr lang="en-AU">
            <a:solidFill>
              <a:sysClr val="windowText" lastClr="000000"/>
            </a:solidFill>
            <a:latin typeface="Arial" pitchFamily="34" charset="0"/>
            <a:cs typeface="Arial" pitchFamily="34" charset="0"/>
          </a:endParaRPr>
        </a:p>
      </dgm:t>
    </dgm:pt>
    <dgm:pt modelId="{ECB2F8C3-7789-47D7-A106-700F0B205BFA}" type="sibTrans" cxnId="{F7C9CB66-90B4-4D59-AC7A-7B97BC02C4ED}">
      <dgm:prSet/>
      <dgm:spPr/>
      <dgm:t>
        <a:bodyPr/>
        <a:lstStyle/>
        <a:p>
          <a:endParaRPr lang="en-AU">
            <a:solidFill>
              <a:sysClr val="windowText" lastClr="000000"/>
            </a:solidFill>
            <a:latin typeface="Arial" pitchFamily="34" charset="0"/>
            <a:cs typeface="Arial" pitchFamily="34" charset="0"/>
          </a:endParaRPr>
        </a:p>
      </dgm:t>
    </dgm:pt>
    <dgm:pt modelId="{5D3DB31D-8894-4040-AE76-69B22D3F1C51}">
      <dgm:prSet custT="1"/>
      <dgm:spPr>
        <a:solidFill>
          <a:schemeClr val="accent1">
            <a:alpha val="56000"/>
          </a:schemeClr>
        </a:solidFill>
      </dgm:spPr>
      <dgm:t>
        <a:bodyPr/>
        <a:lstStyle/>
        <a:p>
          <a:r>
            <a:rPr lang="en-AU" sz="800">
              <a:solidFill>
                <a:sysClr val="windowText" lastClr="000000"/>
              </a:solidFill>
              <a:latin typeface="Arial" pitchFamily="34" charset="0"/>
              <a:cs typeface="Arial" pitchFamily="34" charset="0"/>
            </a:rPr>
            <a:t>Themes of research and key learnings</a:t>
          </a:r>
        </a:p>
      </dgm:t>
    </dgm:pt>
    <dgm:pt modelId="{5FB8A791-C601-4F69-8FA0-952DB5B5DCAE}" type="parTrans" cxnId="{AF7FD9F3-5150-4666-B5B3-D0AE0C7F302D}">
      <dgm:prSet/>
      <dgm:spPr>
        <a:ln>
          <a:solidFill>
            <a:schemeClr val="accent2"/>
          </a:solidFill>
        </a:ln>
      </dgm:spPr>
      <dgm:t>
        <a:bodyPr/>
        <a:lstStyle/>
        <a:p>
          <a:endParaRPr lang="en-AU">
            <a:solidFill>
              <a:sysClr val="windowText" lastClr="000000"/>
            </a:solidFill>
            <a:latin typeface="Arial" pitchFamily="34" charset="0"/>
            <a:cs typeface="Arial" pitchFamily="34" charset="0"/>
          </a:endParaRPr>
        </a:p>
      </dgm:t>
    </dgm:pt>
    <dgm:pt modelId="{00CB1DFE-1118-41A6-86D4-CDF323DFCB3C}" type="sibTrans" cxnId="{AF7FD9F3-5150-4666-B5B3-D0AE0C7F302D}">
      <dgm:prSet/>
      <dgm:spPr/>
      <dgm:t>
        <a:bodyPr/>
        <a:lstStyle/>
        <a:p>
          <a:endParaRPr lang="en-AU">
            <a:solidFill>
              <a:sysClr val="windowText" lastClr="000000"/>
            </a:solidFill>
            <a:latin typeface="Arial" pitchFamily="34" charset="0"/>
            <a:cs typeface="Arial" pitchFamily="34" charset="0"/>
          </a:endParaRPr>
        </a:p>
      </dgm:t>
    </dgm:pt>
    <dgm:pt modelId="{F02D3FF2-322C-49FC-9676-B11D7CAECA6D}">
      <dgm:prSet custT="1"/>
      <dgm:spPr>
        <a:solidFill>
          <a:schemeClr val="accent1">
            <a:alpha val="56000"/>
          </a:schemeClr>
        </a:solidFill>
      </dgm:spPr>
      <dgm:t>
        <a:bodyPr/>
        <a:lstStyle/>
        <a:p>
          <a:r>
            <a:rPr lang="en-AU" sz="800">
              <a:solidFill>
                <a:sysClr val="windowText" lastClr="000000"/>
              </a:solidFill>
              <a:latin typeface="Arial" pitchFamily="34" charset="0"/>
              <a:cs typeface="Arial" pitchFamily="34" charset="0"/>
            </a:rPr>
            <a:t>Gaps in the evidence</a:t>
          </a:r>
        </a:p>
      </dgm:t>
    </dgm:pt>
    <dgm:pt modelId="{F2434BC7-B70E-406C-AA5E-9F37ACEE8D2E}" type="parTrans" cxnId="{C824014F-508B-4E0F-BD49-2A066537EAAC}">
      <dgm:prSet/>
      <dgm:spPr>
        <a:ln>
          <a:solidFill>
            <a:schemeClr val="accent2"/>
          </a:solidFill>
        </a:ln>
      </dgm:spPr>
      <dgm:t>
        <a:bodyPr/>
        <a:lstStyle/>
        <a:p>
          <a:endParaRPr lang="en-AU">
            <a:solidFill>
              <a:sysClr val="windowText" lastClr="000000"/>
            </a:solidFill>
            <a:latin typeface="Arial" pitchFamily="34" charset="0"/>
            <a:cs typeface="Arial" pitchFamily="34" charset="0"/>
          </a:endParaRPr>
        </a:p>
      </dgm:t>
    </dgm:pt>
    <dgm:pt modelId="{BDA26D6B-FD54-4937-B8A0-21A27B3BEB83}" type="sibTrans" cxnId="{C824014F-508B-4E0F-BD49-2A066537EAAC}">
      <dgm:prSet/>
      <dgm:spPr/>
      <dgm:t>
        <a:bodyPr/>
        <a:lstStyle/>
        <a:p>
          <a:endParaRPr lang="en-AU">
            <a:solidFill>
              <a:sysClr val="windowText" lastClr="000000"/>
            </a:solidFill>
            <a:latin typeface="Arial" pitchFamily="34" charset="0"/>
            <a:cs typeface="Arial" pitchFamily="34" charset="0"/>
          </a:endParaRPr>
        </a:p>
      </dgm:t>
    </dgm:pt>
    <dgm:pt modelId="{1E6C7D05-F4E6-41D3-A493-DC5C506CD460}" type="pres">
      <dgm:prSet presAssocID="{81E17B1E-CA6F-44AD-B931-3272E6C5513E}" presName="hierChild1" presStyleCnt="0">
        <dgm:presLayoutVars>
          <dgm:orgChart val="1"/>
          <dgm:chPref val="1"/>
          <dgm:dir/>
          <dgm:animOne val="branch"/>
          <dgm:animLvl val="lvl"/>
          <dgm:resizeHandles/>
        </dgm:presLayoutVars>
      </dgm:prSet>
      <dgm:spPr/>
      <dgm:t>
        <a:bodyPr/>
        <a:lstStyle/>
        <a:p>
          <a:endParaRPr lang="en-AU"/>
        </a:p>
      </dgm:t>
    </dgm:pt>
    <dgm:pt modelId="{666422F9-FC7A-4E53-8790-D3EA8D4A20E8}" type="pres">
      <dgm:prSet presAssocID="{4CB481C9-C8E1-48D0-A75E-9D40C58EA02E}" presName="hierRoot1" presStyleCnt="0">
        <dgm:presLayoutVars>
          <dgm:hierBranch val="init"/>
        </dgm:presLayoutVars>
      </dgm:prSet>
      <dgm:spPr/>
      <dgm:t>
        <a:bodyPr/>
        <a:lstStyle/>
        <a:p>
          <a:endParaRPr lang="en-AU"/>
        </a:p>
      </dgm:t>
    </dgm:pt>
    <dgm:pt modelId="{C9192925-A638-4D58-8685-756936513336}" type="pres">
      <dgm:prSet presAssocID="{4CB481C9-C8E1-48D0-A75E-9D40C58EA02E}" presName="rootComposite1" presStyleCnt="0"/>
      <dgm:spPr/>
      <dgm:t>
        <a:bodyPr/>
        <a:lstStyle/>
        <a:p>
          <a:endParaRPr lang="en-AU"/>
        </a:p>
      </dgm:t>
    </dgm:pt>
    <dgm:pt modelId="{4F9BF8A0-2910-43D7-8313-4CA07F63EB85}" type="pres">
      <dgm:prSet presAssocID="{4CB481C9-C8E1-48D0-A75E-9D40C58EA02E}" presName="rootText1" presStyleLbl="node0" presStyleIdx="0" presStyleCnt="1" custScaleX="114452" custScaleY="128553" custLinFactNeighborY="-58205">
        <dgm:presLayoutVars>
          <dgm:chPref val="3"/>
        </dgm:presLayoutVars>
      </dgm:prSet>
      <dgm:spPr/>
      <dgm:t>
        <a:bodyPr/>
        <a:lstStyle/>
        <a:p>
          <a:endParaRPr lang="en-AU"/>
        </a:p>
      </dgm:t>
    </dgm:pt>
    <dgm:pt modelId="{D518D3F0-3435-4485-8A49-D1A727B36E86}" type="pres">
      <dgm:prSet presAssocID="{4CB481C9-C8E1-48D0-A75E-9D40C58EA02E}" presName="rootConnector1" presStyleLbl="node1" presStyleIdx="0" presStyleCnt="0"/>
      <dgm:spPr/>
      <dgm:t>
        <a:bodyPr/>
        <a:lstStyle/>
        <a:p>
          <a:endParaRPr lang="en-AU"/>
        </a:p>
      </dgm:t>
    </dgm:pt>
    <dgm:pt modelId="{7BE76558-3F41-4A77-9AD2-CB02E8B814E2}" type="pres">
      <dgm:prSet presAssocID="{4CB481C9-C8E1-48D0-A75E-9D40C58EA02E}" presName="hierChild2" presStyleCnt="0"/>
      <dgm:spPr/>
      <dgm:t>
        <a:bodyPr/>
        <a:lstStyle/>
        <a:p>
          <a:endParaRPr lang="en-AU"/>
        </a:p>
      </dgm:t>
    </dgm:pt>
    <dgm:pt modelId="{3A1DBCB8-3AB6-4B17-BF6C-19DD48C87E04}" type="pres">
      <dgm:prSet presAssocID="{B765D650-4208-405D-AC7B-1A7E672E1535}" presName="Name37" presStyleLbl="parChTrans1D2" presStyleIdx="0" presStyleCnt="4"/>
      <dgm:spPr/>
      <dgm:t>
        <a:bodyPr/>
        <a:lstStyle/>
        <a:p>
          <a:endParaRPr lang="en-AU"/>
        </a:p>
      </dgm:t>
    </dgm:pt>
    <dgm:pt modelId="{06DDAD50-44B7-429A-8335-78873A460572}" type="pres">
      <dgm:prSet presAssocID="{8010AFB5-3F8B-455D-B520-277C48DF08AB}" presName="hierRoot2" presStyleCnt="0">
        <dgm:presLayoutVars>
          <dgm:hierBranch val="init"/>
        </dgm:presLayoutVars>
      </dgm:prSet>
      <dgm:spPr/>
      <dgm:t>
        <a:bodyPr/>
        <a:lstStyle/>
        <a:p>
          <a:endParaRPr lang="en-AU"/>
        </a:p>
      </dgm:t>
    </dgm:pt>
    <dgm:pt modelId="{64526CD8-2E43-4569-8897-99169E63061A}" type="pres">
      <dgm:prSet presAssocID="{8010AFB5-3F8B-455D-B520-277C48DF08AB}" presName="rootComposite" presStyleCnt="0"/>
      <dgm:spPr/>
      <dgm:t>
        <a:bodyPr/>
        <a:lstStyle/>
        <a:p>
          <a:endParaRPr lang="en-AU"/>
        </a:p>
      </dgm:t>
    </dgm:pt>
    <dgm:pt modelId="{BC394F46-6A3B-483E-9F42-3FB5205364CD}" type="pres">
      <dgm:prSet presAssocID="{8010AFB5-3F8B-455D-B520-277C48DF08AB}" presName="rootText" presStyleLbl="node2" presStyleIdx="0" presStyleCnt="4" custScaleX="120909" custScaleY="135880">
        <dgm:presLayoutVars>
          <dgm:chPref val="3"/>
        </dgm:presLayoutVars>
      </dgm:prSet>
      <dgm:spPr/>
      <dgm:t>
        <a:bodyPr/>
        <a:lstStyle/>
        <a:p>
          <a:endParaRPr lang="en-AU"/>
        </a:p>
      </dgm:t>
    </dgm:pt>
    <dgm:pt modelId="{48D66C07-45C6-45ED-AA4C-BE60AC97198C}" type="pres">
      <dgm:prSet presAssocID="{8010AFB5-3F8B-455D-B520-277C48DF08AB}" presName="rootConnector" presStyleLbl="node2" presStyleIdx="0" presStyleCnt="4"/>
      <dgm:spPr/>
      <dgm:t>
        <a:bodyPr/>
        <a:lstStyle/>
        <a:p>
          <a:endParaRPr lang="en-AU"/>
        </a:p>
      </dgm:t>
    </dgm:pt>
    <dgm:pt modelId="{C29A0C62-A4EA-4E1E-A2EF-A34430AA71EA}" type="pres">
      <dgm:prSet presAssocID="{8010AFB5-3F8B-455D-B520-277C48DF08AB}" presName="hierChild4" presStyleCnt="0"/>
      <dgm:spPr/>
      <dgm:t>
        <a:bodyPr/>
        <a:lstStyle/>
        <a:p>
          <a:endParaRPr lang="en-AU"/>
        </a:p>
      </dgm:t>
    </dgm:pt>
    <dgm:pt modelId="{6523D5D5-D48F-4236-BC1D-94CBB2C1DADA}" type="pres">
      <dgm:prSet presAssocID="{064CD2F7-4BF8-4C68-9BEF-E213CD629556}" presName="Name37" presStyleLbl="parChTrans1D3" presStyleIdx="0" presStyleCnt="1"/>
      <dgm:spPr/>
      <dgm:t>
        <a:bodyPr/>
        <a:lstStyle/>
        <a:p>
          <a:endParaRPr lang="en-AU"/>
        </a:p>
      </dgm:t>
    </dgm:pt>
    <dgm:pt modelId="{095E6127-9664-4852-9D95-0DF76BE85F59}" type="pres">
      <dgm:prSet presAssocID="{0C48F3A8-B538-4F07-8FC0-BB3EF76D0122}" presName="hierRoot2" presStyleCnt="0">
        <dgm:presLayoutVars>
          <dgm:hierBranch val="init"/>
        </dgm:presLayoutVars>
      </dgm:prSet>
      <dgm:spPr/>
      <dgm:t>
        <a:bodyPr/>
        <a:lstStyle/>
        <a:p>
          <a:endParaRPr lang="en-AU"/>
        </a:p>
      </dgm:t>
    </dgm:pt>
    <dgm:pt modelId="{4D3D2D8B-7548-4DD5-89CC-9A7A6214CC64}" type="pres">
      <dgm:prSet presAssocID="{0C48F3A8-B538-4F07-8FC0-BB3EF76D0122}" presName="rootComposite" presStyleCnt="0"/>
      <dgm:spPr/>
      <dgm:t>
        <a:bodyPr/>
        <a:lstStyle/>
        <a:p>
          <a:endParaRPr lang="en-AU"/>
        </a:p>
      </dgm:t>
    </dgm:pt>
    <dgm:pt modelId="{F32FDFF7-37CB-4541-AA00-425778B6FFF6}" type="pres">
      <dgm:prSet presAssocID="{0C48F3A8-B538-4F07-8FC0-BB3EF76D0122}" presName="rootText" presStyleLbl="node3" presStyleIdx="0" presStyleCnt="1" custScaleX="291251" custScaleY="358384" custLinFactNeighborX="-5928" custLinFactNeighborY="14422">
        <dgm:presLayoutVars>
          <dgm:chPref val="3"/>
        </dgm:presLayoutVars>
      </dgm:prSet>
      <dgm:spPr/>
      <dgm:t>
        <a:bodyPr/>
        <a:lstStyle/>
        <a:p>
          <a:endParaRPr lang="en-AU"/>
        </a:p>
      </dgm:t>
    </dgm:pt>
    <dgm:pt modelId="{76046741-7155-4281-AA57-770AF135EC77}" type="pres">
      <dgm:prSet presAssocID="{0C48F3A8-B538-4F07-8FC0-BB3EF76D0122}" presName="rootConnector" presStyleLbl="node3" presStyleIdx="0" presStyleCnt="1"/>
      <dgm:spPr/>
      <dgm:t>
        <a:bodyPr/>
        <a:lstStyle/>
        <a:p>
          <a:endParaRPr lang="en-AU"/>
        </a:p>
      </dgm:t>
    </dgm:pt>
    <dgm:pt modelId="{044A519A-8139-40F2-91B2-0CCE1FD3CEA1}" type="pres">
      <dgm:prSet presAssocID="{0C48F3A8-B538-4F07-8FC0-BB3EF76D0122}" presName="hierChild4" presStyleCnt="0"/>
      <dgm:spPr/>
      <dgm:t>
        <a:bodyPr/>
        <a:lstStyle/>
        <a:p>
          <a:endParaRPr lang="en-AU"/>
        </a:p>
      </dgm:t>
    </dgm:pt>
    <dgm:pt modelId="{F99DA5E8-9B0E-4830-A075-84C59079BDBA}" type="pres">
      <dgm:prSet presAssocID="{5FB8A791-C601-4F69-8FA0-952DB5B5DCAE}" presName="Name37" presStyleLbl="parChTrans1D4" presStyleIdx="0" presStyleCnt="2"/>
      <dgm:spPr/>
      <dgm:t>
        <a:bodyPr/>
        <a:lstStyle/>
        <a:p>
          <a:endParaRPr lang="en-AU"/>
        </a:p>
      </dgm:t>
    </dgm:pt>
    <dgm:pt modelId="{16E9A0D3-C873-4F2B-BE15-E443890B24E8}" type="pres">
      <dgm:prSet presAssocID="{5D3DB31D-8894-4040-AE76-69B22D3F1C51}" presName="hierRoot2" presStyleCnt="0">
        <dgm:presLayoutVars>
          <dgm:hierBranch val="init"/>
        </dgm:presLayoutVars>
      </dgm:prSet>
      <dgm:spPr/>
      <dgm:t>
        <a:bodyPr/>
        <a:lstStyle/>
        <a:p>
          <a:endParaRPr lang="en-AU"/>
        </a:p>
      </dgm:t>
    </dgm:pt>
    <dgm:pt modelId="{520C78C5-41A4-4639-AF40-A4D3331F4F49}" type="pres">
      <dgm:prSet presAssocID="{5D3DB31D-8894-4040-AE76-69B22D3F1C51}" presName="rootComposite" presStyleCnt="0"/>
      <dgm:spPr/>
      <dgm:t>
        <a:bodyPr/>
        <a:lstStyle/>
        <a:p>
          <a:endParaRPr lang="en-AU"/>
        </a:p>
      </dgm:t>
    </dgm:pt>
    <dgm:pt modelId="{2F765EF0-E08C-43BC-898B-77A1C9134B10}" type="pres">
      <dgm:prSet presAssocID="{5D3DB31D-8894-4040-AE76-69B22D3F1C51}" presName="rootText" presStyleLbl="node4" presStyleIdx="0" presStyleCnt="2" custScaleX="276406" custScaleY="87903" custLinFactX="100000" custLinFactNeighborX="146326" custLinFactNeighborY="-16145">
        <dgm:presLayoutVars>
          <dgm:chPref val="3"/>
        </dgm:presLayoutVars>
      </dgm:prSet>
      <dgm:spPr/>
      <dgm:t>
        <a:bodyPr/>
        <a:lstStyle/>
        <a:p>
          <a:endParaRPr lang="en-AU"/>
        </a:p>
      </dgm:t>
    </dgm:pt>
    <dgm:pt modelId="{75FDC187-11F1-4DED-A10D-FD1FAA31D62B}" type="pres">
      <dgm:prSet presAssocID="{5D3DB31D-8894-4040-AE76-69B22D3F1C51}" presName="rootConnector" presStyleLbl="node4" presStyleIdx="0" presStyleCnt="2"/>
      <dgm:spPr/>
      <dgm:t>
        <a:bodyPr/>
        <a:lstStyle/>
        <a:p>
          <a:endParaRPr lang="en-AU"/>
        </a:p>
      </dgm:t>
    </dgm:pt>
    <dgm:pt modelId="{A010C063-1D41-4DB3-8E33-E255DA7CA4D2}" type="pres">
      <dgm:prSet presAssocID="{5D3DB31D-8894-4040-AE76-69B22D3F1C51}" presName="hierChild4" presStyleCnt="0"/>
      <dgm:spPr/>
      <dgm:t>
        <a:bodyPr/>
        <a:lstStyle/>
        <a:p>
          <a:endParaRPr lang="en-AU"/>
        </a:p>
      </dgm:t>
    </dgm:pt>
    <dgm:pt modelId="{EBB1A8A6-1D21-45E2-B4CF-23E6986F4727}" type="pres">
      <dgm:prSet presAssocID="{5D3DB31D-8894-4040-AE76-69B22D3F1C51}" presName="hierChild5" presStyleCnt="0"/>
      <dgm:spPr/>
      <dgm:t>
        <a:bodyPr/>
        <a:lstStyle/>
        <a:p>
          <a:endParaRPr lang="en-AU"/>
        </a:p>
      </dgm:t>
    </dgm:pt>
    <dgm:pt modelId="{084AE061-44BE-4951-AC83-C58260E24DD4}" type="pres">
      <dgm:prSet presAssocID="{F2434BC7-B70E-406C-AA5E-9F37ACEE8D2E}" presName="Name37" presStyleLbl="parChTrans1D4" presStyleIdx="1" presStyleCnt="2"/>
      <dgm:spPr/>
      <dgm:t>
        <a:bodyPr/>
        <a:lstStyle/>
        <a:p>
          <a:endParaRPr lang="en-AU"/>
        </a:p>
      </dgm:t>
    </dgm:pt>
    <dgm:pt modelId="{06005769-7E5E-4D85-B9AD-B50D51B588C1}" type="pres">
      <dgm:prSet presAssocID="{F02D3FF2-322C-49FC-9676-B11D7CAECA6D}" presName="hierRoot2" presStyleCnt="0">
        <dgm:presLayoutVars>
          <dgm:hierBranch val="init"/>
        </dgm:presLayoutVars>
      </dgm:prSet>
      <dgm:spPr/>
      <dgm:t>
        <a:bodyPr/>
        <a:lstStyle/>
        <a:p>
          <a:endParaRPr lang="en-AU"/>
        </a:p>
      </dgm:t>
    </dgm:pt>
    <dgm:pt modelId="{B31EE755-929F-4151-BE48-8890EB2F7302}" type="pres">
      <dgm:prSet presAssocID="{F02D3FF2-322C-49FC-9676-B11D7CAECA6D}" presName="rootComposite" presStyleCnt="0"/>
      <dgm:spPr/>
      <dgm:t>
        <a:bodyPr/>
        <a:lstStyle/>
        <a:p>
          <a:endParaRPr lang="en-AU"/>
        </a:p>
      </dgm:t>
    </dgm:pt>
    <dgm:pt modelId="{C2B94C85-B3C6-4712-830A-13D0A08060FB}" type="pres">
      <dgm:prSet presAssocID="{F02D3FF2-322C-49FC-9676-B11D7CAECA6D}" presName="rootText" presStyleLbl="node4" presStyleIdx="1" presStyleCnt="2" custScaleX="278046" custScaleY="78891" custLinFactX="100000" custLinFactNeighborX="145646" custLinFactNeighborY="34">
        <dgm:presLayoutVars>
          <dgm:chPref val="3"/>
        </dgm:presLayoutVars>
      </dgm:prSet>
      <dgm:spPr/>
      <dgm:t>
        <a:bodyPr/>
        <a:lstStyle/>
        <a:p>
          <a:endParaRPr lang="en-AU"/>
        </a:p>
      </dgm:t>
    </dgm:pt>
    <dgm:pt modelId="{0A723436-FA35-4825-8852-F309BFCA27ED}" type="pres">
      <dgm:prSet presAssocID="{F02D3FF2-322C-49FC-9676-B11D7CAECA6D}" presName="rootConnector" presStyleLbl="node4" presStyleIdx="1" presStyleCnt="2"/>
      <dgm:spPr/>
      <dgm:t>
        <a:bodyPr/>
        <a:lstStyle/>
        <a:p>
          <a:endParaRPr lang="en-AU"/>
        </a:p>
      </dgm:t>
    </dgm:pt>
    <dgm:pt modelId="{D21BEE50-8A55-4F27-A0E1-25912788453B}" type="pres">
      <dgm:prSet presAssocID="{F02D3FF2-322C-49FC-9676-B11D7CAECA6D}" presName="hierChild4" presStyleCnt="0"/>
      <dgm:spPr/>
      <dgm:t>
        <a:bodyPr/>
        <a:lstStyle/>
        <a:p>
          <a:endParaRPr lang="en-AU"/>
        </a:p>
      </dgm:t>
    </dgm:pt>
    <dgm:pt modelId="{6C98528C-5BB3-4305-B077-BCC939B56BE6}" type="pres">
      <dgm:prSet presAssocID="{F02D3FF2-322C-49FC-9676-B11D7CAECA6D}" presName="hierChild5" presStyleCnt="0"/>
      <dgm:spPr/>
      <dgm:t>
        <a:bodyPr/>
        <a:lstStyle/>
        <a:p>
          <a:endParaRPr lang="en-AU"/>
        </a:p>
      </dgm:t>
    </dgm:pt>
    <dgm:pt modelId="{C4963D46-0FA6-42D1-8140-12AF395FED75}" type="pres">
      <dgm:prSet presAssocID="{0C48F3A8-B538-4F07-8FC0-BB3EF76D0122}" presName="hierChild5" presStyleCnt="0"/>
      <dgm:spPr/>
      <dgm:t>
        <a:bodyPr/>
        <a:lstStyle/>
        <a:p>
          <a:endParaRPr lang="en-AU"/>
        </a:p>
      </dgm:t>
    </dgm:pt>
    <dgm:pt modelId="{1B2E8355-7D36-45B2-A7B2-56400C9AC3EF}" type="pres">
      <dgm:prSet presAssocID="{8010AFB5-3F8B-455D-B520-277C48DF08AB}" presName="hierChild5" presStyleCnt="0"/>
      <dgm:spPr/>
      <dgm:t>
        <a:bodyPr/>
        <a:lstStyle/>
        <a:p>
          <a:endParaRPr lang="en-AU"/>
        </a:p>
      </dgm:t>
    </dgm:pt>
    <dgm:pt modelId="{A6C7B33B-6815-467F-888A-67F98721EEE7}" type="pres">
      <dgm:prSet presAssocID="{A670C1E6-5E48-4B85-A20D-F9CBE2D171B5}" presName="Name37" presStyleLbl="parChTrans1D2" presStyleIdx="1" presStyleCnt="4"/>
      <dgm:spPr/>
      <dgm:t>
        <a:bodyPr/>
        <a:lstStyle/>
        <a:p>
          <a:endParaRPr lang="en-AU"/>
        </a:p>
      </dgm:t>
    </dgm:pt>
    <dgm:pt modelId="{6ED8D5A1-3834-47BC-883F-64C16693AE19}" type="pres">
      <dgm:prSet presAssocID="{D605CE55-2C62-4322-A7FC-5F57B96DC211}" presName="hierRoot2" presStyleCnt="0">
        <dgm:presLayoutVars>
          <dgm:hierBranch val="init"/>
        </dgm:presLayoutVars>
      </dgm:prSet>
      <dgm:spPr/>
      <dgm:t>
        <a:bodyPr/>
        <a:lstStyle/>
        <a:p>
          <a:endParaRPr lang="en-AU"/>
        </a:p>
      </dgm:t>
    </dgm:pt>
    <dgm:pt modelId="{56CF9193-46A8-447F-A60E-39A7FC8218F8}" type="pres">
      <dgm:prSet presAssocID="{D605CE55-2C62-4322-A7FC-5F57B96DC211}" presName="rootComposite" presStyleCnt="0"/>
      <dgm:spPr/>
      <dgm:t>
        <a:bodyPr/>
        <a:lstStyle/>
        <a:p>
          <a:endParaRPr lang="en-AU"/>
        </a:p>
      </dgm:t>
    </dgm:pt>
    <dgm:pt modelId="{FDB8A5C1-596D-4AA3-B083-7980222B40D6}" type="pres">
      <dgm:prSet presAssocID="{D605CE55-2C62-4322-A7FC-5F57B96DC211}" presName="rootText" presStyleLbl="node2" presStyleIdx="1" presStyleCnt="4" custScaleX="108357" custScaleY="135598" custLinFactNeighborX="-993">
        <dgm:presLayoutVars>
          <dgm:chPref val="3"/>
        </dgm:presLayoutVars>
      </dgm:prSet>
      <dgm:spPr/>
      <dgm:t>
        <a:bodyPr/>
        <a:lstStyle/>
        <a:p>
          <a:endParaRPr lang="en-AU"/>
        </a:p>
      </dgm:t>
    </dgm:pt>
    <dgm:pt modelId="{5652AA36-36FF-4F3B-9122-F81C0DB48182}" type="pres">
      <dgm:prSet presAssocID="{D605CE55-2C62-4322-A7FC-5F57B96DC211}" presName="rootConnector" presStyleLbl="node2" presStyleIdx="1" presStyleCnt="4"/>
      <dgm:spPr/>
      <dgm:t>
        <a:bodyPr/>
        <a:lstStyle/>
        <a:p>
          <a:endParaRPr lang="en-AU"/>
        </a:p>
      </dgm:t>
    </dgm:pt>
    <dgm:pt modelId="{73533F21-CA55-4238-919B-CAFFFD84CCF3}" type="pres">
      <dgm:prSet presAssocID="{D605CE55-2C62-4322-A7FC-5F57B96DC211}" presName="hierChild4" presStyleCnt="0"/>
      <dgm:spPr/>
      <dgm:t>
        <a:bodyPr/>
        <a:lstStyle/>
        <a:p>
          <a:endParaRPr lang="en-AU"/>
        </a:p>
      </dgm:t>
    </dgm:pt>
    <dgm:pt modelId="{6B059B40-0703-48CC-AAE3-45E03F191E16}" type="pres">
      <dgm:prSet presAssocID="{D605CE55-2C62-4322-A7FC-5F57B96DC211}" presName="hierChild5" presStyleCnt="0"/>
      <dgm:spPr/>
      <dgm:t>
        <a:bodyPr/>
        <a:lstStyle/>
        <a:p>
          <a:endParaRPr lang="en-AU"/>
        </a:p>
      </dgm:t>
    </dgm:pt>
    <dgm:pt modelId="{2BAFBBE9-3E1B-4880-BA1A-4BC6CB13D6F6}" type="pres">
      <dgm:prSet presAssocID="{C4D19035-63DC-4065-89EF-2552B226D67D}" presName="Name37" presStyleLbl="parChTrans1D2" presStyleIdx="2" presStyleCnt="4"/>
      <dgm:spPr/>
      <dgm:t>
        <a:bodyPr/>
        <a:lstStyle/>
        <a:p>
          <a:endParaRPr lang="en-AU"/>
        </a:p>
      </dgm:t>
    </dgm:pt>
    <dgm:pt modelId="{C556F1EB-B9EE-4651-9C56-55C5C106A08C}" type="pres">
      <dgm:prSet presAssocID="{03A85371-34B5-4FE4-A857-C0E84D63456C}" presName="hierRoot2" presStyleCnt="0">
        <dgm:presLayoutVars>
          <dgm:hierBranch val="init"/>
        </dgm:presLayoutVars>
      </dgm:prSet>
      <dgm:spPr/>
      <dgm:t>
        <a:bodyPr/>
        <a:lstStyle/>
        <a:p>
          <a:endParaRPr lang="en-AU"/>
        </a:p>
      </dgm:t>
    </dgm:pt>
    <dgm:pt modelId="{ADEE7A13-C760-47A7-904F-1AB77AB16BAE}" type="pres">
      <dgm:prSet presAssocID="{03A85371-34B5-4FE4-A857-C0E84D63456C}" presName="rootComposite" presStyleCnt="0"/>
      <dgm:spPr/>
      <dgm:t>
        <a:bodyPr/>
        <a:lstStyle/>
        <a:p>
          <a:endParaRPr lang="en-AU"/>
        </a:p>
      </dgm:t>
    </dgm:pt>
    <dgm:pt modelId="{D88E9128-539D-4157-AAB8-4D0012E4758A}" type="pres">
      <dgm:prSet presAssocID="{03A85371-34B5-4FE4-A857-C0E84D63456C}" presName="rootText" presStyleLbl="node2" presStyleIdx="2" presStyleCnt="4" custScaleX="108357" custScaleY="135598" custLinFactNeighborX="-85" custLinFactNeighborY="0">
        <dgm:presLayoutVars>
          <dgm:chPref val="3"/>
        </dgm:presLayoutVars>
      </dgm:prSet>
      <dgm:spPr/>
      <dgm:t>
        <a:bodyPr/>
        <a:lstStyle/>
        <a:p>
          <a:endParaRPr lang="en-AU"/>
        </a:p>
      </dgm:t>
    </dgm:pt>
    <dgm:pt modelId="{9B031B2D-8806-4BCA-A84B-9ED9E3D849B6}" type="pres">
      <dgm:prSet presAssocID="{03A85371-34B5-4FE4-A857-C0E84D63456C}" presName="rootConnector" presStyleLbl="node2" presStyleIdx="2" presStyleCnt="4"/>
      <dgm:spPr/>
      <dgm:t>
        <a:bodyPr/>
        <a:lstStyle/>
        <a:p>
          <a:endParaRPr lang="en-AU"/>
        </a:p>
      </dgm:t>
    </dgm:pt>
    <dgm:pt modelId="{9CB4F257-5C24-48E8-B7AB-3E4C1F9E9C1F}" type="pres">
      <dgm:prSet presAssocID="{03A85371-34B5-4FE4-A857-C0E84D63456C}" presName="hierChild4" presStyleCnt="0"/>
      <dgm:spPr/>
      <dgm:t>
        <a:bodyPr/>
        <a:lstStyle/>
        <a:p>
          <a:endParaRPr lang="en-AU"/>
        </a:p>
      </dgm:t>
    </dgm:pt>
    <dgm:pt modelId="{D8CC786F-3870-4F21-939D-C2C621A5642F}" type="pres">
      <dgm:prSet presAssocID="{03A85371-34B5-4FE4-A857-C0E84D63456C}" presName="hierChild5" presStyleCnt="0"/>
      <dgm:spPr/>
      <dgm:t>
        <a:bodyPr/>
        <a:lstStyle/>
        <a:p>
          <a:endParaRPr lang="en-AU"/>
        </a:p>
      </dgm:t>
    </dgm:pt>
    <dgm:pt modelId="{C7EE4F73-34BF-4DBA-9D07-057562427BEC}" type="pres">
      <dgm:prSet presAssocID="{F74DFA82-1EFF-4D71-A173-1CB4CD45659E}" presName="Name37" presStyleLbl="parChTrans1D2" presStyleIdx="3" presStyleCnt="4"/>
      <dgm:spPr/>
      <dgm:t>
        <a:bodyPr/>
        <a:lstStyle/>
        <a:p>
          <a:endParaRPr lang="en-AU"/>
        </a:p>
      </dgm:t>
    </dgm:pt>
    <dgm:pt modelId="{6F4E0909-926C-45E4-B2D6-9E50347ACE39}" type="pres">
      <dgm:prSet presAssocID="{7231391D-D620-49B3-8F2E-70A5E4E8BC8F}" presName="hierRoot2" presStyleCnt="0">
        <dgm:presLayoutVars>
          <dgm:hierBranch val="init"/>
        </dgm:presLayoutVars>
      </dgm:prSet>
      <dgm:spPr/>
      <dgm:t>
        <a:bodyPr/>
        <a:lstStyle/>
        <a:p>
          <a:endParaRPr lang="en-AU"/>
        </a:p>
      </dgm:t>
    </dgm:pt>
    <dgm:pt modelId="{1C4A6496-D736-4D70-9823-264CD4DCAFF0}" type="pres">
      <dgm:prSet presAssocID="{7231391D-D620-49B3-8F2E-70A5E4E8BC8F}" presName="rootComposite" presStyleCnt="0"/>
      <dgm:spPr/>
      <dgm:t>
        <a:bodyPr/>
        <a:lstStyle/>
        <a:p>
          <a:endParaRPr lang="en-AU"/>
        </a:p>
      </dgm:t>
    </dgm:pt>
    <dgm:pt modelId="{E04B7582-38E0-4E16-A812-7E9364D97722}" type="pres">
      <dgm:prSet presAssocID="{7231391D-D620-49B3-8F2E-70A5E4E8BC8F}" presName="rootText" presStyleLbl="node2" presStyleIdx="3" presStyleCnt="4" custScaleX="113253" custScaleY="135598">
        <dgm:presLayoutVars>
          <dgm:chPref val="3"/>
        </dgm:presLayoutVars>
      </dgm:prSet>
      <dgm:spPr/>
      <dgm:t>
        <a:bodyPr/>
        <a:lstStyle/>
        <a:p>
          <a:endParaRPr lang="en-AU"/>
        </a:p>
      </dgm:t>
    </dgm:pt>
    <dgm:pt modelId="{0DEC255A-63ED-4F4F-83A1-838CC439B4CE}" type="pres">
      <dgm:prSet presAssocID="{7231391D-D620-49B3-8F2E-70A5E4E8BC8F}" presName="rootConnector" presStyleLbl="node2" presStyleIdx="3" presStyleCnt="4"/>
      <dgm:spPr/>
      <dgm:t>
        <a:bodyPr/>
        <a:lstStyle/>
        <a:p>
          <a:endParaRPr lang="en-AU"/>
        </a:p>
      </dgm:t>
    </dgm:pt>
    <dgm:pt modelId="{46F8091B-67BD-4BCF-9661-BA2203E16911}" type="pres">
      <dgm:prSet presAssocID="{7231391D-D620-49B3-8F2E-70A5E4E8BC8F}" presName="hierChild4" presStyleCnt="0"/>
      <dgm:spPr/>
      <dgm:t>
        <a:bodyPr/>
        <a:lstStyle/>
        <a:p>
          <a:endParaRPr lang="en-AU"/>
        </a:p>
      </dgm:t>
    </dgm:pt>
    <dgm:pt modelId="{6AFBC390-E092-499A-BC53-24DEB6E3F802}" type="pres">
      <dgm:prSet presAssocID="{7231391D-D620-49B3-8F2E-70A5E4E8BC8F}" presName="hierChild5" presStyleCnt="0"/>
      <dgm:spPr/>
      <dgm:t>
        <a:bodyPr/>
        <a:lstStyle/>
        <a:p>
          <a:endParaRPr lang="en-AU"/>
        </a:p>
      </dgm:t>
    </dgm:pt>
    <dgm:pt modelId="{A72DC473-2439-48EF-AAE2-3F5733C6A1D5}" type="pres">
      <dgm:prSet presAssocID="{4CB481C9-C8E1-48D0-A75E-9D40C58EA02E}" presName="hierChild3" presStyleCnt="0"/>
      <dgm:spPr/>
      <dgm:t>
        <a:bodyPr/>
        <a:lstStyle/>
        <a:p>
          <a:endParaRPr lang="en-AU"/>
        </a:p>
      </dgm:t>
    </dgm:pt>
  </dgm:ptLst>
  <dgm:cxnLst>
    <dgm:cxn modelId="{03F6AD8D-0879-47B2-9B66-61E2E30CF296}" type="presOf" srcId="{F02D3FF2-322C-49FC-9676-B11D7CAECA6D}" destId="{0A723436-FA35-4825-8852-F309BFCA27ED}" srcOrd="1" destOrd="0" presId="urn:microsoft.com/office/officeart/2005/8/layout/orgChart1"/>
    <dgm:cxn modelId="{0C0EBF23-1855-4BC5-8C1C-F4B6D8626CBD}" type="presOf" srcId="{81E17B1E-CA6F-44AD-B931-3272E6C5513E}" destId="{1E6C7D05-F4E6-41D3-A493-DC5C506CD460}" srcOrd="0" destOrd="0" presId="urn:microsoft.com/office/officeart/2005/8/layout/orgChart1"/>
    <dgm:cxn modelId="{76830424-F6A3-471A-9D8D-CBCB8539D0FA}" type="presOf" srcId="{F74DFA82-1EFF-4D71-A173-1CB4CD45659E}" destId="{C7EE4F73-34BF-4DBA-9D07-057562427BEC}" srcOrd="0" destOrd="0" presId="urn:microsoft.com/office/officeart/2005/8/layout/orgChart1"/>
    <dgm:cxn modelId="{C773A1EA-12D7-414F-9F90-AB6EEB635178}" type="presOf" srcId="{064CD2F7-4BF8-4C68-9BEF-E213CD629556}" destId="{6523D5D5-D48F-4236-BC1D-94CBB2C1DADA}" srcOrd="0" destOrd="0" presId="urn:microsoft.com/office/officeart/2005/8/layout/orgChart1"/>
    <dgm:cxn modelId="{55EEA0B4-39EA-4D41-91EA-4DD3C32CF9C5}" type="presOf" srcId="{A670C1E6-5E48-4B85-A20D-F9CBE2D171B5}" destId="{A6C7B33B-6815-467F-888A-67F98721EEE7}" srcOrd="0" destOrd="0" presId="urn:microsoft.com/office/officeart/2005/8/layout/orgChart1"/>
    <dgm:cxn modelId="{9E448FD1-3D75-4387-824A-0D61B00D8E85}" type="presOf" srcId="{7231391D-D620-49B3-8F2E-70A5E4E8BC8F}" destId="{E04B7582-38E0-4E16-A812-7E9364D97722}" srcOrd="0" destOrd="0" presId="urn:microsoft.com/office/officeart/2005/8/layout/orgChart1"/>
    <dgm:cxn modelId="{AF7FD9F3-5150-4666-B5B3-D0AE0C7F302D}" srcId="{0C48F3A8-B538-4F07-8FC0-BB3EF76D0122}" destId="{5D3DB31D-8894-4040-AE76-69B22D3F1C51}" srcOrd="0" destOrd="0" parTransId="{5FB8A791-C601-4F69-8FA0-952DB5B5DCAE}" sibTransId="{00CB1DFE-1118-41A6-86D4-CDF323DFCB3C}"/>
    <dgm:cxn modelId="{BCABB836-FA1A-4A7F-8456-2BBB2E257521}" type="presOf" srcId="{4CB481C9-C8E1-48D0-A75E-9D40C58EA02E}" destId="{D518D3F0-3435-4485-8A49-D1A727B36E86}" srcOrd="1" destOrd="0" presId="urn:microsoft.com/office/officeart/2005/8/layout/orgChart1"/>
    <dgm:cxn modelId="{38CDBA36-E20C-4965-89EC-432A6D171082}" srcId="{4CB481C9-C8E1-48D0-A75E-9D40C58EA02E}" destId="{8010AFB5-3F8B-455D-B520-277C48DF08AB}" srcOrd="0" destOrd="0" parTransId="{B765D650-4208-405D-AC7B-1A7E672E1535}" sibTransId="{1B61784C-0D3B-4FE6-9CC1-135B93A1B216}"/>
    <dgm:cxn modelId="{A628325D-A344-4104-9B7C-EEA5AB28B3F2}" srcId="{4CB481C9-C8E1-48D0-A75E-9D40C58EA02E}" destId="{D605CE55-2C62-4322-A7FC-5F57B96DC211}" srcOrd="1" destOrd="0" parTransId="{A670C1E6-5E48-4B85-A20D-F9CBE2D171B5}" sibTransId="{38252DE3-FF23-4F75-86AA-44380C8F7462}"/>
    <dgm:cxn modelId="{3DDB1099-3498-41AD-87D5-60DB5E8CB86A}" type="presOf" srcId="{03A85371-34B5-4FE4-A857-C0E84D63456C}" destId="{D88E9128-539D-4157-AAB8-4D0012E4758A}" srcOrd="0" destOrd="0" presId="urn:microsoft.com/office/officeart/2005/8/layout/orgChart1"/>
    <dgm:cxn modelId="{2B55C3BA-FE80-4E77-B8A4-4042DA9F9095}" type="presOf" srcId="{B765D650-4208-405D-AC7B-1A7E672E1535}" destId="{3A1DBCB8-3AB6-4B17-BF6C-19DD48C87E04}" srcOrd="0" destOrd="0" presId="urn:microsoft.com/office/officeart/2005/8/layout/orgChart1"/>
    <dgm:cxn modelId="{9322C2EE-8145-4154-9D28-0C283010FA5E}" type="presOf" srcId="{5D3DB31D-8894-4040-AE76-69B22D3F1C51}" destId="{75FDC187-11F1-4DED-A10D-FD1FAA31D62B}" srcOrd="1" destOrd="0" presId="urn:microsoft.com/office/officeart/2005/8/layout/orgChart1"/>
    <dgm:cxn modelId="{84732FBE-0836-417C-92A3-A2B7473CC729}" srcId="{4CB481C9-C8E1-48D0-A75E-9D40C58EA02E}" destId="{7231391D-D620-49B3-8F2E-70A5E4E8BC8F}" srcOrd="3" destOrd="0" parTransId="{F74DFA82-1EFF-4D71-A173-1CB4CD45659E}" sibTransId="{24298062-6EF5-411D-9242-0FFAEC31B73F}"/>
    <dgm:cxn modelId="{8C5C7DDC-93F2-4B13-A2A2-DFFF5B037582}" type="presOf" srcId="{5D3DB31D-8894-4040-AE76-69B22D3F1C51}" destId="{2F765EF0-E08C-43BC-898B-77A1C9134B10}" srcOrd="0" destOrd="0" presId="urn:microsoft.com/office/officeart/2005/8/layout/orgChart1"/>
    <dgm:cxn modelId="{504F6537-BD24-4C0D-AF72-A0F0AF261C16}" type="presOf" srcId="{F2434BC7-B70E-406C-AA5E-9F37ACEE8D2E}" destId="{084AE061-44BE-4951-AC83-C58260E24DD4}" srcOrd="0" destOrd="0" presId="urn:microsoft.com/office/officeart/2005/8/layout/orgChart1"/>
    <dgm:cxn modelId="{4C6B0A1E-91FD-467C-A1D4-8BC8D766F2CD}" srcId="{81E17B1E-CA6F-44AD-B931-3272E6C5513E}" destId="{4CB481C9-C8E1-48D0-A75E-9D40C58EA02E}" srcOrd="0" destOrd="0" parTransId="{19350431-9E95-4283-8B86-8753391FC3A9}" sibTransId="{0DB5FC1F-3EED-4C75-B8DD-984D59549738}"/>
    <dgm:cxn modelId="{C59D16A8-8729-4B2E-939E-78E60F166DF4}" type="presOf" srcId="{D605CE55-2C62-4322-A7FC-5F57B96DC211}" destId="{FDB8A5C1-596D-4AA3-B083-7980222B40D6}" srcOrd="0" destOrd="0" presId="urn:microsoft.com/office/officeart/2005/8/layout/orgChart1"/>
    <dgm:cxn modelId="{85D0B552-33C9-41F0-8805-271CF380E824}" type="presOf" srcId="{D605CE55-2C62-4322-A7FC-5F57B96DC211}" destId="{5652AA36-36FF-4F3B-9122-F81C0DB48182}" srcOrd="1" destOrd="0" presId="urn:microsoft.com/office/officeart/2005/8/layout/orgChart1"/>
    <dgm:cxn modelId="{261B6F2A-65F3-4869-A15B-5A474CB36FD4}" srcId="{4CB481C9-C8E1-48D0-A75E-9D40C58EA02E}" destId="{03A85371-34B5-4FE4-A857-C0E84D63456C}" srcOrd="2" destOrd="0" parTransId="{C4D19035-63DC-4065-89EF-2552B226D67D}" sibTransId="{81F5F7C1-E8D7-4D54-AEDD-E9D9DDCEC766}"/>
    <dgm:cxn modelId="{62E63E8E-E63B-418D-9A80-5A5FA3071B3C}" type="presOf" srcId="{C4D19035-63DC-4065-89EF-2552B226D67D}" destId="{2BAFBBE9-3E1B-4880-BA1A-4BC6CB13D6F6}" srcOrd="0" destOrd="0" presId="urn:microsoft.com/office/officeart/2005/8/layout/orgChart1"/>
    <dgm:cxn modelId="{1B7FDD14-DA0F-4B05-AB4E-9DE27BF233EE}" type="presOf" srcId="{5FB8A791-C601-4F69-8FA0-952DB5B5DCAE}" destId="{F99DA5E8-9B0E-4830-A075-84C59079BDBA}" srcOrd="0" destOrd="0" presId="urn:microsoft.com/office/officeart/2005/8/layout/orgChart1"/>
    <dgm:cxn modelId="{7E72F7AA-7CF6-48AC-AE5C-180A4B3FD6CB}" type="presOf" srcId="{7231391D-D620-49B3-8F2E-70A5E4E8BC8F}" destId="{0DEC255A-63ED-4F4F-83A1-838CC439B4CE}" srcOrd="1" destOrd="0" presId="urn:microsoft.com/office/officeart/2005/8/layout/orgChart1"/>
    <dgm:cxn modelId="{B499DAC3-B1DF-486F-9775-034B6DE0D88D}" type="presOf" srcId="{8010AFB5-3F8B-455D-B520-277C48DF08AB}" destId="{48D66C07-45C6-45ED-AA4C-BE60AC97198C}" srcOrd="1" destOrd="0" presId="urn:microsoft.com/office/officeart/2005/8/layout/orgChart1"/>
    <dgm:cxn modelId="{A0590629-0D6F-4330-A533-623303E40E82}" type="presOf" srcId="{0C48F3A8-B538-4F07-8FC0-BB3EF76D0122}" destId="{76046741-7155-4281-AA57-770AF135EC77}" srcOrd="1" destOrd="0" presId="urn:microsoft.com/office/officeart/2005/8/layout/orgChart1"/>
    <dgm:cxn modelId="{9DB4C887-704F-483C-90E4-254FCC289D8A}" type="presOf" srcId="{F02D3FF2-322C-49FC-9676-B11D7CAECA6D}" destId="{C2B94C85-B3C6-4712-830A-13D0A08060FB}" srcOrd="0" destOrd="0" presId="urn:microsoft.com/office/officeart/2005/8/layout/orgChart1"/>
    <dgm:cxn modelId="{BBC6809C-FB4A-45CC-B6FF-48648229E7D9}" type="presOf" srcId="{03A85371-34B5-4FE4-A857-C0E84D63456C}" destId="{9B031B2D-8806-4BCA-A84B-9ED9E3D849B6}" srcOrd="1" destOrd="0" presId="urn:microsoft.com/office/officeart/2005/8/layout/orgChart1"/>
    <dgm:cxn modelId="{04574847-C9D8-4B14-8F2D-C0DF915C1E3C}" type="presOf" srcId="{0C48F3A8-B538-4F07-8FC0-BB3EF76D0122}" destId="{F32FDFF7-37CB-4541-AA00-425778B6FFF6}" srcOrd="0" destOrd="0" presId="urn:microsoft.com/office/officeart/2005/8/layout/orgChart1"/>
    <dgm:cxn modelId="{C824014F-508B-4E0F-BD49-2A066537EAAC}" srcId="{0C48F3A8-B538-4F07-8FC0-BB3EF76D0122}" destId="{F02D3FF2-322C-49FC-9676-B11D7CAECA6D}" srcOrd="1" destOrd="0" parTransId="{F2434BC7-B70E-406C-AA5E-9F37ACEE8D2E}" sibTransId="{BDA26D6B-FD54-4937-B8A0-21A27B3BEB83}"/>
    <dgm:cxn modelId="{F7C9CB66-90B4-4D59-AC7A-7B97BC02C4ED}" srcId="{8010AFB5-3F8B-455D-B520-277C48DF08AB}" destId="{0C48F3A8-B538-4F07-8FC0-BB3EF76D0122}" srcOrd="0" destOrd="0" parTransId="{064CD2F7-4BF8-4C68-9BEF-E213CD629556}" sibTransId="{ECB2F8C3-7789-47D7-A106-700F0B205BFA}"/>
    <dgm:cxn modelId="{1482999A-B90C-4417-9EDD-1B5D6F92FC4C}" type="presOf" srcId="{8010AFB5-3F8B-455D-B520-277C48DF08AB}" destId="{BC394F46-6A3B-483E-9F42-3FB5205364CD}" srcOrd="0" destOrd="0" presId="urn:microsoft.com/office/officeart/2005/8/layout/orgChart1"/>
    <dgm:cxn modelId="{DDF6AC6A-4D45-495A-A4F4-26574C473D7F}" type="presOf" srcId="{4CB481C9-C8E1-48D0-A75E-9D40C58EA02E}" destId="{4F9BF8A0-2910-43D7-8313-4CA07F63EB85}" srcOrd="0" destOrd="0" presId="urn:microsoft.com/office/officeart/2005/8/layout/orgChart1"/>
    <dgm:cxn modelId="{A7AD9262-C88F-4976-8AC3-BD64172EB146}" type="presParOf" srcId="{1E6C7D05-F4E6-41D3-A493-DC5C506CD460}" destId="{666422F9-FC7A-4E53-8790-D3EA8D4A20E8}" srcOrd="0" destOrd="0" presId="urn:microsoft.com/office/officeart/2005/8/layout/orgChart1"/>
    <dgm:cxn modelId="{1D7C09ED-07C8-4FCC-8EF0-563DBDFC4CE5}" type="presParOf" srcId="{666422F9-FC7A-4E53-8790-D3EA8D4A20E8}" destId="{C9192925-A638-4D58-8685-756936513336}" srcOrd="0" destOrd="0" presId="urn:microsoft.com/office/officeart/2005/8/layout/orgChart1"/>
    <dgm:cxn modelId="{559D688A-04C1-4EB4-B87F-56451A1D7044}" type="presParOf" srcId="{C9192925-A638-4D58-8685-756936513336}" destId="{4F9BF8A0-2910-43D7-8313-4CA07F63EB85}" srcOrd="0" destOrd="0" presId="urn:microsoft.com/office/officeart/2005/8/layout/orgChart1"/>
    <dgm:cxn modelId="{60B7F0C5-9BB2-4AE6-AB2C-3E450073843A}" type="presParOf" srcId="{C9192925-A638-4D58-8685-756936513336}" destId="{D518D3F0-3435-4485-8A49-D1A727B36E86}" srcOrd="1" destOrd="0" presId="urn:microsoft.com/office/officeart/2005/8/layout/orgChart1"/>
    <dgm:cxn modelId="{6D8088C0-7D69-4EB6-8383-B7C51E38D90C}" type="presParOf" srcId="{666422F9-FC7A-4E53-8790-D3EA8D4A20E8}" destId="{7BE76558-3F41-4A77-9AD2-CB02E8B814E2}" srcOrd="1" destOrd="0" presId="urn:microsoft.com/office/officeart/2005/8/layout/orgChart1"/>
    <dgm:cxn modelId="{894D50EF-0D57-471C-B1A6-A53B475C0CF5}" type="presParOf" srcId="{7BE76558-3F41-4A77-9AD2-CB02E8B814E2}" destId="{3A1DBCB8-3AB6-4B17-BF6C-19DD48C87E04}" srcOrd="0" destOrd="0" presId="urn:microsoft.com/office/officeart/2005/8/layout/orgChart1"/>
    <dgm:cxn modelId="{9AB1113E-09FB-4301-B740-6A5CE6D227C3}" type="presParOf" srcId="{7BE76558-3F41-4A77-9AD2-CB02E8B814E2}" destId="{06DDAD50-44B7-429A-8335-78873A460572}" srcOrd="1" destOrd="0" presId="urn:microsoft.com/office/officeart/2005/8/layout/orgChart1"/>
    <dgm:cxn modelId="{27CD95F7-E956-4E0D-B73E-01E83681970D}" type="presParOf" srcId="{06DDAD50-44B7-429A-8335-78873A460572}" destId="{64526CD8-2E43-4569-8897-99169E63061A}" srcOrd="0" destOrd="0" presId="urn:microsoft.com/office/officeart/2005/8/layout/orgChart1"/>
    <dgm:cxn modelId="{C7904E1C-68F3-4479-9540-349688760F29}" type="presParOf" srcId="{64526CD8-2E43-4569-8897-99169E63061A}" destId="{BC394F46-6A3B-483E-9F42-3FB5205364CD}" srcOrd="0" destOrd="0" presId="urn:microsoft.com/office/officeart/2005/8/layout/orgChart1"/>
    <dgm:cxn modelId="{5775230D-3E4D-4622-8635-F9A989A87EFD}" type="presParOf" srcId="{64526CD8-2E43-4569-8897-99169E63061A}" destId="{48D66C07-45C6-45ED-AA4C-BE60AC97198C}" srcOrd="1" destOrd="0" presId="urn:microsoft.com/office/officeart/2005/8/layout/orgChart1"/>
    <dgm:cxn modelId="{9395D2E0-BB06-4291-AF99-09E35EA341B9}" type="presParOf" srcId="{06DDAD50-44B7-429A-8335-78873A460572}" destId="{C29A0C62-A4EA-4E1E-A2EF-A34430AA71EA}" srcOrd="1" destOrd="0" presId="urn:microsoft.com/office/officeart/2005/8/layout/orgChart1"/>
    <dgm:cxn modelId="{3CA6D954-8196-4F74-B0B2-375AA610B896}" type="presParOf" srcId="{C29A0C62-A4EA-4E1E-A2EF-A34430AA71EA}" destId="{6523D5D5-D48F-4236-BC1D-94CBB2C1DADA}" srcOrd="0" destOrd="0" presId="urn:microsoft.com/office/officeart/2005/8/layout/orgChart1"/>
    <dgm:cxn modelId="{33F3C042-A648-4908-AE74-A9F6BD6A02F6}" type="presParOf" srcId="{C29A0C62-A4EA-4E1E-A2EF-A34430AA71EA}" destId="{095E6127-9664-4852-9D95-0DF76BE85F59}" srcOrd="1" destOrd="0" presId="urn:microsoft.com/office/officeart/2005/8/layout/orgChart1"/>
    <dgm:cxn modelId="{FA4358D7-ED64-4A1B-984A-276390ED100A}" type="presParOf" srcId="{095E6127-9664-4852-9D95-0DF76BE85F59}" destId="{4D3D2D8B-7548-4DD5-89CC-9A7A6214CC64}" srcOrd="0" destOrd="0" presId="urn:microsoft.com/office/officeart/2005/8/layout/orgChart1"/>
    <dgm:cxn modelId="{3CBB197F-8DEB-4D72-BDAC-28ABCC65F3F5}" type="presParOf" srcId="{4D3D2D8B-7548-4DD5-89CC-9A7A6214CC64}" destId="{F32FDFF7-37CB-4541-AA00-425778B6FFF6}" srcOrd="0" destOrd="0" presId="urn:microsoft.com/office/officeart/2005/8/layout/orgChart1"/>
    <dgm:cxn modelId="{01900282-7119-4281-B191-3CED336CDE5B}" type="presParOf" srcId="{4D3D2D8B-7548-4DD5-89CC-9A7A6214CC64}" destId="{76046741-7155-4281-AA57-770AF135EC77}" srcOrd="1" destOrd="0" presId="urn:microsoft.com/office/officeart/2005/8/layout/orgChart1"/>
    <dgm:cxn modelId="{A50DB3E1-3654-4639-8013-08A853DF54F6}" type="presParOf" srcId="{095E6127-9664-4852-9D95-0DF76BE85F59}" destId="{044A519A-8139-40F2-91B2-0CCE1FD3CEA1}" srcOrd="1" destOrd="0" presId="urn:microsoft.com/office/officeart/2005/8/layout/orgChart1"/>
    <dgm:cxn modelId="{90CAFF70-7A5E-4238-89A6-D09C390420ED}" type="presParOf" srcId="{044A519A-8139-40F2-91B2-0CCE1FD3CEA1}" destId="{F99DA5E8-9B0E-4830-A075-84C59079BDBA}" srcOrd="0" destOrd="0" presId="urn:microsoft.com/office/officeart/2005/8/layout/orgChart1"/>
    <dgm:cxn modelId="{0F5784D0-6C8D-4076-B470-F9BCBE095CCB}" type="presParOf" srcId="{044A519A-8139-40F2-91B2-0CCE1FD3CEA1}" destId="{16E9A0D3-C873-4F2B-BE15-E443890B24E8}" srcOrd="1" destOrd="0" presId="urn:microsoft.com/office/officeart/2005/8/layout/orgChart1"/>
    <dgm:cxn modelId="{6ED5D13A-9120-4876-8DE7-AF02CC84BAB4}" type="presParOf" srcId="{16E9A0D3-C873-4F2B-BE15-E443890B24E8}" destId="{520C78C5-41A4-4639-AF40-A4D3331F4F49}" srcOrd="0" destOrd="0" presId="urn:microsoft.com/office/officeart/2005/8/layout/orgChart1"/>
    <dgm:cxn modelId="{67FCDB5B-3403-4A75-996A-8ECB4FCD7ADA}" type="presParOf" srcId="{520C78C5-41A4-4639-AF40-A4D3331F4F49}" destId="{2F765EF0-E08C-43BC-898B-77A1C9134B10}" srcOrd="0" destOrd="0" presId="urn:microsoft.com/office/officeart/2005/8/layout/orgChart1"/>
    <dgm:cxn modelId="{04C1294D-0FC3-423D-895C-6666EBE26418}" type="presParOf" srcId="{520C78C5-41A4-4639-AF40-A4D3331F4F49}" destId="{75FDC187-11F1-4DED-A10D-FD1FAA31D62B}" srcOrd="1" destOrd="0" presId="urn:microsoft.com/office/officeart/2005/8/layout/orgChart1"/>
    <dgm:cxn modelId="{150A25FF-423D-40C7-81C5-904C7376B0FB}" type="presParOf" srcId="{16E9A0D3-C873-4F2B-BE15-E443890B24E8}" destId="{A010C063-1D41-4DB3-8E33-E255DA7CA4D2}" srcOrd="1" destOrd="0" presId="urn:microsoft.com/office/officeart/2005/8/layout/orgChart1"/>
    <dgm:cxn modelId="{35CA24D9-4BA2-400D-B0D0-2647D5C5759F}" type="presParOf" srcId="{16E9A0D3-C873-4F2B-BE15-E443890B24E8}" destId="{EBB1A8A6-1D21-45E2-B4CF-23E6986F4727}" srcOrd="2" destOrd="0" presId="urn:microsoft.com/office/officeart/2005/8/layout/orgChart1"/>
    <dgm:cxn modelId="{E44B6E41-49A6-4CCD-AA5E-4D1B1EFAB195}" type="presParOf" srcId="{044A519A-8139-40F2-91B2-0CCE1FD3CEA1}" destId="{084AE061-44BE-4951-AC83-C58260E24DD4}" srcOrd="2" destOrd="0" presId="urn:microsoft.com/office/officeart/2005/8/layout/orgChart1"/>
    <dgm:cxn modelId="{4B8578E0-C5D6-43E9-9904-FBE72E3EFBAD}" type="presParOf" srcId="{044A519A-8139-40F2-91B2-0CCE1FD3CEA1}" destId="{06005769-7E5E-4D85-B9AD-B50D51B588C1}" srcOrd="3" destOrd="0" presId="urn:microsoft.com/office/officeart/2005/8/layout/orgChart1"/>
    <dgm:cxn modelId="{C8B482D4-E3BF-473F-9306-6023A7632107}" type="presParOf" srcId="{06005769-7E5E-4D85-B9AD-B50D51B588C1}" destId="{B31EE755-929F-4151-BE48-8890EB2F7302}" srcOrd="0" destOrd="0" presId="urn:microsoft.com/office/officeart/2005/8/layout/orgChart1"/>
    <dgm:cxn modelId="{D8B69F19-6E1A-4B57-B7DB-3A1BB5849C1B}" type="presParOf" srcId="{B31EE755-929F-4151-BE48-8890EB2F7302}" destId="{C2B94C85-B3C6-4712-830A-13D0A08060FB}" srcOrd="0" destOrd="0" presId="urn:microsoft.com/office/officeart/2005/8/layout/orgChart1"/>
    <dgm:cxn modelId="{B5681F0A-BA36-4108-9106-C41210BB7BB9}" type="presParOf" srcId="{B31EE755-929F-4151-BE48-8890EB2F7302}" destId="{0A723436-FA35-4825-8852-F309BFCA27ED}" srcOrd="1" destOrd="0" presId="urn:microsoft.com/office/officeart/2005/8/layout/orgChart1"/>
    <dgm:cxn modelId="{E0314F9A-142C-4870-AE32-E20A687AC4B0}" type="presParOf" srcId="{06005769-7E5E-4D85-B9AD-B50D51B588C1}" destId="{D21BEE50-8A55-4F27-A0E1-25912788453B}" srcOrd="1" destOrd="0" presId="urn:microsoft.com/office/officeart/2005/8/layout/orgChart1"/>
    <dgm:cxn modelId="{7BF94BE3-785E-42F8-BD7A-F12C91B9BED7}" type="presParOf" srcId="{06005769-7E5E-4D85-B9AD-B50D51B588C1}" destId="{6C98528C-5BB3-4305-B077-BCC939B56BE6}" srcOrd="2" destOrd="0" presId="urn:microsoft.com/office/officeart/2005/8/layout/orgChart1"/>
    <dgm:cxn modelId="{CACB33F1-2E66-473E-B40E-D90814899C89}" type="presParOf" srcId="{095E6127-9664-4852-9D95-0DF76BE85F59}" destId="{C4963D46-0FA6-42D1-8140-12AF395FED75}" srcOrd="2" destOrd="0" presId="urn:microsoft.com/office/officeart/2005/8/layout/orgChart1"/>
    <dgm:cxn modelId="{D664115B-CCDB-4542-AB0A-41520FE10E98}" type="presParOf" srcId="{06DDAD50-44B7-429A-8335-78873A460572}" destId="{1B2E8355-7D36-45B2-A7B2-56400C9AC3EF}" srcOrd="2" destOrd="0" presId="urn:microsoft.com/office/officeart/2005/8/layout/orgChart1"/>
    <dgm:cxn modelId="{76E898F7-4945-479A-A849-8C5B38DD52B8}" type="presParOf" srcId="{7BE76558-3F41-4A77-9AD2-CB02E8B814E2}" destId="{A6C7B33B-6815-467F-888A-67F98721EEE7}" srcOrd="2" destOrd="0" presId="urn:microsoft.com/office/officeart/2005/8/layout/orgChart1"/>
    <dgm:cxn modelId="{6AB2EB40-5F39-4218-A32E-5539CF1B2D11}" type="presParOf" srcId="{7BE76558-3F41-4A77-9AD2-CB02E8B814E2}" destId="{6ED8D5A1-3834-47BC-883F-64C16693AE19}" srcOrd="3" destOrd="0" presId="urn:microsoft.com/office/officeart/2005/8/layout/orgChart1"/>
    <dgm:cxn modelId="{09BD2876-387D-4904-BE49-4DB4A80DDB97}" type="presParOf" srcId="{6ED8D5A1-3834-47BC-883F-64C16693AE19}" destId="{56CF9193-46A8-447F-A60E-39A7FC8218F8}" srcOrd="0" destOrd="0" presId="urn:microsoft.com/office/officeart/2005/8/layout/orgChart1"/>
    <dgm:cxn modelId="{A46ACE50-B7C2-48C6-AB8F-9614BB3225B4}" type="presParOf" srcId="{56CF9193-46A8-447F-A60E-39A7FC8218F8}" destId="{FDB8A5C1-596D-4AA3-B083-7980222B40D6}" srcOrd="0" destOrd="0" presId="urn:microsoft.com/office/officeart/2005/8/layout/orgChart1"/>
    <dgm:cxn modelId="{78B6B1F7-564F-47F7-AEF7-10CAC0BF4150}" type="presParOf" srcId="{56CF9193-46A8-447F-A60E-39A7FC8218F8}" destId="{5652AA36-36FF-4F3B-9122-F81C0DB48182}" srcOrd="1" destOrd="0" presId="urn:microsoft.com/office/officeart/2005/8/layout/orgChart1"/>
    <dgm:cxn modelId="{42A1E438-F6BC-4C90-B535-484295CB0D41}" type="presParOf" srcId="{6ED8D5A1-3834-47BC-883F-64C16693AE19}" destId="{73533F21-CA55-4238-919B-CAFFFD84CCF3}" srcOrd="1" destOrd="0" presId="urn:microsoft.com/office/officeart/2005/8/layout/orgChart1"/>
    <dgm:cxn modelId="{D49EBED4-E082-46E5-A5A8-8BDF5A2D6214}" type="presParOf" srcId="{6ED8D5A1-3834-47BC-883F-64C16693AE19}" destId="{6B059B40-0703-48CC-AAE3-45E03F191E16}" srcOrd="2" destOrd="0" presId="urn:microsoft.com/office/officeart/2005/8/layout/orgChart1"/>
    <dgm:cxn modelId="{56101E71-FDF2-4457-B800-412AEAF90609}" type="presParOf" srcId="{7BE76558-3F41-4A77-9AD2-CB02E8B814E2}" destId="{2BAFBBE9-3E1B-4880-BA1A-4BC6CB13D6F6}" srcOrd="4" destOrd="0" presId="urn:microsoft.com/office/officeart/2005/8/layout/orgChart1"/>
    <dgm:cxn modelId="{8412E75E-BC86-4BAC-9FD3-5314314276D1}" type="presParOf" srcId="{7BE76558-3F41-4A77-9AD2-CB02E8B814E2}" destId="{C556F1EB-B9EE-4651-9C56-55C5C106A08C}" srcOrd="5" destOrd="0" presId="urn:microsoft.com/office/officeart/2005/8/layout/orgChart1"/>
    <dgm:cxn modelId="{A7EB3A30-FC80-4988-B290-910E0E331CBC}" type="presParOf" srcId="{C556F1EB-B9EE-4651-9C56-55C5C106A08C}" destId="{ADEE7A13-C760-47A7-904F-1AB77AB16BAE}" srcOrd="0" destOrd="0" presId="urn:microsoft.com/office/officeart/2005/8/layout/orgChart1"/>
    <dgm:cxn modelId="{E29CA556-A24D-49E5-AD42-1125BDA06420}" type="presParOf" srcId="{ADEE7A13-C760-47A7-904F-1AB77AB16BAE}" destId="{D88E9128-539D-4157-AAB8-4D0012E4758A}" srcOrd="0" destOrd="0" presId="urn:microsoft.com/office/officeart/2005/8/layout/orgChart1"/>
    <dgm:cxn modelId="{878DC9F9-3736-47A5-99EA-113FF190E371}" type="presParOf" srcId="{ADEE7A13-C760-47A7-904F-1AB77AB16BAE}" destId="{9B031B2D-8806-4BCA-A84B-9ED9E3D849B6}" srcOrd="1" destOrd="0" presId="urn:microsoft.com/office/officeart/2005/8/layout/orgChart1"/>
    <dgm:cxn modelId="{3F294251-9597-4FE0-A24F-C1D7E73459E2}" type="presParOf" srcId="{C556F1EB-B9EE-4651-9C56-55C5C106A08C}" destId="{9CB4F257-5C24-48E8-B7AB-3E4C1F9E9C1F}" srcOrd="1" destOrd="0" presId="urn:microsoft.com/office/officeart/2005/8/layout/orgChart1"/>
    <dgm:cxn modelId="{2DCDA06B-A8DF-4DA1-B3FB-0626CBC34D67}" type="presParOf" srcId="{C556F1EB-B9EE-4651-9C56-55C5C106A08C}" destId="{D8CC786F-3870-4F21-939D-C2C621A5642F}" srcOrd="2" destOrd="0" presId="urn:microsoft.com/office/officeart/2005/8/layout/orgChart1"/>
    <dgm:cxn modelId="{3547986C-F914-4186-8417-F78AD770A16F}" type="presParOf" srcId="{7BE76558-3F41-4A77-9AD2-CB02E8B814E2}" destId="{C7EE4F73-34BF-4DBA-9D07-057562427BEC}" srcOrd="6" destOrd="0" presId="urn:microsoft.com/office/officeart/2005/8/layout/orgChart1"/>
    <dgm:cxn modelId="{9C87A21A-2686-4455-BDE2-64EB2C338EB4}" type="presParOf" srcId="{7BE76558-3F41-4A77-9AD2-CB02E8B814E2}" destId="{6F4E0909-926C-45E4-B2D6-9E50347ACE39}" srcOrd="7" destOrd="0" presId="urn:microsoft.com/office/officeart/2005/8/layout/orgChart1"/>
    <dgm:cxn modelId="{BCED90B2-7D1C-44D6-9AD0-E534C9F81240}" type="presParOf" srcId="{6F4E0909-926C-45E4-B2D6-9E50347ACE39}" destId="{1C4A6496-D736-4D70-9823-264CD4DCAFF0}" srcOrd="0" destOrd="0" presId="urn:microsoft.com/office/officeart/2005/8/layout/orgChart1"/>
    <dgm:cxn modelId="{5FD9F3D1-18E2-457A-BE8B-8BE3E44697CF}" type="presParOf" srcId="{1C4A6496-D736-4D70-9823-264CD4DCAFF0}" destId="{E04B7582-38E0-4E16-A812-7E9364D97722}" srcOrd="0" destOrd="0" presId="urn:microsoft.com/office/officeart/2005/8/layout/orgChart1"/>
    <dgm:cxn modelId="{E0E37C29-62FE-4E51-A2EC-FDC89A5F4397}" type="presParOf" srcId="{1C4A6496-D736-4D70-9823-264CD4DCAFF0}" destId="{0DEC255A-63ED-4F4F-83A1-838CC439B4CE}" srcOrd="1" destOrd="0" presId="urn:microsoft.com/office/officeart/2005/8/layout/orgChart1"/>
    <dgm:cxn modelId="{098CB7AF-1A42-45C0-9E89-BF15C0B996B9}" type="presParOf" srcId="{6F4E0909-926C-45E4-B2D6-9E50347ACE39}" destId="{46F8091B-67BD-4BCF-9661-BA2203E16911}" srcOrd="1" destOrd="0" presId="urn:microsoft.com/office/officeart/2005/8/layout/orgChart1"/>
    <dgm:cxn modelId="{85C7C41B-514A-4244-8F5B-53A7B9A73535}" type="presParOf" srcId="{6F4E0909-926C-45E4-B2D6-9E50347ACE39}" destId="{6AFBC390-E092-499A-BC53-24DEB6E3F802}" srcOrd="2" destOrd="0" presId="urn:microsoft.com/office/officeart/2005/8/layout/orgChart1"/>
    <dgm:cxn modelId="{C41C1434-2A7B-4180-84C6-B58449A619FD}" type="presParOf" srcId="{666422F9-FC7A-4E53-8790-D3EA8D4A20E8}" destId="{A72DC473-2439-48EF-AAE2-3F5733C6A1D5}" srcOrd="2" destOrd="0" presId="urn:microsoft.com/office/officeart/2005/8/layout/orgChart1"/>
  </dgm:cxnLst>
  <dgm:bg>
    <a:noFill/>
  </dgm:bg>
  <dgm:whole>
    <a:ln>
      <a:noFill/>
    </a:ln>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EE4F73-34BF-4DBA-9D07-057562427BEC}">
      <dsp:nvSpPr>
        <dsp:cNvPr id="0" name=""/>
        <dsp:cNvSpPr/>
      </dsp:nvSpPr>
      <dsp:spPr>
        <a:xfrm>
          <a:off x="3229441" y="558134"/>
          <a:ext cx="1739373" cy="182499"/>
        </a:xfrm>
        <a:custGeom>
          <a:avLst/>
          <a:gdLst/>
          <a:ahLst/>
          <a:cxnLst/>
          <a:rect l="0" t="0" r="0" b="0"/>
          <a:pathLst>
            <a:path>
              <a:moveTo>
                <a:pt x="0" y="0"/>
              </a:moveTo>
              <a:lnTo>
                <a:pt x="0" y="91324"/>
              </a:lnTo>
              <a:lnTo>
                <a:pt x="1739373" y="91324"/>
              </a:lnTo>
              <a:lnTo>
                <a:pt x="1739373" y="182499"/>
              </a:lnTo>
            </a:path>
          </a:pathLst>
        </a:custGeom>
        <a:noFill/>
        <a:ln w="25400" cap="flat" cmpd="sng" algn="ctr">
          <a:solidFill>
            <a:schemeClr val="accent2"/>
          </a:solidFill>
          <a:prstDash val="solid"/>
        </a:ln>
        <a:effectLst/>
      </dsp:spPr>
      <dsp:style>
        <a:lnRef idx="2">
          <a:scrgbClr r="0" g="0" b="0"/>
        </a:lnRef>
        <a:fillRef idx="0">
          <a:scrgbClr r="0" g="0" b="0"/>
        </a:fillRef>
        <a:effectRef idx="0">
          <a:scrgbClr r="0" g="0" b="0"/>
        </a:effectRef>
        <a:fontRef idx="minor"/>
      </dsp:style>
    </dsp:sp>
    <dsp:sp modelId="{2BAFBBE9-3E1B-4880-BA1A-4BC6CB13D6F6}">
      <dsp:nvSpPr>
        <dsp:cNvPr id="0" name=""/>
        <dsp:cNvSpPr/>
      </dsp:nvSpPr>
      <dsp:spPr>
        <a:xfrm>
          <a:off x="3229441" y="558134"/>
          <a:ext cx="594127" cy="182499"/>
        </a:xfrm>
        <a:custGeom>
          <a:avLst/>
          <a:gdLst/>
          <a:ahLst/>
          <a:cxnLst/>
          <a:rect l="0" t="0" r="0" b="0"/>
          <a:pathLst>
            <a:path>
              <a:moveTo>
                <a:pt x="0" y="0"/>
              </a:moveTo>
              <a:lnTo>
                <a:pt x="0" y="91324"/>
              </a:lnTo>
              <a:lnTo>
                <a:pt x="594127" y="91324"/>
              </a:lnTo>
              <a:lnTo>
                <a:pt x="594127" y="182499"/>
              </a:lnTo>
            </a:path>
          </a:pathLst>
        </a:custGeom>
        <a:noFill/>
        <a:ln w="25400" cap="flat" cmpd="sng" algn="ctr">
          <a:solidFill>
            <a:schemeClr val="accent2"/>
          </a:solidFill>
          <a:prstDash val="solid"/>
        </a:ln>
        <a:effectLst/>
      </dsp:spPr>
      <dsp:style>
        <a:lnRef idx="2">
          <a:scrgbClr r="0" g="0" b="0"/>
        </a:lnRef>
        <a:fillRef idx="0">
          <a:scrgbClr r="0" g="0" b="0"/>
        </a:fillRef>
        <a:effectRef idx="0">
          <a:scrgbClr r="0" g="0" b="0"/>
        </a:effectRef>
        <a:fontRef idx="minor"/>
      </dsp:style>
    </dsp:sp>
    <dsp:sp modelId="{A6C7B33B-6815-467F-888A-67F98721EEE7}">
      <dsp:nvSpPr>
        <dsp:cNvPr id="0" name=""/>
        <dsp:cNvSpPr/>
      </dsp:nvSpPr>
      <dsp:spPr>
        <a:xfrm>
          <a:off x="2692432" y="558134"/>
          <a:ext cx="537008" cy="182499"/>
        </a:xfrm>
        <a:custGeom>
          <a:avLst/>
          <a:gdLst/>
          <a:ahLst/>
          <a:cxnLst/>
          <a:rect l="0" t="0" r="0" b="0"/>
          <a:pathLst>
            <a:path>
              <a:moveTo>
                <a:pt x="537008" y="0"/>
              </a:moveTo>
              <a:lnTo>
                <a:pt x="537008" y="91324"/>
              </a:lnTo>
              <a:lnTo>
                <a:pt x="0" y="91324"/>
              </a:lnTo>
              <a:lnTo>
                <a:pt x="0" y="182499"/>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4AE061-44BE-4951-AC83-C58260E24DD4}">
      <dsp:nvSpPr>
        <dsp:cNvPr id="0" name=""/>
        <dsp:cNvSpPr/>
      </dsp:nvSpPr>
      <dsp:spPr>
        <a:xfrm>
          <a:off x="460219" y="3131532"/>
          <a:ext cx="2563858" cy="855137"/>
        </a:xfrm>
        <a:custGeom>
          <a:avLst/>
          <a:gdLst/>
          <a:ahLst/>
          <a:cxnLst/>
          <a:rect l="0" t="0" r="0" b="0"/>
          <a:pathLst>
            <a:path>
              <a:moveTo>
                <a:pt x="0" y="0"/>
              </a:moveTo>
              <a:lnTo>
                <a:pt x="0" y="855137"/>
              </a:lnTo>
              <a:lnTo>
                <a:pt x="2563858" y="855137"/>
              </a:lnTo>
            </a:path>
          </a:pathLst>
        </a:custGeom>
        <a:noFill/>
        <a:ln w="25400" cap="flat" cmpd="sng" algn="ctr">
          <a:solidFill>
            <a:schemeClr val="accent2"/>
          </a:solidFill>
          <a:prstDash val="solid"/>
        </a:ln>
        <a:effectLst/>
      </dsp:spPr>
      <dsp:style>
        <a:lnRef idx="2">
          <a:scrgbClr r="0" g="0" b="0"/>
        </a:lnRef>
        <a:fillRef idx="0">
          <a:scrgbClr r="0" g="0" b="0"/>
        </a:fillRef>
        <a:effectRef idx="0">
          <a:scrgbClr r="0" g="0" b="0"/>
        </a:effectRef>
        <a:fontRef idx="minor"/>
      </dsp:style>
    </dsp:sp>
    <dsp:sp modelId="{F99DA5E8-9B0E-4830-A075-84C59079BDBA}">
      <dsp:nvSpPr>
        <dsp:cNvPr id="0" name=""/>
        <dsp:cNvSpPr/>
      </dsp:nvSpPr>
      <dsp:spPr>
        <a:xfrm>
          <a:off x="460219" y="3131532"/>
          <a:ext cx="2569763" cy="240461"/>
        </a:xfrm>
        <a:custGeom>
          <a:avLst/>
          <a:gdLst/>
          <a:ahLst/>
          <a:cxnLst/>
          <a:rect l="0" t="0" r="0" b="0"/>
          <a:pathLst>
            <a:path>
              <a:moveTo>
                <a:pt x="0" y="0"/>
              </a:moveTo>
              <a:lnTo>
                <a:pt x="0" y="240461"/>
              </a:lnTo>
              <a:lnTo>
                <a:pt x="2569763" y="240461"/>
              </a:lnTo>
            </a:path>
          </a:pathLst>
        </a:custGeom>
        <a:noFill/>
        <a:ln w="25400" cap="flat" cmpd="sng" algn="ctr">
          <a:solidFill>
            <a:schemeClr val="accent2"/>
          </a:solidFill>
          <a:prstDash val="solid"/>
        </a:ln>
        <a:effectLst/>
      </dsp:spPr>
      <dsp:style>
        <a:lnRef idx="2">
          <a:scrgbClr r="0" g="0" b="0"/>
        </a:lnRef>
        <a:fillRef idx="0">
          <a:scrgbClr r="0" g="0" b="0"/>
        </a:fillRef>
        <a:effectRef idx="0">
          <a:scrgbClr r="0" g="0" b="0"/>
        </a:effectRef>
        <a:fontRef idx="minor"/>
      </dsp:style>
    </dsp:sp>
    <dsp:sp modelId="{6523D5D5-D48F-4236-BC1D-94CBB2C1DADA}">
      <dsp:nvSpPr>
        <dsp:cNvPr id="0" name=""/>
        <dsp:cNvSpPr/>
      </dsp:nvSpPr>
      <dsp:spPr>
        <a:xfrm>
          <a:off x="1426112" y="1330581"/>
          <a:ext cx="91440" cy="244965"/>
        </a:xfrm>
        <a:custGeom>
          <a:avLst/>
          <a:gdLst/>
          <a:ahLst/>
          <a:cxnLst/>
          <a:rect l="0" t="0" r="0" b="0"/>
          <a:pathLst>
            <a:path>
              <a:moveTo>
                <a:pt x="97194" y="0"/>
              </a:moveTo>
              <a:lnTo>
                <a:pt x="97194" y="153790"/>
              </a:lnTo>
              <a:lnTo>
                <a:pt x="45720" y="153790"/>
              </a:lnTo>
              <a:lnTo>
                <a:pt x="45720" y="244965"/>
              </a:lnTo>
            </a:path>
          </a:pathLst>
        </a:custGeom>
        <a:noFill/>
        <a:ln w="25400" cap="flat" cmpd="sng" algn="ctr">
          <a:solidFill>
            <a:schemeClr val="bg1"/>
          </a:solidFill>
          <a:prstDash val="solid"/>
        </a:ln>
        <a:effectLst/>
      </dsp:spPr>
      <dsp:style>
        <a:lnRef idx="2">
          <a:scrgbClr r="0" g="0" b="0"/>
        </a:lnRef>
        <a:fillRef idx="0">
          <a:scrgbClr r="0" g="0" b="0"/>
        </a:fillRef>
        <a:effectRef idx="0">
          <a:scrgbClr r="0" g="0" b="0"/>
        </a:effectRef>
        <a:fontRef idx="minor"/>
      </dsp:style>
    </dsp:sp>
    <dsp:sp modelId="{3A1DBCB8-3AB6-4B17-BF6C-19DD48C87E04}">
      <dsp:nvSpPr>
        <dsp:cNvPr id="0" name=""/>
        <dsp:cNvSpPr/>
      </dsp:nvSpPr>
      <dsp:spPr>
        <a:xfrm>
          <a:off x="1523307" y="558134"/>
          <a:ext cx="1706133" cy="182499"/>
        </a:xfrm>
        <a:custGeom>
          <a:avLst/>
          <a:gdLst/>
          <a:ahLst/>
          <a:cxnLst/>
          <a:rect l="0" t="0" r="0" b="0"/>
          <a:pathLst>
            <a:path>
              <a:moveTo>
                <a:pt x="1706133" y="0"/>
              </a:moveTo>
              <a:lnTo>
                <a:pt x="1706133" y="91324"/>
              </a:lnTo>
              <a:lnTo>
                <a:pt x="0" y="91324"/>
              </a:lnTo>
              <a:lnTo>
                <a:pt x="0" y="182499"/>
              </a:lnTo>
            </a:path>
          </a:pathLst>
        </a:custGeom>
        <a:noFill/>
        <a:ln w="25400" cap="flat" cmpd="sng" algn="ctr">
          <a:solidFill>
            <a:schemeClr val="accent2"/>
          </a:solidFill>
          <a:prstDash val="solid"/>
        </a:ln>
        <a:effectLst/>
      </dsp:spPr>
      <dsp:style>
        <a:lnRef idx="2">
          <a:scrgbClr r="0" g="0" b="0"/>
        </a:lnRef>
        <a:fillRef idx="0">
          <a:scrgbClr r="0" g="0" b="0"/>
        </a:fillRef>
        <a:effectRef idx="0">
          <a:scrgbClr r="0" g="0" b="0"/>
        </a:effectRef>
        <a:fontRef idx="minor"/>
      </dsp:style>
    </dsp:sp>
    <dsp:sp modelId="{4F9BF8A0-2910-43D7-8313-4CA07F63EB85}">
      <dsp:nvSpPr>
        <dsp:cNvPr id="0" name=""/>
        <dsp:cNvSpPr/>
      </dsp:nvSpPr>
      <dsp:spPr>
        <a:xfrm>
          <a:off x="2732527" y="0"/>
          <a:ext cx="993826" cy="558134"/>
        </a:xfrm>
        <a:prstGeom prst="rect">
          <a:avLst/>
        </a:prstGeom>
        <a:solidFill>
          <a:schemeClr val="accent1">
            <a:alpha val="8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b="1" kern="1200">
              <a:solidFill>
                <a:schemeClr val="bg1"/>
              </a:solidFill>
              <a:latin typeface="Arial" pitchFamily="34" charset="0"/>
              <a:cs typeface="Arial" pitchFamily="34" charset="0"/>
            </a:rPr>
            <a:t>Clearinghouse products</a:t>
          </a:r>
        </a:p>
      </dsp:txBody>
      <dsp:txXfrm>
        <a:off x="2732527" y="0"/>
        <a:ext cx="993826" cy="558134"/>
      </dsp:txXfrm>
    </dsp:sp>
    <dsp:sp modelId="{BC394F46-6A3B-483E-9F42-3FB5205364CD}">
      <dsp:nvSpPr>
        <dsp:cNvPr id="0" name=""/>
        <dsp:cNvSpPr/>
      </dsp:nvSpPr>
      <dsp:spPr>
        <a:xfrm>
          <a:off x="998359" y="740634"/>
          <a:ext cx="1049894" cy="589946"/>
        </a:xfrm>
        <a:prstGeom prst="rect">
          <a:avLst/>
        </a:prstGeom>
        <a:solidFill>
          <a:schemeClr val="accent4">
            <a:lumMod val="40000"/>
            <a:lumOff val="60000"/>
            <a:alpha val="9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Assessed collection</a:t>
          </a:r>
        </a:p>
      </dsp:txBody>
      <dsp:txXfrm>
        <a:off x="998359" y="740634"/>
        <a:ext cx="1049894" cy="589946"/>
      </dsp:txXfrm>
    </dsp:sp>
    <dsp:sp modelId="{F32FDFF7-37CB-4541-AA00-425778B6FFF6}">
      <dsp:nvSpPr>
        <dsp:cNvPr id="0" name=""/>
        <dsp:cNvSpPr/>
      </dsp:nvSpPr>
      <dsp:spPr>
        <a:xfrm>
          <a:off x="207315" y="1575546"/>
          <a:ext cx="2529032" cy="1555985"/>
        </a:xfrm>
        <a:prstGeom prst="rect">
          <a:avLst/>
        </a:prstGeom>
        <a:solidFill>
          <a:schemeClr val="accent1">
            <a:alpha val="5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AU" sz="900" b="1" kern="1200">
              <a:solidFill>
                <a:sysClr val="windowText" lastClr="000000"/>
              </a:solidFill>
              <a:latin typeface="Arial" pitchFamily="34" charset="0"/>
              <a:cs typeface="Arial" pitchFamily="34" charset="0"/>
            </a:rPr>
            <a:t>Characteristics of the research</a:t>
          </a:r>
        </a:p>
        <a:p>
          <a:pPr marL="108000" lvl="0" algn="l" defTabSz="400050">
            <a:lnSpc>
              <a:spcPts val="1080"/>
            </a:lnSpc>
            <a:spcBef>
              <a:spcPct val="0"/>
            </a:spcBef>
            <a:spcAft>
              <a:spcPts val="600"/>
            </a:spcAft>
          </a:pPr>
          <a:r>
            <a:rPr lang="en-AU" sz="800" kern="1200">
              <a:solidFill>
                <a:sysClr val="windowText" lastClr="000000"/>
              </a:solidFill>
              <a:latin typeface="Arial" pitchFamily="34" charset="0"/>
              <a:cs typeface="Arial" pitchFamily="34" charset="0"/>
            </a:rPr>
            <a:t>- type of research </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type of publication </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whether a cost analysis was undertaken </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whether an evaluation component was included</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whether the program/activity was designed for </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Indigenous Australians </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participant study population</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country of research</a:t>
          </a:r>
          <a:br>
            <a:rPr lang="en-AU" sz="800" kern="1200">
              <a:solidFill>
                <a:sysClr val="windowText" lastClr="000000"/>
              </a:solidFill>
              <a:latin typeface="Arial" pitchFamily="34" charset="0"/>
              <a:cs typeface="Arial" pitchFamily="34" charset="0"/>
            </a:rPr>
          </a:br>
          <a:r>
            <a:rPr lang="en-AU" sz="800" kern="1200">
              <a:solidFill>
                <a:sysClr val="windowText" lastClr="000000"/>
              </a:solidFill>
              <a:latin typeface="Arial" pitchFamily="34" charset="0"/>
              <a:cs typeface="Arial" pitchFamily="34" charset="0"/>
            </a:rPr>
            <a:t>- Australian geographic location</a:t>
          </a:r>
        </a:p>
      </dsp:txBody>
      <dsp:txXfrm>
        <a:off x="207315" y="1575546"/>
        <a:ext cx="2529032" cy="1555985"/>
      </dsp:txXfrm>
    </dsp:sp>
    <dsp:sp modelId="{2F765EF0-E08C-43BC-898B-77A1C9134B10}">
      <dsp:nvSpPr>
        <dsp:cNvPr id="0" name=""/>
        <dsp:cNvSpPr/>
      </dsp:nvSpPr>
      <dsp:spPr>
        <a:xfrm>
          <a:off x="3029982" y="3181171"/>
          <a:ext cx="2400128" cy="381646"/>
        </a:xfrm>
        <a:prstGeom prst="rect">
          <a:avLst/>
        </a:prstGeom>
        <a:solidFill>
          <a:schemeClr val="accent1">
            <a:alpha val="5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Themes of research and key learnings</a:t>
          </a:r>
        </a:p>
      </dsp:txBody>
      <dsp:txXfrm>
        <a:off x="3029982" y="3181171"/>
        <a:ext cx="2400128" cy="381646"/>
      </dsp:txXfrm>
    </dsp:sp>
    <dsp:sp modelId="{C2B94C85-B3C6-4712-830A-13D0A08060FB}">
      <dsp:nvSpPr>
        <dsp:cNvPr id="0" name=""/>
        <dsp:cNvSpPr/>
      </dsp:nvSpPr>
      <dsp:spPr>
        <a:xfrm>
          <a:off x="3024077" y="3815411"/>
          <a:ext cx="2414369" cy="342518"/>
        </a:xfrm>
        <a:prstGeom prst="rect">
          <a:avLst/>
        </a:prstGeom>
        <a:solidFill>
          <a:schemeClr val="accent1">
            <a:alpha val="5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Gaps in the evidence</a:t>
          </a:r>
        </a:p>
      </dsp:txBody>
      <dsp:txXfrm>
        <a:off x="3024077" y="3815411"/>
        <a:ext cx="2414369" cy="342518"/>
      </dsp:txXfrm>
    </dsp:sp>
    <dsp:sp modelId="{FDB8A5C1-596D-4AA3-B083-7980222B40D6}">
      <dsp:nvSpPr>
        <dsp:cNvPr id="0" name=""/>
        <dsp:cNvSpPr/>
      </dsp:nvSpPr>
      <dsp:spPr>
        <a:xfrm>
          <a:off x="2221982" y="740634"/>
          <a:ext cx="940901" cy="588722"/>
        </a:xfrm>
        <a:prstGeom prst="rect">
          <a:avLst/>
        </a:prstGeom>
        <a:solidFill>
          <a:schemeClr val="accent4">
            <a:lumMod val="40000"/>
            <a:lumOff val="60000"/>
            <a:alpha val="9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Resource sheets</a:t>
          </a:r>
          <a:endParaRPr lang="en-AU" sz="900" kern="1200">
            <a:latin typeface="Arial" pitchFamily="34" charset="0"/>
            <a:cs typeface="Arial" pitchFamily="34" charset="0"/>
          </a:endParaRPr>
        </a:p>
      </dsp:txBody>
      <dsp:txXfrm>
        <a:off x="2221982" y="740634"/>
        <a:ext cx="940901" cy="588722"/>
      </dsp:txXfrm>
    </dsp:sp>
    <dsp:sp modelId="{D88E9128-539D-4157-AAB8-4D0012E4758A}">
      <dsp:nvSpPr>
        <dsp:cNvPr id="0" name=""/>
        <dsp:cNvSpPr/>
      </dsp:nvSpPr>
      <dsp:spPr>
        <a:xfrm>
          <a:off x="3353117" y="740634"/>
          <a:ext cx="940901" cy="588722"/>
        </a:xfrm>
        <a:prstGeom prst="rect">
          <a:avLst/>
        </a:prstGeom>
        <a:solidFill>
          <a:schemeClr val="accent4">
            <a:lumMod val="40000"/>
            <a:lumOff val="60000"/>
            <a:alpha val="9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Issues papers</a:t>
          </a:r>
          <a:endParaRPr lang="en-AU" sz="800" kern="1200">
            <a:latin typeface="Arial" pitchFamily="34" charset="0"/>
            <a:cs typeface="Arial" pitchFamily="34" charset="0"/>
          </a:endParaRPr>
        </a:p>
      </dsp:txBody>
      <dsp:txXfrm>
        <a:off x="3353117" y="740634"/>
        <a:ext cx="940901" cy="588722"/>
      </dsp:txXfrm>
    </dsp:sp>
    <dsp:sp modelId="{E04B7582-38E0-4E16-A812-7E9364D97722}">
      <dsp:nvSpPr>
        <dsp:cNvPr id="0" name=""/>
        <dsp:cNvSpPr/>
      </dsp:nvSpPr>
      <dsp:spPr>
        <a:xfrm>
          <a:off x="4477107" y="740634"/>
          <a:ext cx="983414" cy="588722"/>
        </a:xfrm>
        <a:prstGeom prst="rect">
          <a:avLst/>
        </a:prstGeom>
        <a:solidFill>
          <a:schemeClr val="accent4">
            <a:lumMod val="40000"/>
            <a:lumOff val="60000"/>
            <a:alpha val="9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AU" sz="800" kern="1200">
              <a:solidFill>
                <a:sysClr val="windowText" lastClr="000000"/>
              </a:solidFill>
              <a:latin typeface="Arial" pitchFamily="34" charset="0"/>
              <a:cs typeface="Arial" pitchFamily="34" charset="0"/>
            </a:rPr>
            <a:t>Research and Evaluation Register</a:t>
          </a:r>
        </a:p>
      </dsp:txBody>
      <dsp:txXfrm>
        <a:off x="4477107" y="740634"/>
        <a:ext cx="983414" cy="5887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Year 2 gaps paper">
    <a:dk1>
      <a:sysClr val="windowText" lastClr="000000"/>
    </a:dk1>
    <a:lt1>
      <a:sysClr val="window" lastClr="FFFFFF"/>
    </a:lt1>
    <a:dk2>
      <a:srgbClr val="646B86"/>
    </a:dk2>
    <a:lt2>
      <a:srgbClr val="C5D1D7"/>
    </a:lt2>
    <a:accent1>
      <a:srgbClr val="C96009"/>
    </a:accent1>
    <a:accent2>
      <a:srgbClr val="646B86"/>
    </a:accent2>
    <a:accent3>
      <a:srgbClr val="63281A"/>
    </a:accent3>
    <a:accent4>
      <a:srgbClr val="E7AE0F"/>
    </a:accent4>
    <a:accent5>
      <a:srgbClr val="8C7B70"/>
    </a:accent5>
    <a:accent6>
      <a:srgbClr val="000000"/>
    </a:accent6>
    <a:hlink>
      <a:srgbClr val="00A3D6"/>
    </a:hlink>
    <a:folHlink>
      <a:srgbClr val="694F07"/>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D8E0F-A680-47CD-80FD-02406B6A2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232</TotalTime>
  <Pages>21</Pages>
  <Words>5613</Words>
  <Characters>32249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Communicating Evaluation Outcomes</vt:lpstr>
    </vt:vector>
  </TitlesOfParts>
  <Company>Productivity Commission</Company>
  <LinksUpToDate>false</LinksUpToDate>
  <CharactersWithSpaces>37787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Communicating Evaluation Outcomes</dc:title>
  <dc:subject>Better Indigenous Policies: The Role of Evaluation</dc:subject>
  <dc:creator>Productivity Commission</dc:creator>
  <cp:keywords/>
  <dc:description>9.</dc:description>
  <cp:lastModifiedBy>Productivity Commission</cp:lastModifiedBy>
  <cp:revision>37</cp:revision>
  <cp:lastPrinted>2013-04-16T07:15:00Z</cp:lastPrinted>
  <dcterms:created xsi:type="dcterms:W3CDTF">2013-03-06T02:11:00Z</dcterms:created>
  <dcterms:modified xsi:type="dcterms:W3CDTF">2013-04-24T01:56:00Z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1014643551</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