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3F2CE9" w:rsidRDefault="00444D23" w:rsidP="00531FE5">
      <w:pPr>
        <w:pStyle w:val="Heading1"/>
        <w:spacing w:before="0"/>
      </w:pPr>
      <w:bookmarkStart w:id="0" w:name="ChapterNumber"/>
      <w:r>
        <w:t>10</w:t>
      </w:r>
      <w:bookmarkEnd w:id="0"/>
      <w:r w:rsidR="00531FE5" w:rsidRPr="003F2CE9">
        <w:tab/>
      </w:r>
      <w:r w:rsidR="001E231D" w:rsidRPr="003F2CE9">
        <w:t xml:space="preserve">Better </w:t>
      </w:r>
      <w:r w:rsidR="002A1D3B">
        <w:t>I</w:t>
      </w:r>
      <w:r w:rsidR="001E231D" w:rsidRPr="003F2CE9">
        <w:t>ndigenous policies: an Aotearoa New Zealand perspective on the role of evaluation</w:t>
      </w:r>
    </w:p>
    <w:p w:rsidR="001E231D" w:rsidRPr="003F2CE9" w:rsidRDefault="001E231D" w:rsidP="001E231D">
      <w:pPr>
        <w:pStyle w:val="Author"/>
      </w:pPr>
      <w:bookmarkStart w:id="1" w:name="begin"/>
      <w:bookmarkEnd w:id="1"/>
      <w:r w:rsidRPr="003F2CE9">
        <w:t xml:space="preserve">Helen </w:t>
      </w:r>
      <w:proofErr w:type="spellStart"/>
      <w:r w:rsidRPr="003F2CE9">
        <w:t>Moewaka</w:t>
      </w:r>
      <w:proofErr w:type="spellEnd"/>
      <w:r w:rsidRPr="003F2CE9">
        <w:t xml:space="preserve"> Barnes</w:t>
      </w:r>
      <w:r w:rsidRPr="003F2CE9">
        <w:rPr>
          <w:rStyle w:val="FootnoteReference"/>
        </w:rPr>
        <w:footnoteReference w:id="1"/>
      </w:r>
    </w:p>
    <w:p w:rsidR="00293AC1" w:rsidRPr="004172A0" w:rsidRDefault="00293AC1" w:rsidP="00293AC1">
      <w:pPr>
        <w:pStyle w:val="AbstractHeading"/>
      </w:pPr>
      <w:bookmarkStart w:id="2" w:name="_Toc341182874"/>
      <w:r w:rsidRPr="004172A0">
        <w:t>Abstract</w:t>
      </w:r>
      <w:bookmarkStart w:id="3" w:name="_GoBack"/>
      <w:bookmarkEnd w:id="3"/>
    </w:p>
    <w:bookmarkEnd w:id="2"/>
    <w:p w:rsidR="001E231D" w:rsidRPr="003F2CE9" w:rsidRDefault="001E231D" w:rsidP="00F042D4">
      <w:pPr>
        <w:pStyle w:val="AbstractText"/>
        <w:jc w:val="both"/>
      </w:pPr>
      <w:r w:rsidRPr="003F2CE9">
        <w:t>Policy eval</w:t>
      </w:r>
      <w:r w:rsidR="00304944">
        <w:t>uation, particularly government-</w:t>
      </w:r>
      <w:r w:rsidRPr="003F2CE9">
        <w:t>funded evaluation, tends to focus on high</w:t>
      </w:r>
      <w:r w:rsidR="00304944">
        <w:t>-</w:t>
      </w:r>
      <w:r w:rsidRPr="003F2CE9">
        <w:t xml:space="preserve">level indicators or on those charged with </w:t>
      </w:r>
      <w:r w:rsidR="003F2CE9" w:rsidRPr="003F2CE9">
        <w:t>implementing specific program</w:t>
      </w:r>
      <w:r w:rsidRPr="003F2CE9">
        <w:t xml:space="preserve">s rather than on systems of transmission and the mix of policies and strategies across government. </w:t>
      </w:r>
      <w:r w:rsidR="00E52F9C">
        <w:t>Māori</w:t>
      </w:r>
      <w:r w:rsidRPr="003F2CE9">
        <w:t xml:space="preserve"> providers come under particular scrutiny through evaluation. This has, however provided an opportunity for the development of </w:t>
      </w:r>
      <w:r w:rsidR="003F2CE9" w:rsidRPr="003F2CE9">
        <w:t>‘</w:t>
      </w:r>
      <w:r w:rsidRPr="003F2CE9">
        <w:t xml:space="preserve">by </w:t>
      </w:r>
      <w:r w:rsidR="00E52F9C">
        <w:t>Māori</w:t>
      </w:r>
      <w:r w:rsidRPr="003F2CE9">
        <w:t xml:space="preserve">, for </w:t>
      </w:r>
      <w:r w:rsidR="00E52F9C">
        <w:t>Māori</w:t>
      </w:r>
      <w:r w:rsidR="003F2CE9" w:rsidRPr="003F2CE9">
        <w:t>’</w:t>
      </w:r>
      <w:r w:rsidRPr="003F2CE9">
        <w:t xml:space="preserve"> evaluation, with the </w:t>
      </w:r>
      <w:proofErr w:type="spellStart"/>
      <w:r w:rsidRPr="003F2CE9">
        <w:t>Kaupapa</w:t>
      </w:r>
      <w:proofErr w:type="spellEnd"/>
      <w:r w:rsidRPr="003F2CE9">
        <w:t xml:space="preserve"> </w:t>
      </w:r>
      <w:r w:rsidR="00E52F9C">
        <w:t>Māori</w:t>
      </w:r>
      <w:r w:rsidRPr="003F2CE9">
        <w:t xml:space="preserve"> paradigm providing a significant space for a wide range of </w:t>
      </w:r>
      <w:r w:rsidR="00E52F9C">
        <w:t>Māori</w:t>
      </w:r>
      <w:r w:rsidRPr="003F2CE9">
        <w:t xml:space="preserve"> individuals and organisations to work from. What these approaches have achieved is the support and reinforcement of policies, such as </w:t>
      </w:r>
      <w:proofErr w:type="spellStart"/>
      <w:r w:rsidRPr="003F2CE9">
        <w:t>Whanau</w:t>
      </w:r>
      <w:proofErr w:type="spellEnd"/>
      <w:r w:rsidRPr="003F2CE9">
        <w:t xml:space="preserve"> </w:t>
      </w:r>
      <w:proofErr w:type="spellStart"/>
      <w:r w:rsidRPr="003F2CE9">
        <w:t>Ora</w:t>
      </w:r>
      <w:proofErr w:type="spellEnd"/>
      <w:r w:rsidRPr="003F2CE9">
        <w:t xml:space="preserve">, which are premised on the right </w:t>
      </w:r>
      <w:r w:rsidR="00304944">
        <w:t xml:space="preserve">of </w:t>
      </w:r>
      <w:r w:rsidRPr="003F2CE9">
        <w:t xml:space="preserve">and need for </w:t>
      </w:r>
      <w:r w:rsidR="00E52F9C">
        <w:t>Māori</w:t>
      </w:r>
      <w:r w:rsidRPr="003F2CE9">
        <w:t xml:space="preserve"> to be involved through collaborative and consultative processes at all stages</w:t>
      </w:r>
      <w:r w:rsidR="0004084A">
        <w:t>:</w:t>
      </w:r>
      <w:r w:rsidRPr="003F2CE9">
        <w:t xml:space="preserve"> from policy design to implementation to evaluation. </w:t>
      </w:r>
    </w:p>
    <w:p w:rsidR="001E231D" w:rsidRPr="003F2CE9" w:rsidRDefault="00293AC1" w:rsidP="001E231D">
      <w:pPr>
        <w:pStyle w:val="Heading2"/>
      </w:pPr>
      <w:bookmarkStart w:id="4" w:name="_Toc341182875"/>
      <w:r>
        <w:t>10.1</w:t>
      </w:r>
      <w:r w:rsidR="001E231D" w:rsidRPr="003F2CE9">
        <w:tab/>
        <w:t>Introduction</w:t>
      </w:r>
      <w:bookmarkEnd w:id="4"/>
    </w:p>
    <w:p w:rsidR="001E231D" w:rsidRPr="003F2CE9" w:rsidRDefault="001E231D" w:rsidP="000D0624">
      <w:pPr>
        <w:pStyle w:val="BodyText"/>
      </w:pPr>
      <w:bookmarkStart w:id="5" w:name="_Toc337797919"/>
      <w:r w:rsidRPr="003F2CE9">
        <w:t>The Treaty of Waitangi/</w:t>
      </w:r>
      <w:proofErr w:type="spellStart"/>
      <w:r w:rsidRPr="003F2CE9">
        <w:t>Te</w:t>
      </w:r>
      <w:proofErr w:type="spellEnd"/>
      <w:r w:rsidRPr="003F2CE9">
        <w:t xml:space="preserve"> </w:t>
      </w:r>
      <w:proofErr w:type="spellStart"/>
      <w:r w:rsidRPr="003F2CE9">
        <w:t>Tiriti</w:t>
      </w:r>
      <w:proofErr w:type="spellEnd"/>
      <w:r w:rsidRPr="003F2CE9">
        <w:t xml:space="preserve"> o Waitangi, the 1840 agreement between the tribes of New Zealand and the Crown provides a foundation for relationships, encompassing issues of ownership, control, equity, involvement and participation. The </w:t>
      </w:r>
      <w:r w:rsidR="009421D9">
        <w:t>T</w:t>
      </w:r>
      <w:r w:rsidRPr="003F2CE9">
        <w:t xml:space="preserve">reaty, developed in part as a response to concerns over </w:t>
      </w:r>
      <w:r w:rsidR="00E52F9C">
        <w:t>Māori</w:t>
      </w:r>
      <w:r w:rsidRPr="003F2CE9">
        <w:rPr>
          <w:rStyle w:val="FootnoteReference"/>
        </w:rPr>
        <w:footnoteReference w:id="2"/>
      </w:r>
      <w:r w:rsidRPr="003F2CE9">
        <w:t xml:space="preserve"> health and wellbeing (</w:t>
      </w:r>
      <w:proofErr w:type="spellStart"/>
      <w:r w:rsidRPr="003F2CE9">
        <w:t>Durie</w:t>
      </w:r>
      <w:proofErr w:type="spellEnd"/>
      <w:r w:rsidRPr="003F2CE9">
        <w:t xml:space="preserve"> 1994, </w:t>
      </w:r>
      <w:r w:rsidR="00097E8D">
        <w:t xml:space="preserve">pp. </w:t>
      </w:r>
      <w:r w:rsidRPr="003F2CE9">
        <w:t>83</w:t>
      </w:r>
      <w:r w:rsidR="003F2CE9" w:rsidRPr="003F2CE9">
        <w:t>–</w:t>
      </w:r>
      <w:r w:rsidRPr="003F2CE9">
        <w:t xml:space="preserve">4; Health Promotion Forum 2002), is the overarching point of difference between policy and evaluation in Aotearoa New Zealand and in other contexts. Although subject to changing political and public positioning, the </w:t>
      </w:r>
      <w:r w:rsidR="009421D9">
        <w:t>T</w:t>
      </w:r>
      <w:r w:rsidRPr="003F2CE9">
        <w:t>reaty influences social policy and service provision and, in some cases, is included in social legislation (James 1997).</w:t>
      </w:r>
      <w:bookmarkEnd w:id="5"/>
    </w:p>
    <w:p w:rsidR="001E231D" w:rsidRPr="003F2CE9" w:rsidRDefault="001E231D" w:rsidP="000D0624">
      <w:pPr>
        <w:pStyle w:val="BodyText"/>
      </w:pPr>
      <w:r w:rsidRPr="003F2CE9">
        <w:lastRenderedPageBreak/>
        <w:t>Partnership, participation and protection have been identified as primary principles of the Treaty (</w:t>
      </w:r>
      <w:proofErr w:type="spellStart"/>
      <w:r w:rsidRPr="003F2CE9">
        <w:t>Durie</w:t>
      </w:r>
      <w:proofErr w:type="spellEnd"/>
      <w:r w:rsidRPr="003F2CE9">
        <w:t xml:space="preserve"> 1994) but definitions of these terms are diverse. However, </w:t>
      </w:r>
      <w:proofErr w:type="spellStart"/>
      <w:r w:rsidRPr="003F2CE9">
        <w:t>tino</w:t>
      </w:r>
      <w:proofErr w:type="spellEnd"/>
      <w:r w:rsidRPr="003F2CE9">
        <w:t xml:space="preserve"> </w:t>
      </w:r>
      <w:proofErr w:type="spellStart"/>
      <w:r w:rsidRPr="003F2CE9">
        <w:t>rangatiratanga</w:t>
      </w:r>
      <w:proofErr w:type="spellEnd"/>
      <w:r w:rsidRPr="003F2CE9">
        <w:t xml:space="preserve"> as guaranteed in Article Two of the Treaty encompasses the right to exercise </w:t>
      </w:r>
      <w:r w:rsidR="00E52F9C">
        <w:t>Māori</w:t>
      </w:r>
      <w:r w:rsidRPr="003F2CE9">
        <w:t xml:space="preserve"> world</w:t>
      </w:r>
      <w:r w:rsidR="001F2304">
        <w:t xml:space="preserve"> </w:t>
      </w:r>
      <w:r w:rsidRPr="003F2CE9">
        <w:t xml:space="preserve">views, authority and control as normal and legitimate processes and practices. </w:t>
      </w:r>
      <w:proofErr w:type="spellStart"/>
      <w:r w:rsidRPr="003F2CE9">
        <w:t>Tino</w:t>
      </w:r>
      <w:proofErr w:type="spellEnd"/>
      <w:r w:rsidRPr="003F2CE9">
        <w:t xml:space="preserve"> </w:t>
      </w:r>
      <w:proofErr w:type="spellStart"/>
      <w:r w:rsidRPr="003F2CE9">
        <w:t>rangatiratanga</w:t>
      </w:r>
      <w:proofErr w:type="spellEnd"/>
      <w:r w:rsidRPr="003F2CE9">
        <w:t xml:space="preserve"> relates to policy evaluation in terms of the development and nature of policy, how it is implemented and evaluated and what benefits accrue to what groups. Article Three of the Treaty supports equity and the need to provide resources and evaluate outcomes for </w:t>
      </w:r>
      <w:r w:rsidR="00E52F9C">
        <w:t>Māori</w:t>
      </w:r>
      <w:r w:rsidRPr="003F2CE9">
        <w:t xml:space="preserve"> (</w:t>
      </w:r>
      <w:proofErr w:type="spellStart"/>
      <w:r w:rsidRPr="003F2CE9">
        <w:t>Moewaka</w:t>
      </w:r>
      <w:proofErr w:type="spellEnd"/>
      <w:r w:rsidRPr="003F2CE9">
        <w:t xml:space="preserve"> Barnes 2009), evoking the more vague principles of partnership, participation and protection.</w:t>
      </w:r>
    </w:p>
    <w:p w:rsidR="001E231D" w:rsidRPr="003F2CE9" w:rsidRDefault="001E231D" w:rsidP="000D0624">
      <w:pPr>
        <w:pStyle w:val="BodyText"/>
      </w:pPr>
      <w:r w:rsidRPr="003F2CE9">
        <w:t>In Aotearoa New Zealand, policy and evaluation have also been subject to international influences, particularly economic considerations and market forces. Political agendas strongly influence decisions and policy</w:t>
      </w:r>
      <w:r w:rsidR="009421D9">
        <w:t>-</w:t>
      </w:r>
      <w:r w:rsidRPr="003F2CE9">
        <w:t xml:space="preserve">making bodies and related systems are rarely scrutinised in relation to their overall approach to </w:t>
      </w:r>
      <w:r w:rsidR="00E52F9C">
        <w:t>Māori</w:t>
      </w:r>
      <w:r w:rsidRPr="003F2CE9">
        <w:t xml:space="preserve">, including the ways </w:t>
      </w:r>
      <w:r w:rsidR="00EF0680">
        <w:t xml:space="preserve">in which </w:t>
      </w:r>
      <w:r w:rsidRPr="003F2CE9">
        <w:t>policies interact</w:t>
      </w:r>
      <w:r w:rsidR="0004084A">
        <w:t>,</w:t>
      </w:r>
      <w:r w:rsidRPr="003F2CE9">
        <w:t xml:space="preserve"> and may even be at odds in what they aim to achieve. It is more common to focus on the implementation of pol</w:t>
      </w:r>
      <w:r w:rsidR="003F2CE9" w:rsidRPr="003F2CE9">
        <w:t>icy through individual program</w:t>
      </w:r>
      <w:r w:rsidRPr="003F2CE9">
        <w:t xml:space="preserve"> evaluations. As well as changing political climates and government agendas (</w:t>
      </w:r>
      <w:proofErr w:type="spellStart"/>
      <w:r w:rsidRPr="003F2CE9">
        <w:t>Durie</w:t>
      </w:r>
      <w:proofErr w:type="spellEnd"/>
      <w:r w:rsidRPr="003F2CE9">
        <w:t xml:space="preserve"> 1995), evaluation has also had to grapple with addressing Treaty of Waitangi imperatives and </w:t>
      </w:r>
      <w:r w:rsidR="00E52F9C">
        <w:t>Māori</w:t>
      </w:r>
      <w:r w:rsidRPr="003F2CE9">
        <w:t xml:space="preserve"> suspicion of research (Smith </w:t>
      </w:r>
      <w:proofErr w:type="spellStart"/>
      <w:r w:rsidRPr="003F2CE9">
        <w:t>1996a</w:t>
      </w:r>
      <w:proofErr w:type="spellEnd"/>
      <w:r w:rsidRPr="003F2CE9">
        <w:t>). Assuming a direct and consistent link between evaluation findings and policy would, therefore</w:t>
      </w:r>
      <w:r w:rsidR="00EF0680">
        <w:t>,</w:t>
      </w:r>
      <w:r w:rsidRPr="003F2CE9">
        <w:t xml:space="preserve"> be naive. However, significant context specific contributions have emerged, with varying degrees of influence.</w:t>
      </w:r>
      <w:r w:rsidR="00F32742">
        <w:t xml:space="preserve"> </w:t>
      </w:r>
    </w:p>
    <w:p w:rsidR="001E231D" w:rsidRPr="003F2CE9" w:rsidRDefault="001E231D" w:rsidP="000D0624">
      <w:pPr>
        <w:pStyle w:val="BodyText"/>
        <w:rPr>
          <w:b/>
        </w:rPr>
      </w:pPr>
      <w:r w:rsidRPr="003F2CE9">
        <w:t xml:space="preserve">Considerable scrutiny of </w:t>
      </w:r>
      <w:r w:rsidR="00E52F9C">
        <w:t>Māori</w:t>
      </w:r>
      <w:r w:rsidRPr="003F2CE9">
        <w:t xml:space="preserve"> providers, </w:t>
      </w:r>
      <w:r w:rsidR="00FB13BC" w:rsidRPr="009421D9">
        <w:rPr>
          <w:szCs w:val="24"/>
        </w:rPr>
        <w:t>through</w:t>
      </w:r>
      <w:r w:rsidRPr="003F2CE9">
        <w:t xml:space="preserve"> evaluation</w:t>
      </w:r>
      <w:r w:rsidR="009421D9">
        <w:t>,</w:t>
      </w:r>
      <w:r w:rsidRPr="003F2CE9">
        <w:t xml:space="preserve"> provided an opportunity for the development of </w:t>
      </w:r>
      <w:r w:rsidR="003F2CE9" w:rsidRPr="003F2CE9">
        <w:t>‘</w:t>
      </w:r>
      <w:r w:rsidRPr="003F2CE9">
        <w:t xml:space="preserve">by </w:t>
      </w:r>
      <w:r w:rsidR="00E52F9C">
        <w:t>Māori</w:t>
      </w:r>
      <w:r w:rsidRPr="003F2CE9">
        <w:t xml:space="preserve">, for </w:t>
      </w:r>
      <w:r w:rsidR="00E52F9C">
        <w:t>Māori</w:t>
      </w:r>
      <w:r w:rsidR="003F2CE9" w:rsidRPr="003F2CE9">
        <w:t>’</w:t>
      </w:r>
      <w:r w:rsidRPr="003F2CE9">
        <w:t xml:space="preserve"> evaluation, with </w:t>
      </w:r>
      <w:proofErr w:type="spellStart"/>
      <w:r w:rsidRPr="003F2CE9">
        <w:t>Kaupapa</w:t>
      </w:r>
      <w:proofErr w:type="spellEnd"/>
      <w:r w:rsidRPr="003F2CE9">
        <w:t xml:space="preserve"> </w:t>
      </w:r>
      <w:r w:rsidR="00E52F9C">
        <w:t>Māori</w:t>
      </w:r>
      <w:r w:rsidRPr="003F2CE9">
        <w:t xml:space="preserve"> theories and praxis providing a significant space to work from. These approaches have had significant </w:t>
      </w:r>
      <w:r w:rsidR="003F2CE9" w:rsidRPr="003F2CE9">
        <w:t>impacts in relation to program</w:t>
      </w:r>
      <w:r w:rsidRPr="003F2CE9">
        <w:t xml:space="preserve"> development and implementation and evaluation practice, partic</w:t>
      </w:r>
      <w:r w:rsidR="003F2CE9" w:rsidRPr="003F2CE9">
        <w:t>ularly at the level of program</w:t>
      </w:r>
      <w:r w:rsidRPr="003F2CE9">
        <w:t xml:space="preserve"> evaluation. This paper provides an overview of policy and evaluation shifts and developments, including </w:t>
      </w:r>
      <w:r w:rsidR="00E52F9C">
        <w:t>Māori</w:t>
      </w:r>
      <w:r w:rsidRPr="003F2CE9">
        <w:t xml:space="preserve"> evaluation approaches, followed by a discussion of the relationship between evaluation and policy.</w:t>
      </w:r>
    </w:p>
    <w:p w:rsidR="001E231D" w:rsidRPr="003F2CE9" w:rsidRDefault="00293AC1" w:rsidP="001E231D">
      <w:pPr>
        <w:pStyle w:val="Heading2"/>
      </w:pPr>
      <w:bookmarkStart w:id="6" w:name="_Toc341182876"/>
      <w:bookmarkStart w:id="7" w:name="_Toc221939116"/>
      <w:r>
        <w:t>10.2</w:t>
      </w:r>
      <w:r w:rsidR="001E231D" w:rsidRPr="003F2CE9">
        <w:tab/>
        <w:t>Overview of policy and evaluation</w:t>
      </w:r>
      <w:bookmarkEnd w:id="6"/>
    </w:p>
    <w:p w:rsidR="001E231D" w:rsidRPr="003F2CE9" w:rsidRDefault="001E231D" w:rsidP="001E231D">
      <w:pPr>
        <w:pStyle w:val="Heading3"/>
      </w:pPr>
      <w:bookmarkStart w:id="8" w:name="_Toc341182877"/>
      <w:r w:rsidRPr="003F2CE9">
        <w:t>Establishing Crown governance</w:t>
      </w:r>
      <w:bookmarkEnd w:id="8"/>
    </w:p>
    <w:bookmarkEnd w:id="7"/>
    <w:p w:rsidR="001E231D" w:rsidRPr="003F2CE9" w:rsidRDefault="001E231D" w:rsidP="000D0624">
      <w:pPr>
        <w:pStyle w:val="BodyText"/>
      </w:pPr>
      <w:r w:rsidRPr="003F2CE9">
        <w:t>As part of establishing governance, the Crown passed the English Acts Act in New Zealand in 1854. This early example of public policy made all English laws applicable in New Zealand (</w:t>
      </w:r>
      <w:proofErr w:type="spellStart"/>
      <w:r w:rsidRPr="003F2CE9">
        <w:t>Durie</w:t>
      </w:r>
      <w:proofErr w:type="spellEnd"/>
      <w:r w:rsidRPr="003F2CE9">
        <w:t xml:space="preserve"> 1994). Other early strategies and policies in </w:t>
      </w:r>
      <w:r w:rsidRPr="003F2CE9">
        <w:lastRenderedPageBreak/>
        <w:t>relation to British governance and new settlers revolved around land acquisition and paternalistic protection (</w:t>
      </w:r>
      <w:proofErr w:type="spellStart"/>
      <w:r w:rsidRPr="003F2CE9">
        <w:t>Te</w:t>
      </w:r>
      <w:proofErr w:type="spellEnd"/>
      <w:r w:rsidRPr="003F2CE9">
        <w:t xml:space="preserve"> </w:t>
      </w:r>
      <w:proofErr w:type="spellStart"/>
      <w:r w:rsidRPr="003F2CE9">
        <w:t>Ara</w:t>
      </w:r>
      <w:proofErr w:type="spellEnd"/>
      <w:r w:rsidRPr="003F2CE9">
        <w:t xml:space="preserve"> 2012). The period from the </w:t>
      </w:r>
      <w:proofErr w:type="spellStart"/>
      <w:r w:rsidRPr="003F2CE9">
        <w:t>1860s</w:t>
      </w:r>
      <w:proofErr w:type="spellEnd"/>
      <w:r w:rsidRPr="003F2CE9">
        <w:t xml:space="preserve"> to </w:t>
      </w:r>
      <w:proofErr w:type="spellStart"/>
      <w:r w:rsidRPr="003F2CE9">
        <w:t>1920s</w:t>
      </w:r>
      <w:proofErr w:type="spellEnd"/>
      <w:r w:rsidRPr="003F2CE9">
        <w:t xml:space="preserve"> was one of conflict and compromise, with forced land sales policies leading to war between the Crown and </w:t>
      </w:r>
      <w:r w:rsidR="00E52F9C">
        <w:t>Māori</w:t>
      </w:r>
      <w:r w:rsidRPr="003F2CE9">
        <w:t xml:space="preserve"> in parts of the North Island (</w:t>
      </w:r>
      <w:proofErr w:type="spellStart"/>
      <w:r w:rsidRPr="003F2CE9">
        <w:t>Belich</w:t>
      </w:r>
      <w:proofErr w:type="spellEnd"/>
      <w:r w:rsidRPr="003F2CE9">
        <w:t xml:space="preserve"> 1988; </w:t>
      </w:r>
      <w:proofErr w:type="spellStart"/>
      <w:r w:rsidRPr="003F2CE9">
        <w:t>Te</w:t>
      </w:r>
      <w:proofErr w:type="spellEnd"/>
      <w:r w:rsidRPr="003F2CE9">
        <w:t xml:space="preserve"> </w:t>
      </w:r>
      <w:proofErr w:type="spellStart"/>
      <w:r w:rsidRPr="003F2CE9">
        <w:t>Ara</w:t>
      </w:r>
      <w:proofErr w:type="spellEnd"/>
      <w:r w:rsidRPr="003F2CE9">
        <w:t xml:space="preserve"> 2012; Walker 2004). Following this, various governance and policy arrangements grappled with relationships between </w:t>
      </w:r>
      <w:r w:rsidR="00E52F9C">
        <w:t>Māori</w:t>
      </w:r>
      <w:r w:rsidRPr="003F2CE9">
        <w:t xml:space="preserve"> and the Crown, conducted under the shadow of an on and off again assimilationist policy and a move towards providing for </w:t>
      </w:r>
      <w:r w:rsidR="00E52F9C">
        <w:t>Māori</w:t>
      </w:r>
      <w:r w:rsidRPr="003F2CE9">
        <w:t xml:space="preserve"> within the government system (</w:t>
      </w:r>
      <w:proofErr w:type="spellStart"/>
      <w:r w:rsidRPr="003F2CE9">
        <w:t>Te</w:t>
      </w:r>
      <w:proofErr w:type="spellEnd"/>
      <w:r w:rsidRPr="003F2CE9">
        <w:t xml:space="preserve"> </w:t>
      </w:r>
      <w:proofErr w:type="spellStart"/>
      <w:r w:rsidRPr="003F2CE9">
        <w:t>Ara</w:t>
      </w:r>
      <w:proofErr w:type="spellEnd"/>
      <w:r w:rsidRPr="003F2CE9">
        <w:t xml:space="preserve"> 2012). Depression, war and urbanisation shaped the period from 1930 to 1960, with </w:t>
      </w:r>
      <w:r w:rsidR="00E52F9C">
        <w:t>Māori</w:t>
      </w:r>
      <w:r w:rsidRPr="003F2CE9">
        <w:t xml:space="preserve"> Affairs Department policy being to </w:t>
      </w:r>
      <w:r w:rsidR="003F2CE9" w:rsidRPr="003F2CE9">
        <w:t>‘</w:t>
      </w:r>
      <w:r w:rsidRPr="003F2CE9">
        <w:t xml:space="preserve">ease the path of </w:t>
      </w:r>
      <w:r w:rsidR="00E52F9C">
        <w:t>Māori</w:t>
      </w:r>
      <w:r w:rsidRPr="003F2CE9">
        <w:t xml:space="preserve"> into urban life</w:t>
      </w:r>
      <w:r w:rsidR="003F2CE9" w:rsidRPr="003F2CE9">
        <w:t>’</w:t>
      </w:r>
      <w:r w:rsidRPr="003F2CE9">
        <w:t xml:space="preserve"> (</w:t>
      </w:r>
      <w:proofErr w:type="spellStart"/>
      <w:r w:rsidRPr="003F2CE9">
        <w:t>Te</w:t>
      </w:r>
      <w:proofErr w:type="spellEnd"/>
      <w:r w:rsidRPr="003F2CE9">
        <w:t xml:space="preserve"> </w:t>
      </w:r>
      <w:proofErr w:type="spellStart"/>
      <w:r w:rsidRPr="003F2CE9">
        <w:t>Ara</w:t>
      </w:r>
      <w:proofErr w:type="spellEnd"/>
      <w:r w:rsidRPr="003F2CE9">
        <w:t xml:space="preserve"> 2012, </w:t>
      </w:r>
      <w:r w:rsidR="00EF0680">
        <w:t xml:space="preserve">p. </w:t>
      </w:r>
      <w:r w:rsidRPr="003F2CE9">
        <w:t>4)</w:t>
      </w:r>
      <w:r w:rsidR="0080556A">
        <w:t>.</w:t>
      </w:r>
    </w:p>
    <w:p w:rsidR="001E231D" w:rsidRPr="003F2CE9" w:rsidRDefault="00E52F9C" w:rsidP="001E231D">
      <w:pPr>
        <w:pStyle w:val="Heading3"/>
      </w:pPr>
      <w:bookmarkStart w:id="9" w:name="_Toc341182878"/>
      <w:r>
        <w:t>Māori</w:t>
      </w:r>
      <w:r w:rsidR="001E231D" w:rsidRPr="003F2CE9">
        <w:t xml:space="preserve"> renaissance and development</w:t>
      </w:r>
      <w:bookmarkEnd w:id="9"/>
      <w:r w:rsidR="001E231D" w:rsidRPr="003F2CE9">
        <w:t xml:space="preserve"> </w:t>
      </w:r>
    </w:p>
    <w:p w:rsidR="001E231D" w:rsidRPr="003F2CE9" w:rsidRDefault="001E231D" w:rsidP="000D0624">
      <w:pPr>
        <w:pStyle w:val="BodyText"/>
        <w:rPr>
          <w:rFonts w:cs="Arial"/>
        </w:rPr>
      </w:pPr>
      <w:r w:rsidRPr="003F2CE9">
        <w:t xml:space="preserve">The period from the </w:t>
      </w:r>
      <w:proofErr w:type="spellStart"/>
      <w:r w:rsidRPr="003F2CE9">
        <w:t>1970s</w:t>
      </w:r>
      <w:proofErr w:type="spellEnd"/>
      <w:r w:rsidRPr="003F2CE9">
        <w:t xml:space="preserve"> to the end of the century has been coined the </w:t>
      </w:r>
      <w:r w:rsidR="003F2CE9" w:rsidRPr="003F2CE9">
        <w:t>‘</w:t>
      </w:r>
      <w:r w:rsidR="00E52F9C">
        <w:t>Māori</w:t>
      </w:r>
      <w:r w:rsidRPr="003F2CE9">
        <w:t xml:space="preserve"> renaissance</w:t>
      </w:r>
      <w:r w:rsidR="003F2CE9" w:rsidRPr="003F2CE9">
        <w:t>’</w:t>
      </w:r>
      <w:r w:rsidRPr="003F2CE9">
        <w:t>, shaped by growing calls for restitution and agency/</w:t>
      </w:r>
      <w:proofErr w:type="spellStart"/>
      <w:r w:rsidRPr="003F2CE9">
        <w:t>tino</w:t>
      </w:r>
      <w:proofErr w:type="spellEnd"/>
      <w:r w:rsidRPr="003F2CE9">
        <w:t xml:space="preserve"> </w:t>
      </w:r>
      <w:proofErr w:type="spellStart"/>
      <w:r w:rsidRPr="003F2CE9">
        <w:t>rang</w:t>
      </w:r>
      <w:r w:rsidR="00EF0680">
        <w:t>atiratanga</w:t>
      </w:r>
      <w:proofErr w:type="spellEnd"/>
      <w:r w:rsidR="00EF0680">
        <w:t xml:space="preserve"> (Walker 1990). </w:t>
      </w:r>
      <w:r w:rsidR="00E52F9C">
        <w:t>Māori</w:t>
      </w:r>
      <w:r w:rsidR="00EF0680">
        <w:t>–</w:t>
      </w:r>
      <w:r w:rsidRPr="003F2CE9">
        <w:t xml:space="preserve">Crown relationships shifted somewhat from needs based towards rights based, influenced by national and international </w:t>
      </w:r>
      <w:r w:rsidR="00EF0680" w:rsidRPr="003F2CE9">
        <w:t xml:space="preserve">Indigenous </w:t>
      </w:r>
      <w:r w:rsidRPr="003F2CE9">
        <w:t xml:space="preserve">activism (Lightfoot 2010). In the </w:t>
      </w:r>
      <w:proofErr w:type="spellStart"/>
      <w:r w:rsidRPr="003F2CE9">
        <w:t>1970s</w:t>
      </w:r>
      <w:proofErr w:type="spellEnd"/>
      <w:r w:rsidRPr="003F2CE9">
        <w:t xml:space="preserve"> families </w:t>
      </w:r>
      <w:r w:rsidR="003F2CE9" w:rsidRPr="003F2CE9">
        <w:t>‘</w:t>
      </w:r>
      <w:r w:rsidRPr="003F2CE9">
        <w:t>occupied a high priority in policy setting</w:t>
      </w:r>
      <w:r w:rsidR="003F2CE9" w:rsidRPr="003F2CE9">
        <w:t>’</w:t>
      </w:r>
      <w:r w:rsidRPr="003F2CE9">
        <w:t xml:space="preserve"> (</w:t>
      </w:r>
      <w:proofErr w:type="spellStart"/>
      <w:r w:rsidRPr="003F2CE9">
        <w:t>Blaiklock</w:t>
      </w:r>
      <w:proofErr w:type="spellEnd"/>
      <w:r w:rsidRPr="003F2CE9">
        <w:t xml:space="preserve"> et al. 2002, </w:t>
      </w:r>
      <w:r w:rsidR="00EF0680">
        <w:t xml:space="preserve">p. </w:t>
      </w:r>
      <w:r w:rsidRPr="003F2CE9">
        <w:t xml:space="preserve">10). Key to this period was the establishment of the Waitangi Tribunal through the </w:t>
      </w:r>
      <w:r w:rsidRPr="003F2CE9">
        <w:rPr>
          <w:rFonts w:cs="Arial"/>
        </w:rPr>
        <w:t>Treaty of</w:t>
      </w:r>
      <w:r w:rsidR="00712166">
        <w:rPr>
          <w:rFonts w:cs="Arial"/>
        </w:rPr>
        <w:t xml:space="preserve"> Waitangi Act 1975, giving the t</w:t>
      </w:r>
      <w:r w:rsidRPr="003F2CE9">
        <w:rPr>
          <w:rFonts w:cs="Arial"/>
        </w:rPr>
        <w:t xml:space="preserve">ribunal the right to consider </w:t>
      </w:r>
      <w:r w:rsidR="00E52F9C">
        <w:rPr>
          <w:rFonts w:cs="Arial"/>
        </w:rPr>
        <w:t>Māori</w:t>
      </w:r>
      <w:r w:rsidRPr="003F2CE9">
        <w:rPr>
          <w:rFonts w:cs="Arial"/>
        </w:rPr>
        <w:t xml:space="preserve"> claims of Treaty breaches through government actions and to make recommendations. In 1983 the </w:t>
      </w:r>
      <w:r w:rsidR="00712166">
        <w:rPr>
          <w:rFonts w:cs="Arial"/>
        </w:rPr>
        <w:t>t</w:t>
      </w:r>
      <w:r w:rsidRPr="003F2CE9">
        <w:rPr>
          <w:rFonts w:cs="Arial"/>
        </w:rPr>
        <w:t xml:space="preserve">ribunal recommended that an outfall planned to discharge sewage and waste near a traditional fishing ground should not proceed as it breached the Treaty. Following meetings with </w:t>
      </w:r>
      <w:proofErr w:type="spellStart"/>
      <w:r w:rsidRPr="003F2CE9">
        <w:rPr>
          <w:rFonts w:cs="Arial"/>
        </w:rPr>
        <w:t>iwi</w:t>
      </w:r>
      <w:proofErr w:type="spellEnd"/>
      <w:r w:rsidRPr="003F2CE9">
        <w:rPr>
          <w:rFonts w:cs="Arial"/>
        </w:rPr>
        <w:t xml:space="preserve"> (tribal) representatives and after initially announcing </w:t>
      </w:r>
      <w:r w:rsidR="00E52F9C">
        <w:rPr>
          <w:rFonts w:cs="Arial"/>
        </w:rPr>
        <w:t xml:space="preserve">that </w:t>
      </w:r>
      <w:r w:rsidRPr="003F2CE9">
        <w:rPr>
          <w:rFonts w:cs="Arial"/>
        </w:rPr>
        <w:t>the recommendations would be ignored, the recommendations were accepted:</w:t>
      </w:r>
    </w:p>
    <w:p w:rsidR="001E231D" w:rsidRPr="003F2CE9" w:rsidRDefault="001E231D" w:rsidP="000D0624">
      <w:pPr>
        <w:pStyle w:val="Quote"/>
      </w:pPr>
      <w:r w:rsidRPr="003F2CE9">
        <w:t>This was the first time the Government had changed policy in response to a Tribunal recommendation</w:t>
      </w:r>
      <w:r w:rsidR="0080556A">
        <w:t>.</w:t>
      </w:r>
      <w:r w:rsidRPr="003F2CE9">
        <w:t xml:space="preserve"> (Hague 1989, </w:t>
      </w:r>
      <w:r w:rsidR="00712166">
        <w:t xml:space="preserve">p. </w:t>
      </w:r>
      <w:r w:rsidRPr="003F2CE9">
        <w:t>16)</w:t>
      </w:r>
    </w:p>
    <w:p w:rsidR="001E231D" w:rsidRPr="003F2CE9" w:rsidRDefault="001E231D" w:rsidP="000D0624">
      <w:pPr>
        <w:pStyle w:val="BodyText"/>
      </w:pPr>
      <w:r w:rsidRPr="003F2CE9">
        <w:t xml:space="preserve">During the </w:t>
      </w:r>
      <w:r w:rsidR="00712166">
        <w:t>‘</w:t>
      </w:r>
      <w:r w:rsidRPr="003F2CE9">
        <w:t xml:space="preserve">Decade of </w:t>
      </w:r>
      <w:r w:rsidR="00E52F9C">
        <w:t>Māori</w:t>
      </w:r>
      <w:r w:rsidRPr="003F2CE9">
        <w:t xml:space="preserve"> Development</w:t>
      </w:r>
      <w:r w:rsidR="00712166">
        <w:t>’</w:t>
      </w:r>
      <w:r w:rsidRPr="003F2CE9">
        <w:t xml:space="preserve"> from 1984</w:t>
      </w:r>
      <w:r w:rsidR="003F2CE9" w:rsidRPr="003F2CE9">
        <w:t>–</w:t>
      </w:r>
      <w:r w:rsidRPr="003F2CE9">
        <w:t>1994 (</w:t>
      </w:r>
      <w:proofErr w:type="spellStart"/>
      <w:r w:rsidRPr="003F2CE9">
        <w:t>Durie</w:t>
      </w:r>
      <w:proofErr w:type="spellEnd"/>
      <w:r w:rsidRPr="003F2CE9">
        <w:t xml:space="preserve"> 1995)</w:t>
      </w:r>
      <w:r w:rsidR="00712166">
        <w:t>,</w:t>
      </w:r>
      <w:r w:rsidRPr="003F2CE9">
        <w:t xml:space="preserve"> budgetary imperatives of economic policy drove social policy (Workman 1995). When Labour was elected in 1984 they followed Treasury advice for substantial reform (</w:t>
      </w:r>
      <w:proofErr w:type="spellStart"/>
      <w:r w:rsidRPr="003F2CE9">
        <w:t>Blaiklock</w:t>
      </w:r>
      <w:proofErr w:type="spellEnd"/>
      <w:r w:rsidRPr="003F2CE9">
        <w:t xml:space="preserve"> et al. 2002) and:</w:t>
      </w:r>
    </w:p>
    <w:p w:rsidR="001E231D" w:rsidRPr="003F2CE9" w:rsidRDefault="003F2CE9" w:rsidP="000D0624">
      <w:pPr>
        <w:pStyle w:val="Quote"/>
      </w:pPr>
      <w:r w:rsidRPr="003F2CE9">
        <w:t>… </w:t>
      </w:r>
      <w:r w:rsidR="001E231D" w:rsidRPr="003F2CE9">
        <w:t xml:space="preserve">reshaped the public sector in accordance with the demands of </w:t>
      </w:r>
      <w:proofErr w:type="spellStart"/>
      <w:r w:rsidR="001E231D" w:rsidRPr="003F2CE9">
        <w:t>managerialism</w:t>
      </w:r>
      <w:proofErr w:type="spellEnd"/>
      <w:r w:rsidR="001E231D" w:rsidRPr="003F2CE9">
        <w:t>, public choice and agency theories</w:t>
      </w:r>
      <w:r w:rsidRPr="003F2CE9">
        <w:t xml:space="preserve"> …</w:t>
      </w:r>
      <w:r w:rsidR="001E231D" w:rsidRPr="003F2CE9">
        <w:t xml:space="preserve"> (resulting in a)</w:t>
      </w:r>
      <w:r w:rsidRPr="003F2CE9">
        <w:t xml:space="preserve"> … </w:t>
      </w:r>
      <w:r w:rsidR="001E231D" w:rsidRPr="003F2CE9">
        <w:t>new managerial public sector environment</w:t>
      </w:r>
      <w:r w:rsidR="00712166">
        <w:t xml:space="preserve"> ...</w:t>
      </w:r>
      <w:r w:rsidR="001E231D" w:rsidRPr="003F2CE9">
        <w:t xml:space="preserve"> (</w:t>
      </w:r>
      <w:proofErr w:type="spellStart"/>
      <w:r w:rsidR="001E231D" w:rsidRPr="003F2CE9">
        <w:t>Gauld</w:t>
      </w:r>
      <w:proofErr w:type="spellEnd"/>
      <w:r w:rsidR="001E231D" w:rsidRPr="003F2CE9">
        <w:t xml:space="preserve"> 2003, </w:t>
      </w:r>
      <w:r w:rsidR="00712166">
        <w:t xml:space="preserve">pp. </w:t>
      </w:r>
      <w:r w:rsidR="001E231D" w:rsidRPr="003F2CE9">
        <w:t>203</w:t>
      </w:r>
      <w:r w:rsidRPr="003F2CE9">
        <w:t>–</w:t>
      </w:r>
      <w:r w:rsidR="001E231D" w:rsidRPr="003F2CE9">
        <w:t>4)</w:t>
      </w:r>
      <w:r w:rsidR="00F32742">
        <w:t xml:space="preserve"> </w:t>
      </w:r>
    </w:p>
    <w:p w:rsidR="001E231D" w:rsidRPr="003F2CE9" w:rsidRDefault="001E231D" w:rsidP="000D0624">
      <w:pPr>
        <w:pStyle w:val="BodyText"/>
      </w:pPr>
      <w:r w:rsidRPr="003F2CE9">
        <w:t>The Treaty of Waitangi Amendment Act followed in 1985, which:</w:t>
      </w:r>
    </w:p>
    <w:p w:rsidR="001E231D" w:rsidRPr="003F2CE9" w:rsidRDefault="003F2CE9" w:rsidP="001E231D">
      <w:pPr>
        <w:pStyle w:val="Quote"/>
      </w:pPr>
      <w:r w:rsidRPr="003F2CE9">
        <w:t>… </w:t>
      </w:r>
      <w:r w:rsidR="001E231D" w:rsidRPr="003F2CE9">
        <w:t xml:space="preserve">extended the jurisdiction of the Tribunal retrospectively to include consideration of unlawful confiscation of </w:t>
      </w:r>
      <w:r w:rsidR="00E52F9C">
        <w:t>Māori</w:t>
      </w:r>
      <w:r w:rsidR="001E231D" w:rsidRPr="003F2CE9">
        <w:t xml:space="preserve"> land and resources from as far back as 1840, the year of the Treaty</w:t>
      </w:r>
      <w:r w:rsidRPr="003F2CE9">
        <w:t>’</w:t>
      </w:r>
      <w:r w:rsidR="001E231D" w:rsidRPr="003F2CE9">
        <w:t xml:space="preserve">s signing. The significance of this Act in the New Zealand political </w:t>
      </w:r>
      <w:r w:rsidR="001E231D" w:rsidRPr="003F2CE9">
        <w:lastRenderedPageBreak/>
        <w:t xml:space="preserve">environment cannot be underestimated. It was passed against the background of over one hundred years of complete neglect on the part of the government for the rights guaranteed to </w:t>
      </w:r>
      <w:r w:rsidR="00E52F9C">
        <w:t>Māori</w:t>
      </w:r>
      <w:r w:rsidR="001E231D" w:rsidRPr="003F2CE9">
        <w:t xml:space="preserve"> under the Treaty. Furthermore, the decision to allow the Tribunal to review all acts of the Crown from as far back as 1840 effectively opened up the whole of New Zealand</w:t>
      </w:r>
      <w:r w:rsidRPr="003F2CE9">
        <w:t>’</w:t>
      </w:r>
      <w:r w:rsidR="001E231D" w:rsidRPr="003F2CE9">
        <w:t xml:space="preserve">s history to scrutiny. This invited a multitude of claims by </w:t>
      </w:r>
      <w:r w:rsidR="00E52F9C">
        <w:t>Māori</w:t>
      </w:r>
      <w:r w:rsidR="001E231D" w:rsidRPr="003F2CE9">
        <w:t>, starting a legal and constitutional revolution that has continued until today. (</w:t>
      </w:r>
      <w:proofErr w:type="spellStart"/>
      <w:r w:rsidR="001E231D" w:rsidRPr="003F2CE9">
        <w:t>Catalinac</w:t>
      </w:r>
      <w:proofErr w:type="spellEnd"/>
      <w:r w:rsidR="001E231D" w:rsidRPr="003F2CE9">
        <w:t xml:space="preserve"> 2004, </w:t>
      </w:r>
      <w:r w:rsidR="00E801A0">
        <w:t xml:space="preserve">p. </w:t>
      </w:r>
      <w:r w:rsidR="001E231D" w:rsidRPr="003F2CE9">
        <w:t>6)</w:t>
      </w:r>
    </w:p>
    <w:p w:rsidR="001E231D" w:rsidRPr="003F2CE9" w:rsidRDefault="001E231D" w:rsidP="000D0624">
      <w:pPr>
        <w:pStyle w:val="BodyText"/>
      </w:pPr>
      <w:r w:rsidRPr="003F2CE9">
        <w:t>Social and economic policy shifted away from families, paralleling a decline in the proportion of children in the total population (</w:t>
      </w:r>
      <w:proofErr w:type="spellStart"/>
      <w:r w:rsidRPr="003F2CE9">
        <w:t>Blaiklock</w:t>
      </w:r>
      <w:proofErr w:type="spellEnd"/>
      <w:r w:rsidRPr="003F2CE9">
        <w:t xml:space="preserve"> et al. 2002). Liberalisation of the economy was rapid and state</w:t>
      </w:r>
      <w:r w:rsidR="00712166">
        <w:t>-</w:t>
      </w:r>
      <w:r w:rsidRPr="003F2CE9">
        <w:t>owned enterprises became privatised (</w:t>
      </w:r>
      <w:proofErr w:type="spellStart"/>
      <w:r w:rsidRPr="003F2CE9">
        <w:t>Blaiklock</w:t>
      </w:r>
      <w:proofErr w:type="spellEnd"/>
      <w:r w:rsidRPr="003F2CE9">
        <w:t xml:space="preserve"> </w:t>
      </w:r>
      <w:r w:rsidRPr="00E52F9C">
        <w:rPr>
          <w:i/>
        </w:rPr>
        <w:t>et al</w:t>
      </w:r>
      <w:r w:rsidRPr="003F2CE9">
        <w:t>. 2002). The 1990 incoming National Government continued with the market</w:t>
      </w:r>
      <w:r w:rsidR="00E52F9C">
        <w:noBreakHyphen/>
      </w:r>
      <w:r w:rsidRPr="003F2CE9">
        <w:t>oriented agenda, applying it to social policy (</w:t>
      </w:r>
      <w:proofErr w:type="spellStart"/>
      <w:r w:rsidRPr="003F2CE9">
        <w:t>Gauld</w:t>
      </w:r>
      <w:proofErr w:type="spellEnd"/>
      <w:r w:rsidRPr="003F2CE9">
        <w:t xml:space="preserve"> 2003), and framing social assistance as meeting basic needs (</w:t>
      </w:r>
      <w:proofErr w:type="spellStart"/>
      <w:r w:rsidRPr="003F2CE9">
        <w:t>Blaiklock</w:t>
      </w:r>
      <w:proofErr w:type="spellEnd"/>
      <w:r w:rsidRPr="003F2CE9">
        <w:t xml:space="preserve"> et al. 2002). The </w:t>
      </w:r>
      <w:proofErr w:type="spellStart"/>
      <w:r w:rsidRPr="003F2CE9">
        <w:t>1990s</w:t>
      </w:r>
      <w:proofErr w:type="spellEnd"/>
      <w:r w:rsidRPr="003F2CE9">
        <w:t xml:space="preserve"> was a time of </w:t>
      </w:r>
      <w:r w:rsidRPr="003F2CE9">
        <w:rPr>
          <w:rFonts w:eastAsia="Calibri"/>
        </w:rPr>
        <w:t>ongoing reform of various social and economic sectors (</w:t>
      </w:r>
      <w:proofErr w:type="spellStart"/>
      <w:r w:rsidRPr="003F2CE9">
        <w:rPr>
          <w:rFonts w:eastAsia="Calibri"/>
        </w:rPr>
        <w:t>Te</w:t>
      </w:r>
      <w:proofErr w:type="spellEnd"/>
      <w:r w:rsidRPr="003F2CE9">
        <w:rPr>
          <w:rFonts w:eastAsia="Calibri"/>
        </w:rPr>
        <w:t xml:space="preserve"> </w:t>
      </w:r>
      <w:proofErr w:type="spellStart"/>
      <w:r w:rsidRPr="003F2CE9">
        <w:rPr>
          <w:rFonts w:eastAsia="Calibri"/>
        </w:rPr>
        <w:t>Rōpū</w:t>
      </w:r>
      <w:proofErr w:type="spellEnd"/>
      <w:r w:rsidRPr="003F2CE9">
        <w:rPr>
          <w:rFonts w:eastAsia="Calibri"/>
        </w:rPr>
        <w:t xml:space="preserve"> </w:t>
      </w:r>
      <w:proofErr w:type="spellStart"/>
      <w:r w:rsidRPr="003F2CE9">
        <w:rPr>
          <w:rFonts w:eastAsia="Calibri"/>
        </w:rPr>
        <w:t>Rangahau</w:t>
      </w:r>
      <w:proofErr w:type="spellEnd"/>
      <w:r w:rsidRPr="003F2CE9">
        <w:rPr>
          <w:rFonts w:eastAsia="Calibri"/>
        </w:rPr>
        <w:t xml:space="preserve"> </w:t>
      </w:r>
      <w:proofErr w:type="spellStart"/>
      <w:r w:rsidRPr="003F2CE9">
        <w:rPr>
          <w:rFonts w:eastAsia="Calibri"/>
        </w:rPr>
        <w:t>Hauora</w:t>
      </w:r>
      <w:proofErr w:type="spellEnd"/>
      <w:r w:rsidRPr="003F2CE9">
        <w:rPr>
          <w:rFonts w:eastAsia="Calibri"/>
        </w:rPr>
        <w:t xml:space="preserve"> a </w:t>
      </w:r>
      <w:proofErr w:type="spellStart"/>
      <w:r w:rsidRPr="003F2CE9">
        <w:rPr>
          <w:rFonts w:eastAsia="Calibri"/>
        </w:rPr>
        <w:t>Eru</w:t>
      </w:r>
      <w:proofErr w:type="spellEnd"/>
      <w:r w:rsidRPr="003F2CE9">
        <w:rPr>
          <w:rFonts w:eastAsia="Calibri"/>
        </w:rPr>
        <w:t xml:space="preserve"> </w:t>
      </w:r>
      <w:proofErr w:type="spellStart"/>
      <w:r w:rsidRPr="003F2CE9">
        <w:rPr>
          <w:rFonts w:eastAsia="Calibri"/>
        </w:rPr>
        <w:t>Pōmare</w:t>
      </w:r>
      <w:proofErr w:type="spellEnd"/>
      <w:r w:rsidRPr="003F2CE9">
        <w:rPr>
          <w:rFonts w:eastAsia="Calibri"/>
        </w:rPr>
        <w:t xml:space="preserve"> 2000)</w:t>
      </w:r>
      <w:r w:rsidRPr="003F2CE9">
        <w:t xml:space="preserve">. The Royal Commission on Social Policy provided something of a counterpoint and critique, with Barnes and Harris (2011, </w:t>
      </w:r>
      <w:r w:rsidR="00712166">
        <w:t xml:space="preserve">p. </w:t>
      </w:r>
      <w:r w:rsidRPr="003F2CE9">
        <w:t xml:space="preserve">5) arguing that it </w:t>
      </w:r>
      <w:r w:rsidR="003F2CE9" w:rsidRPr="003F2CE9">
        <w:t>‘</w:t>
      </w:r>
      <w:r w:rsidRPr="003F2CE9">
        <w:t>broadened the issue of what could be considered as social policy</w:t>
      </w:r>
      <w:r w:rsidR="003F2CE9" w:rsidRPr="003F2CE9">
        <w:t>’</w:t>
      </w:r>
      <w:r w:rsidRPr="003F2CE9">
        <w:t>.</w:t>
      </w:r>
      <w:r w:rsidR="00F32742">
        <w:t xml:space="preserve"> </w:t>
      </w:r>
      <w:r w:rsidRPr="003F2CE9">
        <w:t xml:space="preserve">However, Easton criticised the reports for their sparse coverage of poverty (Easton, cited in Barnes and Harris 2011). Despite the Treaty of Waitangi, </w:t>
      </w:r>
      <w:proofErr w:type="spellStart"/>
      <w:r w:rsidRPr="003F2CE9">
        <w:t>tino</w:t>
      </w:r>
      <w:proofErr w:type="spellEnd"/>
      <w:r w:rsidRPr="003F2CE9">
        <w:t xml:space="preserve"> </w:t>
      </w:r>
      <w:proofErr w:type="spellStart"/>
      <w:r w:rsidRPr="003F2CE9">
        <w:t>rangatiratanga</w:t>
      </w:r>
      <w:proofErr w:type="spellEnd"/>
      <w:r w:rsidRPr="003F2CE9">
        <w:t xml:space="preserve">, </w:t>
      </w:r>
      <w:proofErr w:type="spellStart"/>
      <w:r w:rsidRPr="003F2CE9">
        <w:t>iwi</w:t>
      </w:r>
      <w:proofErr w:type="spellEnd"/>
      <w:r w:rsidRPr="003F2CE9">
        <w:t xml:space="preserve"> development, economic self-reliance, social equity and cultural advancement being identified as central to the philosophy of the Decade of </w:t>
      </w:r>
      <w:r w:rsidR="00E52F9C">
        <w:t>Māori</w:t>
      </w:r>
      <w:r w:rsidRPr="003F2CE9">
        <w:t xml:space="preserve"> Development (</w:t>
      </w:r>
      <w:proofErr w:type="spellStart"/>
      <w:r w:rsidRPr="003F2CE9">
        <w:t>Durie</w:t>
      </w:r>
      <w:proofErr w:type="spellEnd"/>
      <w:r w:rsidRPr="003F2CE9">
        <w:t xml:space="preserve"> 1995), the Royal Commission on Social Policy reported in 1988 that the Treaty did:</w:t>
      </w:r>
    </w:p>
    <w:p w:rsidR="001E231D" w:rsidRPr="003F2CE9" w:rsidRDefault="003F2CE9" w:rsidP="001E231D">
      <w:pPr>
        <w:pStyle w:val="Quote"/>
        <w:rPr>
          <w:rFonts w:cs="Arial"/>
        </w:rPr>
      </w:pPr>
      <w:r w:rsidRPr="003F2CE9">
        <w:t xml:space="preserve">… </w:t>
      </w:r>
      <w:r w:rsidR="001E231D" w:rsidRPr="003F2CE9">
        <w:t>not have a secure place in New Zealand</w:t>
      </w:r>
      <w:r w:rsidRPr="003F2CE9">
        <w:t>’</w:t>
      </w:r>
      <w:r w:rsidR="001E231D" w:rsidRPr="003F2CE9">
        <w:t xml:space="preserve">s Statues and Constitutional practices. Inequalities between </w:t>
      </w:r>
      <w:r w:rsidR="00E52F9C">
        <w:t>Māori</w:t>
      </w:r>
      <w:r w:rsidR="001E231D" w:rsidRPr="003F2CE9">
        <w:t xml:space="preserve"> and non-</w:t>
      </w:r>
      <w:r w:rsidR="00E52F9C">
        <w:t>Māori</w:t>
      </w:r>
      <w:r w:rsidR="001E231D" w:rsidRPr="003F2CE9">
        <w:t xml:space="preserve"> in work, education, income levels, home ownership and health reflect the lack of regard for the treaty in the development of social policies </w:t>
      </w:r>
      <w:r w:rsidR="00CC4D4F">
        <w:t xml:space="preserve">... </w:t>
      </w:r>
      <w:r w:rsidR="001E231D" w:rsidRPr="003F2CE9">
        <w:t xml:space="preserve">(Royal Commission on Social Policy, cited in Workman 1995, </w:t>
      </w:r>
      <w:r w:rsidR="00CC4D4F">
        <w:t xml:space="preserve">p. </w:t>
      </w:r>
      <w:r w:rsidR="001E231D" w:rsidRPr="003F2CE9">
        <w:t>5)</w:t>
      </w:r>
    </w:p>
    <w:p w:rsidR="001E231D" w:rsidRPr="003F2CE9" w:rsidRDefault="001E231D" w:rsidP="000D0624">
      <w:pPr>
        <w:pStyle w:val="BodyText"/>
        <w:rPr>
          <w:rFonts w:cs="Arial"/>
          <w:color w:val="0D0D0D"/>
        </w:rPr>
      </w:pPr>
      <w:r w:rsidRPr="003F2CE9">
        <w:t>The deregulation and devolution approaches of 1984</w:t>
      </w:r>
      <w:r w:rsidR="003F2CE9" w:rsidRPr="003F2CE9">
        <w:t>–</w:t>
      </w:r>
      <w:r w:rsidRPr="003F2CE9">
        <w:t>94 saw restructured ministries having a greater focus on policy advice (</w:t>
      </w:r>
      <w:proofErr w:type="spellStart"/>
      <w:r w:rsidRPr="003F2CE9">
        <w:t>Durie</w:t>
      </w:r>
      <w:proofErr w:type="spellEnd"/>
      <w:r w:rsidRPr="003F2CE9">
        <w:t xml:space="preserve"> 1995), with the separation of policy from operations across the public sector (James 1997). Prior to the late </w:t>
      </w:r>
      <w:proofErr w:type="spellStart"/>
      <w:r w:rsidRPr="003F2CE9">
        <w:t>1980s</w:t>
      </w:r>
      <w:proofErr w:type="spellEnd"/>
      <w:r w:rsidR="00CC4D4F">
        <w:t>,</w:t>
      </w:r>
      <w:r w:rsidRPr="003F2CE9">
        <w:t xml:space="preserve"> advisory roles within the state in relation to </w:t>
      </w:r>
      <w:r w:rsidR="00E52F9C">
        <w:t>Māori</w:t>
      </w:r>
      <w:r w:rsidRPr="003F2CE9">
        <w:t xml:space="preserve"> or the Treaty has been negligible (James 1997). In 1989, t</w:t>
      </w:r>
      <w:r w:rsidRPr="003F2CE9">
        <w:rPr>
          <w:rFonts w:cs="Arial"/>
        </w:rPr>
        <w:t xml:space="preserve">wo interim bodies had replaced the Department of </w:t>
      </w:r>
      <w:r w:rsidR="00E52F9C">
        <w:rPr>
          <w:rFonts w:cs="Arial"/>
        </w:rPr>
        <w:t>Māori</w:t>
      </w:r>
      <w:r w:rsidRPr="003F2CE9">
        <w:rPr>
          <w:rFonts w:cs="Arial"/>
        </w:rPr>
        <w:t xml:space="preserve"> Affairs. </w:t>
      </w:r>
      <w:proofErr w:type="spellStart"/>
      <w:r w:rsidRPr="003F2CE9">
        <w:rPr>
          <w:rFonts w:cs="Arial"/>
        </w:rPr>
        <w:t>Te</w:t>
      </w:r>
      <w:proofErr w:type="spellEnd"/>
      <w:r w:rsidRPr="003F2CE9">
        <w:rPr>
          <w:rFonts w:cs="Arial"/>
        </w:rPr>
        <w:t xml:space="preserve"> </w:t>
      </w:r>
      <w:proofErr w:type="spellStart"/>
      <w:r w:rsidRPr="003F2CE9">
        <w:rPr>
          <w:rFonts w:cs="Arial"/>
        </w:rPr>
        <w:t>Puni</w:t>
      </w:r>
      <w:proofErr w:type="spellEnd"/>
      <w:r w:rsidRPr="003F2CE9">
        <w:rPr>
          <w:rFonts w:cs="Arial"/>
        </w:rPr>
        <w:t xml:space="preserve"> </w:t>
      </w:r>
      <w:proofErr w:type="spellStart"/>
      <w:r w:rsidRPr="003F2CE9">
        <w:rPr>
          <w:rFonts w:cs="Arial"/>
        </w:rPr>
        <w:t>K</w:t>
      </w:r>
      <w:r w:rsidR="004E3974" w:rsidRPr="003F2CE9">
        <w:rPr>
          <w:rFonts w:cs="DPPGOL+Arial"/>
          <w:color w:val="000000"/>
        </w:rPr>
        <w:t>ō</w:t>
      </w:r>
      <w:r w:rsidRPr="003F2CE9">
        <w:rPr>
          <w:rFonts w:cs="Arial"/>
        </w:rPr>
        <w:t>kiri</w:t>
      </w:r>
      <w:proofErr w:type="spellEnd"/>
      <w:r w:rsidRPr="003F2CE9">
        <w:rPr>
          <w:rFonts w:cs="Arial"/>
        </w:rPr>
        <w:t xml:space="preserve"> (</w:t>
      </w:r>
      <w:proofErr w:type="spellStart"/>
      <w:r w:rsidRPr="003F2CE9">
        <w:rPr>
          <w:rFonts w:cs="Arial"/>
        </w:rPr>
        <w:t>TPK</w:t>
      </w:r>
      <w:proofErr w:type="spellEnd"/>
      <w:r w:rsidRPr="003F2CE9">
        <w:rPr>
          <w:rFonts w:cs="Arial"/>
        </w:rPr>
        <w:t xml:space="preserve">) took over from these bodies in 1992 </w:t>
      </w:r>
      <w:r w:rsidR="003F2CE9" w:rsidRPr="003F2CE9">
        <w:rPr>
          <w:rFonts w:cs="Arial"/>
          <w:color w:val="0D0D0D"/>
        </w:rPr>
        <w:t>‘</w:t>
      </w:r>
      <w:r w:rsidRPr="003F2CE9">
        <w:rPr>
          <w:rFonts w:cs="Arial"/>
          <w:color w:val="0D0D0D"/>
        </w:rPr>
        <w:t>to provide policy advice that promotes Māori economic development, and to liaise with and monitor the performance of government departments and agencies to ensure the adequacy of services provided to Māori</w:t>
      </w:r>
      <w:r w:rsidR="003F2CE9" w:rsidRPr="003F2CE9">
        <w:rPr>
          <w:rFonts w:cs="Arial"/>
          <w:color w:val="0D0D0D"/>
        </w:rPr>
        <w:t>’</w:t>
      </w:r>
      <w:r w:rsidRPr="003F2CE9">
        <w:rPr>
          <w:rFonts w:cs="Arial"/>
          <w:color w:val="0D0D0D"/>
        </w:rPr>
        <w:t xml:space="preserve"> (National Party 2008, </w:t>
      </w:r>
      <w:r w:rsidR="00CC4D4F">
        <w:rPr>
          <w:rFonts w:cs="Arial"/>
          <w:color w:val="0D0D0D"/>
        </w:rPr>
        <w:t xml:space="preserve">p. </w:t>
      </w:r>
      <w:r w:rsidRPr="003F2CE9">
        <w:rPr>
          <w:rFonts w:cs="Arial"/>
          <w:color w:val="0D0D0D"/>
        </w:rPr>
        <w:t>1)</w:t>
      </w:r>
      <w:r w:rsidR="00CC4D4F">
        <w:rPr>
          <w:rFonts w:cs="Arial"/>
          <w:color w:val="0D0D0D"/>
        </w:rPr>
        <w:t>.</w:t>
      </w:r>
    </w:p>
    <w:p w:rsidR="001E231D" w:rsidRPr="003F2CE9" w:rsidRDefault="001E231D" w:rsidP="000D0624">
      <w:pPr>
        <w:pStyle w:val="BodyText"/>
      </w:pPr>
      <w:r w:rsidRPr="003F2CE9">
        <w:t xml:space="preserve">However, the State Services Commission (1999, </w:t>
      </w:r>
      <w:r w:rsidR="00CC4D4F">
        <w:t xml:space="preserve">p. </w:t>
      </w:r>
      <w:r w:rsidRPr="003F2CE9">
        <w:t>2) noted that:</w:t>
      </w:r>
    </w:p>
    <w:p w:rsidR="001E231D" w:rsidRPr="003F2CE9" w:rsidRDefault="003F2CE9" w:rsidP="001E231D">
      <w:pPr>
        <w:pStyle w:val="Quote"/>
      </w:pPr>
      <w:r w:rsidRPr="003F2CE9">
        <w:t xml:space="preserve">… </w:t>
      </w:r>
      <w:r w:rsidR="001E231D" w:rsidRPr="003F2CE9">
        <w:t>very few departments actually monitor, review or evaluate the extent to which the policy outputs they produce contribute to government strategic priorities.</w:t>
      </w:r>
    </w:p>
    <w:p w:rsidR="001E231D" w:rsidRPr="003F2CE9" w:rsidRDefault="001E231D" w:rsidP="001E231D">
      <w:pPr>
        <w:pStyle w:val="Heading3"/>
      </w:pPr>
      <w:bookmarkStart w:id="10" w:name="_Toc341182879"/>
      <w:r w:rsidRPr="003F2CE9">
        <w:lastRenderedPageBreak/>
        <w:t xml:space="preserve">The growth of </w:t>
      </w:r>
      <w:r w:rsidR="00E52F9C">
        <w:t>Māori</w:t>
      </w:r>
      <w:r w:rsidRPr="003F2CE9">
        <w:t xml:space="preserve"> providers and evaluation</w:t>
      </w:r>
      <w:bookmarkEnd w:id="10"/>
    </w:p>
    <w:p w:rsidR="001E231D" w:rsidRPr="003F2CE9" w:rsidRDefault="001E231D" w:rsidP="000D0624">
      <w:pPr>
        <w:pStyle w:val="BodyText"/>
        <w:rPr>
          <w:rFonts w:cs="DPPGOL+Arial"/>
          <w:color w:val="000000"/>
        </w:rPr>
      </w:pPr>
      <w:r w:rsidRPr="003F2CE9">
        <w:t xml:space="preserve">Workman (1995, </w:t>
      </w:r>
      <w:r w:rsidR="00CC4D4F">
        <w:t xml:space="preserve">p. </w:t>
      </w:r>
      <w:r w:rsidRPr="003F2CE9">
        <w:t xml:space="preserve">7) observed that </w:t>
      </w:r>
      <w:r w:rsidR="003F2CE9" w:rsidRPr="003F2CE9">
        <w:t>‘</w:t>
      </w:r>
      <w:r w:rsidRPr="003F2CE9">
        <w:t xml:space="preserve">To a large extent, </w:t>
      </w:r>
      <w:r w:rsidR="00E52F9C">
        <w:t>Māori</w:t>
      </w:r>
      <w:r w:rsidRPr="003F2CE9">
        <w:t xml:space="preserve"> policy has been relegated to addressing social disparity and disadvantage</w:t>
      </w:r>
      <w:r w:rsidR="00CC4D4F">
        <w:t>’</w:t>
      </w:r>
      <w:r w:rsidRPr="003F2CE9">
        <w:t>. There was, however</w:t>
      </w:r>
      <w:r w:rsidR="0080556A">
        <w:t>,</w:t>
      </w:r>
      <w:r w:rsidRPr="003F2CE9">
        <w:t xml:space="preserve"> an impetus for </w:t>
      </w:r>
      <w:r w:rsidR="00E52F9C">
        <w:t>Māori</w:t>
      </w:r>
      <w:r w:rsidRPr="003F2CE9">
        <w:t xml:space="preserve"> solutions and a growing understanding and acceptance that a one size fits all approach was</w:t>
      </w:r>
      <w:r w:rsidR="00CC4D4F">
        <w:t xml:space="preserve"> </w:t>
      </w:r>
      <w:r w:rsidRPr="003F2CE9">
        <w:t>n</w:t>
      </w:r>
      <w:r w:rsidR="00CC4D4F">
        <w:t>o</w:t>
      </w:r>
      <w:r w:rsidRPr="003F2CE9">
        <w:t xml:space="preserve">t likely to be effective for </w:t>
      </w:r>
      <w:r w:rsidR="00E52F9C">
        <w:t>Māori</w:t>
      </w:r>
      <w:r w:rsidRPr="003F2CE9">
        <w:t xml:space="preserve"> (</w:t>
      </w:r>
      <w:proofErr w:type="spellStart"/>
      <w:r w:rsidRPr="003F2CE9">
        <w:t>Gauld</w:t>
      </w:r>
      <w:proofErr w:type="spellEnd"/>
      <w:r w:rsidRPr="003F2CE9">
        <w:t xml:space="preserve"> 2004). The 1993 health reforms in particular increased competition with a funder-purchaser-provider split, but they also presented an opportunity for </w:t>
      </w:r>
      <w:r w:rsidR="00E52F9C">
        <w:t>Māori</w:t>
      </w:r>
      <w:r w:rsidRPr="003F2CE9">
        <w:t xml:space="preserve"> providers and approaches (James 1997; Kerr and </w:t>
      </w:r>
      <w:proofErr w:type="spellStart"/>
      <w:r w:rsidRPr="003F2CE9">
        <w:t>Moewaka</w:t>
      </w:r>
      <w:proofErr w:type="spellEnd"/>
      <w:r w:rsidRPr="003F2CE9">
        <w:t xml:space="preserve"> Barnes 2012). </w:t>
      </w:r>
      <w:r w:rsidRPr="003F2CE9">
        <w:rPr>
          <w:rFonts w:cs="DPPGOL+Arial"/>
          <w:color w:val="000000"/>
        </w:rPr>
        <w:t xml:space="preserve">The stated aim of these changes was to more effectively target resources and improve </w:t>
      </w:r>
      <w:r w:rsidR="00E52F9C">
        <w:rPr>
          <w:rFonts w:cs="DPPGOL+Arial"/>
          <w:color w:val="000000"/>
        </w:rPr>
        <w:t>Māori</w:t>
      </w:r>
      <w:r w:rsidRPr="003F2CE9">
        <w:rPr>
          <w:rFonts w:cs="DPPGOL+Arial"/>
          <w:color w:val="000000"/>
        </w:rPr>
        <w:t xml:space="preserve"> health (</w:t>
      </w:r>
      <w:proofErr w:type="spellStart"/>
      <w:r w:rsidRPr="003F2CE9">
        <w:rPr>
          <w:rFonts w:cs="DPPGOL+Arial"/>
          <w:color w:val="000000"/>
        </w:rPr>
        <w:t>Te</w:t>
      </w:r>
      <w:proofErr w:type="spellEnd"/>
      <w:r w:rsidRPr="003F2CE9">
        <w:rPr>
          <w:rFonts w:cs="DPPGOL+Arial"/>
          <w:color w:val="000000"/>
        </w:rPr>
        <w:t xml:space="preserve"> </w:t>
      </w:r>
      <w:proofErr w:type="spellStart"/>
      <w:r w:rsidRPr="003F2CE9">
        <w:rPr>
          <w:rFonts w:cs="DPPGOL+Arial"/>
          <w:color w:val="000000"/>
        </w:rPr>
        <w:t>Puni</w:t>
      </w:r>
      <w:proofErr w:type="spellEnd"/>
      <w:r w:rsidRPr="003F2CE9">
        <w:rPr>
          <w:rFonts w:cs="DPPGOL+Arial"/>
          <w:color w:val="000000"/>
        </w:rPr>
        <w:t xml:space="preserve"> </w:t>
      </w:r>
      <w:proofErr w:type="spellStart"/>
      <w:r w:rsidRPr="003F2CE9">
        <w:rPr>
          <w:rFonts w:cs="DPPGOL+Arial"/>
          <w:color w:val="000000"/>
        </w:rPr>
        <w:t>Kōkiri</w:t>
      </w:r>
      <w:proofErr w:type="spellEnd"/>
      <w:r w:rsidRPr="003F2CE9">
        <w:rPr>
          <w:rFonts w:cs="DPPGOL+Arial"/>
          <w:color w:val="000000"/>
        </w:rPr>
        <w:t xml:space="preserve"> </w:t>
      </w:r>
      <w:proofErr w:type="spellStart"/>
      <w:r w:rsidRPr="003F2CE9">
        <w:rPr>
          <w:rFonts w:cs="DPPGOL+Arial"/>
          <w:color w:val="000000"/>
        </w:rPr>
        <w:t>1999b</w:t>
      </w:r>
      <w:proofErr w:type="spellEnd"/>
      <w:r w:rsidRPr="003F2CE9">
        <w:rPr>
          <w:rFonts w:cs="DPPGOL+Arial"/>
          <w:color w:val="000000"/>
        </w:rPr>
        <w:t xml:space="preserve">). </w:t>
      </w:r>
      <w:r w:rsidRPr="003F2CE9">
        <w:t xml:space="preserve">The 1996 election of a National-led </w:t>
      </w:r>
      <w:r w:rsidR="00E801A0">
        <w:t>c</w:t>
      </w:r>
      <w:r w:rsidRPr="003F2CE9">
        <w:t xml:space="preserve">oalition (first election under the </w:t>
      </w:r>
      <w:r w:rsidR="00CC4D4F">
        <w:t>mixed-member proportional (</w:t>
      </w:r>
      <w:proofErr w:type="spellStart"/>
      <w:r w:rsidRPr="003F2CE9">
        <w:t>MMP</w:t>
      </w:r>
      <w:proofErr w:type="spellEnd"/>
      <w:r w:rsidR="00CC4D4F">
        <w:t>)</w:t>
      </w:r>
      <w:r w:rsidRPr="003F2CE9">
        <w:t xml:space="preserve"> system) saw the market-led delivery of social services (</w:t>
      </w:r>
      <w:proofErr w:type="spellStart"/>
      <w:r w:rsidRPr="003F2CE9">
        <w:t>Blaiklock</w:t>
      </w:r>
      <w:proofErr w:type="spellEnd"/>
      <w:r w:rsidRPr="003F2CE9">
        <w:t xml:space="preserve"> </w:t>
      </w:r>
      <w:r w:rsidRPr="00E52F9C">
        <w:rPr>
          <w:i/>
        </w:rPr>
        <w:t>et al</w:t>
      </w:r>
      <w:r w:rsidRPr="003F2CE9">
        <w:t xml:space="preserve">. 2002). </w:t>
      </w:r>
      <w:r w:rsidRPr="003F2CE9">
        <w:rPr>
          <w:rFonts w:cs="DPPGOL+Arial"/>
          <w:color w:val="000000"/>
        </w:rPr>
        <w:t xml:space="preserve">Many </w:t>
      </w:r>
      <w:r w:rsidR="00E52F9C">
        <w:t>Māori</w:t>
      </w:r>
      <w:r w:rsidRPr="003F2CE9">
        <w:t xml:space="preserve"> providers took up opportunities to g</w:t>
      </w:r>
      <w:r w:rsidR="003F2CE9" w:rsidRPr="003F2CE9">
        <w:t>ain funding to deliver program</w:t>
      </w:r>
      <w:r w:rsidRPr="003F2CE9">
        <w:t xml:space="preserve">s and services for </w:t>
      </w:r>
      <w:r w:rsidR="00E52F9C">
        <w:t>Māori</w:t>
      </w:r>
      <w:r w:rsidRPr="003F2CE9">
        <w:t xml:space="preserve">. The number of </w:t>
      </w:r>
      <w:r w:rsidR="00E52F9C">
        <w:t>Māori</w:t>
      </w:r>
      <w:r w:rsidRPr="003F2CE9">
        <w:t xml:space="preserve"> providers contracted to deliver health services was particularly notable</w:t>
      </w:r>
      <w:r w:rsidR="0080556A">
        <w:t>,</w:t>
      </w:r>
      <w:r w:rsidRPr="003F2CE9">
        <w:t xml:space="preserve"> with an increase from</w:t>
      </w:r>
      <w:r w:rsidRPr="003F2CE9">
        <w:rPr>
          <w:rFonts w:cs="DPPGOL+Arial"/>
          <w:color w:val="000000"/>
        </w:rPr>
        <w:t xml:space="preserve"> under 20 in 1993 to over 220 in 1997 (</w:t>
      </w:r>
      <w:proofErr w:type="spellStart"/>
      <w:r w:rsidRPr="003F2CE9">
        <w:rPr>
          <w:rFonts w:cs="DPPGOL+Arial"/>
          <w:color w:val="000000"/>
        </w:rPr>
        <w:t>Te</w:t>
      </w:r>
      <w:proofErr w:type="spellEnd"/>
      <w:r w:rsidRPr="003F2CE9">
        <w:rPr>
          <w:rFonts w:cs="DPPGOL+Arial"/>
          <w:color w:val="000000"/>
        </w:rPr>
        <w:t xml:space="preserve"> </w:t>
      </w:r>
      <w:proofErr w:type="spellStart"/>
      <w:r w:rsidRPr="003F2CE9">
        <w:rPr>
          <w:rFonts w:cs="DPPGOL+Arial"/>
          <w:color w:val="000000"/>
        </w:rPr>
        <w:t>Puni</w:t>
      </w:r>
      <w:proofErr w:type="spellEnd"/>
      <w:r w:rsidRPr="003F2CE9">
        <w:rPr>
          <w:rFonts w:cs="DPPGOL+Arial"/>
          <w:color w:val="000000"/>
        </w:rPr>
        <w:t xml:space="preserve"> </w:t>
      </w:r>
      <w:proofErr w:type="spellStart"/>
      <w:r w:rsidRPr="003F2CE9">
        <w:rPr>
          <w:rFonts w:cs="DPPGOL+Arial"/>
          <w:color w:val="000000"/>
        </w:rPr>
        <w:t>Kōkiri</w:t>
      </w:r>
      <w:proofErr w:type="spellEnd"/>
      <w:r w:rsidRPr="003F2CE9">
        <w:rPr>
          <w:rFonts w:cs="DPPGOL+Arial"/>
          <w:color w:val="000000"/>
        </w:rPr>
        <w:t xml:space="preserve"> </w:t>
      </w:r>
      <w:proofErr w:type="spellStart"/>
      <w:r w:rsidRPr="003F2CE9">
        <w:rPr>
          <w:rFonts w:cs="DPPGOL+Arial"/>
          <w:color w:val="000000"/>
        </w:rPr>
        <w:t>1999b</w:t>
      </w:r>
      <w:proofErr w:type="spellEnd"/>
      <w:r w:rsidRPr="003F2CE9">
        <w:rPr>
          <w:rFonts w:cs="DPPGOL+Arial"/>
          <w:color w:val="000000"/>
        </w:rPr>
        <w:t xml:space="preserve">); many </w:t>
      </w:r>
      <w:r w:rsidR="00E52F9C">
        <w:rPr>
          <w:rFonts w:cs="DPPGOL+Arial"/>
          <w:color w:val="000000"/>
        </w:rPr>
        <w:t>Māori</w:t>
      </w:r>
      <w:r w:rsidRPr="003F2CE9">
        <w:rPr>
          <w:rFonts w:cs="DPPGOL+Arial"/>
          <w:color w:val="000000"/>
        </w:rPr>
        <w:t xml:space="preserve"> providers embedded these services within wider social service provision. </w:t>
      </w:r>
      <w:r w:rsidR="00E52F9C">
        <w:t>Māori</w:t>
      </w:r>
      <w:r w:rsidRPr="003F2CE9">
        <w:t xml:space="preserve"> service providers and evaluators were able to conduct successful projects, working collaboratively not only with </w:t>
      </w:r>
      <w:r w:rsidR="00E52F9C">
        <w:t>Māori</w:t>
      </w:r>
      <w:r w:rsidRPr="003F2CE9">
        <w:t xml:space="preserve"> but also with a broad range of stakeholders (e.g. Cram 1997; </w:t>
      </w:r>
      <w:proofErr w:type="spellStart"/>
      <w:r w:rsidRPr="003F2CE9">
        <w:t>Moewaka</w:t>
      </w:r>
      <w:proofErr w:type="spellEnd"/>
      <w:r w:rsidRPr="003F2CE9">
        <w:t xml:space="preserve"> Barnes 2000). Although many positive outcomes were reported in relation to service delivery at the community level, having no policy function this fell short of the philosophy of </w:t>
      </w:r>
      <w:proofErr w:type="spellStart"/>
      <w:r w:rsidRPr="003F2CE9">
        <w:t>tino</w:t>
      </w:r>
      <w:proofErr w:type="spellEnd"/>
      <w:r w:rsidRPr="003F2CE9">
        <w:t xml:space="preserve"> </w:t>
      </w:r>
      <w:proofErr w:type="spellStart"/>
      <w:r w:rsidRPr="003F2CE9">
        <w:t>rangatiratanga</w:t>
      </w:r>
      <w:proofErr w:type="spellEnd"/>
      <w:r w:rsidRPr="003F2CE9">
        <w:t xml:space="preserve"> (</w:t>
      </w:r>
      <w:proofErr w:type="spellStart"/>
      <w:r w:rsidRPr="003F2CE9">
        <w:t>Durie</w:t>
      </w:r>
      <w:proofErr w:type="spellEnd"/>
      <w:r w:rsidRPr="003F2CE9">
        <w:t xml:space="preserve"> 1995).</w:t>
      </w:r>
      <w:r w:rsidR="00F32742">
        <w:t xml:space="preserve"> </w:t>
      </w:r>
      <w:r w:rsidRPr="003F2CE9">
        <w:t>Further critiques of the state were that it took a sectoral rather than holistic and integrated approach and that their intentions were suspect</w:t>
      </w:r>
      <w:r w:rsidRPr="003F2CE9">
        <w:rPr>
          <w:rFonts w:cs="DPPGOL+Arial"/>
          <w:color w:val="000000"/>
        </w:rPr>
        <w:t>:</w:t>
      </w:r>
    </w:p>
    <w:p w:rsidR="001E231D" w:rsidRPr="003F2CE9" w:rsidRDefault="00E52F9C" w:rsidP="000D0624">
      <w:pPr>
        <w:pStyle w:val="Quote"/>
      </w:pPr>
      <w:r>
        <w:t>Māori</w:t>
      </w:r>
      <w:r w:rsidR="001E231D" w:rsidRPr="003F2CE9">
        <w:t xml:space="preserve"> suspected that they were implicitly being cast as agents of the Crown and that the disastrous effects of economic and state restructuring in terms of </w:t>
      </w:r>
      <w:r>
        <w:t>Māori</w:t>
      </w:r>
      <w:r w:rsidR="001E231D" w:rsidRPr="003F2CE9">
        <w:t xml:space="preserve"> unemployment were being masked by a semblance of economic recovery that simply did not extend to </w:t>
      </w:r>
      <w:r>
        <w:t>Māori</w:t>
      </w:r>
      <w:r w:rsidR="001E231D" w:rsidRPr="003F2CE9">
        <w:t xml:space="preserve"> households. Was </w:t>
      </w:r>
      <w:r>
        <w:t>Māori</w:t>
      </w:r>
      <w:r w:rsidR="001E231D" w:rsidRPr="003F2CE9">
        <w:t xml:space="preserve"> development intended to create a facade of positive recovery in the face of increasing disparities in unemployment, incomes and </w:t>
      </w:r>
      <w:proofErr w:type="spellStart"/>
      <w:r w:rsidR="001E231D" w:rsidRPr="003F2CE9">
        <w:t>whanau</w:t>
      </w:r>
      <w:proofErr w:type="spellEnd"/>
      <w:r w:rsidR="001E231D" w:rsidRPr="003F2CE9">
        <w:t xml:space="preserve"> (family) stress? Often it seemed so. (</w:t>
      </w:r>
      <w:proofErr w:type="spellStart"/>
      <w:r w:rsidR="001E231D" w:rsidRPr="003F2CE9">
        <w:t>Durie</w:t>
      </w:r>
      <w:proofErr w:type="spellEnd"/>
      <w:r w:rsidR="001E231D" w:rsidRPr="003F2CE9">
        <w:t xml:space="preserve"> 1995, </w:t>
      </w:r>
      <w:r w:rsidR="00CC4D4F">
        <w:t xml:space="preserve">p. </w:t>
      </w:r>
      <w:r w:rsidR="001E231D" w:rsidRPr="003F2CE9">
        <w:t>5)</w:t>
      </w:r>
    </w:p>
    <w:p w:rsidR="001E231D" w:rsidRPr="003F2CE9" w:rsidRDefault="001E231D" w:rsidP="000D0624">
      <w:pPr>
        <w:pStyle w:val="BodyText"/>
      </w:pPr>
      <w:r w:rsidRPr="003F2CE9">
        <w:t>The deregulatory state approach and economic reforms apparent at the time led to questions about Crown</w:t>
      </w:r>
      <w:r w:rsidR="00CC4D4F">
        <w:t>–</w:t>
      </w:r>
      <w:r w:rsidR="00E52F9C">
        <w:t>Māori</w:t>
      </w:r>
      <w:r w:rsidRPr="003F2CE9">
        <w:t xml:space="preserve"> relationships; specifically, whether the devolved governance groups were Treaty partners and how </w:t>
      </w:r>
      <w:r w:rsidR="00E52F9C">
        <w:t>Māori</w:t>
      </w:r>
      <w:r w:rsidRPr="003F2CE9">
        <w:t xml:space="preserve"> were to interact with, and participate in, these new </w:t>
      </w:r>
      <w:r w:rsidR="0080556A">
        <w:t>re</w:t>
      </w:r>
      <w:r w:rsidRPr="003F2CE9">
        <w:t>forms (</w:t>
      </w:r>
      <w:proofErr w:type="spellStart"/>
      <w:r w:rsidRPr="003F2CE9">
        <w:t>Durie</w:t>
      </w:r>
      <w:proofErr w:type="spellEnd"/>
      <w:r w:rsidRPr="003F2CE9">
        <w:t xml:space="preserve"> 1995). Another concern at the time related to the effects of urbanisation on </w:t>
      </w:r>
      <w:r w:rsidR="00E52F9C">
        <w:t>Māori</w:t>
      </w:r>
      <w:r w:rsidRPr="003F2CE9">
        <w:t xml:space="preserve">, particularly raising the notion of </w:t>
      </w:r>
      <w:r w:rsidR="00E52F9C">
        <w:t>Māori</w:t>
      </w:r>
      <w:r w:rsidRPr="003F2CE9">
        <w:t xml:space="preserve"> alienated from </w:t>
      </w:r>
      <w:proofErr w:type="spellStart"/>
      <w:r w:rsidRPr="003F2CE9">
        <w:t>iwi</w:t>
      </w:r>
      <w:proofErr w:type="spellEnd"/>
      <w:r w:rsidRPr="003F2CE9">
        <w:t xml:space="preserve"> structures (</w:t>
      </w:r>
      <w:proofErr w:type="spellStart"/>
      <w:r w:rsidRPr="003F2CE9">
        <w:t>Durie</w:t>
      </w:r>
      <w:proofErr w:type="spellEnd"/>
      <w:r w:rsidRPr="003F2CE9">
        <w:t xml:space="preserve"> 1995) and from </w:t>
      </w:r>
      <w:r w:rsidR="00E52F9C">
        <w:t>Māori</w:t>
      </w:r>
      <w:r w:rsidRPr="003F2CE9">
        <w:t xml:space="preserve"> culture in general. This discussion continues to the present day, with questions of </w:t>
      </w:r>
      <w:r w:rsidR="003F2CE9" w:rsidRPr="003F2CE9">
        <w:t>‘</w:t>
      </w:r>
      <w:r w:rsidRPr="003F2CE9">
        <w:t>authenticity</w:t>
      </w:r>
      <w:r w:rsidR="003F2CE9" w:rsidRPr="003F2CE9">
        <w:t>’</w:t>
      </w:r>
      <w:r w:rsidRPr="003F2CE9">
        <w:t>, cultural connectedness and representation (</w:t>
      </w:r>
      <w:proofErr w:type="spellStart"/>
      <w:r w:rsidRPr="003F2CE9">
        <w:t>Borell</w:t>
      </w:r>
      <w:proofErr w:type="spellEnd"/>
      <w:r w:rsidRPr="003F2CE9">
        <w:t xml:space="preserve"> 2005; </w:t>
      </w:r>
      <w:proofErr w:type="spellStart"/>
      <w:r w:rsidRPr="003F2CE9">
        <w:t>Moewaka</w:t>
      </w:r>
      <w:proofErr w:type="spellEnd"/>
      <w:r w:rsidRPr="003F2CE9">
        <w:t xml:space="preserve"> Barnes 2008, 2010). The establishment of </w:t>
      </w:r>
      <w:r w:rsidR="00E52F9C">
        <w:t>Māori</w:t>
      </w:r>
      <w:r w:rsidRPr="003F2CE9">
        <w:t xml:space="preserve"> Urban Authorities, initially in West Auckland (1984), then South Auckland (1985)</w:t>
      </w:r>
      <w:r w:rsidR="00CC4D4F">
        <w:t>,</w:t>
      </w:r>
      <w:r w:rsidRPr="003F2CE9">
        <w:t xml:space="preserve"> provided a voice and represented the interests of urban </w:t>
      </w:r>
      <w:r w:rsidR="00E52F9C">
        <w:t>Māori</w:t>
      </w:r>
      <w:r w:rsidRPr="003F2CE9">
        <w:t xml:space="preserve"> (</w:t>
      </w:r>
      <w:proofErr w:type="spellStart"/>
      <w:r w:rsidRPr="003F2CE9">
        <w:t>Keiha</w:t>
      </w:r>
      <w:proofErr w:type="spellEnd"/>
      <w:r w:rsidRPr="003F2CE9">
        <w:t xml:space="preserve"> and Moon 2008). In the </w:t>
      </w:r>
      <w:proofErr w:type="spellStart"/>
      <w:r w:rsidRPr="003F2CE9">
        <w:t>1990s</w:t>
      </w:r>
      <w:proofErr w:type="spellEnd"/>
      <w:r w:rsidRPr="003F2CE9">
        <w:t xml:space="preserve"> these issues had risen to broad public </w:t>
      </w:r>
      <w:r w:rsidRPr="003F2CE9">
        <w:lastRenderedPageBreak/>
        <w:t xml:space="preserve">consciousness in relation to Treaty settlements; how, for example, fisheries claims could be negotiated and settled on behalf of all </w:t>
      </w:r>
      <w:r w:rsidR="00E52F9C">
        <w:t>Māori</w:t>
      </w:r>
      <w:r w:rsidRPr="003F2CE9">
        <w:t xml:space="preserve"> (</w:t>
      </w:r>
      <w:proofErr w:type="spellStart"/>
      <w:r w:rsidRPr="003F2CE9">
        <w:t>Durie</w:t>
      </w:r>
      <w:proofErr w:type="spellEnd"/>
      <w:r w:rsidRPr="003F2CE9">
        <w:t xml:space="preserve"> 1995) and challenges about the nature of </w:t>
      </w:r>
      <w:proofErr w:type="spellStart"/>
      <w:r w:rsidRPr="003F2CE9">
        <w:t>iwi</w:t>
      </w:r>
      <w:proofErr w:type="spellEnd"/>
      <w:r w:rsidRPr="003F2CE9">
        <w:t xml:space="preserve"> and the status of urban authorities (</w:t>
      </w:r>
      <w:proofErr w:type="spellStart"/>
      <w:r w:rsidRPr="003F2CE9">
        <w:t>Keiha</w:t>
      </w:r>
      <w:proofErr w:type="spellEnd"/>
      <w:r w:rsidRPr="003F2CE9">
        <w:t xml:space="preserve"> and Moon 2008).</w:t>
      </w:r>
    </w:p>
    <w:p w:rsidR="001E231D" w:rsidRPr="003F2CE9" w:rsidRDefault="001E231D" w:rsidP="000D0624">
      <w:pPr>
        <w:pStyle w:val="BodyText"/>
      </w:pPr>
      <w:r w:rsidRPr="003F2CE9">
        <w:t>As the reform process slowed in the mid-</w:t>
      </w:r>
      <w:proofErr w:type="spellStart"/>
      <w:r w:rsidRPr="003F2CE9">
        <w:t>1990s</w:t>
      </w:r>
      <w:proofErr w:type="spellEnd"/>
      <w:r w:rsidRPr="003F2CE9">
        <w:t xml:space="preserve"> (</w:t>
      </w:r>
      <w:proofErr w:type="spellStart"/>
      <w:r w:rsidRPr="003F2CE9">
        <w:t>Blaiklock</w:t>
      </w:r>
      <w:proofErr w:type="spellEnd"/>
      <w:r w:rsidRPr="003F2CE9">
        <w:t xml:space="preserve"> et al. 2002) the idea that outputs were the responsibility of departments with ministers responsible for outcomes, led to a lack of attention to the impacts of policy on society (State Services Commission 1999). There was bureaucratic and political reticence about increasing the focus on outcomes, with concerns that this could detract from performance management systems (State Services Commission 1999). The State Services Commission (1999) argued that policy agencies were responsible for policy advice and that conducting policy reviews and linking outputs and outcomes was part of their quality performance criteria. Evaluation was also described as providing an important way of linking outputs to outcomes (State Services Commission 1999).</w:t>
      </w:r>
    </w:p>
    <w:p w:rsidR="001E231D" w:rsidRPr="003F2CE9" w:rsidRDefault="001E231D" w:rsidP="000D0624">
      <w:pPr>
        <w:pStyle w:val="BodyText"/>
      </w:pPr>
      <w:r w:rsidRPr="003F2CE9">
        <w:t>As contracted service provision increased, so too did public sector interest in evaluation; this interest continued into the next century (</w:t>
      </w:r>
      <w:proofErr w:type="spellStart"/>
      <w:r w:rsidRPr="003F2CE9">
        <w:t>Duignan</w:t>
      </w:r>
      <w:proofErr w:type="spellEnd"/>
      <w:r w:rsidRPr="003F2CE9">
        <w:t xml:space="preserve"> 2002). </w:t>
      </w:r>
      <w:r w:rsidRPr="003F2CE9">
        <w:rPr>
          <w:rFonts w:cs="TimesNewRomanPSMT"/>
        </w:rPr>
        <w:t>Although social science was given little credibility, evaluation increasingly developed as a separate field of social research with a focu</w:t>
      </w:r>
      <w:r w:rsidR="003F2CE9" w:rsidRPr="003F2CE9">
        <w:rPr>
          <w:rFonts w:cs="TimesNewRomanPSMT"/>
        </w:rPr>
        <w:t>s on government funded program</w:t>
      </w:r>
      <w:r w:rsidRPr="003F2CE9">
        <w:rPr>
          <w:rFonts w:cs="TimesNewRomanPSMT"/>
        </w:rPr>
        <w:t>s (</w:t>
      </w:r>
      <w:proofErr w:type="spellStart"/>
      <w:r w:rsidRPr="003F2CE9">
        <w:rPr>
          <w:rFonts w:cs="TimesNewRomanPSMT"/>
        </w:rPr>
        <w:t>Duignan</w:t>
      </w:r>
      <w:proofErr w:type="spellEnd"/>
      <w:r w:rsidRPr="003F2CE9">
        <w:rPr>
          <w:rFonts w:cs="TimesNewRomanPSMT"/>
        </w:rPr>
        <w:t xml:space="preserve"> 1997; Kerr and </w:t>
      </w:r>
      <w:proofErr w:type="spellStart"/>
      <w:r w:rsidRPr="003F2CE9">
        <w:rPr>
          <w:rFonts w:cs="TimesNewRomanPSMT"/>
        </w:rPr>
        <w:t>Moewaka</w:t>
      </w:r>
      <w:proofErr w:type="spellEnd"/>
      <w:r w:rsidRPr="003F2CE9">
        <w:rPr>
          <w:rFonts w:cs="TimesNewRomanPSMT"/>
        </w:rPr>
        <w:t xml:space="preserve"> Barnes 2012; Lunt 2003). </w:t>
      </w:r>
      <w:proofErr w:type="spellStart"/>
      <w:r w:rsidRPr="003F2CE9">
        <w:rPr>
          <w:rFonts w:cs="TimesNewRomanPSMT"/>
        </w:rPr>
        <w:t>Saville</w:t>
      </w:r>
      <w:proofErr w:type="spellEnd"/>
      <w:r w:rsidRPr="003F2CE9">
        <w:rPr>
          <w:rFonts w:cs="TimesNewRomanPSMT"/>
        </w:rPr>
        <w:t xml:space="preserve">-Smith describes the growth of evaluation demand, arising from a need for credible evidence of effectiveness, as </w:t>
      </w:r>
      <w:r w:rsidR="003F2CE9" w:rsidRPr="003F2CE9">
        <w:rPr>
          <w:rFonts w:cs="TimesNewRomanPSMT"/>
        </w:rPr>
        <w:t>‘</w:t>
      </w:r>
      <w:r w:rsidRPr="003F2CE9">
        <w:rPr>
          <w:rFonts w:cs="TimesNewRomanPSMT"/>
        </w:rPr>
        <w:t>an activity critical to transparent, accountable, effective and responsive government</w:t>
      </w:r>
      <w:r w:rsidR="003F2CE9" w:rsidRPr="003F2CE9">
        <w:rPr>
          <w:rFonts w:cs="TimesNewRomanPSMT"/>
        </w:rPr>
        <w:t>’</w:t>
      </w:r>
      <w:r w:rsidRPr="003F2CE9">
        <w:rPr>
          <w:rFonts w:cs="TimesNewRomanPSMT"/>
        </w:rPr>
        <w:t xml:space="preserve"> (</w:t>
      </w:r>
      <w:proofErr w:type="spellStart"/>
      <w:r w:rsidRPr="003F2CE9">
        <w:rPr>
          <w:rFonts w:cs="TimesNewRomanPSMT"/>
        </w:rPr>
        <w:t>Saville</w:t>
      </w:r>
      <w:proofErr w:type="spellEnd"/>
      <w:r w:rsidRPr="003F2CE9">
        <w:rPr>
          <w:rFonts w:cs="TimesNewRomanPSMT"/>
        </w:rPr>
        <w:t xml:space="preserve">-Smith 2003, </w:t>
      </w:r>
      <w:r w:rsidR="00FC789B">
        <w:rPr>
          <w:rFonts w:cs="TimesNewRomanPSMT"/>
        </w:rPr>
        <w:t xml:space="preserve">p. </w:t>
      </w:r>
      <w:r w:rsidRPr="003F2CE9">
        <w:rPr>
          <w:rFonts w:cs="TimesNewRomanPSMT"/>
        </w:rPr>
        <w:t xml:space="preserve">17). However, with a strong focus on evaluating contracted services, it could be argued that it was also about accountability to the state through the evaluation of providers, with </w:t>
      </w:r>
      <w:r w:rsidR="00E52F9C">
        <w:rPr>
          <w:rFonts w:cs="TimesNewRomanPSMT"/>
        </w:rPr>
        <w:t>Māori</w:t>
      </w:r>
      <w:r w:rsidRPr="003F2CE9">
        <w:rPr>
          <w:rFonts w:cs="TimesNewRomanPSMT"/>
        </w:rPr>
        <w:t xml:space="preserve"> providers being subject to considerable evaluation. W</w:t>
      </w:r>
      <w:r w:rsidRPr="003F2CE9">
        <w:t>hile there were positives, there was a risk of disillusionment if evaluation capacity was not embedded across the social policy sector (</w:t>
      </w:r>
      <w:proofErr w:type="spellStart"/>
      <w:r w:rsidRPr="003F2CE9">
        <w:t>Duignan</w:t>
      </w:r>
      <w:proofErr w:type="spellEnd"/>
      <w:r w:rsidRPr="003F2CE9">
        <w:t xml:space="preserve"> 2002). As well as gaps in capability within the </w:t>
      </w:r>
      <w:r w:rsidR="00FC789B">
        <w:t>p</w:t>
      </w:r>
      <w:r w:rsidRPr="003F2CE9">
        <w:t xml:space="preserve">ublic </w:t>
      </w:r>
      <w:r w:rsidR="00FC789B">
        <w:t>s</w:t>
      </w:r>
      <w:r w:rsidRPr="003F2CE9">
        <w:t>ervice</w:t>
      </w:r>
      <w:r w:rsidR="00FC789B">
        <w:t>,</w:t>
      </w:r>
      <w:r w:rsidRPr="003F2CE9">
        <w:t xml:space="preserve"> a</w:t>
      </w:r>
      <w:r w:rsidRPr="003F2CE9">
        <w:rPr>
          <w:rFonts w:cs="SabonMaori-Roman"/>
        </w:rPr>
        <w:t xml:space="preserve"> lack of competent evaluators was noted (State Services Commission 1999)</w:t>
      </w:r>
      <w:r w:rsidRPr="003F2CE9">
        <w:t>.</w:t>
      </w:r>
    </w:p>
    <w:p w:rsidR="001E231D" w:rsidRPr="003F2CE9" w:rsidRDefault="001E231D" w:rsidP="000D0624">
      <w:pPr>
        <w:pStyle w:val="BodyText"/>
      </w:pPr>
      <w:r w:rsidRPr="003F2CE9">
        <w:t xml:space="preserve">Some </w:t>
      </w:r>
      <w:r w:rsidR="00E52F9C">
        <w:t>Māori</w:t>
      </w:r>
      <w:r w:rsidRPr="003F2CE9">
        <w:t xml:space="preserve"> evaluation capacity was developed within the state sector and a small number of </w:t>
      </w:r>
      <w:r w:rsidR="00E52F9C">
        <w:t>Māori</w:t>
      </w:r>
      <w:r w:rsidRPr="003F2CE9">
        <w:t xml:space="preserve"> evaluation contractors worked directly with ministries. Considerable growth occurred through research groups within many of the major tertiary institutes that were able to grow </w:t>
      </w:r>
      <w:r w:rsidR="00E52F9C">
        <w:t>Māori</w:t>
      </w:r>
      <w:r w:rsidRPr="003F2CE9">
        <w:t xml:space="preserve"> capacity through evaluation contracts; both non-</w:t>
      </w:r>
      <w:r w:rsidR="00E52F9C">
        <w:t>Māori</w:t>
      </w:r>
      <w:r w:rsidRPr="003F2CE9">
        <w:t xml:space="preserve"> and </w:t>
      </w:r>
      <w:r w:rsidR="00E52F9C">
        <w:t>Māori</w:t>
      </w:r>
      <w:r w:rsidRPr="003F2CE9">
        <w:t xml:space="preserve"> led</w:t>
      </w:r>
      <w:r w:rsidR="00FC789B">
        <w:t>,</w:t>
      </w:r>
      <w:r w:rsidRPr="003F2CE9">
        <w:t xml:space="preserve"> as well as partnership arrangements. </w:t>
      </w:r>
      <w:r w:rsidR="00E52F9C">
        <w:t>Māori</w:t>
      </w:r>
      <w:r w:rsidRPr="003F2CE9">
        <w:t xml:space="preserve"> service delivery and evaluation practice drew on a range of </w:t>
      </w:r>
      <w:r w:rsidR="00E52F9C">
        <w:t>Māori</w:t>
      </w:r>
      <w:r w:rsidRPr="003F2CE9">
        <w:t xml:space="preserve"> concepts and some were specific to particular </w:t>
      </w:r>
      <w:proofErr w:type="spellStart"/>
      <w:r w:rsidRPr="003F2CE9">
        <w:t>iwi</w:t>
      </w:r>
      <w:proofErr w:type="spellEnd"/>
      <w:r w:rsidRPr="003F2CE9">
        <w:t xml:space="preserve">. Initially introduced in education in the </w:t>
      </w:r>
      <w:proofErr w:type="spellStart"/>
      <w:r w:rsidRPr="003F2CE9">
        <w:t>1990s</w:t>
      </w:r>
      <w:proofErr w:type="spellEnd"/>
      <w:r w:rsidRPr="003F2CE9">
        <w:t xml:space="preserve">, </w:t>
      </w:r>
      <w:proofErr w:type="spellStart"/>
      <w:r w:rsidRPr="003F2CE9">
        <w:t>Kaupapa</w:t>
      </w:r>
      <w:proofErr w:type="spellEnd"/>
      <w:r w:rsidRPr="003F2CE9">
        <w:t xml:space="preserve"> </w:t>
      </w:r>
      <w:r w:rsidR="00E52F9C">
        <w:t>Māori</w:t>
      </w:r>
      <w:r w:rsidRPr="003F2CE9">
        <w:t xml:space="preserve"> theory became widely drawn on. </w:t>
      </w:r>
      <w:proofErr w:type="spellStart"/>
      <w:r w:rsidRPr="003F2CE9">
        <w:t>Kaupapa</w:t>
      </w:r>
      <w:proofErr w:type="spellEnd"/>
      <w:r w:rsidRPr="003F2CE9">
        <w:t xml:space="preserve"> </w:t>
      </w:r>
      <w:r w:rsidR="00E52F9C">
        <w:t>Māori</w:t>
      </w:r>
      <w:r w:rsidRPr="003F2CE9">
        <w:t xml:space="preserve"> evaluation involved an analysis of cultural, political and social contexts and was predicated on by </w:t>
      </w:r>
      <w:r w:rsidR="00E52F9C">
        <w:t>Māori</w:t>
      </w:r>
      <w:r w:rsidR="00E801A0">
        <w:t>,</w:t>
      </w:r>
      <w:r w:rsidRPr="003F2CE9">
        <w:t xml:space="preserve"> for </w:t>
      </w:r>
      <w:r w:rsidR="00E52F9C">
        <w:t>Māori</w:t>
      </w:r>
      <w:r w:rsidRPr="003F2CE9">
        <w:t xml:space="preserve"> approaches (Smith </w:t>
      </w:r>
      <w:proofErr w:type="spellStart"/>
      <w:r w:rsidRPr="003F2CE9">
        <w:t>1996b</w:t>
      </w:r>
      <w:proofErr w:type="spellEnd"/>
      <w:r w:rsidRPr="003F2CE9">
        <w:t>). In the mid</w:t>
      </w:r>
      <w:r w:rsidR="00FC789B">
        <w:t>-</w:t>
      </w:r>
      <w:r w:rsidRPr="003F2CE9">
        <w:t xml:space="preserve"> to late</w:t>
      </w:r>
      <w:r w:rsidR="00FC789B">
        <w:t>-</w:t>
      </w:r>
      <w:proofErr w:type="spellStart"/>
      <w:r w:rsidRPr="003F2CE9">
        <w:t>1990s</w:t>
      </w:r>
      <w:proofErr w:type="spellEnd"/>
      <w:r w:rsidRPr="003F2CE9">
        <w:t xml:space="preserve">, issues of </w:t>
      </w:r>
      <w:r w:rsidRPr="003F2CE9">
        <w:lastRenderedPageBreak/>
        <w:t>non-</w:t>
      </w:r>
      <w:r w:rsidR="00E52F9C">
        <w:t>Māori</w:t>
      </w:r>
      <w:r w:rsidRPr="003F2CE9">
        <w:t xml:space="preserve"> capacity and capability had become increasingly discussed. In particular</w:t>
      </w:r>
      <w:r w:rsidR="00FC789B">
        <w:t>,</w:t>
      </w:r>
      <w:r w:rsidRPr="003F2CE9">
        <w:t xml:space="preserve"> non-</w:t>
      </w:r>
      <w:r w:rsidR="00E52F9C">
        <w:t>Māori</w:t>
      </w:r>
      <w:r w:rsidRPr="003F2CE9">
        <w:t xml:space="preserve"> competencies in working with </w:t>
      </w:r>
      <w:r w:rsidR="00E52F9C">
        <w:t>Māori</w:t>
      </w:r>
      <w:r w:rsidRPr="003F2CE9">
        <w:t xml:space="preserve"> were emerging as an area in need of development. </w:t>
      </w:r>
    </w:p>
    <w:p w:rsidR="001E231D" w:rsidRPr="003F2CE9" w:rsidRDefault="001E231D" w:rsidP="001E231D">
      <w:pPr>
        <w:pStyle w:val="Heading3"/>
      </w:pPr>
      <w:bookmarkStart w:id="11" w:name="_Toc341182880"/>
      <w:r w:rsidRPr="003F2CE9">
        <w:t>Questions of capacity and competency</w:t>
      </w:r>
      <w:bookmarkEnd w:id="11"/>
    </w:p>
    <w:p w:rsidR="001E231D" w:rsidRPr="003F2CE9" w:rsidRDefault="001E231D" w:rsidP="000D0624">
      <w:pPr>
        <w:pStyle w:val="BodyText"/>
      </w:pPr>
      <w:r w:rsidRPr="003F2CE9">
        <w:t xml:space="preserve">The Labour coalition led government elected in 1999 put an </w:t>
      </w:r>
      <w:r w:rsidR="003F2CE9" w:rsidRPr="003F2CE9">
        <w:t>‘</w:t>
      </w:r>
      <w:r w:rsidRPr="003F2CE9">
        <w:t>emphasis in public policy on the importance of social development, reducing inequalities and cross-sectoral policy-making</w:t>
      </w:r>
      <w:r w:rsidR="003F2CE9" w:rsidRPr="003F2CE9">
        <w:t>’</w:t>
      </w:r>
      <w:r w:rsidRPr="003F2CE9">
        <w:t xml:space="preserve"> (</w:t>
      </w:r>
      <w:proofErr w:type="spellStart"/>
      <w:r w:rsidRPr="003F2CE9">
        <w:t>Gauld</w:t>
      </w:r>
      <w:proofErr w:type="spellEnd"/>
      <w:r w:rsidRPr="003F2CE9">
        <w:t xml:space="preserve"> et al. 2006, </w:t>
      </w:r>
      <w:r w:rsidR="00FC789B">
        <w:t xml:space="preserve">p. </w:t>
      </w:r>
      <w:r w:rsidRPr="003F2CE9">
        <w:t>284) and a whole</w:t>
      </w:r>
      <w:r w:rsidR="00E801A0">
        <w:t>-</w:t>
      </w:r>
      <w:r w:rsidRPr="003F2CE9">
        <w:t>of</w:t>
      </w:r>
      <w:r w:rsidR="00E801A0">
        <w:t>-</w:t>
      </w:r>
      <w:r w:rsidRPr="003F2CE9">
        <w:t>government approach (</w:t>
      </w:r>
      <w:proofErr w:type="spellStart"/>
      <w:r w:rsidRPr="003F2CE9">
        <w:t>Humpage</w:t>
      </w:r>
      <w:proofErr w:type="spellEnd"/>
      <w:r w:rsidRPr="003F2CE9">
        <w:t xml:space="preserve"> 2005). Their campaign platform, </w:t>
      </w:r>
      <w:r w:rsidR="003F2CE9" w:rsidRPr="003F2CE9">
        <w:t>‘</w:t>
      </w:r>
      <w:r w:rsidRPr="003F2CE9">
        <w:t>Closing the Gaps</w:t>
      </w:r>
      <w:r w:rsidR="003F2CE9" w:rsidRPr="003F2CE9">
        <w:t>’</w:t>
      </w:r>
      <w:r w:rsidRPr="003F2CE9">
        <w:t xml:space="preserve"> between </w:t>
      </w:r>
      <w:r w:rsidR="00E52F9C">
        <w:t>Māori</w:t>
      </w:r>
      <w:r w:rsidRPr="003F2CE9">
        <w:t xml:space="preserve"> and non-</w:t>
      </w:r>
      <w:r w:rsidR="00E52F9C">
        <w:t>Māori</w:t>
      </w:r>
      <w:r w:rsidRPr="003F2CE9">
        <w:t xml:space="preserve"> (</w:t>
      </w:r>
      <w:proofErr w:type="spellStart"/>
      <w:r w:rsidRPr="003F2CE9">
        <w:t>Te</w:t>
      </w:r>
      <w:proofErr w:type="spellEnd"/>
      <w:r w:rsidRPr="003F2CE9">
        <w:t xml:space="preserve"> </w:t>
      </w:r>
      <w:proofErr w:type="spellStart"/>
      <w:r w:rsidRPr="003F2CE9">
        <w:t>Ara</w:t>
      </w:r>
      <w:proofErr w:type="spellEnd"/>
      <w:r w:rsidRPr="003F2CE9">
        <w:t xml:space="preserve"> 2012) was followed by a strategy of capacity building as part of general social policy (</w:t>
      </w:r>
      <w:proofErr w:type="spellStart"/>
      <w:r w:rsidRPr="003F2CE9">
        <w:t>Humpage</w:t>
      </w:r>
      <w:proofErr w:type="spellEnd"/>
      <w:r w:rsidRPr="003F2CE9">
        <w:t xml:space="preserve"> 2005). </w:t>
      </w:r>
      <w:r w:rsidR="00E52F9C">
        <w:t>Māori</w:t>
      </w:r>
      <w:r w:rsidRPr="003F2CE9">
        <w:t xml:space="preserve"> organisations were funded and supported to assess and address capacity, including their strategies, systems and structures (</w:t>
      </w:r>
      <w:proofErr w:type="spellStart"/>
      <w:r w:rsidRPr="003F2CE9">
        <w:t>Humpage</w:t>
      </w:r>
      <w:proofErr w:type="spellEnd"/>
      <w:r w:rsidRPr="003F2CE9">
        <w:t xml:space="preserve"> 2005).</w:t>
      </w:r>
    </w:p>
    <w:p w:rsidR="001E231D" w:rsidRPr="003F2CE9" w:rsidRDefault="001E231D" w:rsidP="000D0624">
      <w:pPr>
        <w:pStyle w:val="BodyText"/>
        <w:rPr>
          <w:lang w:eastAsia="en-NZ"/>
        </w:rPr>
      </w:pPr>
      <w:r w:rsidRPr="003F2CE9">
        <w:rPr>
          <w:lang w:eastAsia="en-NZ"/>
        </w:rPr>
        <w:t xml:space="preserve">Capacity and capability building continued to occur in the evaluation sector. </w:t>
      </w:r>
      <w:r w:rsidRPr="003F2CE9">
        <w:t>The Social Policy Evaluation and Research (</w:t>
      </w:r>
      <w:proofErr w:type="spellStart"/>
      <w:r w:rsidRPr="003F2CE9">
        <w:t>SPEaR</w:t>
      </w:r>
      <w:proofErr w:type="spellEnd"/>
      <w:r w:rsidRPr="003F2CE9">
        <w:t>)</w:t>
      </w:r>
      <w:r w:rsidR="00E801A0">
        <w:t xml:space="preserve"> Committee</w:t>
      </w:r>
      <w:r w:rsidRPr="003F2CE9">
        <w:t xml:space="preserve"> was established by government in 2001, with one role being to promote best practice across government (</w:t>
      </w:r>
      <w:proofErr w:type="spellStart"/>
      <w:r w:rsidRPr="003F2CE9">
        <w:t>SPEaR</w:t>
      </w:r>
      <w:proofErr w:type="spellEnd"/>
      <w:r w:rsidRPr="003F2CE9">
        <w:t xml:space="preserve"> 2008). A number of organisations began to take on issues around non-</w:t>
      </w:r>
      <w:r w:rsidR="00E52F9C">
        <w:t>Māori</w:t>
      </w:r>
      <w:r w:rsidRPr="003F2CE9">
        <w:t xml:space="preserve"> research and evaluation practice; some were considered inappropriate and even damaging. This led to debates around whether non-</w:t>
      </w:r>
      <w:r w:rsidR="00E52F9C">
        <w:t>Māori</w:t>
      </w:r>
      <w:r w:rsidRPr="003F2CE9">
        <w:t xml:space="preserve"> should conduc</w:t>
      </w:r>
      <w:r w:rsidR="003F2CE9" w:rsidRPr="003F2CE9">
        <w:t xml:space="preserve">t evaluations of </w:t>
      </w:r>
      <w:r w:rsidR="00E52F9C">
        <w:t>Māori</w:t>
      </w:r>
      <w:r w:rsidR="003F2CE9" w:rsidRPr="003F2CE9">
        <w:t xml:space="preserve"> program</w:t>
      </w:r>
      <w:r w:rsidRPr="003F2CE9">
        <w:t xml:space="preserve">s. </w:t>
      </w:r>
      <w:r w:rsidRPr="003F2CE9">
        <w:rPr>
          <w:lang w:eastAsia="en-NZ"/>
        </w:rPr>
        <w:t xml:space="preserve">Cram et al. (no date, </w:t>
      </w:r>
      <w:r w:rsidR="00FC789B">
        <w:rPr>
          <w:lang w:eastAsia="en-NZ"/>
        </w:rPr>
        <w:t xml:space="preserve">p. </w:t>
      </w:r>
      <w:r w:rsidRPr="003F2CE9">
        <w:rPr>
          <w:lang w:eastAsia="en-NZ"/>
        </w:rPr>
        <w:t>5) describe some of the concerns:</w:t>
      </w:r>
    </w:p>
    <w:p w:rsidR="001E231D" w:rsidRPr="003F2CE9" w:rsidRDefault="001E231D" w:rsidP="000D0624">
      <w:pPr>
        <w:pStyle w:val="Quote"/>
        <w:rPr>
          <w:lang w:eastAsia="en-NZ"/>
        </w:rPr>
      </w:pPr>
      <w:r w:rsidRPr="003F2CE9">
        <w:rPr>
          <w:lang w:eastAsia="en-NZ"/>
        </w:rPr>
        <w:t>Apart from problems created by research questions structured in terms foreign to the community it is the point at which the researcher is representing the community in their results that is problematic.</w:t>
      </w:r>
      <w:r w:rsidR="00F32742">
        <w:rPr>
          <w:lang w:eastAsia="en-NZ"/>
        </w:rPr>
        <w:t xml:space="preserve"> </w:t>
      </w:r>
      <w:r w:rsidRPr="003F2CE9">
        <w:rPr>
          <w:lang w:eastAsia="en-NZ"/>
        </w:rPr>
        <w:t>Such representation is created within the researcher</w:t>
      </w:r>
      <w:r w:rsidR="003F2CE9" w:rsidRPr="003F2CE9">
        <w:rPr>
          <w:lang w:eastAsia="en-NZ"/>
        </w:rPr>
        <w:t>’</w:t>
      </w:r>
      <w:r w:rsidRPr="003F2CE9">
        <w:rPr>
          <w:lang w:eastAsia="en-NZ"/>
        </w:rPr>
        <w:t>s culture and this (alternative construction) is likely to be given priority over the community</w:t>
      </w:r>
      <w:r w:rsidR="003F2CE9" w:rsidRPr="003F2CE9">
        <w:rPr>
          <w:lang w:eastAsia="en-NZ"/>
        </w:rPr>
        <w:t>’</w:t>
      </w:r>
      <w:r w:rsidRPr="003F2CE9">
        <w:rPr>
          <w:lang w:eastAsia="en-NZ"/>
        </w:rPr>
        <w:t xml:space="preserve">s construction. </w:t>
      </w:r>
    </w:p>
    <w:p w:rsidR="001E231D" w:rsidRPr="003F2CE9" w:rsidRDefault="001E231D" w:rsidP="000D0624">
      <w:pPr>
        <w:pStyle w:val="BodyText"/>
      </w:pPr>
      <w:r w:rsidRPr="003F2CE9">
        <w:rPr>
          <w:rFonts w:cstheme="minorHAnsi"/>
        </w:rPr>
        <w:t>Various bodies developed guidelines to</w:t>
      </w:r>
      <w:r w:rsidRPr="003F2CE9">
        <w:t xml:space="preserve"> limit damage, increase participation and guide research and evaluation processes in ways more appropriate for </w:t>
      </w:r>
      <w:r w:rsidR="00E52F9C">
        <w:t>Māori</w:t>
      </w:r>
      <w:r w:rsidRPr="003F2CE9">
        <w:t xml:space="preserve"> (for example</w:t>
      </w:r>
      <w:r w:rsidR="00E52F9C">
        <w:t xml:space="preserve">, </w:t>
      </w:r>
      <w:r w:rsidRPr="003F2CE9">
        <w:t xml:space="preserve">Health Research Council 1998; Ministry of Social Development 2004; </w:t>
      </w:r>
      <w:proofErr w:type="spellStart"/>
      <w:r w:rsidRPr="003F2CE9">
        <w:t>Te</w:t>
      </w:r>
      <w:proofErr w:type="spellEnd"/>
      <w:r w:rsidRPr="003F2CE9">
        <w:t xml:space="preserve"> </w:t>
      </w:r>
      <w:proofErr w:type="spellStart"/>
      <w:r w:rsidRPr="003F2CE9">
        <w:t>Puni</w:t>
      </w:r>
      <w:proofErr w:type="spellEnd"/>
      <w:r w:rsidRPr="003F2CE9">
        <w:t xml:space="preserve"> </w:t>
      </w:r>
      <w:proofErr w:type="spellStart"/>
      <w:r w:rsidRPr="003F2CE9">
        <w:t>K</w:t>
      </w:r>
      <w:r w:rsidR="004E3974" w:rsidRPr="003F2CE9">
        <w:rPr>
          <w:rFonts w:cs="DPPGOL+Arial"/>
          <w:color w:val="000000"/>
        </w:rPr>
        <w:t>ō</w:t>
      </w:r>
      <w:r w:rsidRPr="003F2CE9">
        <w:t>kiri</w:t>
      </w:r>
      <w:proofErr w:type="spellEnd"/>
      <w:r w:rsidRPr="003F2CE9">
        <w:t xml:space="preserve"> </w:t>
      </w:r>
      <w:proofErr w:type="spellStart"/>
      <w:r w:rsidRPr="003F2CE9">
        <w:t>1999a</w:t>
      </w:r>
      <w:proofErr w:type="spellEnd"/>
      <w:r w:rsidRPr="003F2CE9">
        <w:t xml:space="preserve">). </w:t>
      </w:r>
      <w:r w:rsidRPr="003F2CE9">
        <w:rPr>
          <w:rFonts w:cstheme="minorHAnsi"/>
        </w:rPr>
        <w:t>As well as benefitting agencies and improving non-</w:t>
      </w:r>
      <w:r w:rsidR="00E52F9C">
        <w:rPr>
          <w:rFonts w:cstheme="minorHAnsi"/>
        </w:rPr>
        <w:t>Māori</w:t>
      </w:r>
      <w:r w:rsidRPr="003F2CE9">
        <w:rPr>
          <w:rFonts w:cstheme="minorHAnsi"/>
        </w:rPr>
        <w:t xml:space="preserve"> practice, suggested </w:t>
      </w:r>
      <w:r w:rsidRPr="003F2CE9">
        <w:t xml:space="preserve">benefits for Māori included more equitable arrangements and increased usefulness of research and evaluation to Māori (Health Research Council 2006; </w:t>
      </w:r>
      <w:proofErr w:type="spellStart"/>
      <w:r w:rsidRPr="003F2CE9">
        <w:t>Moewaka</w:t>
      </w:r>
      <w:proofErr w:type="spellEnd"/>
      <w:r w:rsidRPr="003F2CE9">
        <w:t xml:space="preserve"> Barnes 2003). </w:t>
      </w:r>
    </w:p>
    <w:p w:rsidR="001E231D" w:rsidRPr="003F2CE9" w:rsidRDefault="001E231D" w:rsidP="001E231D">
      <w:pPr>
        <w:pStyle w:val="Heading3"/>
      </w:pPr>
      <w:bookmarkStart w:id="12" w:name="_Toc341182881"/>
      <w:r w:rsidRPr="003F2CE9">
        <w:t>From rights to needs</w:t>
      </w:r>
      <w:bookmarkEnd w:id="12"/>
    </w:p>
    <w:p w:rsidR="001E231D" w:rsidRPr="003F2CE9" w:rsidRDefault="001E231D" w:rsidP="000D0624">
      <w:pPr>
        <w:pStyle w:val="BodyText"/>
      </w:pPr>
      <w:r w:rsidRPr="003F2CE9">
        <w:t xml:space="preserve">After </w:t>
      </w:r>
      <w:r w:rsidR="00A341DD">
        <w:t xml:space="preserve">Closing the Gaps came </w:t>
      </w:r>
      <w:r w:rsidRPr="003F2CE9">
        <w:t>under attack by Brash (2004), the then</w:t>
      </w:r>
      <w:r w:rsidR="00FC789B">
        <w:t xml:space="preserve"> </w:t>
      </w:r>
      <w:r w:rsidRPr="003F2CE9">
        <w:t xml:space="preserve">leader of the National Party, as </w:t>
      </w:r>
      <w:r w:rsidR="003F2CE9" w:rsidRPr="003F2CE9">
        <w:t>‘</w:t>
      </w:r>
      <w:r w:rsidRPr="003F2CE9">
        <w:t>race-based</w:t>
      </w:r>
      <w:r w:rsidR="003F2CE9" w:rsidRPr="003F2CE9">
        <w:t>’</w:t>
      </w:r>
      <w:r w:rsidRPr="003F2CE9">
        <w:t xml:space="preserve"> rather than needs</w:t>
      </w:r>
      <w:r w:rsidR="00E01CFD">
        <w:t xml:space="preserve"> based</w:t>
      </w:r>
      <w:r w:rsidRPr="003F2CE9">
        <w:t xml:space="preserve"> (</w:t>
      </w:r>
      <w:proofErr w:type="spellStart"/>
      <w:r w:rsidRPr="003F2CE9">
        <w:t>Te</w:t>
      </w:r>
      <w:proofErr w:type="spellEnd"/>
      <w:r w:rsidRPr="003F2CE9">
        <w:t xml:space="preserve"> </w:t>
      </w:r>
      <w:proofErr w:type="spellStart"/>
      <w:r w:rsidRPr="003F2CE9">
        <w:t>Ara</w:t>
      </w:r>
      <w:proofErr w:type="spellEnd"/>
      <w:r w:rsidRPr="003F2CE9">
        <w:t xml:space="preserve"> 2012), </w:t>
      </w:r>
      <w:r w:rsidR="00A341DD">
        <w:t xml:space="preserve">it </w:t>
      </w:r>
      <w:r w:rsidRPr="003F2CE9">
        <w:t xml:space="preserve">was </w:t>
      </w:r>
      <w:r w:rsidRPr="003F2CE9">
        <w:lastRenderedPageBreak/>
        <w:t xml:space="preserve">subject to a </w:t>
      </w:r>
      <w:r w:rsidR="003F2CE9" w:rsidRPr="003F2CE9">
        <w:t>‘</w:t>
      </w:r>
      <w:r w:rsidRPr="003F2CE9">
        <w:t>political backlash</w:t>
      </w:r>
      <w:r w:rsidR="003F2CE9" w:rsidRPr="003F2CE9">
        <w:t>’</w:t>
      </w:r>
      <w:r w:rsidRPr="003F2CE9">
        <w:t xml:space="preserve"> (</w:t>
      </w:r>
      <w:proofErr w:type="spellStart"/>
      <w:r w:rsidRPr="003F2CE9">
        <w:t>Humpage</w:t>
      </w:r>
      <w:proofErr w:type="spellEnd"/>
      <w:r w:rsidRPr="003F2CE9">
        <w:t xml:space="preserve"> 2005, </w:t>
      </w:r>
      <w:r w:rsidR="00FC789B">
        <w:t xml:space="preserve">p. </w:t>
      </w:r>
      <w:r w:rsidRPr="003F2CE9">
        <w:t xml:space="preserve">53), which saw </w:t>
      </w:r>
      <w:r w:rsidR="00E52F9C">
        <w:t>Māori</w:t>
      </w:r>
      <w:r w:rsidRPr="003F2CE9">
        <w:t xml:space="preserve"> framed predominantly as a people with needs, rather than rights (O</w:t>
      </w:r>
      <w:r w:rsidR="003F2CE9" w:rsidRPr="003F2CE9">
        <w:t>’</w:t>
      </w:r>
      <w:r w:rsidRPr="003F2CE9">
        <w:t xml:space="preserve">Sullivan 2008). In a climate of considerable media coverage, opinion polls showing increased National Party popularity and increasing criticism of </w:t>
      </w:r>
      <w:r w:rsidR="00E52F9C">
        <w:t>Māori</w:t>
      </w:r>
      <w:r w:rsidRPr="003F2CE9">
        <w:t xml:space="preserve"> </w:t>
      </w:r>
      <w:r w:rsidR="003F2CE9" w:rsidRPr="003F2CE9">
        <w:t>‘</w:t>
      </w:r>
      <w:r w:rsidRPr="003F2CE9">
        <w:t>special privileges</w:t>
      </w:r>
      <w:r w:rsidR="003F2CE9" w:rsidRPr="003F2CE9">
        <w:t>’</w:t>
      </w:r>
      <w:r w:rsidR="00FC789B">
        <w:t>,</w:t>
      </w:r>
      <w:r w:rsidRPr="003F2CE9">
        <w:t xml:space="preserve"> the government backtracked on its policy and </w:t>
      </w:r>
      <w:r w:rsidRPr="003F2CE9">
        <w:rPr>
          <w:rFonts w:cs="TimesNewRomanPSMT"/>
        </w:rPr>
        <w:t xml:space="preserve">sought out largely </w:t>
      </w:r>
      <w:r w:rsidR="00E52F9C">
        <w:rPr>
          <w:rFonts w:cs="TimesNewRomanPSMT"/>
        </w:rPr>
        <w:t>Māori</w:t>
      </w:r>
      <w:r w:rsidRPr="003F2CE9">
        <w:rPr>
          <w:rFonts w:cs="TimesNewRomanPSMT"/>
        </w:rPr>
        <w:t>, but also other (</w:t>
      </w:r>
      <w:r w:rsidR="00775D69">
        <w:rPr>
          <w:rFonts w:cs="TimesNewRomanPSMT"/>
        </w:rPr>
        <w:t xml:space="preserve">for example, </w:t>
      </w:r>
      <w:r w:rsidRPr="003F2CE9">
        <w:rPr>
          <w:rFonts w:cs="TimesNewRomanPSMT"/>
        </w:rPr>
        <w:t>Pacific</w:t>
      </w:r>
      <w:r w:rsidR="00775D69">
        <w:rPr>
          <w:rFonts w:cs="TimesNewRomanPSMT"/>
        </w:rPr>
        <w:t xml:space="preserve"> Islander</w:t>
      </w:r>
      <w:r w:rsidRPr="003F2CE9">
        <w:rPr>
          <w:rFonts w:cs="TimesNewRomanPSMT"/>
        </w:rPr>
        <w:t xml:space="preserve">) </w:t>
      </w:r>
      <w:r w:rsidR="003F2CE9" w:rsidRPr="003F2CE9">
        <w:rPr>
          <w:rFonts w:cs="TimesNewRomanPSMT"/>
        </w:rPr>
        <w:t>‘</w:t>
      </w:r>
      <w:r w:rsidRPr="003F2CE9">
        <w:rPr>
          <w:rFonts w:cs="TimesNewRomanPSMT"/>
        </w:rPr>
        <w:t>race-based privilege</w:t>
      </w:r>
      <w:r w:rsidR="003F2CE9" w:rsidRPr="003F2CE9">
        <w:rPr>
          <w:rFonts w:cs="TimesNewRomanPSMT"/>
        </w:rPr>
        <w:t>’</w:t>
      </w:r>
      <w:r w:rsidRPr="003F2CE9">
        <w:rPr>
          <w:rFonts w:cs="TimesNewRomanPSMT"/>
        </w:rPr>
        <w:t xml:space="preserve"> (</w:t>
      </w:r>
      <w:proofErr w:type="spellStart"/>
      <w:r w:rsidRPr="003F2CE9">
        <w:rPr>
          <w:rFonts w:cs="Trebuchet MS"/>
        </w:rPr>
        <w:t>Moewaka</w:t>
      </w:r>
      <w:proofErr w:type="spellEnd"/>
      <w:r w:rsidRPr="003F2CE9">
        <w:rPr>
          <w:rFonts w:cs="Trebuchet MS"/>
        </w:rPr>
        <w:t xml:space="preserve"> Barnes, </w:t>
      </w:r>
      <w:proofErr w:type="spellStart"/>
      <w:r w:rsidRPr="003F2CE9">
        <w:rPr>
          <w:rFonts w:cs="Trebuchet MS"/>
        </w:rPr>
        <w:t>McCreanor</w:t>
      </w:r>
      <w:proofErr w:type="spellEnd"/>
      <w:r w:rsidRPr="003F2CE9">
        <w:rPr>
          <w:rFonts w:cs="Trebuchet MS"/>
        </w:rPr>
        <w:t xml:space="preserve"> and </w:t>
      </w:r>
      <w:proofErr w:type="spellStart"/>
      <w:r w:rsidRPr="003F2CE9">
        <w:rPr>
          <w:rFonts w:cs="Trebuchet MS"/>
        </w:rPr>
        <w:t>Huakau</w:t>
      </w:r>
      <w:proofErr w:type="spellEnd"/>
      <w:r w:rsidRPr="003F2CE9">
        <w:rPr>
          <w:rFonts w:cs="Trebuchet MS"/>
        </w:rPr>
        <w:t xml:space="preserve"> </w:t>
      </w:r>
      <w:r w:rsidRPr="003F2CE9">
        <w:rPr>
          <w:rFonts w:cs="TimesNewRomanPSMT"/>
        </w:rPr>
        <w:t>2008)</w:t>
      </w:r>
      <w:r w:rsidRPr="003F2CE9">
        <w:t>. Despite a previous emphasis on evidence</w:t>
      </w:r>
      <w:r w:rsidR="00FC789B">
        <w:t>-</w:t>
      </w:r>
      <w:r w:rsidRPr="003F2CE9">
        <w:t xml:space="preserve">based social policy (St John </w:t>
      </w:r>
      <w:r w:rsidR="00FC789B">
        <w:t xml:space="preserve">and </w:t>
      </w:r>
      <w:r w:rsidRPr="003F2CE9">
        <w:t>Dale 2012), the government provided little defence of their strategies, but took up what appeared to be a popular cause and largely agreed with Brash (</w:t>
      </w:r>
      <w:proofErr w:type="spellStart"/>
      <w:r w:rsidRPr="003F2CE9">
        <w:rPr>
          <w:rFonts w:cs="Trebuchet MS"/>
        </w:rPr>
        <w:t>Moewaka</w:t>
      </w:r>
      <w:proofErr w:type="spellEnd"/>
      <w:r w:rsidRPr="003F2CE9">
        <w:rPr>
          <w:rFonts w:cs="Trebuchet MS"/>
        </w:rPr>
        <w:t xml:space="preserve"> Barnes, </w:t>
      </w:r>
      <w:proofErr w:type="spellStart"/>
      <w:r w:rsidRPr="003F2CE9">
        <w:rPr>
          <w:rFonts w:cs="Trebuchet MS"/>
        </w:rPr>
        <w:t>McCreanor</w:t>
      </w:r>
      <w:proofErr w:type="spellEnd"/>
      <w:r w:rsidRPr="003F2CE9">
        <w:rPr>
          <w:rFonts w:cs="Trebuchet MS"/>
        </w:rPr>
        <w:t xml:space="preserve"> and </w:t>
      </w:r>
      <w:proofErr w:type="spellStart"/>
      <w:r w:rsidRPr="003F2CE9">
        <w:rPr>
          <w:rFonts w:cs="Trebuchet MS"/>
        </w:rPr>
        <w:t>Huakau</w:t>
      </w:r>
      <w:proofErr w:type="spellEnd"/>
      <w:r w:rsidRPr="003F2CE9">
        <w:rPr>
          <w:rFonts w:cs="Trebuchet MS"/>
        </w:rPr>
        <w:t xml:space="preserve"> </w:t>
      </w:r>
      <w:r w:rsidRPr="003F2CE9">
        <w:t xml:space="preserve">2008). Ignoring evidence that a one size fits all approach had frequently failed </w:t>
      </w:r>
      <w:r w:rsidR="00E52F9C">
        <w:t>Māori</w:t>
      </w:r>
      <w:r w:rsidRPr="003F2CE9">
        <w:t>, cultural imperatives as well as rights were put aside in the invalid assumption that needs could be uniformly addressed across cultures (O</w:t>
      </w:r>
      <w:r w:rsidR="003F2CE9" w:rsidRPr="003F2CE9">
        <w:t>’</w:t>
      </w:r>
      <w:r w:rsidRPr="003F2CE9">
        <w:t xml:space="preserve">Sullivan 2008). From 2004, needs became a dominating discourse and </w:t>
      </w:r>
      <w:proofErr w:type="spellStart"/>
      <w:r w:rsidRPr="003F2CE9">
        <w:t>TPK</w:t>
      </w:r>
      <w:proofErr w:type="spellEnd"/>
      <w:r w:rsidRPr="003F2CE9">
        <w:t xml:space="preserve"> adopted a </w:t>
      </w:r>
      <w:r w:rsidR="00E52F9C">
        <w:t>Māori</w:t>
      </w:r>
      <w:r w:rsidRPr="003F2CE9">
        <w:t xml:space="preserve"> Potential approach (</w:t>
      </w:r>
      <w:proofErr w:type="spellStart"/>
      <w:r w:rsidRPr="003F2CE9">
        <w:t>Te</w:t>
      </w:r>
      <w:proofErr w:type="spellEnd"/>
      <w:r w:rsidRPr="003F2CE9">
        <w:t xml:space="preserve"> </w:t>
      </w:r>
      <w:proofErr w:type="spellStart"/>
      <w:r w:rsidRPr="003F2CE9">
        <w:t>Ara</w:t>
      </w:r>
      <w:proofErr w:type="spellEnd"/>
      <w:r w:rsidRPr="003F2CE9">
        <w:t xml:space="preserve"> 2012).</w:t>
      </w:r>
      <w:r w:rsidR="00F32742">
        <w:t xml:space="preserve"> </w:t>
      </w:r>
    </w:p>
    <w:p w:rsidR="001E231D" w:rsidRPr="003F2CE9" w:rsidRDefault="001E231D" w:rsidP="000D0624">
      <w:pPr>
        <w:pStyle w:val="BodyText"/>
      </w:pPr>
      <w:r w:rsidRPr="003F2CE9">
        <w:t>Changes to Closing the Gaps led to confusion over the capacity</w:t>
      </w:r>
      <w:r w:rsidR="004E3974">
        <w:t>-</w:t>
      </w:r>
      <w:r w:rsidRPr="003F2CE9">
        <w:t xml:space="preserve">building strategy. Although </w:t>
      </w:r>
      <w:proofErr w:type="spellStart"/>
      <w:r w:rsidRPr="003F2CE9">
        <w:t>TPK</w:t>
      </w:r>
      <w:r w:rsidR="003F2CE9" w:rsidRPr="003F2CE9">
        <w:t>’</w:t>
      </w:r>
      <w:r w:rsidRPr="003F2CE9">
        <w:t>s</w:t>
      </w:r>
      <w:proofErr w:type="spellEnd"/>
      <w:r w:rsidRPr="003F2CE9">
        <w:t xml:space="preserve"> role was to monitor the effectiveness of Closing the Gaps, it was not clear who had been in charge and whether capacity building was dropped along with Closing the Gaps. </w:t>
      </w:r>
      <w:proofErr w:type="spellStart"/>
      <w:r w:rsidRPr="003F2CE9">
        <w:t>TPK</w:t>
      </w:r>
      <w:proofErr w:type="spellEnd"/>
      <w:r w:rsidRPr="003F2CE9">
        <w:t xml:space="preserve"> was not commissioned to develop an evaluation framework for capacity building until 2002</w:t>
      </w:r>
      <w:r w:rsidR="00FC789B">
        <w:t>;</w:t>
      </w:r>
      <w:r w:rsidRPr="003F2CE9">
        <w:t xml:space="preserve"> however</w:t>
      </w:r>
      <w:r w:rsidR="00FC789B">
        <w:t>,</w:t>
      </w:r>
      <w:r w:rsidRPr="003F2CE9">
        <w:t xml:space="preserve"> most investment was in relatively small</w:t>
      </w:r>
      <w:r w:rsidR="00FC789B">
        <w:t>-</w:t>
      </w:r>
      <w:r w:rsidRPr="003F2CE9">
        <w:t>scale local activities and services (</w:t>
      </w:r>
      <w:proofErr w:type="spellStart"/>
      <w:r w:rsidRPr="003F2CE9">
        <w:t>Humpage</w:t>
      </w:r>
      <w:proofErr w:type="spellEnd"/>
      <w:r w:rsidRPr="003F2CE9">
        <w:t xml:space="preserve"> 2005). </w:t>
      </w:r>
      <w:proofErr w:type="spellStart"/>
      <w:r w:rsidRPr="003F2CE9">
        <w:t>Humpage</w:t>
      </w:r>
      <w:proofErr w:type="spellEnd"/>
      <w:r w:rsidRPr="003F2CE9">
        <w:t xml:space="preserve"> (2005) suggests the confusion in policy and responsibility for policy was due to the </w:t>
      </w:r>
      <w:r w:rsidR="003F2CE9" w:rsidRPr="003F2CE9">
        <w:t>‘</w:t>
      </w:r>
      <w:r w:rsidRPr="003F2CE9">
        <w:t>on the run</w:t>
      </w:r>
      <w:r w:rsidR="003F2CE9" w:rsidRPr="003F2CE9">
        <w:t>’</w:t>
      </w:r>
      <w:r w:rsidRPr="003F2CE9">
        <w:t xml:space="preserve"> nature of the development of capacity building. </w:t>
      </w:r>
    </w:p>
    <w:p w:rsidR="001E231D" w:rsidRPr="003F2CE9" w:rsidRDefault="001E231D" w:rsidP="001E231D">
      <w:pPr>
        <w:pStyle w:val="Heading3"/>
      </w:pPr>
      <w:bookmarkStart w:id="13" w:name="_Toc341182882"/>
      <w:r w:rsidRPr="003F2CE9">
        <w:t>Focus on practice</w:t>
      </w:r>
      <w:bookmarkEnd w:id="13"/>
    </w:p>
    <w:p w:rsidR="001E231D" w:rsidRPr="003F2CE9" w:rsidRDefault="001E231D" w:rsidP="000D0624">
      <w:pPr>
        <w:pStyle w:val="BodyText"/>
        <w:rPr>
          <w:rFonts w:cstheme="minorHAnsi"/>
        </w:rPr>
      </w:pPr>
      <w:r w:rsidRPr="003F2CE9">
        <w:t xml:space="preserve">Within this challenging environment, </w:t>
      </w:r>
      <w:r w:rsidR="00E52F9C">
        <w:t>Māori</w:t>
      </w:r>
      <w:r w:rsidRPr="003F2CE9">
        <w:t xml:space="preserve"> provider</w:t>
      </w:r>
      <w:r w:rsidR="003F2CE9" w:rsidRPr="003F2CE9">
        <w:t>s continued to deliver program</w:t>
      </w:r>
      <w:r w:rsidRPr="003F2CE9">
        <w:t>s and, despite around two decades of considerable focus, concerns continued about best practice within non-</w:t>
      </w:r>
      <w:r w:rsidR="00E52F9C">
        <w:t>Māori</w:t>
      </w:r>
      <w:r w:rsidRPr="003F2CE9">
        <w:t xml:space="preserve"> and mainstream services. A case study evaluation of a 2007 </w:t>
      </w:r>
      <w:proofErr w:type="spellStart"/>
      <w:r w:rsidRPr="003F2CE9">
        <w:t>Kaupapa</w:t>
      </w:r>
      <w:proofErr w:type="spellEnd"/>
      <w:r w:rsidRPr="003F2CE9">
        <w:t xml:space="preserve"> </w:t>
      </w:r>
      <w:r w:rsidR="00E52F9C">
        <w:t>Māori</w:t>
      </w:r>
      <w:r w:rsidRPr="003F2CE9">
        <w:t xml:space="preserve"> Participatory Action </w:t>
      </w:r>
      <w:r w:rsidRPr="003F2CE9">
        <w:rPr>
          <w:rFonts w:cstheme="minorHAnsi"/>
        </w:rPr>
        <w:t>Research project found that:</w:t>
      </w:r>
    </w:p>
    <w:p w:rsidR="001E231D" w:rsidRPr="003F2CE9" w:rsidRDefault="003F2CE9" w:rsidP="001E231D">
      <w:pPr>
        <w:pStyle w:val="Quote"/>
      </w:pPr>
      <w:r w:rsidRPr="003F2CE9">
        <w:t xml:space="preserve">… </w:t>
      </w:r>
      <w:r w:rsidR="001E231D" w:rsidRPr="003F2CE9">
        <w:t xml:space="preserve">service providers, policy makers, planners, funders and politicians were more in control of what happened in many programmes delivered to Māori, than Māori were. Further, that despite their best efforts, many </w:t>
      </w:r>
      <w:proofErr w:type="spellStart"/>
      <w:r w:rsidR="001E231D" w:rsidRPr="003F2CE9">
        <w:t>Pākehā</w:t>
      </w:r>
      <w:proofErr w:type="spellEnd"/>
      <w:r w:rsidR="001E231D" w:rsidRPr="003F2CE9">
        <w:t xml:space="preserve"> working to provide services to Māori had little idea of how to do that appropriately. It was encouraging to see that during the action research process, some underwent painful revelations of their own culturally determined blind spots, assumptions and prejudices and then were able to move past these to learn how to work more effectively with Māori. (Kerr-Brown 2011, </w:t>
      </w:r>
      <w:r w:rsidR="00772718">
        <w:t xml:space="preserve">pp. </w:t>
      </w:r>
      <w:r w:rsidR="001E231D" w:rsidRPr="003F2CE9">
        <w:t>18</w:t>
      </w:r>
      <w:r w:rsidRPr="003F2CE9">
        <w:t>–</w:t>
      </w:r>
      <w:r w:rsidR="001E231D" w:rsidRPr="003F2CE9">
        <w:t>19)</w:t>
      </w:r>
      <w:r w:rsidR="00F32742">
        <w:t xml:space="preserve"> </w:t>
      </w:r>
    </w:p>
    <w:p w:rsidR="001E231D" w:rsidRPr="003F2CE9" w:rsidRDefault="001E231D" w:rsidP="000D0624">
      <w:pPr>
        <w:pStyle w:val="BodyText"/>
      </w:pPr>
      <w:r w:rsidRPr="003F2CE9">
        <w:t xml:space="preserve">The participatory processes of this and other collaborative evaluations contributed to and supported initiatives at local and community levels (Kerr et al. 2010). </w:t>
      </w:r>
      <w:r w:rsidRPr="003F2CE9">
        <w:lastRenderedPageBreak/>
        <w:t>However, these approaches require time. A growing emphasis on quick turnaround from contract start to reporting had implications, not only for methods but also for who was prepared and able to work in this way (</w:t>
      </w:r>
      <w:proofErr w:type="spellStart"/>
      <w:r w:rsidRPr="003F2CE9">
        <w:t>Nunns</w:t>
      </w:r>
      <w:proofErr w:type="spellEnd"/>
      <w:r w:rsidRPr="003F2CE9">
        <w:t xml:space="preserve"> 2009). Short</w:t>
      </w:r>
      <w:r w:rsidR="00772718">
        <w:t>-</w:t>
      </w:r>
      <w:r w:rsidRPr="003F2CE9">
        <w:t xml:space="preserve">term projects also present challenges in relation to </w:t>
      </w:r>
      <w:r w:rsidR="00772718">
        <w:t xml:space="preserve">the </w:t>
      </w:r>
      <w:proofErr w:type="spellStart"/>
      <w:r w:rsidRPr="003F2CE9">
        <w:t>Kaupapa</w:t>
      </w:r>
      <w:proofErr w:type="spellEnd"/>
      <w:r w:rsidRPr="003F2CE9">
        <w:t xml:space="preserve"> </w:t>
      </w:r>
      <w:r w:rsidR="00E52F9C">
        <w:t>Māori</w:t>
      </w:r>
      <w:r w:rsidRPr="003F2CE9">
        <w:t xml:space="preserve"> approaches described below and to many of the principles and practices outlined in various best practice guidelines.</w:t>
      </w:r>
    </w:p>
    <w:p w:rsidR="00772718" w:rsidRDefault="001E231D" w:rsidP="000D0624">
      <w:pPr>
        <w:pStyle w:val="BodyText"/>
      </w:pPr>
      <w:r w:rsidRPr="003F2CE9">
        <w:rPr>
          <w:rFonts w:cstheme="minorHAnsi"/>
        </w:rPr>
        <w:t xml:space="preserve">In 2008, </w:t>
      </w:r>
      <w:proofErr w:type="spellStart"/>
      <w:r w:rsidRPr="003F2CE9">
        <w:rPr>
          <w:rFonts w:cstheme="minorHAnsi"/>
        </w:rPr>
        <w:t>SPEaR</w:t>
      </w:r>
      <w:proofErr w:type="spellEnd"/>
      <w:r w:rsidRPr="003F2CE9">
        <w:rPr>
          <w:rFonts w:cstheme="minorHAnsi"/>
        </w:rPr>
        <w:t xml:space="preserve"> developed guidelines primarily for government agency officials, but with relevance to social</w:t>
      </w:r>
      <w:r w:rsidRPr="003F2CE9">
        <w:t xml:space="preserve"> policy research and evaluation more broadly. Building on principles of respect, integrity, responsiveness, competency and reciprocity the guidelines were located within a partnership approach. This was in order to reflect the government context whereby the majority culture determines the topic, but the methods and processes need to suit a range of interests (</w:t>
      </w:r>
      <w:proofErr w:type="spellStart"/>
      <w:r w:rsidRPr="003F2CE9">
        <w:t>SPEaR</w:t>
      </w:r>
      <w:proofErr w:type="spellEnd"/>
      <w:r w:rsidRPr="003F2CE9">
        <w:t xml:space="preserve"> 2008). </w:t>
      </w:r>
    </w:p>
    <w:p w:rsidR="00772718" w:rsidRDefault="001E231D" w:rsidP="000D0624">
      <w:pPr>
        <w:pStyle w:val="BodyText"/>
        <w:rPr>
          <w:bCs/>
        </w:rPr>
      </w:pPr>
      <w:r w:rsidRPr="003F2CE9">
        <w:t xml:space="preserve">Commonly, best practice and ethics are developed within dominant paradigms and adapted for appropriateness and responsiveness to </w:t>
      </w:r>
      <w:r w:rsidR="00E52F9C">
        <w:t>Māori</w:t>
      </w:r>
      <w:r w:rsidRPr="003F2CE9">
        <w:t xml:space="preserve"> and other ethnicities or cultural groups. Culture is rarely examined except when addressing issues of working with </w:t>
      </w:r>
      <w:r w:rsidR="003F2CE9" w:rsidRPr="003F2CE9">
        <w:t>‘</w:t>
      </w:r>
      <w:r w:rsidRPr="003F2CE9">
        <w:t>other</w:t>
      </w:r>
      <w:r w:rsidR="003F2CE9" w:rsidRPr="003F2CE9">
        <w:t>’</w:t>
      </w:r>
      <w:r w:rsidRPr="003F2CE9">
        <w:t xml:space="preserve"> cultures; the underlying assumption being that these guides are non-cultural and universal (</w:t>
      </w:r>
      <w:proofErr w:type="spellStart"/>
      <w:r w:rsidRPr="003F2CE9">
        <w:t>Moewaka</w:t>
      </w:r>
      <w:proofErr w:type="spellEnd"/>
      <w:r w:rsidRPr="003F2CE9">
        <w:t xml:space="preserve"> Barnes et al. 2009). </w:t>
      </w:r>
      <w:r w:rsidRPr="003F2CE9">
        <w:rPr>
          <w:bCs/>
        </w:rPr>
        <w:t xml:space="preserve">This led to a suggestion that, in order to pursue </w:t>
      </w:r>
      <w:r w:rsidR="00E52F9C">
        <w:rPr>
          <w:bCs/>
        </w:rPr>
        <w:t>Māori</w:t>
      </w:r>
      <w:r w:rsidRPr="003F2CE9">
        <w:rPr>
          <w:bCs/>
        </w:rPr>
        <w:t xml:space="preserve"> advancement, non-</w:t>
      </w:r>
      <w:r w:rsidR="00E52F9C">
        <w:rPr>
          <w:bCs/>
        </w:rPr>
        <w:t>Māori</w:t>
      </w:r>
      <w:r w:rsidRPr="003F2CE9">
        <w:rPr>
          <w:bCs/>
        </w:rPr>
        <w:t xml:space="preserve"> development needed to occur</w:t>
      </w:r>
      <w:r w:rsidR="00772718">
        <w:rPr>
          <w:bCs/>
        </w:rPr>
        <w:t>;</w:t>
      </w:r>
      <w:r w:rsidRPr="003F2CE9">
        <w:rPr>
          <w:bCs/>
        </w:rPr>
        <w:t xml:space="preserve"> one strategy being that researchers and evaluators explicitly examine and understand their own culture, world</w:t>
      </w:r>
      <w:r w:rsidR="00775D69">
        <w:rPr>
          <w:bCs/>
        </w:rPr>
        <w:t xml:space="preserve"> </w:t>
      </w:r>
      <w:r w:rsidRPr="003F2CE9">
        <w:rPr>
          <w:bCs/>
        </w:rPr>
        <w:t>views and practices before embarking on understanding or working with other cultures (</w:t>
      </w:r>
      <w:proofErr w:type="spellStart"/>
      <w:r w:rsidRPr="003F2CE9">
        <w:rPr>
          <w:bCs/>
        </w:rPr>
        <w:t>Moewaka</w:t>
      </w:r>
      <w:proofErr w:type="spellEnd"/>
      <w:r w:rsidRPr="003F2CE9">
        <w:rPr>
          <w:bCs/>
        </w:rPr>
        <w:t xml:space="preserve"> Barnes 2008). </w:t>
      </w:r>
      <w:r w:rsidR="00E52F9C">
        <w:rPr>
          <w:bCs/>
        </w:rPr>
        <w:t>Māori</w:t>
      </w:r>
      <w:r w:rsidRPr="003F2CE9">
        <w:rPr>
          <w:bCs/>
        </w:rPr>
        <w:t xml:space="preserve"> had been doing this for over 160 years. </w:t>
      </w:r>
    </w:p>
    <w:p w:rsidR="001E231D" w:rsidRPr="003F2CE9" w:rsidRDefault="001E231D" w:rsidP="000D0624">
      <w:pPr>
        <w:pStyle w:val="BodyText"/>
        <w:rPr>
          <w:rFonts w:cstheme="minorHAnsi"/>
        </w:rPr>
      </w:pPr>
      <w:r w:rsidRPr="003F2CE9">
        <w:rPr>
          <w:bCs/>
        </w:rPr>
        <w:t xml:space="preserve">It </w:t>
      </w:r>
      <w:r w:rsidRPr="003F2CE9">
        <w:t xml:space="preserve">is notable therefore that the </w:t>
      </w:r>
      <w:proofErr w:type="spellStart"/>
      <w:r w:rsidRPr="003F2CE9">
        <w:t>SPEaR</w:t>
      </w:r>
      <w:proofErr w:type="spellEnd"/>
      <w:r w:rsidRPr="003F2CE9">
        <w:t xml:space="preserve"> guidelines used principles developed at the </w:t>
      </w:r>
      <w:r w:rsidRPr="003F2CE9">
        <w:rPr>
          <w:bCs/>
        </w:rPr>
        <w:t xml:space="preserve">Best Practice Māori Guidelines </w:t>
      </w:r>
      <w:proofErr w:type="spellStart"/>
      <w:r w:rsidRPr="003F2CE9">
        <w:rPr>
          <w:bCs/>
        </w:rPr>
        <w:t>Hui</w:t>
      </w:r>
      <w:proofErr w:type="spellEnd"/>
      <w:r w:rsidRPr="003F2CE9">
        <w:rPr>
          <w:bCs/>
        </w:rPr>
        <w:t xml:space="preserve"> (</w:t>
      </w:r>
      <w:proofErr w:type="spellStart"/>
      <w:r w:rsidRPr="003F2CE9">
        <w:rPr>
          <w:bCs/>
        </w:rPr>
        <w:t>SPEaR</w:t>
      </w:r>
      <w:proofErr w:type="spellEnd"/>
      <w:r w:rsidRPr="003F2CE9">
        <w:rPr>
          <w:bCs/>
        </w:rPr>
        <w:t xml:space="preserve"> Bulletin 2007) and applied them more generically. </w:t>
      </w:r>
      <w:r w:rsidRPr="003F2CE9">
        <w:t>The result was</w:t>
      </w:r>
      <w:r w:rsidRPr="003F2CE9">
        <w:rPr>
          <w:rFonts w:cstheme="minorHAnsi"/>
        </w:rPr>
        <w:t xml:space="preserve"> </w:t>
      </w:r>
      <w:r w:rsidR="003F2CE9" w:rsidRPr="003F2CE9">
        <w:rPr>
          <w:rFonts w:cstheme="minorHAnsi"/>
        </w:rPr>
        <w:t>‘</w:t>
      </w:r>
      <w:r w:rsidRPr="003F2CE9">
        <w:rPr>
          <w:rFonts w:cstheme="minorHAnsi"/>
        </w:rPr>
        <w:t>complex and demanding material</w:t>
      </w:r>
      <w:r w:rsidR="003F2CE9" w:rsidRPr="003F2CE9">
        <w:rPr>
          <w:rFonts w:cstheme="minorHAnsi"/>
        </w:rPr>
        <w:t>’</w:t>
      </w:r>
      <w:r w:rsidRPr="003F2CE9">
        <w:rPr>
          <w:rFonts w:cstheme="minorHAnsi"/>
        </w:rPr>
        <w:t xml:space="preserve"> (</w:t>
      </w:r>
      <w:proofErr w:type="spellStart"/>
      <w:r w:rsidRPr="003F2CE9">
        <w:rPr>
          <w:rFonts w:cstheme="minorHAnsi"/>
        </w:rPr>
        <w:t>Roorda</w:t>
      </w:r>
      <w:proofErr w:type="spellEnd"/>
      <w:r w:rsidRPr="003F2CE9">
        <w:rPr>
          <w:rFonts w:cstheme="minorHAnsi"/>
        </w:rPr>
        <w:t xml:space="preserve"> and Peace 2009, </w:t>
      </w:r>
      <w:r w:rsidR="00772718">
        <w:rPr>
          <w:rFonts w:cstheme="minorHAnsi"/>
        </w:rPr>
        <w:t xml:space="preserve">p. </w:t>
      </w:r>
      <w:r w:rsidRPr="003F2CE9">
        <w:rPr>
          <w:rFonts w:cstheme="minorHAnsi"/>
        </w:rPr>
        <w:t xml:space="preserve">87) particularly in relation to working with </w:t>
      </w:r>
      <w:r w:rsidR="00E52F9C">
        <w:rPr>
          <w:rFonts w:cstheme="minorHAnsi"/>
        </w:rPr>
        <w:t>Māori</w:t>
      </w:r>
      <w:r w:rsidRPr="003F2CE9">
        <w:rPr>
          <w:rFonts w:cstheme="minorHAnsi"/>
        </w:rPr>
        <w:t xml:space="preserve"> and Pacific peoples. In relation to the guidelines, </w:t>
      </w:r>
      <w:proofErr w:type="spellStart"/>
      <w:r w:rsidRPr="003F2CE9">
        <w:rPr>
          <w:rFonts w:cstheme="minorHAnsi"/>
        </w:rPr>
        <w:t>Roorda</w:t>
      </w:r>
      <w:proofErr w:type="spellEnd"/>
      <w:r w:rsidRPr="003F2CE9">
        <w:rPr>
          <w:rFonts w:cstheme="minorHAnsi"/>
        </w:rPr>
        <w:t xml:space="preserve"> and Peace (2009) argue that evaluators often fall short of best practice: </w:t>
      </w:r>
      <w:r w:rsidR="00E52F9C">
        <w:rPr>
          <w:rFonts w:cstheme="minorHAnsi"/>
        </w:rPr>
        <w:t>Māori</w:t>
      </w:r>
      <w:r w:rsidRPr="003F2CE9">
        <w:rPr>
          <w:rFonts w:cstheme="minorHAnsi"/>
        </w:rPr>
        <w:t xml:space="preserve"> participation is limited by predetermined evaluation parameters; resources may be inadequate to meet recommended </w:t>
      </w:r>
      <w:r w:rsidR="00E52F9C">
        <w:rPr>
          <w:rFonts w:cstheme="minorHAnsi"/>
        </w:rPr>
        <w:t>Māori</w:t>
      </w:r>
      <w:r w:rsidRPr="003F2CE9">
        <w:rPr>
          <w:rFonts w:cstheme="minorHAnsi"/>
        </w:rPr>
        <w:t xml:space="preserve"> participation and engagement levels</w:t>
      </w:r>
      <w:r w:rsidR="00772718">
        <w:rPr>
          <w:rFonts w:cstheme="minorHAnsi"/>
        </w:rPr>
        <w:t>;</w:t>
      </w:r>
      <w:r w:rsidRPr="003F2CE9">
        <w:rPr>
          <w:rFonts w:cstheme="minorHAnsi"/>
        </w:rPr>
        <w:t xml:space="preserve"> and evaluators may not carry out some of the recommended activities or be held to account for these shortcomings.</w:t>
      </w:r>
    </w:p>
    <w:p w:rsidR="001E231D" w:rsidRPr="003F2CE9" w:rsidRDefault="001E231D" w:rsidP="001E231D">
      <w:pPr>
        <w:pStyle w:val="Heading3"/>
      </w:pPr>
      <w:bookmarkStart w:id="14" w:name="_Toc341182883"/>
      <w:r w:rsidRPr="003F2CE9">
        <w:t>Recent developments</w:t>
      </w:r>
      <w:bookmarkEnd w:id="14"/>
    </w:p>
    <w:p w:rsidR="001E231D" w:rsidRPr="003F2CE9" w:rsidRDefault="001E231D" w:rsidP="000D0624">
      <w:pPr>
        <w:pStyle w:val="BodyText"/>
      </w:pPr>
      <w:r w:rsidRPr="003F2CE9">
        <w:t xml:space="preserve">In the current climate, </w:t>
      </w:r>
      <w:proofErr w:type="spellStart"/>
      <w:r w:rsidRPr="003F2CE9">
        <w:t>Gluckman</w:t>
      </w:r>
      <w:proofErr w:type="spellEnd"/>
      <w:r w:rsidRPr="003F2CE9">
        <w:t xml:space="preserve"> (2011, </w:t>
      </w:r>
      <w:r w:rsidR="00772718">
        <w:t xml:space="preserve">p. </w:t>
      </w:r>
      <w:r w:rsidRPr="003F2CE9">
        <w:t xml:space="preserve">15) suggests that there may be risks when contracts are overly ambitious for the funding offered </w:t>
      </w:r>
      <w:r w:rsidR="003F2CE9" w:rsidRPr="003F2CE9">
        <w:t>‘</w:t>
      </w:r>
      <w:r w:rsidRPr="003F2CE9">
        <w:t>rather than defining the project by its objectives and then costing for quality</w:t>
      </w:r>
      <w:r w:rsidR="003F2CE9" w:rsidRPr="003F2CE9">
        <w:t>’</w:t>
      </w:r>
      <w:r w:rsidRPr="003F2CE9">
        <w:t xml:space="preserve">. He argues this might result in cheaper </w:t>
      </w:r>
      <w:r w:rsidR="003F2CE9" w:rsidRPr="003F2CE9">
        <w:t>‘</w:t>
      </w:r>
      <w:r w:rsidRPr="003F2CE9">
        <w:t>consultancy</w:t>
      </w:r>
      <w:r w:rsidR="003F2CE9" w:rsidRPr="003F2CE9">
        <w:t>’</w:t>
      </w:r>
      <w:r w:rsidRPr="003F2CE9">
        <w:t xml:space="preserve"> research or research that is unable to inform policy </w:t>
      </w:r>
      <w:r w:rsidRPr="003F2CE9">
        <w:lastRenderedPageBreak/>
        <w:t>options because it does not reduce uncertainty. As well as</w:t>
      </w:r>
      <w:r w:rsidRPr="003F2CE9">
        <w:rPr>
          <w:rFonts w:cs="TimesNewRomanPSMT"/>
        </w:rPr>
        <w:t xml:space="preserve"> quick turnaround short</w:t>
      </w:r>
      <w:r w:rsidR="000963CD">
        <w:rPr>
          <w:rFonts w:cs="TimesNewRomanPSMT"/>
        </w:rPr>
        <w:noBreakHyphen/>
      </w:r>
      <w:r w:rsidRPr="003F2CE9">
        <w:rPr>
          <w:rFonts w:cs="TimesNewRomanPSMT"/>
        </w:rPr>
        <w:t>term projects (</w:t>
      </w:r>
      <w:proofErr w:type="spellStart"/>
      <w:r w:rsidRPr="003F2CE9">
        <w:rPr>
          <w:rFonts w:cs="TimesNewRomanPSMT"/>
        </w:rPr>
        <w:t>Nunns</w:t>
      </w:r>
      <w:proofErr w:type="spellEnd"/>
      <w:r w:rsidRPr="003F2CE9">
        <w:rPr>
          <w:rFonts w:cs="TimesNewRomanPSMT"/>
        </w:rPr>
        <w:t xml:space="preserve"> 2009), from observing the field (particularly GETS: Government Electronic Tenders Service) there is an apparent increase in evaluations with narrow or even predetermined parameters with less </w:t>
      </w:r>
      <w:proofErr w:type="spellStart"/>
      <w:r w:rsidRPr="003F2CE9">
        <w:rPr>
          <w:rFonts w:cs="TimesNewRomanPSMT"/>
        </w:rPr>
        <w:t>iwi</w:t>
      </w:r>
      <w:proofErr w:type="spellEnd"/>
      <w:r w:rsidRPr="003F2CE9">
        <w:rPr>
          <w:rFonts w:cs="TimesNewRomanPSMT"/>
        </w:rPr>
        <w:t xml:space="preserve"> and </w:t>
      </w:r>
      <w:r w:rsidR="00E52F9C">
        <w:rPr>
          <w:rFonts w:cs="TimesNewRomanPSMT"/>
        </w:rPr>
        <w:t>Māori</w:t>
      </w:r>
      <w:r w:rsidRPr="003F2CE9">
        <w:rPr>
          <w:rFonts w:cs="TimesNewRomanPSMT"/>
        </w:rPr>
        <w:t xml:space="preserve"> community engagement required.</w:t>
      </w:r>
      <w:r w:rsidRPr="003F2CE9">
        <w:t xml:space="preserve"> An observed tendency to describe the required research or evaluation through micro-level questions rather than by objectives reinforces </w:t>
      </w:r>
      <w:proofErr w:type="spellStart"/>
      <w:r w:rsidRPr="003F2CE9">
        <w:t>Gluckman</w:t>
      </w:r>
      <w:r w:rsidR="003F2CE9" w:rsidRPr="003F2CE9">
        <w:t>’</w:t>
      </w:r>
      <w:r w:rsidRPr="003F2CE9">
        <w:t>s</w:t>
      </w:r>
      <w:proofErr w:type="spellEnd"/>
      <w:r w:rsidRPr="003F2CE9">
        <w:t xml:space="preserve"> concerns.</w:t>
      </w:r>
    </w:p>
    <w:p w:rsidR="001E231D" w:rsidRPr="003F2CE9" w:rsidRDefault="001E231D" w:rsidP="000D0624">
      <w:pPr>
        <w:pStyle w:val="BodyText"/>
        <w:rPr>
          <w:rFonts w:cs="SabonMaori-Roman"/>
        </w:rPr>
      </w:pPr>
      <w:proofErr w:type="spellStart"/>
      <w:r w:rsidRPr="003F2CE9">
        <w:t>Whanau</w:t>
      </w:r>
      <w:proofErr w:type="spellEnd"/>
      <w:r w:rsidRPr="003F2CE9">
        <w:t xml:space="preserve"> </w:t>
      </w:r>
      <w:proofErr w:type="spellStart"/>
      <w:r w:rsidRPr="003F2CE9">
        <w:t>Ora</w:t>
      </w:r>
      <w:proofErr w:type="spellEnd"/>
      <w:r w:rsidRPr="003F2CE9">
        <w:t xml:space="preserve"> (broadly referring to family wellbeing) provides some departure from this, having gained political support as part of the </w:t>
      </w:r>
      <w:r w:rsidR="00E52F9C">
        <w:t>Māori</w:t>
      </w:r>
      <w:r w:rsidRPr="003F2CE9">
        <w:t xml:space="preserve"> Party</w:t>
      </w:r>
      <w:r w:rsidR="003F2CE9" w:rsidRPr="003F2CE9">
        <w:t>’</w:t>
      </w:r>
      <w:r w:rsidRPr="003F2CE9">
        <w:t>s coalition deal with National. T</w:t>
      </w:r>
      <w:r w:rsidRPr="003F2CE9">
        <w:rPr>
          <w:rFonts w:cs="SabonMaori-Roman"/>
        </w:rPr>
        <w:t xml:space="preserve">he </w:t>
      </w:r>
      <w:proofErr w:type="spellStart"/>
      <w:r w:rsidRPr="003F2CE9">
        <w:rPr>
          <w:rFonts w:cs="SabonMaori-Roman"/>
        </w:rPr>
        <w:t>Whanau</w:t>
      </w:r>
      <w:proofErr w:type="spellEnd"/>
      <w:r w:rsidRPr="003F2CE9">
        <w:rPr>
          <w:rFonts w:cs="SabonMaori-Roman"/>
        </w:rPr>
        <w:t xml:space="preserve"> </w:t>
      </w:r>
      <w:proofErr w:type="spellStart"/>
      <w:r w:rsidRPr="003F2CE9">
        <w:rPr>
          <w:rFonts w:cs="SabonMaori-Roman"/>
        </w:rPr>
        <w:t>Ora</w:t>
      </w:r>
      <w:proofErr w:type="spellEnd"/>
      <w:r w:rsidRPr="003F2CE9">
        <w:rPr>
          <w:rFonts w:cs="SabonMaori-Roman"/>
        </w:rPr>
        <w:t xml:space="preserve"> Taskforce was established (2009–2010) signalling an intended shift of health an</w:t>
      </w:r>
      <w:r w:rsidR="003F2CE9" w:rsidRPr="003F2CE9">
        <w:rPr>
          <w:rFonts w:cs="SabonMaori-Roman"/>
        </w:rPr>
        <w:t>d welfare policies and program</w:t>
      </w:r>
      <w:r w:rsidRPr="003F2CE9">
        <w:rPr>
          <w:rFonts w:cs="SabonMaori-Roman"/>
        </w:rPr>
        <w:t xml:space="preserve">s for </w:t>
      </w:r>
      <w:r w:rsidR="00E52F9C">
        <w:rPr>
          <w:rFonts w:cs="SabonMaori-Roman"/>
        </w:rPr>
        <w:t>Māori</w:t>
      </w:r>
      <w:r w:rsidRPr="003F2CE9">
        <w:rPr>
          <w:rFonts w:cs="SabonMaori-Roman"/>
        </w:rPr>
        <w:t xml:space="preserve"> away from individuals towards </w:t>
      </w:r>
      <w:proofErr w:type="spellStart"/>
      <w:r w:rsidRPr="003F2CE9">
        <w:rPr>
          <w:rFonts w:cs="SabonMaori-Roman"/>
        </w:rPr>
        <w:t>whanau</w:t>
      </w:r>
      <w:proofErr w:type="spellEnd"/>
      <w:r w:rsidRPr="003F2CE9">
        <w:rPr>
          <w:rFonts w:cs="SabonMaori-Roman"/>
        </w:rPr>
        <w:t xml:space="preserve"> (</w:t>
      </w:r>
      <w:proofErr w:type="spellStart"/>
      <w:r w:rsidRPr="003F2CE9">
        <w:rPr>
          <w:rFonts w:cs="SabonMaori-Roman"/>
        </w:rPr>
        <w:t>Kiro</w:t>
      </w:r>
      <w:proofErr w:type="spellEnd"/>
      <w:r w:rsidRPr="003F2CE9">
        <w:rPr>
          <w:rFonts w:cs="SabonMaori-Roman"/>
        </w:rPr>
        <w:t xml:space="preserve">, von </w:t>
      </w:r>
      <w:proofErr w:type="spellStart"/>
      <w:r w:rsidRPr="003F2CE9">
        <w:rPr>
          <w:rFonts w:cs="SabonMaori-Roman"/>
        </w:rPr>
        <w:t>Randow</w:t>
      </w:r>
      <w:proofErr w:type="spellEnd"/>
      <w:r w:rsidRPr="003F2CE9">
        <w:rPr>
          <w:rFonts w:cs="SabonMaori-Roman"/>
        </w:rPr>
        <w:t xml:space="preserve"> and </w:t>
      </w:r>
      <w:proofErr w:type="spellStart"/>
      <w:r w:rsidRPr="003F2CE9">
        <w:rPr>
          <w:rFonts w:cs="SabonMaori-Roman"/>
        </w:rPr>
        <w:t>Sporle</w:t>
      </w:r>
      <w:proofErr w:type="spellEnd"/>
      <w:r w:rsidRPr="003F2CE9">
        <w:rPr>
          <w:rFonts w:cs="SabonMaori-Roman"/>
        </w:rPr>
        <w:t xml:space="preserve"> 2010). </w:t>
      </w:r>
      <w:proofErr w:type="spellStart"/>
      <w:r w:rsidRPr="003F2CE9">
        <w:rPr>
          <w:rFonts w:cs="SabonMaori-Roman"/>
        </w:rPr>
        <w:t>Whanau</w:t>
      </w:r>
      <w:proofErr w:type="spellEnd"/>
      <w:r w:rsidRPr="003F2CE9">
        <w:rPr>
          <w:rFonts w:cs="SabonMaori-Roman"/>
        </w:rPr>
        <w:t xml:space="preserve"> </w:t>
      </w:r>
      <w:proofErr w:type="spellStart"/>
      <w:r w:rsidRPr="003F2CE9">
        <w:rPr>
          <w:rFonts w:cs="SabonMaori-Roman"/>
        </w:rPr>
        <w:t>Ora</w:t>
      </w:r>
      <w:proofErr w:type="spellEnd"/>
      <w:r w:rsidRPr="003F2CE9">
        <w:rPr>
          <w:rFonts w:cs="SabonMaori-Roman"/>
        </w:rPr>
        <w:t xml:space="preserve"> is intended, in part, to provide improved support to </w:t>
      </w:r>
      <w:r w:rsidR="00E52F9C">
        <w:rPr>
          <w:rFonts w:cs="SabonMaori-Roman"/>
        </w:rPr>
        <w:t>Māori</w:t>
      </w:r>
      <w:r w:rsidRPr="003F2CE9">
        <w:rPr>
          <w:rFonts w:cs="SabonMaori-Roman"/>
        </w:rPr>
        <w:t xml:space="preserve"> </w:t>
      </w:r>
      <w:proofErr w:type="spellStart"/>
      <w:r w:rsidRPr="003F2CE9">
        <w:rPr>
          <w:rFonts w:cs="SabonMaori-Roman"/>
        </w:rPr>
        <w:t>whanau</w:t>
      </w:r>
      <w:proofErr w:type="spellEnd"/>
      <w:r w:rsidRPr="003F2CE9">
        <w:rPr>
          <w:rFonts w:cs="SabonMaori-Roman"/>
        </w:rPr>
        <w:t xml:space="preserve"> in need (</w:t>
      </w:r>
      <w:proofErr w:type="spellStart"/>
      <w:r w:rsidRPr="003F2CE9">
        <w:rPr>
          <w:rFonts w:cs="SabonMaori-Roman"/>
        </w:rPr>
        <w:t>Whanau</w:t>
      </w:r>
      <w:proofErr w:type="spellEnd"/>
      <w:r w:rsidRPr="003F2CE9">
        <w:rPr>
          <w:rFonts w:cs="SabonMaori-Roman"/>
        </w:rPr>
        <w:t xml:space="preserve"> </w:t>
      </w:r>
      <w:proofErr w:type="spellStart"/>
      <w:r w:rsidRPr="003F2CE9">
        <w:rPr>
          <w:rFonts w:cs="SabonMaori-Roman"/>
        </w:rPr>
        <w:t>Ora</w:t>
      </w:r>
      <w:proofErr w:type="spellEnd"/>
      <w:r w:rsidRPr="003F2CE9">
        <w:rPr>
          <w:rFonts w:cs="SabonMaori-Roman"/>
        </w:rPr>
        <w:t xml:space="preserve"> Taskforce 2009), particularly through phase 1, a targeted strategy funding the integration of service delivery to </w:t>
      </w:r>
      <w:proofErr w:type="spellStart"/>
      <w:r w:rsidRPr="003F2CE9">
        <w:rPr>
          <w:rFonts w:cs="SabonMaori-Roman"/>
        </w:rPr>
        <w:t>whanau</w:t>
      </w:r>
      <w:proofErr w:type="spellEnd"/>
      <w:r w:rsidRPr="003F2CE9">
        <w:rPr>
          <w:rFonts w:cs="SabonMaori-Roman"/>
        </w:rPr>
        <w:t xml:space="preserve"> (</w:t>
      </w:r>
      <w:proofErr w:type="spellStart"/>
      <w:r w:rsidRPr="003F2CE9">
        <w:rPr>
          <w:rFonts w:cs="SabonMaori-Roman"/>
        </w:rPr>
        <w:t>Tahana</w:t>
      </w:r>
      <w:proofErr w:type="spellEnd"/>
      <w:r w:rsidRPr="003F2CE9">
        <w:rPr>
          <w:rFonts w:cs="SabonMaori-Roman"/>
        </w:rPr>
        <w:t xml:space="preserve"> and Collins </w:t>
      </w:r>
      <w:proofErr w:type="spellStart"/>
      <w:r w:rsidRPr="003F2CE9">
        <w:rPr>
          <w:rFonts w:cs="SabonMaori-Roman"/>
        </w:rPr>
        <w:t>2012a</w:t>
      </w:r>
      <w:proofErr w:type="spellEnd"/>
      <w:r w:rsidRPr="003F2CE9">
        <w:rPr>
          <w:rFonts w:cs="SabonMaori-Roman"/>
        </w:rPr>
        <w:t xml:space="preserve">). Multiple provider collectives are currently funded through </w:t>
      </w:r>
      <w:proofErr w:type="spellStart"/>
      <w:r w:rsidRPr="003F2CE9">
        <w:rPr>
          <w:rFonts w:cs="SabonMaori-Roman"/>
        </w:rPr>
        <w:t>TPK</w:t>
      </w:r>
      <w:proofErr w:type="spellEnd"/>
      <w:r w:rsidRPr="003F2CE9">
        <w:rPr>
          <w:rFonts w:cs="SabonMaori-Roman"/>
        </w:rPr>
        <w:t xml:space="preserve">, with a significant action research component running alongside delivery. The second phase focuses on empowerment. The future of the scheme will </w:t>
      </w:r>
      <w:r w:rsidR="003F2CE9" w:rsidRPr="003F2CE9">
        <w:rPr>
          <w:rFonts w:cs="SabonMaori-Roman"/>
        </w:rPr>
        <w:t>‘</w:t>
      </w:r>
      <w:r w:rsidRPr="003F2CE9">
        <w:rPr>
          <w:rFonts w:cs="SabonMaori-Roman"/>
        </w:rPr>
        <w:t>hang on its results</w:t>
      </w:r>
      <w:r w:rsidR="003F2CE9" w:rsidRPr="003F2CE9">
        <w:rPr>
          <w:rFonts w:cs="SabonMaori-Roman"/>
        </w:rPr>
        <w:t>’</w:t>
      </w:r>
      <w:r w:rsidRPr="003F2CE9">
        <w:rPr>
          <w:rFonts w:cs="SabonMaori-Roman"/>
        </w:rPr>
        <w:t xml:space="preserve"> (Davison 2012, </w:t>
      </w:r>
      <w:r w:rsidR="00772718">
        <w:rPr>
          <w:rFonts w:cs="SabonMaori-Roman"/>
        </w:rPr>
        <w:t>p.</w:t>
      </w:r>
      <w:r w:rsidR="000963CD">
        <w:rPr>
          <w:rFonts w:cs="SabonMaori-Roman"/>
        </w:rPr>
        <w:t> </w:t>
      </w:r>
      <w:r w:rsidRPr="003F2CE9">
        <w:rPr>
          <w:rFonts w:cs="SabonMaori-Roman"/>
        </w:rPr>
        <w:t>1); however</w:t>
      </w:r>
      <w:r w:rsidR="00772718">
        <w:rPr>
          <w:rFonts w:cs="SabonMaori-Roman"/>
        </w:rPr>
        <w:t>,</w:t>
      </w:r>
      <w:r w:rsidRPr="003F2CE9">
        <w:rPr>
          <w:rFonts w:cs="SabonMaori-Roman"/>
        </w:rPr>
        <w:t xml:space="preserve"> the attacks have already begun (</w:t>
      </w:r>
      <w:proofErr w:type="spellStart"/>
      <w:r w:rsidRPr="003F2CE9">
        <w:rPr>
          <w:rFonts w:cs="SabonMaori-Roman"/>
        </w:rPr>
        <w:t>Tahana</w:t>
      </w:r>
      <w:proofErr w:type="spellEnd"/>
      <w:r w:rsidRPr="003F2CE9">
        <w:rPr>
          <w:rFonts w:cs="SabonMaori-Roman"/>
        </w:rPr>
        <w:t xml:space="preserve"> and Collins </w:t>
      </w:r>
      <w:proofErr w:type="spellStart"/>
      <w:r w:rsidRPr="003F2CE9">
        <w:rPr>
          <w:rFonts w:cs="SabonMaori-Roman"/>
        </w:rPr>
        <w:t>2012b</w:t>
      </w:r>
      <w:proofErr w:type="spellEnd"/>
      <w:r w:rsidRPr="003F2CE9">
        <w:rPr>
          <w:rFonts w:cs="SabonMaori-Roman"/>
        </w:rPr>
        <w:t>; Winston Peters 2012).</w:t>
      </w:r>
    </w:p>
    <w:p w:rsidR="001E231D" w:rsidRPr="003F2CE9" w:rsidRDefault="00293AC1" w:rsidP="001E231D">
      <w:pPr>
        <w:pStyle w:val="Heading2"/>
      </w:pPr>
      <w:bookmarkStart w:id="15" w:name="_Toc341182884"/>
      <w:r>
        <w:t>10.3</w:t>
      </w:r>
      <w:r w:rsidR="001E231D" w:rsidRPr="003F2CE9">
        <w:tab/>
        <w:t xml:space="preserve">Evaluation approaches and </w:t>
      </w:r>
      <w:r w:rsidR="00E52F9C">
        <w:t>Māori</w:t>
      </w:r>
      <w:bookmarkEnd w:id="15"/>
    </w:p>
    <w:p w:rsidR="001E231D" w:rsidRPr="003F2CE9" w:rsidRDefault="00E52F9C" w:rsidP="001E231D">
      <w:pPr>
        <w:pStyle w:val="Heading3"/>
      </w:pPr>
      <w:bookmarkStart w:id="16" w:name="_Toc341182885"/>
      <w:r>
        <w:t>Māori</w:t>
      </w:r>
      <w:r w:rsidR="001E231D" w:rsidRPr="003F2CE9">
        <w:t xml:space="preserve"> models, theories and methodologies</w:t>
      </w:r>
      <w:bookmarkEnd w:id="16"/>
    </w:p>
    <w:p w:rsidR="001E231D" w:rsidRPr="003F2CE9" w:rsidRDefault="00E52F9C" w:rsidP="000D0624">
      <w:pPr>
        <w:pStyle w:val="BodyText"/>
      </w:pPr>
      <w:r>
        <w:t>Māori</w:t>
      </w:r>
      <w:r w:rsidR="001E231D" w:rsidRPr="003F2CE9">
        <w:t xml:space="preserve"> evaluation developed in parallel with </w:t>
      </w:r>
      <w:r>
        <w:t>Māori</w:t>
      </w:r>
      <w:r w:rsidR="001E231D" w:rsidRPr="003F2CE9">
        <w:t xml:space="preserve"> models of wellbeing. Early influential models include </w:t>
      </w:r>
      <w:proofErr w:type="spellStart"/>
      <w:r w:rsidR="001E231D" w:rsidRPr="00356ED8">
        <w:rPr>
          <w:i/>
        </w:rPr>
        <w:t>Te</w:t>
      </w:r>
      <w:proofErr w:type="spellEnd"/>
      <w:r w:rsidR="001E231D" w:rsidRPr="00356ED8">
        <w:rPr>
          <w:i/>
        </w:rPr>
        <w:t xml:space="preserve"> </w:t>
      </w:r>
      <w:proofErr w:type="spellStart"/>
      <w:r w:rsidR="001E231D" w:rsidRPr="00356ED8">
        <w:rPr>
          <w:i/>
        </w:rPr>
        <w:t>Wheke</w:t>
      </w:r>
      <w:proofErr w:type="spellEnd"/>
      <w:r w:rsidR="001E231D" w:rsidRPr="003F2CE9">
        <w:t xml:space="preserve"> (Pere 1988),</w:t>
      </w:r>
      <w:r w:rsidR="00D9132A">
        <w:t xml:space="preserve"> </w:t>
      </w:r>
      <w:r w:rsidR="001E231D" w:rsidRPr="003F2CE9">
        <w:t xml:space="preserve">which conceptualises the tentacles of the octopus as dimensions of wellbeing and the body as </w:t>
      </w:r>
      <w:proofErr w:type="spellStart"/>
      <w:r w:rsidR="001E231D" w:rsidRPr="003F2CE9">
        <w:t>whanau</w:t>
      </w:r>
      <w:proofErr w:type="spellEnd"/>
      <w:r w:rsidR="001E231D" w:rsidRPr="003F2CE9">
        <w:t xml:space="preserve"> unity.</w:t>
      </w:r>
      <w:r w:rsidR="00F32742">
        <w:t xml:space="preserve"> </w:t>
      </w:r>
      <w:r w:rsidR="001E231D" w:rsidRPr="003F2CE9">
        <w:t xml:space="preserve">The intertwining of the tentacles reflects the interconnectedness of each dimension. </w:t>
      </w:r>
      <w:proofErr w:type="spellStart"/>
      <w:r w:rsidR="001E231D" w:rsidRPr="00356ED8">
        <w:rPr>
          <w:i/>
        </w:rPr>
        <w:t>Nga</w:t>
      </w:r>
      <w:proofErr w:type="spellEnd"/>
      <w:r w:rsidR="001E231D" w:rsidRPr="00356ED8">
        <w:rPr>
          <w:i/>
        </w:rPr>
        <w:t xml:space="preserve"> </w:t>
      </w:r>
      <w:proofErr w:type="spellStart"/>
      <w:r w:rsidR="001E231D" w:rsidRPr="00356ED8">
        <w:rPr>
          <w:i/>
        </w:rPr>
        <w:t>Pou</w:t>
      </w:r>
      <w:proofErr w:type="spellEnd"/>
      <w:r w:rsidR="001E231D" w:rsidRPr="00356ED8">
        <w:rPr>
          <w:i/>
        </w:rPr>
        <w:t xml:space="preserve"> Mana</w:t>
      </w:r>
      <w:r w:rsidR="001E231D" w:rsidRPr="003F2CE9">
        <w:t xml:space="preserve"> describes four supports as the foundation for social policies and wellbeing: Family; cultural heritage; physical environment; and </w:t>
      </w:r>
      <w:proofErr w:type="spellStart"/>
      <w:r w:rsidR="001E231D" w:rsidRPr="003F2CE9">
        <w:t>turangawaewae</w:t>
      </w:r>
      <w:proofErr w:type="spellEnd"/>
      <w:r w:rsidR="001E231D" w:rsidRPr="003F2CE9">
        <w:t xml:space="preserve"> (Royal Commission on Social Policy, 1989, cited in </w:t>
      </w:r>
      <w:proofErr w:type="spellStart"/>
      <w:r w:rsidR="001E231D" w:rsidRPr="003F2CE9">
        <w:t>Durie</w:t>
      </w:r>
      <w:proofErr w:type="spellEnd"/>
      <w:r w:rsidR="001E231D" w:rsidRPr="003F2CE9">
        <w:t xml:space="preserve"> 1994).</w:t>
      </w:r>
      <w:r w:rsidR="00806874">
        <w:t xml:space="preserve"> </w:t>
      </w:r>
      <w:proofErr w:type="spellStart"/>
      <w:r w:rsidR="001E231D" w:rsidRPr="00356ED8">
        <w:rPr>
          <w:i/>
        </w:rPr>
        <w:t>Te</w:t>
      </w:r>
      <w:proofErr w:type="spellEnd"/>
      <w:r w:rsidR="001E231D" w:rsidRPr="00356ED8">
        <w:rPr>
          <w:i/>
        </w:rPr>
        <w:t xml:space="preserve"> Whare Tapa </w:t>
      </w:r>
      <w:proofErr w:type="spellStart"/>
      <w:r w:rsidR="001E231D" w:rsidRPr="00356ED8">
        <w:rPr>
          <w:i/>
        </w:rPr>
        <w:t>Wha</w:t>
      </w:r>
      <w:proofErr w:type="spellEnd"/>
      <w:r w:rsidR="001E231D" w:rsidRPr="003F2CE9">
        <w:t xml:space="preserve"> (</w:t>
      </w:r>
      <w:proofErr w:type="spellStart"/>
      <w:r w:rsidR="001E231D" w:rsidRPr="003F2CE9">
        <w:t>Durie</w:t>
      </w:r>
      <w:proofErr w:type="spellEnd"/>
      <w:r w:rsidR="001E231D" w:rsidRPr="003F2CE9">
        <w:t xml:space="preserve"> 1994) conceptualises wellbeing as the four walls of a whare (house): </w:t>
      </w:r>
      <w:proofErr w:type="spellStart"/>
      <w:r w:rsidR="001E231D" w:rsidRPr="003F2CE9">
        <w:t>Taha</w:t>
      </w:r>
      <w:proofErr w:type="spellEnd"/>
      <w:r w:rsidR="001E231D" w:rsidRPr="003F2CE9">
        <w:t xml:space="preserve"> </w:t>
      </w:r>
      <w:proofErr w:type="spellStart"/>
      <w:r w:rsidR="001E231D" w:rsidRPr="003F2CE9">
        <w:t>wairua</w:t>
      </w:r>
      <w:proofErr w:type="spellEnd"/>
      <w:r w:rsidR="001E231D" w:rsidRPr="003F2CE9">
        <w:t xml:space="preserve">, </w:t>
      </w:r>
      <w:proofErr w:type="spellStart"/>
      <w:r w:rsidR="001E231D" w:rsidRPr="003F2CE9">
        <w:t>taha</w:t>
      </w:r>
      <w:proofErr w:type="spellEnd"/>
      <w:r w:rsidR="001E231D" w:rsidRPr="003F2CE9">
        <w:t xml:space="preserve"> </w:t>
      </w:r>
      <w:proofErr w:type="spellStart"/>
      <w:r w:rsidR="001E231D" w:rsidRPr="003F2CE9">
        <w:t>tinana</w:t>
      </w:r>
      <w:proofErr w:type="spellEnd"/>
      <w:r w:rsidR="001E231D" w:rsidRPr="003F2CE9">
        <w:t xml:space="preserve">, </w:t>
      </w:r>
      <w:proofErr w:type="spellStart"/>
      <w:r w:rsidR="001E231D" w:rsidRPr="003F2CE9">
        <w:t>taha</w:t>
      </w:r>
      <w:proofErr w:type="spellEnd"/>
      <w:r w:rsidR="001E231D" w:rsidRPr="003F2CE9">
        <w:t xml:space="preserve"> </w:t>
      </w:r>
      <w:proofErr w:type="spellStart"/>
      <w:r w:rsidR="001E231D" w:rsidRPr="003F2CE9">
        <w:t>hinengaro</w:t>
      </w:r>
      <w:proofErr w:type="spellEnd"/>
      <w:r w:rsidR="001E231D" w:rsidRPr="003F2CE9">
        <w:t xml:space="preserve"> and </w:t>
      </w:r>
      <w:proofErr w:type="spellStart"/>
      <w:r w:rsidR="001E231D" w:rsidRPr="003F2CE9">
        <w:t>taha</w:t>
      </w:r>
      <w:proofErr w:type="spellEnd"/>
      <w:r w:rsidR="001E231D" w:rsidRPr="003F2CE9">
        <w:t xml:space="preserve"> </w:t>
      </w:r>
      <w:proofErr w:type="spellStart"/>
      <w:r w:rsidR="001E231D" w:rsidRPr="003F2CE9">
        <w:t>whanau</w:t>
      </w:r>
      <w:proofErr w:type="spellEnd"/>
      <w:r w:rsidR="001E231D" w:rsidRPr="003F2CE9">
        <w:t xml:space="preserve"> (spirit, body, mind and family).</w:t>
      </w:r>
      <w:r w:rsidR="00F32742">
        <w:t xml:space="preserve"> </w:t>
      </w:r>
    </w:p>
    <w:p w:rsidR="001E231D" w:rsidRPr="003F2CE9" w:rsidRDefault="001E231D" w:rsidP="000D0624">
      <w:pPr>
        <w:pStyle w:val="BodyText"/>
      </w:pPr>
      <w:r w:rsidRPr="003F2CE9">
        <w:t xml:space="preserve">There are multiple descriptions and definitions of </w:t>
      </w:r>
      <w:r w:rsidR="00E52F9C">
        <w:t>Māori</w:t>
      </w:r>
      <w:r w:rsidRPr="003F2CE9">
        <w:t xml:space="preserve"> evaluation theories, approaches and methods. They include culturally responsible evaluation, culturally appropriate evaluation, </w:t>
      </w:r>
      <w:r w:rsidRPr="003F2CE9">
        <w:rPr>
          <w:color w:val="000000"/>
          <w:lang w:eastAsia="en-NZ"/>
        </w:rPr>
        <w:t xml:space="preserve">culturally sensitive evaluation, </w:t>
      </w:r>
      <w:r w:rsidR="00E52F9C">
        <w:t>Māori</w:t>
      </w:r>
      <w:r w:rsidRPr="003F2CE9">
        <w:t xml:space="preserve">-relevant evaluation, </w:t>
      </w:r>
      <w:r w:rsidR="00E52F9C">
        <w:lastRenderedPageBreak/>
        <w:t>Māori</w:t>
      </w:r>
      <w:r w:rsidRPr="003F2CE9">
        <w:t xml:space="preserve">-focused evaluation, </w:t>
      </w:r>
      <w:r w:rsidR="00E52F9C">
        <w:t>Māori</w:t>
      </w:r>
      <w:r w:rsidRPr="003F2CE9">
        <w:t xml:space="preserve"> centred evaluation, </w:t>
      </w:r>
      <w:proofErr w:type="spellStart"/>
      <w:r w:rsidRPr="003F2CE9">
        <w:t>Kaupapa</w:t>
      </w:r>
      <w:proofErr w:type="spellEnd"/>
      <w:r w:rsidRPr="003F2CE9">
        <w:t xml:space="preserve"> </w:t>
      </w:r>
      <w:r w:rsidR="00E52F9C">
        <w:t>Māori</w:t>
      </w:r>
      <w:r w:rsidRPr="003F2CE9">
        <w:t xml:space="preserve"> theory, </w:t>
      </w:r>
      <w:r w:rsidR="00E52F9C">
        <w:t>Māori</w:t>
      </w:r>
      <w:r w:rsidRPr="003F2CE9">
        <w:t xml:space="preserve"> evaluation tools, </w:t>
      </w:r>
      <w:r w:rsidR="00E52F9C">
        <w:t>Māori</w:t>
      </w:r>
      <w:r w:rsidRPr="003F2CE9">
        <w:t xml:space="preserve"> frameworks, </w:t>
      </w:r>
      <w:r w:rsidR="00E52F9C">
        <w:t>Māori</w:t>
      </w:r>
      <w:r w:rsidRPr="003F2CE9">
        <w:t xml:space="preserve"> paradigms, </w:t>
      </w:r>
      <w:r w:rsidRPr="003F2CE9">
        <w:rPr>
          <w:color w:val="000000"/>
          <w:lang w:eastAsia="en-NZ"/>
        </w:rPr>
        <w:t xml:space="preserve">and </w:t>
      </w:r>
      <w:r w:rsidR="00806874" w:rsidRPr="003F2CE9">
        <w:rPr>
          <w:color w:val="000000"/>
          <w:lang w:eastAsia="en-NZ"/>
        </w:rPr>
        <w:t xml:space="preserve">Indigenous </w:t>
      </w:r>
      <w:r w:rsidRPr="003F2CE9">
        <w:rPr>
          <w:color w:val="000000"/>
          <w:lang w:eastAsia="en-NZ"/>
        </w:rPr>
        <w:t>protocols for evaluation</w:t>
      </w:r>
      <w:r w:rsidRPr="003F2CE9">
        <w:t>.</w:t>
      </w:r>
      <w:r w:rsidR="00F32742">
        <w:t xml:space="preserve"> </w:t>
      </w:r>
    </w:p>
    <w:p w:rsidR="001E231D" w:rsidRPr="003F2CE9" w:rsidRDefault="001E231D" w:rsidP="000D0624">
      <w:pPr>
        <w:pStyle w:val="BodyText"/>
      </w:pPr>
      <w:r w:rsidRPr="003F2CE9">
        <w:t xml:space="preserve">In a climate of increasing research and evaluation involving </w:t>
      </w:r>
      <w:r w:rsidR="00E52F9C">
        <w:t>Māori</w:t>
      </w:r>
      <w:r w:rsidRPr="003F2CE9">
        <w:t xml:space="preserve"> and debates around practice and philosophy, </w:t>
      </w:r>
      <w:proofErr w:type="spellStart"/>
      <w:r w:rsidRPr="003F2CE9">
        <w:t>Kaupapa</w:t>
      </w:r>
      <w:proofErr w:type="spellEnd"/>
      <w:r w:rsidRPr="003F2CE9">
        <w:t xml:space="preserve"> </w:t>
      </w:r>
      <w:r w:rsidR="00E52F9C">
        <w:t>Māori</w:t>
      </w:r>
      <w:r w:rsidRPr="003F2CE9">
        <w:t xml:space="preserve"> was drawn on by a range of theorists and practitioners; other international indigenous evaluation philosophies and practices also contributed to shared </w:t>
      </w:r>
      <w:proofErr w:type="spellStart"/>
      <w:r w:rsidRPr="003F2CE9">
        <w:t>learnings</w:t>
      </w:r>
      <w:proofErr w:type="spellEnd"/>
      <w:r w:rsidRPr="003F2CE9">
        <w:t xml:space="preserve"> (Kawakami et al. 2007). Cram et al. (no date) and Cram (2009) outline aspects of </w:t>
      </w:r>
      <w:proofErr w:type="spellStart"/>
      <w:r w:rsidRPr="003F2CE9">
        <w:t>Kaupapa</w:t>
      </w:r>
      <w:proofErr w:type="spellEnd"/>
      <w:r w:rsidRPr="003F2CE9">
        <w:t xml:space="preserve"> </w:t>
      </w:r>
      <w:r w:rsidR="00E52F9C">
        <w:t>Māori</w:t>
      </w:r>
      <w:r w:rsidRPr="003F2CE9">
        <w:t xml:space="preserve"> methodology and </w:t>
      </w:r>
      <w:proofErr w:type="spellStart"/>
      <w:r w:rsidRPr="003F2CE9">
        <w:t>tikanga</w:t>
      </w:r>
      <w:proofErr w:type="spellEnd"/>
      <w:r w:rsidRPr="003F2CE9">
        <w:t xml:space="preserve">, including cultural values and researcher guidelines, covering: A respect for people; he </w:t>
      </w:r>
      <w:proofErr w:type="spellStart"/>
      <w:r w:rsidRPr="003F2CE9">
        <w:t>kanohi</w:t>
      </w:r>
      <w:proofErr w:type="spellEnd"/>
      <w:r w:rsidRPr="003F2CE9">
        <w:t xml:space="preserve"> </w:t>
      </w:r>
      <w:proofErr w:type="spellStart"/>
      <w:r w:rsidRPr="003F2CE9">
        <w:t>kitea</w:t>
      </w:r>
      <w:proofErr w:type="spellEnd"/>
      <w:r w:rsidRPr="003F2CE9">
        <w:t xml:space="preserve"> (importance of meeting with people face to face); </w:t>
      </w:r>
      <w:proofErr w:type="spellStart"/>
      <w:r w:rsidRPr="003F2CE9">
        <w:t>titiro</w:t>
      </w:r>
      <w:proofErr w:type="spellEnd"/>
      <w:r w:rsidRPr="003F2CE9">
        <w:t xml:space="preserve">, </w:t>
      </w:r>
      <w:proofErr w:type="spellStart"/>
      <w:r w:rsidRPr="003F2CE9">
        <w:t>whakarongo</w:t>
      </w:r>
      <w:proofErr w:type="spellEnd"/>
      <w:r w:rsidRPr="003F2CE9">
        <w:t xml:space="preserve">…korero (look and listen to develop understanding from which to speak); </w:t>
      </w:r>
      <w:proofErr w:type="spellStart"/>
      <w:r w:rsidRPr="003F2CE9">
        <w:t>manaaki</w:t>
      </w:r>
      <w:proofErr w:type="spellEnd"/>
      <w:r w:rsidRPr="003F2CE9">
        <w:t xml:space="preserve"> </w:t>
      </w:r>
      <w:proofErr w:type="spellStart"/>
      <w:r w:rsidRPr="003F2CE9">
        <w:t>ki</w:t>
      </w:r>
      <w:proofErr w:type="spellEnd"/>
      <w:r w:rsidRPr="003F2CE9">
        <w:t xml:space="preserve"> </w:t>
      </w:r>
      <w:proofErr w:type="spellStart"/>
      <w:r w:rsidRPr="003F2CE9">
        <w:t>te</w:t>
      </w:r>
      <w:proofErr w:type="spellEnd"/>
      <w:r w:rsidRPr="003F2CE9">
        <w:t xml:space="preserve"> </w:t>
      </w:r>
      <w:proofErr w:type="spellStart"/>
      <w:r w:rsidRPr="003F2CE9">
        <w:t>tangata</w:t>
      </w:r>
      <w:proofErr w:type="spellEnd"/>
      <w:r w:rsidRPr="003F2CE9">
        <w:t xml:space="preserve"> (collaboration and reciprocity); </w:t>
      </w:r>
      <w:proofErr w:type="spellStart"/>
      <w:r w:rsidRPr="003F2CE9">
        <w:t>kia</w:t>
      </w:r>
      <w:proofErr w:type="spellEnd"/>
      <w:r w:rsidRPr="003F2CE9">
        <w:t xml:space="preserve"> </w:t>
      </w:r>
      <w:proofErr w:type="spellStart"/>
      <w:r w:rsidRPr="003F2CE9">
        <w:t>tupato</w:t>
      </w:r>
      <w:proofErr w:type="spellEnd"/>
      <w:r w:rsidRPr="003F2CE9">
        <w:t xml:space="preserve"> (be politically astute and culturally safe); </w:t>
      </w:r>
      <w:proofErr w:type="spellStart"/>
      <w:r w:rsidRPr="003F2CE9">
        <w:t>kaua</w:t>
      </w:r>
      <w:proofErr w:type="spellEnd"/>
      <w:r w:rsidRPr="003F2CE9">
        <w:t xml:space="preserve"> e </w:t>
      </w:r>
      <w:proofErr w:type="spellStart"/>
      <w:r w:rsidRPr="003F2CE9">
        <w:t>takahia</w:t>
      </w:r>
      <w:proofErr w:type="spellEnd"/>
      <w:r w:rsidRPr="003F2CE9">
        <w:t xml:space="preserve"> </w:t>
      </w:r>
      <w:proofErr w:type="spellStart"/>
      <w:r w:rsidRPr="003F2CE9">
        <w:t>te</w:t>
      </w:r>
      <w:proofErr w:type="spellEnd"/>
      <w:r w:rsidRPr="003F2CE9">
        <w:t xml:space="preserve"> mana o </w:t>
      </w:r>
      <w:proofErr w:type="spellStart"/>
      <w:r w:rsidRPr="003F2CE9">
        <w:t>te</w:t>
      </w:r>
      <w:proofErr w:type="spellEnd"/>
      <w:r w:rsidRPr="003F2CE9">
        <w:t xml:space="preserve"> </w:t>
      </w:r>
      <w:proofErr w:type="spellStart"/>
      <w:r w:rsidRPr="003F2CE9">
        <w:t>tangata</w:t>
      </w:r>
      <w:proofErr w:type="spellEnd"/>
      <w:r w:rsidRPr="003F2CE9">
        <w:t xml:space="preserve"> (don</w:t>
      </w:r>
      <w:r w:rsidR="003F2CE9" w:rsidRPr="003F2CE9">
        <w:t>’</w:t>
      </w:r>
      <w:r w:rsidRPr="003F2CE9">
        <w:t>t trample the mana of the people)</w:t>
      </w:r>
      <w:r w:rsidR="00806874">
        <w:t>;</w:t>
      </w:r>
      <w:r w:rsidRPr="003F2CE9">
        <w:t xml:space="preserve"> and </w:t>
      </w:r>
      <w:proofErr w:type="spellStart"/>
      <w:r w:rsidRPr="003F2CE9">
        <w:t>kia</w:t>
      </w:r>
      <w:proofErr w:type="spellEnd"/>
      <w:r w:rsidRPr="003F2CE9">
        <w:t xml:space="preserve"> </w:t>
      </w:r>
      <w:proofErr w:type="spellStart"/>
      <w:r w:rsidRPr="003F2CE9">
        <w:t>ngakau</w:t>
      </w:r>
      <w:proofErr w:type="spellEnd"/>
      <w:r w:rsidRPr="003F2CE9">
        <w:t xml:space="preserve"> </w:t>
      </w:r>
      <w:proofErr w:type="spellStart"/>
      <w:r w:rsidRPr="003F2CE9">
        <w:t>mahaki</w:t>
      </w:r>
      <w:proofErr w:type="spellEnd"/>
      <w:r w:rsidRPr="003F2CE9">
        <w:t xml:space="preserve"> (be humble in your approach). Below are some points likely to characterise </w:t>
      </w:r>
      <w:proofErr w:type="spellStart"/>
      <w:r w:rsidRPr="003F2CE9">
        <w:t>Kaupapa</w:t>
      </w:r>
      <w:proofErr w:type="spellEnd"/>
      <w:r w:rsidRPr="003F2CE9">
        <w:t xml:space="preserve"> </w:t>
      </w:r>
      <w:r w:rsidR="00E52F9C">
        <w:t>Māori</w:t>
      </w:r>
      <w:r w:rsidRPr="003F2CE9">
        <w:t xml:space="preserve"> evaluation and </w:t>
      </w:r>
      <w:r w:rsidR="00E52F9C">
        <w:t>Māori</w:t>
      </w:r>
      <w:r w:rsidRPr="003F2CE9">
        <w:t xml:space="preserve"> evaluation more broadly:</w:t>
      </w:r>
    </w:p>
    <w:p w:rsidR="001E231D" w:rsidRPr="003F2CE9" w:rsidRDefault="001E231D" w:rsidP="001E231D">
      <w:pPr>
        <w:pStyle w:val="ListBullet"/>
      </w:pPr>
      <w:r w:rsidRPr="003F2CE9">
        <w:t xml:space="preserve">It is controlled and owned by </w:t>
      </w:r>
      <w:r w:rsidR="00E52F9C">
        <w:t>Māori</w:t>
      </w:r>
      <w:r w:rsidR="00806874">
        <w:t>.</w:t>
      </w:r>
    </w:p>
    <w:p w:rsidR="001E231D" w:rsidRPr="003F2CE9" w:rsidRDefault="00806874" w:rsidP="001E231D">
      <w:pPr>
        <w:pStyle w:val="ListBullet"/>
      </w:pPr>
      <w:r>
        <w:t>It is c</w:t>
      </w:r>
      <w:r w:rsidR="001E231D" w:rsidRPr="003F2CE9">
        <w:t xml:space="preserve">onducted for the benefit of </w:t>
      </w:r>
      <w:r w:rsidR="00E52F9C">
        <w:t>Māori</w:t>
      </w:r>
      <w:r w:rsidR="001E231D" w:rsidRPr="003F2CE9">
        <w:t xml:space="preserve"> (although it may benefit others)</w:t>
      </w:r>
      <w:r>
        <w:t>.</w:t>
      </w:r>
    </w:p>
    <w:p w:rsidR="001E231D" w:rsidRPr="003F2CE9" w:rsidRDefault="001E231D" w:rsidP="001E231D">
      <w:pPr>
        <w:pStyle w:val="ListBullet"/>
      </w:pPr>
      <w:r w:rsidRPr="003F2CE9">
        <w:t xml:space="preserve">It is carried out within a </w:t>
      </w:r>
      <w:r w:rsidR="00E52F9C">
        <w:t>Māori</w:t>
      </w:r>
      <w:r w:rsidRPr="003F2CE9">
        <w:t xml:space="preserve"> world</w:t>
      </w:r>
      <w:r w:rsidR="00806874">
        <w:t xml:space="preserve"> </w:t>
      </w:r>
      <w:r w:rsidRPr="003F2CE9">
        <w:t>view, which is likely to question the dominant culture and norms</w:t>
      </w:r>
      <w:r w:rsidR="00806874">
        <w:t>.</w:t>
      </w:r>
    </w:p>
    <w:p w:rsidR="001E231D" w:rsidRPr="003F2CE9" w:rsidRDefault="001E231D" w:rsidP="001E231D">
      <w:pPr>
        <w:pStyle w:val="ListBullet"/>
      </w:pPr>
      <w:r w:rsidRPr="003F2CE9">
        <w:t xml:space="preserve">It aims to make a positive difference for </w:t>
      </w:r>
      <w:r w:rsidR="00E52F9C">
        <w:t>Māori</w:t>
      </w:r>
      <w:r w:rsidRPr="003F2CE9">
        <w:t xml:space="preserve"> (</w:t>
      </w:r>
      <w:proofErr w:type="spellStart"/>
      <w:r w:rsidRPr="003F2CE9">
        <w:t>Moewaka</w:t>
      </w:r>
      <w:proofErr w:type="spellEnd"/>
      <w:r w:rsidRPr="003F2CE9">
        <w:t xml:space="preserve"> Barnes 2000; Smith 1999).</w:t>
      </w:r>
    </w:p>
    <w:p w:rsidR="001E231D" w:rsidRPr="003F2CE9" w:rsidRDefault="001E231D" w:rsidP="001E231D">
      <w:pPr>
        <w:pStyle w:val="BodyText"/>
        <w:rPr>
          <w:lang w:eastAsia="en-NZ"/>
        </w:rPr>
      </w:pPr>
      <w:r w:rsidRPr="003F2CE9">
        <w:t xml:space="preserve">Evaluation increasingly became something </w:t>
      </w:r>
      <w:r w:rsidR="00E52F9C">
        <w:t>Māori</w:t>
      </w:r>
      <w:r w:rsidRPr="003F2CE9">
        <w:t xml:space="preserve"> collaborated in rather than had done to them; it became a shared journey, a </w:t>
      </w:r>
      <w:proofErr w:type="spellStart"/>
      <w:r w:rsidRPr="003F2CE9">
        <w:t>hikoi</w:t>
      </w:r>
      <w:proofErr w:type="spellEnd"/>
      <w:r w:rsidRPr="003F2CE9">
        <w:t xml:space="preserve"> (</w:t>
      </w:r>
      <w:proofErr w:type="spellStart"/>
      <w:r w:rsidRPr="003F2CE9">
        <w:t>Moewaka</w:t>
      </w:r>
      <w:proofErr w:type="spellEnd"/>
      <w:r w:rsidRPr="003F2CE9">
        <w:t xml:space="preserve"> Barnes 2009). </w:t>
      </w:r>
      <w:r w:rsidRPr="003F2CE9">
        <w:rPr>
          <w:lang w:eastAsia="en-NZ"/>
        </w:rPr>
        <w:t xml:space="preserve">Relationships and processes are a key part of evaluation in general and are often discussed in relation to </w:t>
      </w:r>
      <w:r w:rsidR="00E52F9C">
        <w:rPr>
          <w:lang w:eastAsia="en-NZ"/>
        </w:rPr>
        <w:t>Māori</w:t>
      </w:r>
      <w:r w:rsidRPr="003F2CE9">
        <w:rPr>
          <w:lang w:eastAsia="en-NZ"/>
        </w:rPr>
        <w:t xml:space="preserve"> evaluation. Whakapapa (linkages, including genealogical links), identity, accountabilities, trust, reciprocity, participation, power-sharing arrangements and the need for flexibility and reflection are common themes. Either in parallel with, or explicitly drawing on</w:t>
      </w:r>
      <w:r w:rsidR="00806874">
        <w:rPr>
          <w:lang w:eastAsia="en-NZ"/>
        </w:rPr>
        <w:t>,</w:t>
      </w:r>
      <w:r w:rsidRPr="003F2CE9">
        <w:rPr>
          <w:lang w:eastAsia="en-NZ"/>
        </w:rPr>
        <w:t xml:space="preserve"> developments in </w:t>
      </w:r>
      <w:proofErr w:type="spellStart"/>
      <w:r w:rsidRPr="003F2CE9">
        <w:rPr>
          <w:lang w:eastAsia="en-NZ"/>
        </w:rPr>
        <w:t>Kaupapa</w:t>
      </w:r>
      <w:proofErr w:type="spellEnd"/>
      <w:r w:rsidRPr="003F2CE9">
        <w:rPr>
          <w:lang w:eastAsia="en-NZ"/>
        </w:rPr>
        <w:t xml:space="preserve"> </w:t>
      </w:r>
      <w:r w:rsidR="00E52F9C">
        <w:rPr>
          <w:lang w:eastAsia="en-NZ"/>
        </w:rPr>
        <w:t>Māori</w:t>
      </w:r>
      <w:r w:rsidRPr="003F2CE9">
        <w:rPr>
          <w:lang w:eastAsia="en-NZ"/>
        </w:rPr>
        <w:t xml:space="preserve"> theory and practice, t</w:t>
      </w:r>
      <w:r w:rsidRPr="003F2CE9">
        <w:t xml:space="preserve">he effective application of a range of frameworks and concepts contributed to </w:t>
      </w:r>
      <w:r w:rsidR="00E52F9C">
        <w:t>Māori</w:t>
      </w:r>
      <w:r w:rsidRPr="003F2CE9">
        <w:t xml:space="preserve"> engagement, acceptance and use of evaluation</w:t>
      </w:r>
      <w:r w:rsidR="00806874">
        <w:t>.</w:t>
      </w:r>
      <w:r w:rsidRPr="003F2CE9">
        <w:t xml:space="preserve"> </w:t>
      </w:r>
      <w:r w:rsidR="00806874" w:rsidRPr="003F2CE9">
        <w:t xml:space="preserve">Some </w:t>
      </w:r>
      <w:r w:rsidRPr="003F2CE9">
        <w:t>of these are described below.</w:t>
      </w:r>
    </w:p>
    <w:p w:rsidR="001E231D" w:rsidRPr="003F2CE9" w:rsidRDefault="001E231D" w:rsidP="000D0624">
      <w:pPr>
        <w:pStyle w:val="BodyText"/>
      </w:pPr>
      <w:r w:rsidRPr="00356ED8">
        <w:rPr>
          <w:i/>
        </w:rPr>
        <w:t xml:space="preserve">Whakapapa </w:t>
      </w:r>
      <w:r w:rsidRPr="003F2CE9">
        <w:t xml:space="preserve">is a fundamental aspect of a </w:t>
      </w:r>
      <w:r w:rsidR="00E52F9C">
        <w:t>Māori</w:t>
      </w:r>
      <w:r w:rsidRPr="003F2CE9">
        <w:t xml:space="preserve"> world</w:t>
      </w:r>
      <w:r w:rsidR="00806874">
        <w:t xml:space="preserve"> </w:t>
      </w:r>
      <w:r w:rsidRPr="003F2CE9">
        <w:t>view (</w:t>
      </w:r>
      <w:proofErr w:type="spellStart"/>
      <w:r w:rsidRPr="003F2CE9">
        <w:t>Rangihau</w:t>
      </w:r>
      <w:proofErr w:type="spellEnd"/>
      <w:r w:rsidRPr="003F2CE9">
        <w:t xml:space="preserve">, cited in Smith </w:t>
      </w:r>
      <w:proofErr w:type="spellStart"/>
      <w:r w:rsidRPr="003F2CE9">
        <w:t>1996a</w:t>
      </w:r>
      <w:proofErr w:type="spellEnd"/>
      <w:r w:rsidRPr="003F2CE9">
        <w:t xml:space="preserve">) and a way of thinking, learning, storing and debating knowledge (Smith 1987, cited in Smith </w:t>
      </w:r>
      <w:proofErr w:type="spellStart"/>
      <w:r w:rsidRPr="003F2CE9">
        <w:t>1996a</w:t>
      </w:r>
      <w:proofErr w:type="spellEnd"/>
      <w:r w:rsidRPr="003F2CE9">
        <w:t xml:space="preserve">). This includes where researchers are placed through </w:t>
      </w:r>
      <w:proofErr w:type="spellStart"/>
      <w:r w:rsidRPr="003F2CE9">
        <w:t>whanau</w:t>
      </w:r>
      <w:proofErr w:type="spellEnd"/>
      <w:r w:rsidRPr="003F2CE9">
        <w:t xml:space="preserve">, location and organisational affiliation (e.g. university) and what </w:t>
      </w:r>
      <w:r w:rsidRPr="003F2CE9">
        <w:lastRenderedPageBreak/>
        <w:t>position and accountabilities evaluators work within (</w:t>
      </w:r>
      <w:proofErr w:type="spellStart"/>
      <w:r w:rsidRPr="003F2CE9">
        <w:t>Moewaka</w:t>
      </w:r>
      <w:proofErr w:type="spellEnd"/>
      <w:r w:rsidRPr="003F2CE9">
        <w:t xml:space="preserve"> Barnes and Stanley 1999). </w:t>
      </w:r>
    </w:p>
    <w:p w:rsidR="001E231D" w:rsidRPr="003F2CE9" w:rsidRDefault="001E231D" w:rsidP="000D0624">
      <w:pPr>
        <w:pStyle w:val="BodyText"/>
      </w:pPr>
      <w:proofErr w:type="spellStart"/>
      <w:r w:rsidRPr="00356ED8">
        <w:rPr>
          <w:i/>
        </w:rPr>
        <w:t>Whanau</w:t>
      </w:r>
      <w:proofErr w:type="spellEnd"/>
      <w:r w:rsidRPr="00356ED8">
        <w:rPr>
          <w:i/>
        </w:rPr>
        <w:t xml:space="preserve"> </w:t>
      </w:r>
      <w:r w:rsidRPr="00356ED8">
        <w:t>w</w:t>
      </w:r>
      <w:r w:rsidRPr="003F2CE9">
        <w:t xml:space="preserve">as used by Kathie Irwin as an embracing concept for her research study on first year </w:t>
      </w:r>
      <w:r w:rsidR="00E52F9C">
        <w:t>Māori</w:t>
      </w:r>
      <w:r w:rsidRPr="003F2CE9">
        <w:t xml:space="preserve"> secondary teachers. This concept she described as </w:t>
      </w:r>
      <w:r w:rsidR="003F2CE9" w:rsidRPr="003F2CE9">
        <w:t>‘</w:t>
      </w:r>
      <w:proofErr w:type="spellStart"/>
      <w:r w:rsidRPr="003F2CE9">
        <w:t>aroha</w:t>
      </w:r>
      <w:proofErr w:type="spellEnd"/>
      <w:r w:rsidRPr="003F2CE9">
        <w:t>, co-operation, collective responsibility</w:t>
      </w:r>
      <w:r w:rsidR="003F2CE9" w:rsidRPr="003F2CE9">
        <w:t>’</w:t>
      </w:r>
      <w:r w:rsidRPr="003F2CE9">
        <w:t>; she wanted to work within these relationships (Irwin 1994). Smith (</w:t>
      </w:r>
      <w:proofErr w:type="spellStart"/>
      <w:r w:rsidRPr="003F2CE9">
        <w:t>1996a</w:t>
      </w:r>
      <w:proofErr w:type="spellEnd"/>
      <w:r w:rsidRPr="003F2CE9">
        <w:t xml:space="preserve">) described </w:t>
      </w:r>
      <w:proofErr w:type="spellStart"/>
      <w:r w:rsidRPr="003F2CE9">
        <w:t>whanau</w:t>
      </w:r>
      <w:proofErr w:type="spellEnd"/>
      <w:r w:rsidRPr="003F2CE9">
        <w:t xml:space="preserve"> as providing a support structure that was significant </w:t>
      </w:r>
      <w:r w:rsidR="003F2CE9" w:rsidRPr="003F2CE9">
        <w:t>‘</w:t>
      </w:r>
      <w:r w:rsidRPr="003F2CE9">
        <w:t>as a way of organising and supervising research</w:t>
      </w:r>
      <w:r w:rsidR="003F2CE9" w:rsidRPr="003F2CE9">
        <w:t>’</w:t>
      </w:r>
      <w:r w:rsidRPr="003F2CE9">
        <w:t>.</w:t>
      </w:r>
    </w:p>
    <w:p w:rsidR="001E231D" w:rsidRPr="003F2CE9" w:rsidRDefault="001E231D" w:rsidP="000D0624">
      <w:pPr>
        <w:pStyle w:val="BodyText"/>
      </w:pPr>
      <w:r w:rsidRPr="003F2CE9">
        <w:t>Key to these approaches are ethics and ethical relationships</w:t>
      </w:r>
      <w:r w:rsidR="00806874">
        <w:t>;</w:t>
      </w:r>
      <w:r w:rsidRPr="003F2CE9">
        <w:t xml:space="preserve"> with </w:t>
      </w:r>
      <w:proofErr w:type="spellStart"/>
      <w:r w:rsidRPr="00356ED8">
        <w:rPr>
          <w:i/>
        </w:rPr>
        <w:t>tikanga</w:t>
      </w:r>
      <w:proofErr w:type="spellEnd"/>
      <w:r w:rsidRPr="003F2CE9">
        <w:t xml:space="preserve"> being a </w:t>
      </w:r>
      <w:r w:rsidR="00E52F9C">
        <w:t>Māori</w:t>
      </w:r>
      <w:r w:rsidRPr="003F2CE9">
        <w:t xml:space="preserve"> frame for exploring these relational processes. Ethics and power in evaluation are complex; they cannot be dealt with solely in terms of relatively straightforward questions common to many ethics committee forms and processes, but are inextricably linked to relationships (</w:t>
      </w:r>
      <w:proofErr w:type="spellStart"/>
      <w:r w:rsidRPr="003F2CE9">
        <w:t>Moewaka</w:t>
      </w:r>
      <w:proofErr w:type="spellEnd"/>
      <w:r w:rsidRPr="003F2CE9">
        <w:t xml:space="preserve"> Barnes et al. 2009). </w:t>
      </w:r>
    </w:p>
    <w:p w:rsidR="001E231D" w:rsidRPr="003F2CE9" w:rsidRDefault="001E231D" w:rsidP="001E231D">
      <w:pPr>
        <w:pStyle w:val="Heading3"/>
      </w:pPr>
      <w:bookmarkStart w:id="17" w:name="_Toc341182886"/>
      <w:r w:rsidRPr="003F2CE9">
        <w:t xml:space="preserve">Methods and </w:t>
      </w:r>
      <w:r w:rsidR="00E52F9C">
        <w:t>Māori</w:t>
      </w:r>
      <w:bookmarkEnd w:id="17"/>
    </w:p>
    <w:p w:rsidR="001E231D" w:rsidRPr="003F2CE9" w:rsidRDefault="001E231D" w:rsidP="000D0624">
      <w:pPr>
        <w:pStyle w:val="BodyText"/>
      </w:pPr>
      <w:r w:rsidRPr="003F2CE9">
        <w:t xml:space="preserve">Although </w:t>
      </w:r>
      <w:proofErr w:type="spellStart"/>
      <w:r w:rsidRPr="003F2CE9">
        <w:t>Kaupapa</w:t>
      </w:r>
      <w:proofErr w:type="spellEnd"/>
      <w:r w:rsidRPr="003F2CE9">
        <w:t xml:space="preserve"> </w:t>
      </w:r>
      <w:r w:rsidR="00E52F9C">
        <w:t>Māori</w:t>
      </w:r>
      <w:r w:rsidRPr="003F2CE9">
        <w:t xml:space="preserve"> research and evaluation has characteristics based on </w:t>
      </w:r>
      <w:r w:rsidR="00E52F9C">
        <w:t>Māori</w:t>
      </w:r>
      <w:r w:rsidRPr="003F2CE9">
        <w:t xml:space="preserve"> world</w:t>
      </w:r>
      <w:r w:rsidR="00806874">
        <w:t xml:space="preserve"> </w:t>
      </w:r>
      <w:r w:rsidRPr="003F2CE9">
        <w:t xml:space="preserve">views and aspirations (Smith </w:t>
      </w:r>
      <w:proofErr w:type="spellStart"/>
      <w:r w:rsidRPr="003F2CE9">
        <w:t>1996a</w:t>
      </w:r>
      <w:proofErr w:type="spellEnd"/>
      <w:r w:rsidRPr="003F2CE9">
        <w:t>), practitioners draw on a range of theories, methodologies and methods. Feminist critiques of research, grounded theory and critical theory are some of the more closely aligned paradigms. U</w:t>
      </w:r>
      <w:r w:rsidRPr="003F2CE9">
        <w:rPr>
          <w:rFonts w:cs="TimesNewRomanPSMT"/>
        </w:rPr>
        <w:t xml:space="preserve">tilisation focused, formative evaluation and community action provide useful approaches alongside </w:t>
      </w:r>
      <w:r w:rsidR="00E52F9C">
        <w:rPr>
          <w:rFonts w:cs="TimesNewRomanPSMT"/>
        </w:rPr>
        <w:t>Māori</w:t>
      </w:r>
      <w:r w:rsidRPr="003F2CE9">
        <w:rPr>
          <w:rFonts w:cs="TimesNewRomanPSMT"/>
        </w:rPr>
        <w:t xml:space="preserve"> capacity building and development (Kerr and </w:t>
      </w:r>
      <w:proofErr w:type="spellStart"/>
      <w:r w:rsidRPr="003F2CE9">
        <w:rPr>
          <w:rFonts w:cs="TimesNewRomanPSMT"/>
        </w:rPr>
        <w:t>Moewaka</w:t>
      </w:r>
      <w:proofErr w:type="spellEnd"/>
      <w:r w:rsidRPr="003F2CE9">
        <w:rPr>
          <w:rFonts w:cs="TimesNewRomanPSMT"/>
        </w:rPr>
        <w:t xml:space="preserve"> Barnes 2012). </w:t>
      </w:r>
      <w:r w:rsidR="00E52F9C">
        <w:t>Māori</w:t>
      </w:r>
      <w:r w:rsidRPr="003F2CE9">
        <w:t xml:space="preserve"> concerns about power relationships, ownership and the use of research and evaluation have also seen alignments with participatory action research (PAR), with variations of the term </w:t>
      </w:r>
      <w:proofErr w:type="spellStart"/>
      <w:r w:rsidRPr="003F2CE9">
        <w:t>Kaupapa</w:t>
      </w:r>
      <w:proofErr w:type="spellEnd"/>
      <w:r w:rsidRPr="003F2CE9">
        <w:t xml:space="preserve"> </w:t>
      </w:r>
      <w:r w:rsidR="00E52F9C">
        <w:t>Māori</w:t>
      </w:r>
      <w:r w:rsidRPr="003F2CE9">
        <w:t xml:space="preserve"> Action Research used in a number of evaluations. However, in an attempt to define or describe </w:t>
      </w:r>
      <w:r w:rsidR="00E52F9C">
        <w:t>Māori</w:t>
      </w:r>
      <w:r w:rsidRPr="003F2CE9">
        <w:t xml:space="preserve"> and other </w:t>
      </w:r>
      <w:r w:rsidR="00806874" w:rsidRPr="003F2CE9">
        <w:t xml:space="preserve">Indigenous </w:t>
      </w:r>
      <w:r w:rsidRPr="003F2CE9">
        <w:t>approaches, the focus often falls on what is seen as specific and distinct from non-indigenous approaches.</w:t>
      </w:r>
    </w:p>
    <w:p w:rsidR="001E231D" w:rsidRPr="003F2CE9" w:rsidRDefault="001E231D" w:rsidP="000D0624">
      <w:pPr>
        <w:pStyle w:val="Quote"/>
        <w:rPr>
          <w:lang w:eastAsia="en-NZ"/>
        </w:rPr>
      </w:pPr>
      <w:proofErr w:type="spellStart"/>
      <w:r w:rsidRPr="003F2CE9">
        <w:rPr>
          <w:lang w:eastAsia="en-NZ"/>
        </w:rPr>
        <w:t>PASE</w:t>
      </w:r>
      <w:proofErr w:type="spellEnd"/>
      <w:r w:rsidRPr="003F2CE9">
        <w:rPr>
          <w:lang w:eastAsia="en-NZ"/>
        </w:rPr>
        <w:t xml:space="preserve"> (Policy Analysis and System Evaluation Department at the Kamehameha Schools and </w:t>
      </w:r>
      <w:proofErr w:type="spellStart"/>
      <w:r w:rsidRPr="003F2CE9">
        <w:rPr>
          <w:lang w:eastAsia="en-NZ"/>
        </w:rPr>
        <w:t>Kohala</w:t>
      </w:r>
      <w:proofErr w:type="spellEnd"/>
      <w:r w:rsidRPr="003F2CE9">
        <w:rPr>
          <w:lang w:eastAsia="en-NZ"/>
        </w:rPr>
        <w:t xml:space="preserve"> Centre) suggests that Hawaiian-focused evaluation could be defined as </w:t>
      </w:r>
      <w:r w:rsidR="003F2CE9" w:rsidRPr="003F2CE9">
        <w:rPr>
          <w:lang w:eastAsia="en-NZ"/>
        </w:rPr>
        <w:t>‘</w:t>
      </w:r>
      <w:r w:rsidRPr="003F2CE9">
        <w:rPr>
          <w:lang w:eastAsia="en-NZ"/>
        </w:rPr>
        <w:t>frameworks, measures, and procedures that most fairly represent the experiences of Hawaiian peoples and that yield information most useful to them.</w:t>
      </w:r>
      <w:r w:rsidR="003F2CE9" w:rsidRPr="003F2CE9">
        <w:rPr>
          <w:lang w:eastAsia="en-NZ"/>
        </w:rPr>
        <w:t>’</w:t>
      </w:r>
      <w:r w:rsidRPr="003F2CE9">
        <w:rPr>
          <w:lang w:eastAsia="en-NZ"/>
        </w:rPr>
        <w:t xml:space="preserve"> The challenge would then become identifying what </w:t>
      </w:r>
      <w:r w:rsidR="003F2CE9" w:rsidRPr="003F2CE9">
        <w:rPr>
          <w:lang w:eastAsia="en-NZ"/>
        </w:rPr>
        <w:t>—</w:t>
      </w:r>
      <w:r w:rsidRPr="003F2CE9">
        <w:rPr>
          <w:lang w:eastAsia="en-NZ"/>
        </w:rPr>
        <w:t xml:space="preserve"> concretely and specifically </w:t>
      </w:r>
      <w:r w:rsidR="003F2CE9" w:rsidRPr="003F2CE9">
        <w:rPr>
          <w:lang w:eastAsia="en-NZ"/>
        </w:rPr>
        <w:t>—</w:t>
      </w:r>
      <w:r w:rsidRPr="003F2CE9">
        <w:rPr>
          <w:lang w:eastAsia="en-NZ"/>
        </w:rPr>
        <w:t xml:space="preserve"> is unique to the Hawaiian experience, history, and culture that would make good evaluation practice within the Hawaiian community distinct from good evaluation in any other community</w:t>
      </w:r>
      <w:r w:rsidR="00806874">
        <w:rPr>
          <w:lang w:eastAsia="en-NZ"/>
        </w:rPr>
        <w:t>.</w:t>
      </w:r>
      <w:r w:rsidRPr="003F2CE9">
        <w:rPr>
          <w:lang w:eastAsia="en-NZ"/>
        </w:rPr>
        <w:t xml:space="preserve"> (</w:t>
      </w:r>
      <w:proofErr w:type="spellStart"/>
      <w:r w:rsidRPr="003F2CE9">
        <w:rPr>
          <w:lang w:eastAsia="en-NZ"/>
        </w:rPr>
        <w:t>PASE</w:t>
      </w:r>
      <w:proofErr w:type="spellEnd"/>
      <w:r w:rsidRPr="003F2CE9">
        <w:rPr>
          <w:lang w:eastAsia="en-NZ"/>
        </w:rPr>
        <w:t xml:space="preserve"> 2003)</w:t>
      </w:r>
    </w:p>
    <w:p w:rsidR="001E231D" w:rsidRPr="003F2CE9" w:rsidRDefault="001E231D" w:rsidP="000D0624">
      <w:pPr>
        <w:pStyle w:val="BodyText"/>
      </w:pPr>
      <w:r w:rsidRPr="003F2CE9">
        <w:t xml:space="preserve">In some framings the imperative to be distinct, unique and </w:t>
      </w:r>
      <w:r w:rsidR="003F2CE9" w:rsidRPr="003F2CE9">
        <w:t>‘</w:t>
      </w:r>
      <w:r w:rsidRPr="003F2CE9">
        <w:t>authentic</w:t>
      </w:r>
      <w:r w:rsidR="003F2CE9" w:rsidRPr="003F2CE9">
        <w:t>’</w:t>
      </w:r>
      <w:r w:rsidRPr="003F2CE9">
        <w:t xml:space="preserve"> situates quantitative methods as less Māori and less acceptable to Māori. This is, in part, because numerical traditions have become relegated and seen as aligned with positivistic western science practices (</w:t>
      </w:r>
      <w:proofErr w:type="spellStart"/>
      <w:r w:rsidRPr="003F2CE9">
        <w:t>Moewaka</w:t>
      </w:r>
      <w:proofErr w:type="spellEnd"/>
      <w:r w:rsidRPr="003F2CE9">
        <w:t xml:space="preserve"> Barnes 2006). In line with early </w:t>
      </w:r>
      <w:r w:rsidRPr="003F2CE9">
        <w:lastRenderedPageBreak/>
        <w:t>feminist theory, qualitative methods can be seen as giving voice to people and as resonating with descriptions of Māori culture as oral, holistic and relationship</w:t>
      </w:r>
      <w:r w:rsidR="000963CD">
        <w:noBreakHyphen/>
      </w:r>
      <w:r w:rsidRPr="003F2CE9">
        <w:t>based (</w:t>
      </w:r>
      <w:proofErr w:type="spellStart"/>
      <w:r w:rsidRPr="003F2CE9">
        <w:t>Moewaka</w:t>
      </w:r>
      <w:proofErr w:type="spellEnd"/>
      <w:r w:rsidRPr="003F2CE9">
        <w:t xml:space="preserve"> Barnes 2006). For example, </w:t>
      </w:r>
      <w:proofErr w:type="spellStart"/>
      <w:r w:rsidRPr="003F2CE9">
        <w:t>kanohi</w:t>
      </w:r>
      <w:proofErr w:type="spellEnd"/>
      <w:r w:rsidRPr="003F2CE9">
        <w:t xml:space="preserve"> </w:t>
      </w:r>
      <w:proofErr w:type="spellStart"/>
      <w:r w:rsidRPr="003F2CE9">
        <w:t>ki</w:t>
      </w:r>
      <w:proofErr w:type="spellEnd"/>
      <w:r w:rsidRPr="003F2CE9">
        <w:t xml:space="preserve"> </w:t>
      </w:r>
      <w:proofErr w:type="spellStart"/>
      <w:r w:rsidRPr="003F2CE9">
        <w:t>te</w:t>
      </w:r>
      <w:proofErr w:type="spellEnd"/>
      <w:r w:rsidRPr="003F2CE9">
        <w:t xml:space="preserve"> </w:t>
      </w:r>
      <w:proofErr w:type="spellStart"/>
      <w:r w:rsidRPr="003F2CE9">
        <w:t>kanohi</w:t>
      </w:r>
      <w:proofErr w:type="spellEnd"/>
      <w:r w:rsidRPr="003F2CE9">
        <w:t xml:space="preserve"> (face to face) is sometimes described as appropriate in contrast to telephone or postal data collection methods, which may be seen as inappropriate for </w:t>
      </w:r>
      <w:r w:rsidR="00E52F9C">
        <w:t>Māori</w:t>
      </w:r>
      <w:r w:rsidRPr="003F2CE9">
        <w:t xml:space="preserve"> generally. However, quantitative data may have a greater influence in some policy settings and, if the evaluation intention is to be influential across a range of settings, then methods and approaches need to suit the purpose for which they are being used. For this reason many argue that there is no standardised or defined set of methods or tools that make up </w:t>
      </w:r>
      <w:r w:rsidR="00E52F9C">
        <w:t>Māori</w:t>
      </w:r>
      <w:r w:rsidRPr="003F2CE9">
        <w:t xml:space="preserve"> evaluation (Kerr-Brown 2011; </w:t>
      </w:r>
      <w:proofErr w:type="spellStart"/>
      <w:r w:rsidRPr="003F2CE9">
        <w:t>Moewaka</w:t>
      </w:r>
      <w:proofErr w:type="spellEnd"/>
      <w:r w:rsidRPr="003F2CE9">
        <w:t xml:space="preserve"> Barnes 2006; </w:t>
      </w:r>
      <w:proofErr w:type="spellStart"/>
      <w:r w:rsidRPr="003F2CE9">
        <w:t>Moewaka</w:t>
      </w:r>
      <w:proofErr w:type="spellEnd"/>
      <w:r w:rsidRPr="003F2CE9">
        <w:t xml:space="preserve"> Barnes et al. 2011).</w:t>
      </w:r>
    </w:p>
    <w:p w:rsidR="001E231D" w:rsidRPr="003F2CE9" w:rsidRDefault="001E231D" w:rsidP="001E231D">
      <w:pPr>
        <w:pStyle w:val="Heading3"/>
      </w:pPr>
      <w:bookmarkStart w:id="18" w:name="_Toc341182887"/>
      <w:r w:rsidRPr="003F2CE9">
        <w:t>Evaluation and monitoring: data and approaches</w:t>
      </w:r>
      <w:bookmarkEnd w:id="18"/>
    </w:p>
    <w:p w:rsidR="001E231D" w:rsidRPr="003F2CE9" w:rsidRDefault="001E231D" w:rsidP="000D0624">
      <w:pPr>
        <w:pStyle w:val="BodyText"/>
        <w:rPr>
          <w:rFonts w:cs="SabonMaori-Roman"/>
        </w:rPr>
      </w:pPr>
      <w:r w:rsidRPr="003F2CE9">
        <w:t>Quantitative approaches are widely used in policy monitoring approaches. The examination of many policies and reforms related to, for example, families, youth, poverty, unemployment</w:t>
      </w:r>
      <w:r w:rsidR="000963CD">
        <w:t xml:space="preserve"> </w:t>
      </w:r>
      <w:r w:rsidRPr="003F2CE9">
        <w:t xml:space="preserve"> and housing either explicitly or implicitly address impacts on </w:t>
      </w:r>
      <w:r w:rsidR="00E52F9C">
        <w:t>Māori</w:t>
      </w:r>
      <w:r w:rsidRPr="003F2CE9">
        <w:t xml:space="preserve">, with </w:t>
      </w:r>
      <w:r w:rsidR="00E52F9C">
        <w:t>Māori</w:t>
      </w:r>
      <w:r w:rsidRPr="003F2CE9">
        <w:t xml:space="preserve"> over</w:t>
      </w:r>
      <w:r w:rsidR="00806874">
        <w:t>-</w:t>
      </w:r>
      <w:r w:rsidRPr="003F2CE9">
        <w:t>represented in negative statistics and having a relatively youthful population (</w:t>
      </w:r>
      <w:proofErr w:type="spellStart"/>
      <w:r w:rsidRPr="003F2CE9">
        <w:t>Blaiklock</w:t>
      </w:r>
      <w:proofErr w:type="spellEnd"/>
      <w:r w:rsidRPr="003F2CE9">
        <w:t xml:space="preserve"> et al. 2002; Blakely, Tobias and Atkinson 2008; </w:t>
      </w:r>
      <w:proofErr w:type="spellStart"/>
      <w:r w:rsidRPr="003F2CE9">
        <w:t>Moewaka</w:t>
      </w:r>
      <w:proofErr w:type="spellEnd"/>
      <w:r w:rsidRPr="003F2CE9">
        <w:t xml:space="preserve"> Barnes et al. 2012).</w:t>
      </w:r>
      <w:r w:rsidRPr="003F2CE9">
        <w:rPr>
          <w:rFonts w:cs="SabonMaori-Roman"/>
        </w:rPr>
        <w:t xml:space="preserve"> Disparities in health have been the focus of some monitoring and policy research and evaluation; for example</w:t>
      </w:r>
      <w:r w:rsidR="0028557D">
        <w:rPr>
          <w:rFonts w:cs="SabonMaori-Roman"/>
        </w:rPr>
        <w:t>,</w:t>
      </w:r>
      <w:r w:rsidRPr="003F2CE9">
        <w:rPr>
          <w:rFonts w:cs="SabonMaori-Roman"/>
        </w:rPr>
        <w:t xml:space="preserve"> cohort studies examining inequalities in mortality during and after restructuring of the New Zealand economy (Blakely, Tobias and Atkinson 2008) found disparities in mortality increased between income groups (with </w:t>
      </w:r>
      <w:r w:rsidR="00E52F9C">
        <w:rPr>
          <w:rFonts w:cs="SabonMaori-Roman"/>
        </w:rPr>
        <w:t>Māori</w:t>
      </w:r>
      <w:r w:rsidRPr="003F2CE9">
        <w:rPr>
          <w:rFonts w:cs="SabonMaori-Roman"/>
        </w:rPr>
        <w:t xml:space="preserve"> over-represented in lower income groups)</w:t>
      </w:r>
      <w:r w:rsidR="0028557D">
        <w:rPr>
          <w:rFonts w:cs="SabonMaori-Roman"/>
        </w:rPr>
        <w:t>.</w:t>
      </w:r>
      <w:r w:rsidRPr="003F2CE9">
        <w:rPr>
          <w:rFonts w:cs="SabonMaori-Roman"/>
        </w:rPr>
        <w:t xml:space="preserve"> </w:t>
      </w:r>
      <w:r w:rsidR="0028557D" w:rsidRPr="003F2CE9">
        <w:rPr>
          <w:rFonts w:cs="SabonMaori-Roman"/>
        </w:rPr>
        <w:t>However</w:t>
      </w:r>
      <w:r w:rsidR="0028557D">
        <w:rPr>
          <w:rFonts w:cs="SabonMaori-Roman"/>
        </w:rPr>
        <w:t>,</w:t>
      </w:r>
      <w:r w:rsidR="0028557D" w:rsidRPr="003F2CE9">
        <w:rPr>
          <w:rFonts w:cs="SabonMaori-Roman"/>
        </w:rPr>
        <w:t xml:space="preserve"> </w:t>
      </w:r>
      <w:r w:rsidRPr="003F2CE9">
        <w:rPr>
          <w:rFonts w:cs="SabonMaori-Roman"/>
        </w:rPr>
        <w:t xml:space="preserve">drawing causal links with the reforms was difficult. </w:t>
      </w:r>
      <w:proofErr w:type="spellStart"/>
      <w:r w:rsidRPr="003F2CE9">
        <w:rPr>
          <w:rFonts w:cs="SabonMaori-Roman"/>
        </w:rPr>
        <w:t>Blaiklock</w:t>
      </w:r>
      <w:proofErr w:type="spellEnd"/>
      <w:r w:rsidRPr="003F2CE9">
        <w:rPr>
          <w:rFonts w:cs="SabonMaori-Roman"/>
        </w:rPr>
        <w:t xml:space="preserve"> et al. (2002) examined impacts on the wellbeing of children as a result of social and economic reforms since the mid-</w:t>
      </w:r>
      <w:proofErr w:type="spellStart"/>
      <w:r w:rsidRPr="003F2CE9">
        <w:rPr>
          <w:rFonts w:cs="SabonMaori-Roman"/>
        </w:rPr>
        <w:t>1980s</w:t>
      </w:r>
      <w:proofErr w:type="spellEnd"/>
      <w:r w:rsidRPr="003F2CE9">
        <w:rPr>
          <w:rFonts w:cs="SabonMaori-Roman"/>
        </w:rPr>
        <w:t>, finding widening inequality between ethnic and income groups, with some advances made when the reform process slowed in the mid-</w:t>
      </w:r>
      <w:proofErr w:type="spellStart"/>
      <w:r w:rsidRPr="003F2CE9">
        <w:rPr>
          <w:rFonts w:cs="SabonMaori-Roman"/>
        </w:rPr>
        <w:t>1990s</w:t>
      </w:r>
      <w:proofErr w:type="spellEnd"/>
      <w:r w:rsidRPr="003F2CE9">
        <w:rPr>
          <w:rFonts w:cs="SabonMaori-Roman"/>
        </w:rPr>
        <w:t>. They argue that the sweeping reforms were not systematically monitored by government.</w:t>
      </w:r>
    </w:p>
    <w:p w:rsidR="001E231D" w:rsidRPr="003F2CE9" w:rsidRDefault="001E231D" w:rsidP="000D0624">
      <w:pPr>
        <w:pStyle w:val="BodyText"/>
        <w:rPr>
          <w:rFonts w:cs="DPPGOL+Arial"/>
          <w:color w:val="000000"/>
        </w:rPr>
      </w:pPr>
      <w:r w:rsidRPr="003F2CE9">
        <w:t xml:space="preserve">Responsibility for monitoring and evaluation lies within departments, from agencies charged with </w:t>
      </w:r>
      <w:proofErr w:type="spellStart"/>
      <w:r w:rsidRPr="003F2CE9">
        <w:t>across</w:t>
      </w:r>
      <w:proofErr w:type="spellEnd"/>
      <w:r w:rsidR="0028557D">
        <w:t>-</w:t>
      </w:r>
      <w:r w:rsidRPr="003F2CE9">
        <w:t xml:space="preserve">department functions such as </w:t>
      </w:r>
      <w:proofErr w:type="spellStart"/>
      <w:r w:rsidRPr="003F2CE9">
        <w:t>SPEaR</w:t>
      </w:r>
      <w:proofErr w:type="spellEnd"/>
      <w:r w:rsidRPr="003F2CE9">
        <w:t xml:space="preserve"> (Social Policy Research and Evaluation Committee)and </w:t>
      </w:r>
      <w:proofErr w:type="spellStart"/>
      <w:r w:rsidRPr="003F2CE9">
        <w:t>TPK</w:t>
      </w:r>
      <w:proofErr w:type="spellEnd"/>
      <w:r w:rsidRPr="003F2CE9">
        <w:t xml:space="preserve"> (policy advice and monitoring in relation to </w:t>
      </w:r>
      <w:r w:rsidR="00E52F9C">
        <w:t>Māori</w:t>
      </w:r>
      <w:r w:rsidRPr="003F2CE9">
        <w:t>) and from external evaluation and monitoring</w:t>
      </w:r>
      <w:r w:rsidR="0028557D">
        <w:t>,</w:t>
      </w:r>
      <w:r w:rsidRPr="003F2CE9">
        <w:t xml:space="preserve"> particularly contracted s</w:t>
      </w:r>
      <w:r w:rsidR="003F2CE9" w:rsidRPr="003F2CE9">
        <w:t>tudies of outcomes and program</w:t>
      </w:r>
      <w:r w:rsidRPr="003F2CE9">
        <w:t xml:space="preserve"> effectiveness. Given that the social ministries</w:t>
      </w:r>
      <w:r w:rsidR="0028557D">
        <w:t>;</w:t>
      </w:r>
      <w:r w:rsidRPr="003F2CE9">
        <w:t xml:space="preserve"> namely</w:t>
      </w:r>
      <w:r w:rsidR="0028557D">
        <w:t>,</w:t>
      </w:r>
      <w:r w:rsidRPr="003F2CE9">
        <w:t xml:space="preserve"> </w:t>
      </w:r>
      <w:r w:rsidR="003F2CE9" w:rsidRPr="003F2CE9">
        <w:t>‘</w:t>
      </w:r>
      <w:r w:rsidRPr="003F2CE9">
        <w:t xml:space="preserve">Social Development, Building and Housing, Justice, Education, Health, Corrections and </w:t>
      </w:r>
      <w:proofErr w:type="spellStart"/>
      <w:r w:rsidRPr="003F2CE9">
        <w:t>Te</w:t>
      </w:r>
      <w:proofErr w:type="spellEnd"/>
      <w:r w:rsidRPr="003F2CE9">
        <w:t xml:space="preserve"> </w:t>
      </w:r>
      <w:proofErr w:type="spellStart"/>
      <w:r w:rsidRPr="003F2CE9">
        <w:t>Puni</w:t>
      </w:r>
      <w:proofErr w:type="spellEnd"/>
      <w:r w:rsidRPr="003F2CE9">
        <w:t xml:space="preserve"> </w:t>
      </w:r>
      <w:proofErr w:type="spellStart"/>
      <w:r w:rsidRPr="003F2CE9">
        <w:t>K</w:t>
      </w:r>
      <w:r w:rsidR="004E3974" w:rsidRPr="003F2CE9">
        <w:rPr>
          <w:rFonts w:cs="DPPGOL+Arial"/>
          <w:color w:val="000000"/>
        </w:rPr>
        <w:t>ō</w:t>
      </w:r>
      <w:r w:rsidRPr="003F2CE9">
        <w:t>kiri</w:t>
      </w:r>
      <w:proofErr w:type="spellEnd"/>
      <w:r w:rsidRPr="003F2CE9">
        <w:t>, amongst others have a marked commonality and overlap in terms of both problems and solutions</w:t>
      </w:r>
      <w:r w:rsidR="003F2CE9" w:rsidRPr="003F2CE9">
        <w:t>’</w:t>
      </w:r>
      <w:r w:rsidRPr="003F2CE9">
        <w:t xml:space="preserve"> (</w:t>
      </w:r>
      <w:proofErr w:type="spellStart"/>
      <w:r w:rsidRPr="003F2CE9">
        <w:t>Gluckman</w:t>
      </w:r>
      <w:proofErr w:type="spellEnd"/>
      <w:r w:rsidRPr="003F2CE9">
        <w:t xml:space="preserve"> 2011, </w:t>
      </w:r>
      <w:r w:rsidR="0028557D">
        <w:t xml:space="preserve">p. </w:t>
      </w:r>
      <w:r w:rsidRPr="003F2CE9">
        <w:t xml:space="preserve">10), evaluation looking at the mix of policies and strategies across ministries could provide a more integrated approach to considering the relationship between policy </w:t>
      </w:r>
      <w:r w:rsidRPr="003F2CE9">
        <w:lastRenderedPageBreak/>
        <w:t>and outcomes. This, along with an examination of the ways policies are developed and transmitted, could contribute contextual and broader evidence to complement evaluations of</w:t>
      </w:r>
      <w:r w:rsidR="003F2CE9" w:rsidRPr="003F2CE9">
        <w:t xml:space="preserve"> program</w:t>
      </w:r>
      <w:r w:rsidRPr="003F2CE9">
        <w:t xml:space="preserve"> implementation, effectiveness and outcomes. </w:t>
      </w:r>
      <w:r w:rsidRPr="003F2CE9">
        <w:rPr>
          <w:rFonts w:cs="DPPGOL+Arial"/>
          <w:color w:val="000000"/>
        </w:rPr>
        <w:t>Another suggestion is that, rather than focusing on</w:t>
      </w:r>
      <w:r w:rsidR="003F2CE9" w:rsidRPr="003F2CE9">
        <w:rPr>
          <w:rFonts w:cs="DPPGOL+Arial"/>
          <w:color w:val="000000"/>
        </w:rPr>
        <w:t xml:space="preserve"> the implementation of program</w:t>
      </w:r>
      <w:r w:rsidRPr="003F2CE9">
        <w:rPr>
          <w:rFonts w:cs="DPPGOL+Arial"/>
          <w:color w:val="000000"/>
        </w:rPr>
        <w:t>s or interventions, more evaluation could examine both individual and collective contributions of initiatives to an overall policy or strategic priority (</w:t>
      </w:r>
      <w:proofErr w:type="spellStart"/>
      <w:r w:rsidRPr="003F2CE9">
        <w:rPr>
          <w:rFonts w:cs="DPPGOL+Arial"/>
          <w:color w:val="000000"/>
        </w:rPr>
        <w:t>Wehipeihana</w:t>
      </w:r>
      <w:proofErr w:type="spellEnd"/>
      <w:r w:rsidRPr="003F2CE9">
        <w:rPr>
          <w:rFonts w:cs="DPPGOL+Arial"/>
          <w:color w:val="000000"/>
        </w:rPr>
        <w:t xml:space="preserve"> and Davidson 2010; State Services Commission 1999). </w:t>
      </w:r>
    </w:p>
    <w:p w:rsidR="001E231D" w:rsidRPr="003F2CE9" w:rsidRDefault="001E231D" w:rsidP="000D0624">
      <w:pPr>
        <w:pStyle w:val="BodyText"/>
      </w:pPr>
      <w:r w:rsidRPr="003F2CE9">
        <w:t>In addition to providing only one part of the picture through focusing on individual interventions if evaluation only concerns itself with the specific objectives of those interventions, the ability to examine effectiveness in relation to overall strategic directions may be compromised. For example</w:t>
      </w:r>
      <w:r w:rsidR="0028557D">
        <w:t>,</w:t>
      </w:r>
      <w:r w:rsidRPr="003F2CE9">
        <w:t xml:space="preserve"> if the Working For Families policy, which provides tax credits against paid employment is evaluated against limited criteria it might ignore larger questions and strategic intentions in relation to all children living in poverty (St John and Dale 2012).</w:t>
      </w:r>
    </w:p>
    <w:p w:rsidR="001E231D" w:rsidRPr="003F2CE9" w:rsidRDefault="001E231D" w:rsidP="000D0624">
      <w:pPr>
        <w:pStyle w:val="BodyText"/>
        <w:rPr>
          <w:color w:val="000000"/>
        </w:rPr>
      </w:pPr>
      <w:r w:rsidRPr="003F2CE9">
        <w:t xml:space="preserve">Issues with data quality for </w:t>
      </w:r>
      <w:r w:rsidR="00E52F9C">
        <w:t>Māori</w:t>
      </w:r>
      <w:r w:rsidRPr="003F2CE9">
        <w:t xml:space="preserve"> have been raised, including inadequate sample sizes and under-reporting by </w:t>
      </w:r>
      <w:r w:rsidR="00E52F9C">
        <w:t>Māori</w:t>
      </w:r>
      <w:r w:rsidRPr="003F2CE9">
        <w:t xml:space="preserve"> ethnicity (</w:t>
      </w:r>
      <w:proofErr w:type="spellStart"/>
      <w:r w:rsidRPr="003F2CE9">
        <w:t>Te</w:t>
      </w:r>
      <w:proofErr w:type="spellEnd"/>
      <w:r w:rsidRPr="003F2CE9">
        <w:t xml:space="preserve"> </w:t>
      </w:r>
      <w:proofErr w:type="spellStart"/>
      <w:r w:rsidRPr="003F2CE9">
        <w:t>Rōpū</w:t>
      </w:r>
      <w:proofErr w:type="spellEnd"/>
      <w:r w:rsidRPr="003F2CE9">
        <w:t xml:space="preserve"> </w:t>
      </w:r>
      <w:proofErr w:type="spellStart"/>
      <w:r w:rsidRPr="003F2CE9">
        <w:t>Rangahau</w:t>
      </w:r>
      <w:proofErr w:type="spellEnd"/>
      <w:r w:rsidRPr="003F2CE9">
        <w:t xml:space="preserve"> </w:t>
      </w:r>
      <w:proofErr w:type="spellStart"/>
      <w:r w:rsidRPr="003F2CE9">
        <w:t>Hauora</w:t>
      </w:r>
      <w:proofErr w:type="spellEnd"/>
      <w:r w:rsidRPr="003F2CE9">
        <w:t xml:space="preserve"> a </w:t>
      </w:r>
      <w:proofErr w:type="spellStart"/>
      <w:r w:rsidRPr="003F2CE9">
        <w:t>Eru</w:t>
      </w:r>
      <w:proofErr w:type="spellEnd"/>
      <w:r w:rsidRPr="003F2CE9">
        <w:t xml:space="preserve"> </w:t>
      </w:r>
      <w:proofErr w:type="spellStart"/>
      <w:r w:rsidRPr="003F2CE9">
        <w:t>Pōmare</w:t>
      </w:r>
      <w:proofErr w:type="spellEnd"/>
      <w:r w:rsidRPr="003F2CE9">
        <w:t xml:space="preserve"> 2000). </w:t>
      </w:r>
      <w:proofErr w:type="spellStart"/>
      <w:r w:rsidRPr="003F2CE9">
        <w:t>Te</w:t>
      </w:r>
      <w:proofErr w:type="spellEnd"/>
      <w:r w:rsidRPr="003F2CE9">
        <w:t xml:space="preserve"> </w:t>
      </w:r>
      <w:proofErr w:type="spellStart"/>
      <w:r w:rsidRPr="003F2CE9">
        <w:t>Puni</w:t>
      </w:r>
      <w:proofErr w:type="spellEnd"/>
      <w:r w:rsidRPr="003F2CE9">
        <w:t xml:space="preserve"> </w:t>
      </w:r>
      <w:proofErr w:type="spellStart"/>
      <w:r w:rsidRPr="003F2CE9">
        <w:t>K</w:t>
      </w:r>
      <w:r w:rsidR="004E3974" w:rsidRPr="003F2CE9">
        <w:rPr>
          <w:rFonts w:cs="DPPGOL+Arial"/>
          <w:color w:val="000000"/>
        </w:rPr>
        <w:t>ō</w:t>
      </w:r>
      <w:r w:rsidRPr="003F2CE9">
        <w:t>kiri</w:t>
      </w:r>
      <w:proofErr w:type="spellEnd"/>
      <w:r w:rsidRPr="003F2CE9">
        <w:t xml:space="preserve"> (Parliamentary Library 2000, </w:t>
      </w:r>
      <w:r w:rsidR="0028557D">
        <w:t xml:space="preserve">p. </w:t>
      </w:r>
      <w:r w:rsidRPr="003F2CE9">
        <w:t xml:space="preserve">1) found </w:t>
      </w:r>
      <w:r w:rsidR="0028557D">
        <w:t xml:space="preserve">that </w:t>
      </w:r>
      <w:r w:rsidR="003F2CE9" w:rsidRPr="003F2CE9">
        <w:t>‘</w:t>
      </w:r>
      <w:r w:rsidRPr="003F2CE9">
        <w:t>variable quality and ad-hoc reporting of the relevant statistics in the past</w:t>
      </w:r>
      <w:r w:rsidR="003F2CE9" w:rsidRPr="003F2CE9">
        <w:t>’</w:t>
      </w:r>
      <w:r w:rsidRPr="003F2CE9">
        <w:t xml:space="preserve"> meant that it would be difficult to track some trends. S</w:t>
      </w:r>
      <w:r w:rsidRPr="003F2CE9">
        <w:rPr>
          <w:color w:val="000000"/>
        </w:rPr>
        <w:t>ome s</w:t>
      </w:r>
      <w:r w:rsidRPr="003F2CE9">
        <w:t xml:space="preserve">teps have been taken to improve data collection and analysis and presentation. Towards the end of the </w:t>
      </w:r>
      <w:proofErr w:type="spellStart"/>
      <w:r w:rsidRPr="003F2CE9">
        <w:t>1990s</w:t>
      </w:r>
      <w:proofErr w:type="spellEnd"/>
      <w:r w:rsidRPr="003F2CE9">
        <w:t xml:space="preserve"> and </w:t>
      </w:r>
      <w:r w:rsidR="0028557D">
        <w:t xml:space="preserve">in the </w:t>
      </w:r>
      <w:r w:rsidRPr="003F2CE9">
        <w:t xml:space="preserve">early </w:t>
      </w:r>
      <w:proofErr w:type="spellStart"/>
      <w:r w:rsidRPr="003F2CE9">
        <w:t>2000s</w:t>
      </w:r>
      <w:proofErr w:type="spellEnd"/>
      <w:r w:rsidRPr="003F2CE9">
        <w:t xml:space="preserve"> there were a number of official reports, including reports on </w:t>
      </w:r>
      <w:r w:rsidR="00E52F9C">
        <w:t>Māori</w:t>
      </w:r>
      <w:r w:rsidR="0028557D">
        <w:t>,</w:t>
      </w:r>
      <w:r w:rsidRPr="003F2CE9">
        <w:t xml:space="preserve"> that went </w:t>
      </w:r>
      <w:r w:rsidR="003F2CE9" w:rsidRPr="003F2CE9">
        <w:t>‘</w:t>
      </w:r>
      <w:r w:rsidRPr="003F2CE9">
        <w:t>some way towards addressing the need for statistically disaggregated information</w:t>
      </w:r>
      <w:r w:rsidR="003F2CE9" w:rsidRPr="003F2CE9">
        <w:t>’</w:t>
      </w:r>
      <w:r w:rsidRPr="003F2CE9">
        <w:t xml:space="preserve"> (</w:t>
      </w:r>
      <w:proofErr w:type="spellStart"/>
      <w:r w:rsidRPr="003F2CE9">
        <w:t>Blaiklock</w:t>
      </w:r>
      <w:proofErr w:type="spellEnd"/>
      <w:r w:rsidRPr="003F2CE9">
        <w:t xml:space="preserve"> et al. 2002, </w:t>
      </w:r>
      <w:r w:rsidR="0028557D">
        <w:t xml:space="preserve">pp. </w:t>
      </w:r>
      <w:r w:rsidRPr="003F2CE9">
        <w:t>6</w:t>
      </w:r>
      <w:r w:rsidR="003F2CE9" w:rsidRPr="003F2CE9">
        <w:t>–</w:t>
      </w:r>
      <w:r w:rsidRPr="003F2CE9">
        <w:t>7). Later in the decade a series of discussion papers, funded by the Ministry of Health, reviewed the quality of ethnicity data and the impacts on measuring health disparities</w:t>
      </w:r>
      <w:r w:rsidRPr="003F2CE9">
        <w:rPr>
          <w:color w:val="000000"/>
        </w:rPr>
        <w:t xml:space="preserve">. </w:t>
      </w:r>
      <w:r w:rsidRPr="003F2CE9">
        <w:t>C</w:t>
      </w:r>
      <w:r w:rsidRPr="003F2CE9">
        <w:rPr>
          <w:color w:val="000000"/>
        </w:rPr>
        <w:t xml:space="preserve">hanges to official ethnicity data policies and practices and developments in ethnicity definitions were discussed; the census ethnicity question changed several times and there were issues around the introduction of a </w:t>
      </w:r>
      <w:r w:rsidR="003F2CE9" w:rsidRPr="003F2CE9">
        <w:rPr>
          <w:color w:val="000000"/>
        </w:rPr>
        <w:t>‘</w:t>
      </w:r>
      <w:r w:rsidRPr="003F2CE9">
        <w:rPr>
          <w:color w:val="000000"/>
        </w:rPr>
        <w:t>New Zealander</w:t>
      </w:r>
      <w:r w:rsidR="003F2CE9" w:rsidRPr="003F2CE9">
        <w:rPr>
          <w:color w:val="000000"/>
        </w:rPr>
        <w:t>’</w:t>
      </w:r>
      <w:r w:rsidRPr="003F2CE9">
        <w:rPr>
          <w:color w:val="000000"/>
        </w:rPr>
        <w:t xml:space="preserve"> code following the 2006 </w:t>
      </w:r>
      <w:r w:rsidR="0028557D" w:rsidRPr="003F2CE9">
        <w:rPr>
          <w:color w:val="000000"/>
        </w:rPr>
        <w:t xml:space="preserve">Census </w:t>
      </w:r>
      <w:r w:rsidRPr="003F2CE9">
        <w:rPr>
          <w:color w:val="000000"/>
        </w:rPr>
        <w:t xml:space="preserve">(Cormack and Harris 2009). </w:t>
      </w:r>
    </w:p>
    <w:p w:rsidR="001E231D" w:rsidRPr="003F2CE9" w:rsidRDefault="001E231D" w:rsidP="001E231D">
      <w:pPr>
        <w:pStyle w:val="Heading3"/>
      </w:pPr>
      <w:bookmarkStart w:id="19" w:name="_Toc341182888"/>
      <w:r w:rsidRPr="003F2CE9">
        <w:t>Usefulness of evaluation</w:t>
      </w:r>
      <w:bookmarkEnd w:id="19"/>
    </w:p>
    <w:p w:rsidR="001E231D" w:rsidRPr="003F2CE9" w:rsidRDefault="0028557D" w:rsidP="000D0624">
      <w:pPr>
        <w:pStyle w:val="BodyText"/>
      </w:pPr>
      <w:r w:rsidRPr="003F2CE9">
        <w:t xml:space="preserve">A </w:t>
      </w:r>
      <w:r w:rsidR="001E231D" w:rsidRPr="003F2CE9">
        <w:t xml:space="preserve">number of circumstances impact on the usefulness of evaluation and its ability to provide evidence of effectiveness. </w:t>
      </w:r>
      <w:r w:rsidR="003F2CE9" w:rsidRPr="003F2CE9">
        <w:t>Program</w:t>
      </w:r>
      <w:r w:rsidR="001E231D" w:rsidRPr="003F2CE9">
        <w:t>s may not always be at a point where evaluation is useful, particularly in relation to outcome/impact requirements (</w:t>
      </w:r>
      <w:proofErr w:type="spellStart"/>
      <w:r w:rsidR="001E231D" w:rsidRPr="003F2CE9">
        <w:t>Nunns</w:t>
      </w:r>
      <w:proofErr w:type="spellEnd"/>
      <w:r w:rsidR="001E231D" w:rsidRPr="003F2CE9">
        <w:t xml:space="preserve"> 2009)</w:t>
      </w:r>
      <w:r>
        <w:t>,</w:t>
      </w:r>
      <w:r w:rsidR="001E231D" w:rsidRPr="003F2CE9">
        <w:t xml:space="preserve"> and the m</w:t>
      </w:r>
      <w:r w:rsidR="001E231D" w:rsidRPr="003F2CE9">
        <w:rPr>
          <w:rFonts w:cs="TimesNewRomanPSMT"/>
        </w:rPr>
        <w:t>ethods required to provide the type of evaluation evidence preferred by stakeholders may not be feasible (</w:t>
      </w:r>
      <w:proofErr w:type="spellStart"/>
      <w:r w:rsidR="001E231D" w:rsidRPr="003F2CE9">
        <w:rPr>
          <w:rFonts w:cs="TimesNewRomanPSMT"/>
        </w:rPr>
        <w:t>Nunns</w:t>
      </w:r>
      <w:proofErr w:type="spellEnd"/>
      <w:r w:rsidR="001E231D" w:rsidRPr="003F2CE9">
        <w:rPr>
          <w:rFonts w:cs="TimesNewRomanPSMT"/>
        </w:rPr>
        <w:t xml:space="preserve"> 2009). </w:t>
      </w:r>
      <w:r w:rsidR="001E231D" w:rsidRPr="003F2CE9">
        <w:t xml:space="preserve">Evaluations may not produce definitive answers and causality is difficult to establish in complex and dynamic social settings. </w:t>
      </w:r>
      <w:r w:rsidR="001E231D" w:rsidRPr="003F2CE9">
        <w:rPr>
          <w:rFonts w:cs="TimesNewRomanPSMT"/>
        </w:rPr>
        <w:t>However, l</w:t>
      </w:r>
      <w:r w:rsidR="001E231D" w:rsidRPr="003F2CE9">
        <w:t xml:space="preserve">imitations and difficulties should not stop </w:t>
      </w:r>
      <w:r w:rsidR="001E231D" w:rsidRPr="003F2CE9">
        <w:lastRenderedPageBreak/>
        <w:t>evaluation from being attempted (State Services Commission 1999). Although limitations need to be acknowledged, reasonable arguments of effectiveness may provide the information needed on which to base decisions (State Services Commission 1999). Insufficient quality or certainty should not stop decisions from being made, nor should decisions be made in the face of evidence (</w:t>
      </w:r>
      <w:proofErr w:type="spellStart"/>
      <w:r w:rsidR="001E231D" w:rsidRPr="003F2CE9">
        <w:t>Gluckman</w:t>
      </w:r>
      <w:proofErr w:type="spellEnd"/>
      <w:r w:rsidR="001E231D" w:rsidRPr="003F2CE9">
        <w:t xml:space="preserve"> 2011).</w:t>
      </w:r>
    </w:p>
    <w:p w:rsidR="001E231D" w:rsidRPr="003F2CE9" w:rsidRDefault="001E231D" w:rsidP="000D0624">
      <w:pPr>
        <w:pStyle w:val="BodyText"/>
        <w:rPr>
          <w:color w:val="000000"/>
        </w:rPr>
      </w:pPr>
      <w:r w:rsidRPr="003F2CE9">
        <w:t xml:space="preserve">Evaluation planned for at the outset can force explicit statements about </w:t>
      </w:r>
      <w:r w:rsidR="0028557D">
        <w:t xml:space="preserve">the </w:t>
      </w:r>
      <w:r w:rsidRPr="003F2CE9">
        <w:t>outcomes ministers wish to achieve (State Services Commission 1999)</w:t>
      </w:r>
      <w:r w:rsidRPr="003F2CE9">
        <w:rPr>
          <w:rFonts w:cs="DPPGOL+Arial"/>
          <w:color w:val="000000"/>
        </w:rPr>
        <w:t xml:space="preserve">. </w:t>
      </w:r>
      <w:proofErr w:type="spellStart"/>
      <w:r w:rsidRPr="003F2CE9">
        <w:rPr>
          <w:rFonts w:cs="DPPGOL+Arial"/>
          <w:color w:val="000000"/>
        </w:rPr>
        <w:t>Gluckman</w:t>
      </w:r>
      <w:proofErr w:type="spellEnd"/>
      <w:r w:rsidRPr="003F2CE9">
        <w:rPr>
          <w:rFonts w:cs="DPPGOL+Arial"/>
          <w:color w:val="000000"/>
        </w:rPr>
        <w:t xml:space="preserve"> (2011) echoes this with a call for more consideration to be given to impacts and effectiveness when </w:t>
      </w:r>
      <w:r w:rsidR="003F2CE9" w:rsidRPr="003F2CE9">
        <w:rPr>
          <w:rFonts w:cs="DPPGOL+Arial"/>
          <w:color w:val="000000"/>
        </w:rPr>
        <w:t>designing policies and program</w:t>
      </w:r>
      <w:r w:rsidRPr="003F2CE9">
        <w:rPr>
          <w:rFonts w:cs="DPPGOL+Arial"/>
          <w:color w:val="000000"/>
        </w:rPr>
        <w:t>s.</w:t>
      </w:r>
      <w:r w:rsidRPr="003F2CE9">
        <w:t xml:space="preserve"> </w:t>
      </w:r>
      <w:proofErr w:type="spellStart"/>
      <w:r w:rsidRPr="003F2CE9">
        <w:t>Gluckman</w:t>
      </w:r>
      <w:proofErr w:type="spellEnd"/>
      <w:r w:rsidRPr="003F2CE9">
        <w:t xml:space="preserve"> (2011, </w:t>
      </w:r>
      <w:r w:rsidR="0028557D">
        <w:t xml:space="preserve">p. </w:t>
      </w:r>
      <w:r w:rsidRPr="003F2CE9">
        <w:t xml:space="preserve">9) argues that </w:t>
      </w:r>
      <w:r w:rsidR="0028557D">
        <w:t>c</w:t>
      </w:r>
      <w:r w:rsidRPr="003F2CE9">
        <w:t xml:space="preserve">hief </w:t>
      </w:r>
      <w:r w:rsidR="0028557D">
        <w:t>e</w:t>
      </w:r>
      <w:r w:rsidRPr="003F2CE9">
        <w:t xml:space="preserve">xecutives need to identify the type of information required and </w:t>
      </w:r>
      <w:r w:rsidR="003F2CE9" w:rsidRPr="003F2CE9">
        <w:t>‘</w:t>
      </w:r>
      <w:r w:rsidRPr="003F2CE9">
        <w:t xml:space="preserve">have systems in place to ensure unbiased advice in a </w:t>
      </w:r>
      <w:r w:rsidR="003F2CE9" w:rsidRPr="003F2CE9">
        <w:t>“</w:t>
      </w:r>
      <w:r w:rsidRPr="003F2CE9">
        <w:t>co-production</w:t>
      </w:r>
      <w:r w:rsidR="003F2CE9" w:rsidRPr="003F2CE9">
        <w:t>”</w:t>
      </w:r>
      <w:r w:rsidRPr="003F2CE9">
        <w:t xml:space="preserve"> model</w:t>
      </w:r>
      <w:r w:rsidR="003F2CE9" w:rsidRPr="003F2CE9">
        <w:t>’</w:t>
      </w:r>
      <w:r w:rsidRPr="003F2CE9">
        <w:t>. It could be argued, however</w:t>
      </w:r>
      <w:r w:rsidR="0028557D">
        <w:t>,</w:t>
      </w:r>
      <w:r w:rsidRPr="003F2CE9">
        <w:t xml:space="preserve"> that a lack of bias is difficult, if not impossible</w:t>
      </w:r>
      <w:r w:rsidR="0028557D">
        <w:t>,</w:t>
      </w:r>
      <w:r w:rsidRPr="003F2CE9">
        <w:t xml:space="preserve"> and </w:t>
      </w:r>
      <w:r w:rsidR="0028557D">
        <w:t xml:space="preserve">that </w:t>
      </w:r>
      <w:r w:rsidRPr="003F2CE9">
        <w:t>it may be more important to have a range of sources of evidence and to understand the biases, limitations and strengths of each. Funder and practitioner world</w:t>
      </w:r>
      <w:r w:rsidR="00806874">
        <w:t xml:space="preserve"> </w:t>
      </w:r>
      <w:r w:rsidRPr="003F2CE9">
        <w:t>views and agendas influence all stages of evaluation, from the information sought, to methods, processes, analysis and interpretation (</w:t>
      </w:r>
      <w:proofErr w:type="spellStart"/>
      <w:r w:rsidRPr="003F2CE9">
        <w:t>Moewaka</w:t>
      </w:r>
      <w:proofErr w:type="spellEnd"/>
      <w:r w:rsidRPr="003F2CE9">
        <w:t xml:space="preserve"> Barnes 2003). </w:t>
      </w:r>
      <w:r w:rsidRPr="003F2CE9">
        <w:rPr>
          <w:rFonts w:cs="Arial"/>
        </w:rPr>
        <w:t xml:space="preserve">The way in which practitioners frame findings </w:t>
      </w:r>
      <w:r w:rsidR="0028557D">
        <w:rPr>
          <w:rFonts w:cs="Arial"/>
        </w:rPr>
        <w:t>a</w:t>
      </w:r>
      <w:r w:rsidRPr="003F2CE9">
        <w:rPr>
          <w:rFonts w:cs="Arial"/>
        </w:rPr>
        <w:t xml:space="preserve">ffects </w:t>
      </w:r>
      <w:r w:rsidR="000963CD">
        <w:rPr>
          <w:rFonts w:cs="Arial"/>
        </w:rPr>
        <w:t xml:space="preserve">the findings’ </w:t>
      </w:r>
      <w:r w:rsidRPr="003F2CE9">
        <w:rPr>
          <w:rFonts w:cs="Arial"/>
        </w:rPr>
        <w:t xml:space="preserve">interpretation and acceptability to different audiences. </w:t>
      </w:r>
      <w:r w:rsidRPr="003F2CE9">
        <w:t xml:space="preserve">A Treaty of Waitangi framing, for example, monitors disparities as a way of assessing Crown performance in relation to equitable outcomes for </w:t>
      </w:r>
      <w:r w:rsidR="00E52F9C">
        <w:t>Māori</w:t>
      </w:r>
      <w:r w:rsidRPr="003F2CE9">
        <w:t xml:space="preserve"> and non-</w:t>
      </w:r>
      <w:r w:rsidR="00E52F9C">
        <w:t>Māori</w:t>
      </w:r>
      <w:r w:rsidRPr="003F2CE9">
        <w:t xml:space="preserve"> and</w:t>
      </w:r>
      <w:r w:rsidRPr="003F2CE9">
        <w:rPr>
          <w:color w:val="000000"/>
        </w:rPr>
        <w:t xml:space="preserve"> as signatories to various international conventions (Cormack and Harris 2009, </w:t>
      </w:r>
      <w:r w:rsidR="0028557D">
        <w:rPr>
          <w:color w:val="000000"/>
        </w:rPr>
        <w:t xml:space="preserve">p. </w:t>
      </w:r>
      <w:r w:rsidRPr="003F2CE9">
        <w:rPr>
          <w:color w:val="000000"/>
        </w:rPr>
        <w:t>7).</w:t>
      </w:r>
    </w:p>
    <w:p w:rsidR="001E231D" w:rsidRPr="003F2CE9" w:rsidRDefault="001E231D" w:rsidP="001E231D">
      <w:pPr>
        <w:pStyle w:val="Heading3"/>
      </w:pPr>
      <w:bookmarkStart w:id="20" w:name="_Toc341182889"/>
      <w:r w:rsidRPr="003F2CE9">
        <w:t>Evaluation criteria and evidence</w:t>
      </w:r>
      <w:bookmarkEnd w:id="20"/>
    </w:p>
    <w:p w:rsidR="001E231D" w:rsidRPr="003F2CE9" w:rsidRDefault="001E231D" w:rsidP="000D0624">
      <w:pPr>
        <w:pStyle w:val="BodyText"/>
      </w:pPr>
      <w:proofErr w:type="spellStart"/>
      <w:r w:rsidRPr="003F2CE9">
        <w:t>Durie</w:t>
      </w:r>
      <w:proofErr w:type="spellEnd"/>
      <w:r w:rsidRPr="003F2CE9">
        <w:t xml:space="preserve"> (2006) argues that measures also need to reflect </w:t>
      </w:r>
      <w:r w:rsidR="00E52F9C">
        <w:t>Māori</w:t>
      </w:r>
      <w:r w:rsidRPr="003F2CE9">
        <w:t xml:space="preserve"> world</w:t>
      </w:r>
      <w:r w:rsidR="00806874">
        <w:t xml:space="preserve"> </w:t>
      </w:r>
      <w:r w:rsidRPr="003F2CE9">
        <w:t>views, acknowledging that this presents challenges:</w:t>
      </w:r>
    </w:p>
    <w:p w:rsidR="001E231D" w:rsidRPr="003F2CE9" w:rsidRDefault="0028557D" w:rsidP="001E231D">
      <w:pPr>
        <w:pStyle w:val="Quote"/>
      </w:pPr>
      <w:r>
        <w:t xml:space="preserve">... </w:t>
      </w:r>
      <w:r w:rsidR="001E231D" w:rsidRPr="003F2CE9">
        <w:t xml:space="preserve">the evaluation of </w:t>
      </w:r>
      <w:r w:rsidR="00E52F9C">
        <w:t>Māori</w:t>
      </w:r>
      <w:r w:rsidR="001E231D" w:rsidRPr="003F2CE9">
        <w:t xml:space="preserve"> health projects using </w:t>
      </w:r>
      <w:r w:rsidR="00E52F9C">
        <w:t>Māori</w:t>
      </w:r>
      <w:r w:rsidR="001E231D" w:rsidRPr="003F2CE9">
        <w:t xml:space="preserve"> criteria will present problems to most health bodies and researchers who lack adequate understanding of </w:t>
      </w:r>
      <w:proofErr w:type="spellStart"/>
      <w:r w:rsidR="001E231D" w:rsidRPr="003F2CE9">
        <w:t>whenua</w:t>
      </w:r>
      <w:proofErr w:type="spellEnd"/>
      <w:r w:rsidR="001E231D" w:rsidRPr="003F2CE9">
        <w:t xml:space="preserve">, </w:t>
      </w:r>
      <w:proofErr w:type="spellStart"/>
      <w:r w:rsidR="001E231D" w:rsidRPr="003F2CE9">
        <w:t>whanaungatanga</w:t>
      </w:r>
      <w:proofErr w:type="spellEnd"/>
      <w:r w:rsidR="001E231D" w:rsidRPr="003F2CE9">
        <w:t xml:space="preserve"> and </w:t>
      </w:r>
      <w:proofErr w:type="spellStart"/>
      <w:r w:rsidR="001E231D" w:rsidRPr="003F2CE9">
        <w:t>mauri</w:t>
      </w:r>
      <w:proofErr w:type="spellEnd"/>
      <w:r w:rsidR="001E231D" w:rsidRPr="003F2CE9">
        <w:t>.</w:t>
      </w:r>
      <w:r w:rsidR="00F32742">
        <w:t xml:space="preserve"> </w:t>
      </w:r>
      <w:r w:rsidR="001E231D" w:rsidRPr="003F2CE9">
        <w:t xml:space="preserve">It will fall to </w:t>
      </w:r>
      <w:r w:rsidR="00E52F9C">
        <w:t>Māori</w:t>
      </w:r>
      <w:r w:rsidR="001E231D" w:rsidRPr="003F2CE9">
        <w:t xml:space="preserve"> authorities to determine whether a given project has relevance to </w:t>
      </w:r>
      <w:r w:rsidR="00E52F9C">
        <w:t>Māori</w:t>
      </w:r>
      <w:r w:rsidR="001E231D" w:rsidRPr="003F2CE9">
        <w:t xml:space="preserve"> people.</w:t>
      </w:r>
      <w:r w:rsidR="00F32742">
        <w:t xml:space="preserve"> </w:t>
      </w:r>
      <w:r w:rsidR="001E231D" w:rsidRPr="003F2CE9">
        <w:t>How does it relate to the land?</w:t>
      </w:r>
      <w:r w:rsidR="00F32742">
        <w:t xml:space="preserve"> </w:t>
      </w:r>
      <w:r w:rsidR="001E231D" w:rsidRPr="003F2CE9">
        <w:t xml:space="preserve">Does it strengthen </w:t>
      </w:r>
      <w:proofErr w:type="spellStart"/>
      <w:r w:rsidR="001E231D" w:rsidRPr="003F2CE9">
        <w:t>whanaungatanga</w:t>
      </w:r>
      <w:proofErr w:type="spellEnd"/>
      <w:r w:rsidR="001E231D" w:rsidRPr="003F2CE9">
        <w:t>?</w:t>
      </w:r>
      <w:r w:rsidR="00F32742">
        <w:t xml:space="preserve"> </w:t>
      </w:r>
      <w:r w:rsidR="001E231D" w:rsidRPr="003F2CE9">
        <w:t xml:space="preserve">Will it nurture the </w:t>
      </w:r>
      <w:proofErr w:type="spellStart"/>
      <w:r w:rsidR="001E231D" w:rsidRPr="003F2CE9">
        <w:t>mauri</w:t>
      </w:r>
      <w:proofErr w:type="spellEnd"/>
      <w:r w:rsidR="001E231D" w:rsidRPr="003F2CE9">
        <w:t>?</w:t>
      </w:r>
      <w:r w:rsidR="00F32742">
        <w:t xml:space="preserve"> </w:t>
      </w:r>
      <w:r w:rsidR="001E231D" w:rsidRPr="003F2CE9">
        <w:t>There are many factors that can be used to gauge the effectiveness and value of a community health project.</w:t>
      </w:r>
      <w:r w:rsidR="00F32742">
        <w:t xml:space="preserve"> </w:t>
      </w:r>
      <w:r w:rsidR="001E231D" w:rsidRPr="003F2CE9">
        <w:t xml:space="preserve">If the project purports to be relevant to </w:t>
      </w:r>
      <w:r w:rsidR="00E52F9C">
        <w:t>Māori</w:t>
      </w:r>
      <w:r w:rsidR="001E231D" w:rsidRPr="003F2CE9">
        <w:t xml:space="preserve"> people, then </w:t>
      </w:r>
      <w:r w:rsidR="00E52F9C">
        <w:t>Māori</w:t>
      </w:r>
      <w:r w:rsidR="001E231D" w:rsidRPr="003F2CE9">
        <w:t xml:space="preserve"> criteria must be used. (</w:t>
      </w:r>
      <w:proofErr w:type="spellStart"/>
      <w:r w:rsidR="001E231D" w:rsidRPr="003F2CE9">
        <w:t>Durie</w:t>
      </w:r>
      <w:proofErr w:type="spellEnd"/>
      <w:r w:rsidR="001E231D" w:rsidRPr="003F2CE9">
        <w:t xml:space="preserve"> 1985) </w:t>
      </w:r>
    </w:p>
    <w:p w:rsidR="001E231D" w:rsidRPr="003F2CE9" w:rsidRDefault="001E231D" w:rsidP="000D0624">
      <w:pPr>
        <w:pStyle w:val="BodyText"/>
      </w:pPr>
      <w:r w:rsidRPr="003F2CE9">
        <w:t xml:space="preserve">However, there are difficulties </w:t>
      </w:r>
      <w:r w:rsidR="00F24649">
        <w:t xml:space="preserve">in </w:t>
      </w:r>
      <w:r w:rsidRPr="003F2CE9">
        <w:t xml:space="preserve">determining what </w:t>
      </w:r>
      <w:r w:rsidR="00E52F9C">
        <w:t>Māori</w:t>
      </w:r>
      <w:r w:rsidRPr="003F2CE9">
        <w:t xml:space="preserve"> criteria are, who defines them and how they rel</w:t>
      </w:r>
      <w:r w:rsidR="003F2CE9" w:rsidRPr="003F2CE9">
        <w:t>ate practically to the program</w:t>
      </w:r>
      <w:r w:rsidRPr="003F2CE9">
        <w:t xml:space="preserve"> that is the focus of the evaluation and to state policies and agendas. It may be that the funder is not interested or not seen as interested in less tangible aspects of a project or in </w:t>
      </w:r>
      <w:r w:rsidR="003F2CE9" w:rsidRPr="003F2CE9">
        <w:t>‘</w:t>
      </w:r>
      <w:r w:rsidRPr="003F2CE9">
        <w:t>evidence</w:t>
      </w:r>
      <w:r w:rsidR="003F2CE9" w:rsidRPr="003F2CE9">
        <w:t>’</w:t>
      </w:r>
      <w:r w:rsidRPr="003F2CE9">
        <w:t xml:space="preserve"> that is outside their knowledge system. Ministries may also be reporting </w:t>
      </w:r>
      <w:r w:rsidRPr="003F2CE9">
        <w:lastRenderedPageBreak/>
        <w:t>to ministers with different agendas and who want brief, succinct evidence of effectiveness with a perceived degree of certainty rather than complexity. However, if no attempt is made to present these aspects then the richness of what has happened will be invisible (</w:t>
      </w:r>
      <w:proofErr w:type="spellStart"/>
      <w:r w:rsidRPr="003F2CE9">
        <w:t>Moewaka</w:t>
      </w:r>
      <w:proofErr w:type="spellEnd"/>
      <w:r w:rsidRPr="003F2CE9">
        <w:t xml:space="preserve"> Barnes 2000). The funders and others will not have the opportunity to consider these factors or to see them as valid approaches and </w:t>
      </w:r>
      <w:r w:rsidR="00E52F9C">
        <w:t>Māori</w:t>
      </w:r>
      <w:r w:rsidRPr="003F2CE9">
        <w:t xml:space="preserve"> will not have the opportunity to build evidence.</w:t>
      </w:r>
    </w:p>
    <w:p w:rsidR="001E231D" w:rsidRPr="003F2CE9" w:rsidRDefault="001E231D" w:rsidP="000D0624">
      <w:pPr>
        <w:pStyle w:val="BodyText"/>
      </w:pPr>
      <w:r w:rsidRPr="003F2CE9">
        <w:t>Evaluation enables strategies to be tested in a planned way and can, over time, build new knowledge about what may or may not work and under what conditions. The issue of what constitutes evidence is complex: different groups and individuals operate within different world</w:t>
      </w:r>
      <w:r w:rsidR="00806874">
        <w:t xml:space="preserve"> </w:t>
      </w:r>
      <w:r w:rsidRPr="003F2CE9">
        <w:t>views and with differing values, needs and agendas all contributing to what constitutes evidence. Rather t</w:t>
      </w:r>
      <w:r w:rsidR="003F2CE9" w:rsidRPr="003F2CE9">
        <w:t>han trying to describe program</w:t>
      </w:r>
      <w:r w:rsidRPr="003F2CE9">
        <w:t>s in terms that are accepted and largely legitimated in non-</w:t>
      </w:r>
      <w:r w:rsidR="00E52F9C">
        <w:t>Māori</w:t>
      </w:r>
      <w:r w:rsidRPr="003F2CE9">
        <w:t xml:space="preserve"> research, evaluations within a </w:t>
      </w:r>
      <w:r w:rsidR="00E52F9C">
        <w:t>Māori</w:t>
      </w:r>
      <w:r w:rsidRPr="003F2CE9">
        <w:t xml:space="preserve"> world</w:t>
      </w:r>
      <w:r w:rsidR="00806874">
        <w:t xml:space="preserve"> </w:t>
      </w:r>
      <w:r w:rsidRPr="003F2CE9">
        <w:t>view might, f</w:t>
      </w:r>
      <w:r w:rsidR="003F2CE9" w:rsidRPr="003F2CE9">
        <w:t>or example, show how a program</w:t>
      </w:r>
      <w:r w:rsidRPr="003F2CE9">
        <w:t xml:space="preserve"> led to strengthening marae (gathering places based on </w:t>
      </w:r>
      <w:r w:rsidR="00E52F9C">
        <w:t>Māori</w:t>
      </w:r>
      <w:r w:rsidRPr="003F2CE9">
        <w:t xml:space="preserve"> infrastructures and protocols) and </w:t>
      </w:r>
      <w:proofErr w:type="spellStart"/>
      <w:r w:rsidRPr="003F2CE9">
        <w:t>iwi</w:t>
      </w:r>
      <w:proofErr w:type="spellEnd"/>
      <w:r w:rsidRPr="003F2CE9">
        <w:t xml:space="preserve"> structures and why this is evidence of effectiveness (</w:t>
      </w:r>
      <w:proofErr w:type="spellStart"/>
      <w:r w:rsidRPr="003F2CE9">
        <w:t>Moewaka</w:t>
      </w:r>
      <w:proofErr w:type="spellEnd"/>
      <w:r w:rsidRPr="003F2CE9">
        <w:t xml:space="preserve"> Barnes et al. 1998). Usually, it is necessary to demonstrate effectiveness across a range of criteria or to show how </w:t>
      </w:r>
      <w:r w:rsidR="00E52F9C">
        <w:t>Māori</w:t>
      </w:r>
      <w:r w:rsidRPr="003F2CE9">
        <w:t xml:space="preserve"> world</w:t>
      </w:r>
      <w:r w:rsidR="00806874">
        <w:t xml:space="preserve"> </w:t>
      </w:r>
      <w:r w:rsidRPr="003F2CE9">
        <w:t xml:space="preserve">views might link to other more accepted forms of evidence. In the above example this can be done by linking marae and </w:t>
      </w:r>
      <w:proofErr w:type="spellStart"/>
      <w:r w:rsidRPr="003F2CE9">
        <w:t>iwi</w:t>
      </w:r>
      <w:proofErr w:type="spellEnd"/>
      <w:r w:rsidRPr="003F2CE9">
        <w:t xml:space="preserve"> structures to notions of capacity building and community development. The difficulty here is about what gets lost in translation; evidence in non-</w:t>
      </w:r>
      <w:r w:rsidR="00E52F9C">
        <w:t>Māori</w:t>
      </w:r>
      <w:r w:rsidRPr="003F2CE9">
        <w:t xml:space="preserve"> terms does not encompass the full depth and understanding of </w:t>
      </w:r>
      <w:r w:rsidR="00E52F9C">
        <w:t>Māori</w:t>
      </w:r>
      <w:r w:rsidRPr="003F2CE9">
        <w:t xml:space="preserve"> evidence when it is taken out of a </w:t>
      </w:r>
      <w:r w:rsidR="00E52F9C">
        <w:t>Māori</w:t>
      </w:r>
      <w:r w:rsidRPr="003F2CE9">
        <w:t xml:space="preserve"> world</w:t>
      </w:r>
      <w:r w:rsidR="00806874">
        <w:t xml:space="preserve"> </w:t>
      </w:r>
      <w:r w:rsidRPr="003F2CE9">
        <w:t>view and context.</w:t>
      </w:r>
    </w:p>
    <w:p w:rsidR="001E231D" w:rsidRPr="003F2CE9" w:rsidRDefault="001E231D" w:rsidP="000D0624">
      <w:pPr>
        <w:pStyle w:val="BodyText"/>
      </w:pPr>
      <w:r w:rsidRPr="003F2CE9">
        <w:t>In the research and evaluation field published literature holds a higher level of legitimacy than non-peer reviewed outputs. Although an important quality control mechanism (</w:t>
      </w:r>
      <w:proofErr w:type="spellStart"/>
      <w:r w:rsidRPr="003F2CE9">
        <w:t>Gluckman</w:t>
      </w:r>
      <w:proofErr w:type="spellEnd"/>
      <w:r w:rsidRPr="003F2CE9">
        <w:t xml:space="preserve"> 2011), this may put </w:t>
      </w:r>
      <w:r w:rsidR="00E52F9C">
        <w:t>Māori</w:t>
      </w:r>
      <w:r w:rsidRPr="003F2CE9">
        <w:t xml:space="preserve"> and other </w:t>
      </w:r>
      <w:r w:rsidR="00F24649" w:rsidRPr="003F2CE9">
        <w:t xml:space="preserve">Indigenous </w:t>
      </w:r>
      <w:r w:rsidRPr="003F2CE9">
        <w:t xml:space="preserve">groups at a disadvantage in terms of contributing to building and sharing evidence. </w:t>
      </w:r>
    </w:p>
    <w:p w:rsidR="001E231D" w:rsidRPr="003F2CE9" w:rsidRDefault="001E231D" w:rsidP="000D0624">
      <w:pPr>
        <w:pStyle w:val="Quote"/>
        <w:rPr>
          <w:i/>
        </w:rPr>
      </w:pPr>
      <w:r w:rsidRPr="003F2CE9">
        <w:t xml:space="preserve">Māori were busy doing evaluation and had little time or inclination to write about what we were doing, for an academic audience </w:t>
      </w:r>
      <w:r w:rsidR="003F2CE9" w:rsidRPr="003F2CE9">
        <w:rPr>
          <w:lang w:eastAsia="en-NZ"/>
        </w:rPr>
        <w:t>—</w:t>
      </w:r>
      <w:r w:rsidRPr="003F2CE9">
        <w:t xml:space="preserve"> and writing for that audience is what creates legitimacy in the academy. (Kerr-Brown 2011, </w:t>
      </w:r>
      <w:r w:rsidR="00F24649">
        <w:t xml:space="preserve">p. </w:t>
      </w:r>
      <w:r w:rsidRPr="003F2CE9">
        <w:t>16)</w:t>
      </w:r>
    </w:p>
    <w:p w:rsidR="001E231D" w:rsidRPr="003F2CE9" w:rsidRDefault="001E231D" w:rsidP="000D0624">
      <w:pPr>
        <w:pStyle w:val="BodyText"/>
      </w:pPr>
      <w:r w:rsidRPr="003F2CE9">
        <w:t xml:space="preserve">An explicit aim of a number of evaluations is to build </w:t>
      </w:r>
      <w:r w:rsidR="003F2CE9" w:rsidRPr="003F2CE9">
        <w:t>‘</w:t>
      </w:r>
      <w:r w:rsidRPr="003F2CE9">
        <w:t>the evidence base and academic credibility of research and evaluation approaches that fully involve Māori communities in evaluating service provision and generating ideas for improvement</w:t>
      </w:r>
      <w:r w:rsidR="003F2CE9" w:rsidRPr="003F2CE9">
        <w:t>’</w:t>
      </w:r>
      <w:r w:rsidRPr="003F2CE9">
        <w:t xml:space="preserve"> (Kerr-Brown 2011, </w:t>
      </w:r>
      <w:r w:rsidR="00F24649">
        <w:t xml:space="preserve">p. </w:t>
      </w:r>
      <w:r w:rsidRPr="003F2CE9">
        <w:t>81). This may involve activities outside refereed journal publications, including meetings with providers, funders, communities and other stakeholders as well as written reports and presentations for various audiences. However, peer</w:t>
      </w:r>
      <w:r w:rsidR="00F24649">
        <w:t>-</w:t>
      </w:r>
      <w:r w:rsidRPr="003F2CE9">
        <w:t>reviewed papers reach further audiences, offer opportunities for international dialogue and are a key way of providing legitimacy for evaluation approaches and findings. They are also one avenue for influencing policy decisions; however, influencing policy through evidence is not a straightforward matter.</w:t>
      </w:r>
    </w:p>
    <w:p w:rsidR="001E231D" w:rsidRPr="003F2CE9" w:rsidRDefault="00293AC1" w:rsidP="001E231D">
      <w:pPr>
        <w:pStyle w:val="Heading2"/>
      </w:pPr>
      <w:bookmarkStart w:id="21" w:name="_Toc341182890"/>
      <w:r>
        <w:lastRenderedPageBreak/>
        <w:t>10.4</w:t>
      </w:r>
      <w:r w:rsidR="001E231D" w:rsidRPr="003F2CE9">
        <w:tab/>
        <w:t>Influencing policy</w:t>
      </w:r>
      <w:bookmarkEnd w:id="21"/>
    </w:p>
    <w:p w:rsidR="001E231D" w:rsidRPr="003F2CE9" w:rsidRDefault="001E231D" w:rsidP="000D0624">
      <w:pPr>
        <w:pStyle w:val="BodyText"/>
      </w:pPr>
      <w:r w:rsidRPr="003F2CE9">
        <w:t>The rapid rate of policy change can leave policy analysts with limited time to access evidence and for evaluators to contribute to policy and the implementation of policy (</w:t>
      </w:r>
      <w:proofErr w:type="spellStart"/>
      <w:r w:rsidRPr="003F2CE9">
        <w:t>Nunns</w:t>
      </w:r>
      <w:proofErr w:type="spellEnd"/>
      <w:r w:rsidRPr="003F2CE9">
        <w:t xml:space="preserve"> 2009). </w:t>
      </w:r>
      <w:proofErr w:type="spellStart"/>
      <w:r w:rsidRPr="003F2CE9">
        <w:t>Gauld</w:t>
      </w:r>
      <w:proofErr w:type="spellEnd"/>
      <w:r w:rsidRPr="003F2CE9">
        <w:t xml:space="preserve"> (2003) describes the parliamentary system in New Zealand as facilitating </w:t>
      </w:r>
      <w:r w:rsidR="003F2CE9" w:rsidRPr="003F2CE9">
        <w:t>‘</w:t>
      </w:r>
      <w:r w:rsidRPr="003F2CE9">
        <w:t>fast law</w:t>
      </w:r>
      <w:r w:rsidR="003F2CE9" w:rsidRPr="003F2CE9">
        <w:t>’</w:t>
      </w:r>
      <w:r w:rsidRPr="003F2CE9">
        <w:t xml:space="preserve">. Combined with an adversarial, </w:t>
      </w:r>
      <w:r w:rsidR="00F24649">
        <w:t>three-</w:t>
      </w:r>
      <w:r w:rsidRPr="003F2CE9">
        <w:t>year electoral cycle</w:t>
      </w:r>
      <w:r w:rsidR="00F24649">
        <w:t>,</w:t>
      </w:r>
      <w:r w:rsidRPr="003F2CE9">
        <w:t xml:space="preserve"> this </w:t>
      </w:r>
      <w:r w:rsidR="003F2CE9" w:rsidRPr="003F2CE9">
        <w:t>‘</w:t>
      </w:r>
      <w:r w:rsidRPr="003F2CE9">
        <w:t>means policy is often driven by party ideology rather than evidence or demonstrated need</w:t>
      </w:r>
      <w:r w:rsidR="003F2CE9" w:rsidRPr="003F2CE9">
        <w:t>’</w:t>
      </w:r>
      <w:r w:rsidRPr="003F2CE9">
        <w:t xml:space="preserve"> (</w:t>
      </w:r>
      <w:proofErr w:type="spellStart"/>
      <w:r w:rsidRPr="003F2CE9">
        <w:t>Gauld</w:t>
      </w:r>
      <w:proofErr w:type="spellEnd"/>
      <w:r w:rsidRPr="003F2CE9">
        <w:t xml:space="preserve"> 2003, </w:t>
      </w:r>
      <w:r w:rsidR="00F24649">
        <w:t xml:space="preserve">p. </w:t>
      </w:r>
      <w:r w:rsidRPr="003F2CE9">
        <w:t>202). In addition, mismatches between electoral and budgetary cycles may impact on</w:t>
      </w:r>
      <w:r w:rsidR="003F2CE9" w:rsidRPr="003F2CE9">
        <w:t xml:space="preserve"> the ability to secure program</w:t>
      </w:r>
      <w:r w:rsidRPr="003F2CE9">
        <w:t xml:space="preserve"> funding (</w:t>
      </w:r>
      <w:proofErr w:type="spellStart"/>
      <w:r w:rsidRPr="003F2CE9">
        <w:t>Nunns</w:t>
      </w:r>
      <w:proofErr w:type="spellEnd"/>
      <w:r w:rsidRPr="003F2CE9">
        <w:t xml:space="preserve"> 2009). </w:t>
      </w:r>
    </w:p>
    <w:p w:rsidR="001E231D" w:rsidRPr="003F2CE9" w:rsidRDefault="001E231D" w:rsidP="000D0624">
      <w:pPr>
        <w:pStyle w:val="BodyText"/>
      </w:pPr>
      <w:r w:rsidRPr="003F2CE9">
        <w:t xml:space="preserve">Evaluation findings can be overshadowed by more immediate demands (State Services Commission 1999). </w:t>
      </w:r>
      <w:proofErr w:type="spellStart"/>
      <w:r w:rsidRPr="003F2CE9">
        <w:t>Catalinac</w:t>
      </w:r>
      <w:proofErr w:type="spellEnd"/>
      <w:r w:rsidRPr="003F2CE9">
        <w:t xml:space="preserve"> (2004, </w:t>
      </w:r>
      <w:r w:rsidR="00F24649">
        <w:t xml:space="preserve">p. </w:t>
      </w:r>
      <w:r w:rsidRPr="003F2CE9">
        <w:t xml:space="preserve">6) suggests that the </w:t>
      </w:r>
      <w:r w:rsidR="003F2CE9" w:rsidRPr="003F2CE9">
        <w:t>‘</w:t>
      </w:r>
      <w:r w:rsidRPr="003F2CE9">
        <w:t>prominence of an item on the agenda</w:t>
      </w:r>
      <w:r w:rsidR="003F2CE9" w:rsidRPr="003F2CE9">
        <w:t>’</w:t>
      </w:r>
      <w:r w:rsidRPr="003F2CE9">
        <w:t xml:space="preserve"> is influenced by the government</w:t>
      </w:r>
      <w:r w:rsidR="003F2CE9" w:rsidRPr="003F2CE9">
        <w:t>’</w:t>
      </w:r>
      <w:r w:rsidRPr="003F2CE9">
        <w:t xml:space="preserve">s political climate and public receptivity. </w:t>
      </w:r>
      <w:proofErr w:type="spellStart"/>
      <w:r w:rsidRPr="003F2CE9">
        <w:t>Kingdon</w:t>
      </w:r>
      <w:proofErr w:type="spellEnd"/>
      <w:r w:rsidRPr="003F2CE9">
        <w:t xml:space="preserve"> (cited in </w:t>
      </w:r>
      <w:proofErr w:type="spellStart"/>
      <w:r w:rsidRPr="003F2CE9">
        <w:t>Catalinac</w:t>
      </w:r>
      <w:proofErr w:type="spellEnd"/>
      <w:r w:rsidRPr="003F2CE9">
        <w:t xml:space="preserve"> 2004) found that academic specialists are more hidden than visible and, as such, tend to have a role in the process of generating alternatives and narrowing down options, rather than in setting government agendas. </w:t>
      </w:r>
    </w:p>
    <w:p w:rsidR="001E231D" w:rsidRPr="003F2CE9" w:rsidRDefault="001E231D" w:rsidP="000D0624">
      <w:pPr>
        <w:pStyle w:val="BodyText"/>
      </w:pPr>
      <w:r w:rsidRPr="003F2CE9">
        <w:t>Single loop models portraying relationships between policy and evaluation as cyclical, fail to grapple with the complex and multiple ways that evaluation can interact with policy (</w:t>
      </w:r>
      <w:proofErr w:type="spellStart"/>
      <w:r w:rsidRPr="003F2CE9">
        <w:t>Gluckman</w:t>
      </w:r>
      <w:proofErr w:type="spellEnd"/>
      <w:r w:rsidRPr="003F2CE9">
        <w:t xml:space="preserve"> 2011) and w</w:t>
      </w:r>
      <w:r w:rsidR="003F2CE9" w:rsidRPr="003F2CE9">
        <w:t>ith program</w:t>
      </w:r>
      <w:r w:rsidRPr="003F2CE9">
        <w:t xml:space="preserve"> design and delivery (</w:t>
      </w:r>
      <w:proofErr w:type="spellStart"/>
      <w:r w:rsidRPr="003F2CE9">
        <w:t>McKegg</w:t>
      </w:r>
      <w:proofErr w:type="spellEnd"/>
      <w:r w:rsidRPr="003F2CE9">
        <w:t xml:space="preserve">, cited in </w:t>
      </w:r>
      <w:proofErr w:type="spellStart"/>
      <w:r w:rsidRPr="003F2CE9">
        <w:t>Nunns</w:t>
      </w:r>
      <w:proofErr w:type="spellEnd"/>
      <w:r w:rsidRPr="003F2CE9">
        <w:t xml:space="preserve"> 2009). Although a </w:t>
      </w:r>
      <w:proofErr w:type="spellStart"/>
      <w:r w:rsidRPr="003F2CE9">
        <w:t>decisionist</w:t>
      </w:r>
      <w:proofErr w:type="spellEnd"/>
      <w:r w:rsidRPr="003F2CE9">
        <w:t xml:space="preserve"> model acknowledges that science can assist with implementation processes, the ability to inform a range of policy options is largely ignored (</w:t>
      </w:r>
      <w:proofErr w:type="spellStart"/>
      <w:r w:rsidRPr="003F2CE9">
        <w:t>Gluckman</w:t>
      </w:r>
      <w:proofErr w:type="spellEnd"/>
      <w:r w:rsidRPr="003F2CE9">
        <w:t xml:space="preserve"> 2011). The technocratic model is </w:t>
      </w:r>
      <w:r w:rsidR="00F24649">
        <w:t xml:space="preserve">a </w:t>
      </w:r>
      <w:r w:rsidRPr="003F2CE9">
        <w:t xml:space="preserve">more linear approach, with evidence determining policy goals; strategies are then </w:t>
      </w:r>
      <w:r w:rsidR="007714BB" w:rsidRPr="00B609F5">
        <w:t xml:space="preserve">devised based on public acceptability. Both rely on trust in science, the belief that it produces facts and the separation of advice and policy </w:t>
      </w:r>
      <w:proofErr w:type="spellStart"/>
      <w:r w:rsidR="007714BB" w:rsidRPr="00B609F5">
        <w:t>judgement</w:t>
      </w:r>
      <w:proofErr w:type="spellEnd"/>
      <w:r w:rsidR="007714BB" w:rsidRPr="00B609F5">
        <w:t xml:space="preserve">. </w:t>
      </w:r>
      <w:proofErr w:type="spellStart"/>
      <w:r w:rsidR="007714BB" w:rsidRPr="00B609F5">
        <w:t>Gluckman</w:t>
      </w:r>
      <w:proofErr w:type="spellEnd"/>
      <w:r w:rsidR="007714BB" w:rsidRPr="00B609F5">
        <w:t xml:space="preserve"> </w:t>
      </w:r>
      <w:r w:rsidR="003C2DD4" w:rsidRPr="006A46BC">
        <w:t>(</w:t>
      </w:r>
      <w:r w:rsidR="002C7707" w:rsidRPr="002C7707">
        <w:t xml:space="preserve">2011) argues that there has been an increase in working more iteratively — the ‘co-production’ model </w:t>
      </w:r>
      <w:r w:rsidR="000415C6" w:rsidRPr="000415C6">
        <w:rPr>
          <w:lang w:eastAsia="en-NZ"/>
        </w:rPr>
        <w:t>—</w:t>
      </w:r>
      <w:r w:rsidR="000415C6" w:rsidRPr="000415C6">
        <w:t xml:space="preserve"> with a move to more negotiated relationships between policy</w:t>
      </w:r>
      <w:r w:rsidR="000963CD">
        <w:t xml:space="preserve"> </w:t>
      </w:r>
      <w:r w:rsidR="000415C6" w:rsidRPr="000415C6">
        <w:t>makers, advisors and society. However, the history of policy</w:t>
      </w:r>
      <w:r w:rsidR="000963CD">
        <w:t xml:space="preserve"> </w:t>
      </w:r>
      <w:r w:rsidR="000415C6" w:rsidRPr="000415C6">
        <w:t>making, including recent history, suggests that all three models and variations operate at different times and in different ways; for example, it could be argued that the turnaround on C</w:t>
      </w:r>
      <w:r w:rsidR="0023012D" w:rsidRPr="0023012D">
        <w:t>losing the Gaps was about political ideology and perceptions of public acceptability rather than scientific advice. At other times political ideology may drive policy, sometimes finding itself</w:t>
      </w:r>
      <w:r w:rsidRPr="003F2CE9">
        <w:t xml:space="preserve"> stalled by public opposition.</w:t>
      </w:r>
    </w:p>
    <w:p w:rsidR="001E231D" w:rsidRPr="003F2CE9" w:rsidRDefault="001E231D" w:rsidP="000D0624">
      <w:pPr>
        <w:pStyle w:val="BodyText"/>
      </w:pPr>
      <w:r w:rsidRPr="003F2CE9">
        <w:t xml:space="preserve">Although the Treaty of Waitangi and related </w:t>
      </w:r>
      <w:r w:rsidR="00E52F9C">
        <w:t>Māori</w:t>
      </w:r>
      <w:r w:rsidRPr="003F2CE9">
        <w:t xml:space="preserve"> rights are central to public policy, considerable shifts occur with changing national and international climates. </w:t>
      </w:r>
      <w:r w:rsidR="00E52F9C">
        <w:t>Māori</w:t>
      </w:r>
      <w:r w:rsidR="003F2CE9" w:rsidRPr="003F2CE9">
        <w:t>–</w:t>
      </w:r>
      <w:r w:rsidRPr="003F2CE9">
        <w:t>Crown relationships are subject to political will (</w:t>
      </w:r>
      <w:proofErr w:type="spellStart"/>
      <w:r w:rsidRPr="003F2CE9">
        <w:t>Maaka</w:t>
      </w:r>
      <w:proofErr w:type="spellEnd"/>
      <w:r w:rsidRPr="003F2CE9">
        <w:t xml:space="preserve"> and </w:t>
      </w:r>
      <w:proofErr w:type="spellStart"/>
      <w:r w:rsidRPr="003F2CE9">
        <w:t>Fleras</w:t>
      </w:r>
      <w:proofErr w:type="spellEnd"/>
      <w:r w:rsidRPr="003F2CE9">
        <w:t>, cited in O</w:t>
      </w:r>
      <w:r w:rsidR="003F2CE9" w:rsidRPr="003F2CE9">
        <w:t>’</w:t>
      </w:r>
      <w:r w:rsidRPr="003F2CE9">
        <w:t xml:space="preserve">Sullivan 2008), perceptions of international scrutiny and </w:t>
      </w:r>
      <w:r w:rsidR="00B609F5" w:rsidRPr="003F2CE9">
        <w:t xml:space="preserve">Indigenous </w:t>
      </w:r>
      <w:r w:rsidRPr="003F2CE9">
        <w:t>people</w:t>
      </w:r>
      <w:r w:rsidR="003F2CE9" w:rsidRPr="003F2CE9">
        <w:t>’</w:t>
      </w:r>
      <w:r w:rsidRPr="003F2CE9">
        <w:t xml:space="preserve">s movements, including international </w:t>
      </w:r>
      <w:proofErr w:type="spellStart"/>
      <w:r w:rsidRPr="003F2CE9">
        <w:t>learnings</w:t>
      </w:r>
      <w:proofErr w:type="spellEnd"/>
      <w:r w:rsidRPr="003F2CE9">
        <w:t xml:space="preserve"> and linkages (Lightfoot 2010). </w:t>
      </w:r>
      <w:proofErr w:type="spellStart"/>
      <w:r w:rsidRPr="003F2CE9">
        <w:lastRenderedPageBreak/>
        <w:t>Humpage</w:t>
      </w:r>
      <w:proofErr w:type="spellEnd"/>
      <w:r w:rsidRPr="003F2CE9">
        <w:t xml:space="preserve"> (2005, </w:t>
      </w:r>
      <w:r w:rsidR="00B609F5">
        <w:t xml:space="preserve">p. </w:t>
      </w:r>
      <w:r w:rsidRPr="003F2CE9">
        <w:t xml:space="preserve">59) describes </w:t>
      </w:r>
      <w:r w:rsidR="003F2CE9" w:rsidRPr="003F2CE9">
        <w:t>‘</w:t>
      </w:r>
      <w:r w:rsidRPr="003F2CE9">
        <w:t>selective incorporation of indigenous thinking into policy</w:t>
      </w:r>
      <w:r w:rsidR="003F2CE9" w:rsidRPr="003F2CE9">
        <w:t>’</w:t>
      </w:r>
      <w:r w:rsidRPr="003F2CE9">
        <w:t xml:space="preserve"> and a failure to devolve decision</w:t>
      </w:r>
      <w:r w:rsidR="000963CD">
        <w:t xml:space="preserve"> </w:t>
      </w:r>
      <w:r w:rsidRPr="003F2CE9">
        <w:t xml:space="preserve">making power to enable </w:t>
      </w:r>
      <w:r w:rsidR="00E52F9C">
        <w:t>Māori</w:t>
      </w:r>
      <w:r w:rsidRPr="003F2CE9">
        <w:t xml:space="preserve"> to make decisions about </w:t>
      </w:r>
      <w:r w:rsidR="00E52F9C">
        <w:t>Māori</w:t>
      </w:r>
      <w:r w:rsidRPr="003F2CE9">
        <w:t xml:space="preserve"> communities.</w:t>
      </w:r>
    </w:p>
    <w:p w:rsidR="001E231D" w:rsidRPr="003F2CE9" w:rsidRDefault="001E231D" w:rsidP="000D0624">
      <w:pPr>
        <w:pStyle w:val="BodyText"/>
      </w:pPr>
      <w:r w:rsidRPr="003F2CE9">
        <w:t xml:space="preserve">Some suggest that a better understanding of policy processes might enable researchers to be more effective (Carroll, </w:t>
      </w:r>
      <w:proofErr w:type="spellStart"/>
      <w:r w:rsidRPr="003F2CE9">
        <w:t>Blewden</w:t>
      </w:r>
      <w:proofErr w:type="spellEnd"/>
      <w:r w:rsidRPr="003F2CE9">
        <w:t xml:space="preserve"> and Witten cited in </w:t>
      </w:r>
      <w:proofErr w:type="spellStart"/>
      <w:r w:rsidRPr="003F2CE9">
        <w:t>Moewaka</w:t>
      </w:r>
      <w:proofErr w:type="spellEnd"/>
      <w:r w:rsidRPr="003F2CE9">
        <w:t xml:space="preserve"> Barnes et al. 2011) and provide more policy relevant research (Social Sciences Reference Group 2005). However, evaluation is only one of many potential influences on policy formation</w:t>
      </w:r>
      <w:r w:rsidR="005C6B98">
        <w:t>,</w:t>
      </w:r>
      <w:r w:rsidRPr="003F2CE9">
        <w:t xml:space="preserve"> and funders, communities and providers can have different ideas of what they want from evaluation. </w:t>
      </w:r>
      <w:r w:rsidR="00E52F9C">
        <w:t>Māori</w:t>
      </w:r>
      <w:r w:rsidRPr="003F2CE9">
        <w:t xml:space="preserve"> providers may want to focus on what is needed to</w:t>
      </w:r>
      <w:r w:rsidR="003F2CE9" w:rsidRPr="003F2CE9">
        <w:t xml:space="preserve"> run the best possible program</w:t>
      </w:r>
      <w:r w:rsidRPr="003F2CE9">
        <w:t xml:space="preserve">, while funders may want to know if they received value for money and if they are purchasing the best strategies. </w:t>
      </w:r>
      <w:r w:rsidR="00E52F9C">
        <w:t>Māori</w:t>
      </w:r>
      <w:r w:rsidRPr="003F2CE9">
        <w:t xml:space="preserve"> may also want to influence agendas rather than provide information that meets identified needs in relation to others</w:t>
      </w:r>
      <w:r w:rsidR="003F2CE9" w:rsidRPr="003F2CE9">
        <w:t>’</w:t>
      </w:r>
      <w:r w:rsidRPr="003F2CE9">
        <w:t xml:space="preserve"> agendas (</w:t>
      </w:r>
      <w:proofErr w:type="spellStart"/>
      <w:r w:rsidRPr="003F2CE9">
        <w:t>Moewaka</w:t>
      </w:r>
      <w:proofErr w:type="spellEnd"/>
      <w:r w:rsidRPr="003F2CE9">
        <w:t xml:space="preserve"> Barnes et al. 2011). If the evaluators cannot negotiate these expectations at the outset, the evaluation runs the risk of not meeting the funder</w:t>
      </w:r>
      <w:r w:rsidR="003F2CE9" w:rsidRPr="003F2CE9">
        <w:t>’</w:t>
      </w:r>
      <w:r w:rsidRPr="003F2CE9">
        <w:t>s requirements or the findings</w:t>
      </w:r>
      <w:r w:rsidR="003F2CE9" w:rsidRPr="003F2CE9">
        <w:t xml:space="preserve"> being rejected by the program</w:t>
      </w:r>
      <w:r w:rsidRPr="003F2CE9">
        <w:t xml:space="preserve"> provider. It is therefore important to understand and address different agendas and information needs, while still maintaining the feasibility and credibility of the evaluation.</w:t>
      </w:r>
    </w:p>
    <w:p w:rsidR="001E231D" w:rsidRPr="003F2CE9" w:rsidRDefault="001E231D" w:rsidP="000D0624">
      <w:pPr>
        <w:pStyle w:val="BodyText"/>
      </w:pPr>
      <w:r w:rsidRPr="003F2CE9">
        <w:t>Social impact evaluations can be politically embarrassing (State Services Commission 1999); the findings may not be politically palatable or may point to a lack of success. For a range of reasons, n</w:t>
      </w:r>
      <w:r w:rsidR="003F2CE9" w:rsidRPr="003F2CE9">
        <w:t>ot all program</w:t>
      </w:r>
      <w:r w:rsidRPr="003F2CE9">
        <w:t>s demonstrate effectiveness, from i</w:t>
      </w:r>
      <w:r w:rsidR="003F2CE9" w:rsidRPr="003F2CE9">
        <w:t>nitial assumptions the program</w:t>
      </w:r>
      <w:r w:rsidRPr="003F2CE9">
        <w:t xml:space="preserve"> is based on, to resourcing, design, implementation and</w:t>
      </w:r>
      <w:r w:rsidR="003F2CE9" w:rsidRPr="003F2CE9">
        <w:t xml:space="preserve"> what happens when the program</w:t>
      </w:r>
      <w:r w:rsidRPr="003F2CE9">
        <w:t xml:space="preserve"> competes with complex and entrenched issues. As </w:t>
      </w:r>
      <w:proofErr w:type="spellStart"/>
      <w:r w:rsidRPr="003F2CE9">
        <w:t>Gluckman</w:t>
      </w:r>
      <w:proofErr w:type="spellEnd"/>
      <w:r w:rsidRPr="003F2CE9">
        <w:t xml:space="preserve"> (2011) argues in relation to research about society and human behaviour, evaluation in complex contexts rarely produces absolute answers. It can, however </w:t>
      </w:r>
      <w:r w:rsidR="003F2CE9" w:rsidRPr="003F2CE9">
        <w:t>‘</w:t>
      </w:r>
      <w:r w:rsidRPr="003F2CE9">
        <w:t>elucidate interactions and reduce uncertainties</w:t>
      </w:r>
      <w:r w:rsidR="003F2CE9" w:rsidRPr="003F2CE9">
        <w:t>’</w:t>
      </w:r>
      <w:r w:rsidRPr="003F2CE9">
        <w:t xml:space="preserve"> (</w:t>
      </w:r>
      <w:proofErr w:type="spellStart"/>
      <w:r w:rsidRPr="003F2CE9">
        <w:t>Gluckman</w:t>
      </w:r>
      <w:proofErr w:type="spellEnd"/>
      <w:r w:rsidRPr="003F2CE9">
        <w:t xml:space="preserve"> 2011, </w:t>
      </w:r>
      <w:r w:rsidR="00CA03D1">
        <w:t xml:space="preserve">p. </w:t>
      </w:r>
      <w:r w:rsidRPr="003F2CE9">
        <w:t>7). Evaluators need to respond to these complexities, in terms of evaluation design, processes and findings and in relationships and communication with s</w:t>
      </w:r>
      <w:r w:rsidR="003F2CE9" w:rsidRPr="003F2CE9">
        <w:t xml:space="preserve">takeholders. For </w:t>
      </w:r>
      <w:r w:rsidR="00E52F9C">
        <w:t>Māori</w:t>
      </w:r>
      <w:r w:rsidR="003F2CE9" w:rsidRPr="003F2CE9">
        <w:t xml:space="preserve"> program</w:t>
      </w:r>
      <w:r w:rsidRPr="003F2CE9">
        <w:t xml:space="preserve">s, the scrutiny related to being </w:t>
      </w:r>
      <w:r w:rsidR="00E52F9C">
        <w:t>Māori</w:t>
      </w:r>
      <w:r w:rsidRPr="003F2CE9">
        <w:t xml:space="preserve"> means that these issues can require delicate navigation.</w:t>
      </w:r>
    </w:p>
    <w:p w:rsidR="001E231D" w:rsidRPr="003F2CE9" w:rsidRDefault="001E231D" w:rsidP="000D0624">
      <w:pPr>
        <w:pStyle w:val="BodyText"/>
      </w:pPr>
      <w:r w:rsidRPr="003F2CE9">
        <w:t>An emphasis on outcomes, rather than process</w:t>
      </w:r>
      <w:r w:rsidR="00940DAA">
        <w:t>,</w:t>
      </w:r>
      <w:r w:rsidRPr="003F2CE9">
        <w:t xml:space="preserve"> can hinder collaborative relationships between government and </w:t>
      </w:r>
      <w:r w:rsidR="00E52F9C">
        <w:t>Māori</w:t>
      </w:r>
      <w:r w:rsidRPr="003F2CE9">
        <w:t xml:space="preserve"> (</w:t>
      </w:r>
      <w:proofErr w:type="spellStart"/>
      <w:r w:rsidRPr="003F2CE9">
        <w:t>Humpage</w:t>
      </w:r>
      <w:proofErr w:type="spellEnd"/>
      <w:r w:rsidRPr="003F2CE9">
        <w:t xml:space="preserve"> 2005, </w:t>
      </w:r>
      <w:r w:rsidR="00940DAA">
        <w:t xml:space="preserve">p. </w:t>
      </w:r>
      <w:r w:rsidRPr="003F2CE9">
        <w:t xml:space="preserve">61). There is also considerable reliance on reporting at the end of a contract rather than </w:t>
      </w:r>
      <w:r w:rsidR="00940DAA">
        <w:t xml:space="preserve">on </w:t>
      </w:r>
      <w:r w:rsidRPr="003F2CE9">
        <w:t>integrating ongoing advice into policy to inform future directions. This means that opportunities to apply evidence learned from one context or multiple contexts over the years are limited. Resourcing needed to do this is not always considered:</w:t>
      </w:r>
    </w:p>
    <w:p w:rsidR="001E231D" w:rsidRPr="003F2CE9" w:rsidRDefault="001E231D" w:rsidP="000D0624">
      <w:pPr>
        <w:pStyle w:val="Quote"/>
        <w:rPr>
          <w:i/>
        </w:rPr>
      </w:pPr>
      <w:r w:rsidRPr="003F2CE9">
        <w:t>There is increasing managerial resistance to informal arrangements that rely on the goodwill of scientists to meet the costs of providing advice out of local funding. (</w:t>
      </w:r>
      <w:proofErr w:type="spellStart"/>
      <w:r w:rsidRPr="003F2CE9">
        <w:t>Gluckman</w:t>
      </w:r>
      <w:proofErr w:type="spellEnd"/>
      <w:r w:rsidRPr="003F2CE9">
        <w:t xml:space="preserve"> 2011, </w:t>
      </w:r>
      <w:r w:rsidR="00940DAA">
        <w:t xml:space="preserve">p. </w:t>
      </w:r>
      <w:r w:rsidRPr="003F2CE9">
        <w:t>12)</w:t>
      </w:r>
    </w:p>
    <w:p w:rsidR="001E231D" w:rsidRPr="003F2CE9" w:rsidRDefault="001E231D" w:rsidP="000D0624">
      <w:pPr>
        <w:pStyle w:val="BodyText"/>
        <w:rPr>
          <w:lang w:eastAsia="en-NZ"/>
        </w:rPr>
      </w:pPr>
      <w:r w:rsidRPr="003F2CE9">
        <w:rPr>
          <w:lang w:eastAsia="en-NZ"/>
        </w:rPr>
        <w:lastRenderedPageBreak/>
        <w:t xml:space="preserve">For </w:t>
      </w:r>
      <w:r w:rsidR="00E52F9C">
        <w:rPr>
          <w:lang w:eastAsia="en-NZ"/>
        </w:rPr>
        <w:t>Māori</w:t>
      </w:r>
      <w:r w:rsidRPr="003F2CE9">
        <w:rPr>
          <w:lang w:eastAsia="en-NZ"/>
        </w:rPr>
        <w:t xml:space="preserve"> evaluators, strategies to inform policies at the state level do not necessarily involve direct relationships with state agencies. Providers may have their own budget and decide </w:t>
      </w:r>
      <w:r w:rsidR="00940DAA">
        <w:rPr>
          <w:lang w:eastAsia="en-NZ"/>
        </w:rPr>
        <w:t xml:space="preserve">how </w:t>
      </w:r>
      <w:r w:rsidRPr="003F2CE9">
        <w:rPr>
          <w:lang w:eastAsia="en-NZ"/>
        </w:rPr>
        <w:t>the information</w:t>
      </w:r>
      <w:r w:rsidR="00940DAA">
        <w:rPr>
          <w:lang w:eastAsia="en-NZ"/>
        </w:rPr>
        <w:t xml:space="preserve"> will be used</w:t>
      </w:r>
      <w:r w:rsidRPr="003F2CE9">
        <w:rPr>
          <w:lang w:eastAsia="en-NZ"/>
        </w:rPr>
        <w:t xml:space="preserve">. Tensions about representing evaluation information in forms other than those agreed at the outset might also arise; for </w:t>
      </w:r>
      <w:r w:rsidR="00E52F9C">
        <w:rPr>
          <w:lang w:eastAsia="en-NZ"/>
        </w:rPr>
        <w:t>Māori</w:t>
      </w:r>
      <w:r w:rsidRPr="003F2CE9">
        <w:rPr>
          <w:lang w:eastAsia="en-NZ"/>
        </w:rPr>
        <w:t xml:space="preserve"> this is often tied up with issues of ownership, negative experiences and the suspicions of research and state agendas described earlier. The connections may be through working with </w:t>
      </w:r>
      <w:r w:rsidR="00E52F9C">
        <w:rPr>
          <w:lang w:eastAsia="en-NZ"/>
        </w:rPr>
        <w:t>Māori</w:t>
      </w:r>
      <w:r w:rsidRPr="003F2CE9">
        <w:rPr>
          <w:lang w:eastAsia="en-NZ"/>
        </w:rPr>
        <w:t xml:space="preserve"> organisations that have decision</w:t>
      </w:r>
      <w:r w:rsidR="00EC6E0A">
        <w:rPr>
          <w:lang w:eastAsia="en-NZ"/>
        </w:rPr>
        <w:noBreakHyphen/>
      </w:r>
      <w:r w:rsidRPr="003F2CE9">
        <w:rPr>
          <w:lang w:eastAsia="en-NZ"/>
        </w:rPr>
        <w:t>making roles and responsibilities locally as well as the ability to influence agendas at a national level (</w:t>
      </w:r>
      <w:proofErr w:type="spellStart"/>
      <w:r w:rsidRPr="003F2CE9">
        <w:rPr>
          <w:lang w:eastAsia="en-NZ"/>
        </w:rPr>
        <w:t>Moewaka</w:t>
      </w:r>
      <w:proofErr w:type="spellEnd"/>
      <w:r w:rsidRPr="003F2CE9">
        <w:rPr>
          <w:lang w:eastAsia="en-NZ"/>
        </w:rPr>
        <w:t xml:space="preserve"> Barnes et al. 2011). Working in collaboration with </w:t>
      </w:r>
      <w:r w:rsidR="00E52F9C">
        <w:rPr>
          <w:lang w:eastAsia="en-NZ"/>
        </w:rPr>
        <w:t>Māori</w:t>
      </w:r>
      <w:r w:rsidRPr="003F2CE9">
        <w:rPr>
          <w:lang w:eastAsia="en-NZ"/>
        </w:rPr>
        <w:t xml:space="preserve"> providers, communities and other stakeholders can impact on the acceptability and promotion of particular policies and strategies and contribute to the capability and drive of these groups to input into policies at local and national levels.</w:t>
      </w:r>
    </w:p>
    <w:p w:rsidR="001E231D" w:rsidRPr="003F2CE9" w:rsidRDefault="001E231D" w:rsidP="000D0624">
      <w:pPr>
        <w:pStyle w:val="BodyText"/>
      </w:pPr>
      <w:r w:rsidRPr="003F2CE9">
        <w:t xml:space="preserve">Describing state points of contact as unclear, a lack of consistency and difficulties in identifying and accessing the breadth of research available, </w:t>
      </w:r>
      <w:proofErr w:type="spellStart"/>
      <w:r w:rsidRPr="003F2CE9">
        <w:t>Gluckman</w:t>
      </w:r>
      <w:proofErr w:type="spellEnd"/>
      <w:r w:rsidRPr="003F2CE9">
        <w:t xml:space="preserve"> (2011) suggests that people charged with knowledge translation roles may be required in departments. He points to the </w:t>
      </w:r>
      <w:r w:rsidR="00940DAA">
        <w:t xml:space="preserve">United Kingdom </w:t>
      </w:r>
      <w:r w:rsidRPr="003F2CE9">
        <w:t xml:space="preserve">as an example of </w:t>
      </w:r>
      <w:r w:rsidR="003F2CE9" w:rsidRPr="003F2CE9">
        <w:t>‘</w:t>
      </w:r>
      <w:r w:rsidRPr="003F2CE9">
        <w:t>the most advanced use of scientific advice</w:t>
      </w:r>
      <w:r w:rsidR="003F2CE9" w:rsidRPr="003F2CE9">
        <w:t xml:space="preserve"> …</w:t>
      </w:r>
      <w:r w:rsidRPr="003F2CE9">
        <w:t xml:space="preserve"> Here in every department of State other than the Treasury there is now a Departmental Science </w:t>
      </w:r>
      <w:proofErr w:type="spellStart"/>
      <w:r w:rsidRPr="003F2CE9">
        <w:t>Advisor</w:t>
      </w:r>
      <w:proofErr w:type="spellEnd"/>
      <w:r w:rsidR="003F2CE9" w:rsidRPr="003F2CE9">
        <w:t xml:space="preserve"> … </w:t>
      </w:r>
      <w:r w:rsidRPr="003F2CE9">
        <w:t>very senior, many being Fellows of the Royal Society</w:t>
      </w:r>
      <w:r w:rsidR="003F2CE9" w:rsidRPr="003F2CE9">
        <w:t>’</w:t>
      </w:r>
      <w:r w:rsidRPr="003F2CE9">
        <w:t xml:space="preserve"> (</w:t>
      </w:r>
      <w:proofErr w:type="spellStart"/>
      <w:r w:rsidRPr="003F2CE9">
        <w:t>Gluckman</w:t>
      </w:r>
      <w:proofErr w:type="spellEnd"/>
      <w:r w:rsidRPr="003F2CE9">
        <w:t xml:space="preserve"> 2011, </w:t>
      </w:r>
      <w:r w:rsidR="00940DAA">
        <w:t xml:space="preserve">pp. </w:t>
      </w:r>
      <w:r w:rsidRPr="003F2CE9">
        <w:t>13</w:t>
      </w:r>
      <w:r w:rsidR="003F2CE9" w:rsidRPr="003F2CE9">
        <w:t>–</w:t>
      </w:r>
      <w:r w:rsidRPr="003F2CE9">
        <w:t xml:space="preserve">14). One role of the Chief Science </w:t>
      </w:r>
      <w:proofErr w:type="spellStart"/>
      <w:r w:rsidRPr="003F2CE9">
        <w:t>Advisor</w:t>
      </w:r>
      <w:proofErr w:type="spellEnd"/>
      <w:r w:rsidRPr="003F2CE9">
        <w:t xml:space="preserve"> in the </w:t>
      </w:r>
      <w:r w:rsidR="00940DAA">
        <w:t xml:space="preserve">United Kingdom </w:t>
      </w:r>
      <w:r w:rsidRPr="003F2CE9">
        <w:t xml:space="preserve">is to encourage a semi-formal </w:t>
      </w:r>
      <w:r w:rsidR="00940DAA">
        <w:t>s</w:t>
      </w:r>
      <w:r w:rsidRPr="003F2CE9">
        <w:t xml:space="preserve">cience and </w:t>
      </w:r>
      <w:r w:rsidR="00940DAA">
        <w:t>e</w:t>
      </w:r>
      <w:r w:rsidRPr="003F2CE9">
        <w:t xml:space="preserve">ngineering community within government. </w:t>
      </w:r>
      <w:proofErr w:type="spellStart"/>
      <w:r w:rsidRPr="003F2CE9">
        <w:t>Gluckman</w:t>
      </w:r>
      <w:proofErr w:type="spellEnd"/>
      <w:r w:rsidRPr="003F2CE9">
        <w:t xml:space="preserve"> (2011, </w:t>
      </w:r>
      <w:r w:rsidR="00940DAA">
        <w:t xml:space="preserve">p. </w:t>
      </w:r>
      <w:r w:rsidRPr="003F2CE9">
        <w:t xml:space="preserve">12) further argues that </w:t>
      </w:r>
      <w:r w:rsidR="003F2CE9" w:rsidRPr="003F2CE9">
        <w:t>‘</w:t>
      </w:r>
      <w:r w:rsidRPr="003F2CE9">
        <w:t xml:space="preserve">a structured community of science advisors </w:t>
      </w:r>
      <w:r w:rsidR="003F2CE9" w:rsidRPr="003F2CE9">
        <w:t xml:space="preserve">… </w:t>
      </w:r>
      <w:r w:rsidRPr="003F2CE9">
        <w:t>would create a clear point of contact</w:t>
      </w:r>
      <w:r w:rsidR="003F2CE9" w:rsidRPr="003F2CE9">
        <w:t>’</w:t>
      </w:r>
      <w:r w:rsidRPr="003F2CE9">
        <w:t xml:space="preserve"> for interactions between agencies and externally. However, there may be both benefits and drawbacks to such approaches. Knowledge transfer can assist in uptake of evidence, but it can also involve the limitation of knowledge and be subject to issues of knowledge avoidance, albeit that, as </w:t>
      </w:r>
      <w:proofErr w:type="spellStart"/>
      <w:r w:rsidRPr="003F2CE9">
        <w:t>Gluckman</w:t>
      </w:r>
      <w:proofErr w:type="spellEnd"/>
      <w:r w:rsidRPr="003F2CE9">
        <w:t xml:space="preserve"> (2011, </w:t>
      </w:r>
      <w:r w:rsidR="00940DAA">
        <w:t xml:space="preserve">p. </w:t>
      </w:r>
      <w:r w:rsidRPr="003F2CE9">
        <w:t>5) argues:</w:t>
      </w:r>
    </w:p>
    <w:p w:rsidR="001E231D" w:rsidRPr="003F2CE9" w:rsidRDefault="001E231D" w:rsidP="000D0624">
      <w:pPr>
        <w:pStyle w:val="Quote"/>
      </w:pPr>
      <w:r w:rsidRPr="003F2CE9">
        <w:t>Researchers, like all others, have their own beliefs and values; however, science has processes to minimise the ability of these human factors to bias the conclusions reached.</w:t>
      </w:r>
    </w:p>
    <w:p w:rsidR="001E231D" w:rsidRPr="003F2CE9" w:rsidRDefault="001E231D" w:rsidP="000D0624">
      <w:pPr>
        <w:pStyle w:val="BodyText"/>
      </w:pPr>
      <w:r w:rsidRPr="003F2CE9">
        <w:t xml:space="preserve">For </w:t>
      </w:r>
      <w:r w:rsidR="00E52F9C">
        <w:t>Māori</w:t>
      </w:r>
      <w:r w:rsidRPr="003F2CE9">
        <w:t>, a more structured system may mean a more closed system with less space to develop and advance diverse scientific paradigms</w:t>
      </w:r>
      <w:r w:rsidR="00940DAA">
        <w:t xml:space="preserve"> — </w:t>
      </w:r>
      <w:r w:rsidRPr="003F2CE9">
        <w:t xml:space="preserve">unless issues of diverse contexts, power and hierarchies of knowledge </w:t>
      </w:r>
      <w:r w:rsidR="00940DAA">
        <w:t xml:space="preserve">are </w:t>
      </w:r>
      <w:r w:rsidRPr="003F2CE9">
        <w:t xml:space="preserve">explicitly addressed. </w:t>
      </w:r>
    </w:p>
    <w:p w:rsidR="001E231D" w:rsidRPr="003F2CE9" w:rsidRDefault="00293AC1" w:rsidP="001E231D">
      <w:pPr>
        <w:pStyle w:val="Heading2"/>
      </w:pPr>
      <w:bookmarkStart w:id="22" w:name="_Toc341182891"/>
      <w:r>
        <w:t>10.5</w:t>
      </w:r>
      <w:r w:rsidR="001E231D" w:rsidRPr="003F2CE9">
        <w:tab/>
        <w:t>Discussion</w:t>
      </w:r>
      <w:bookmarkEnd w:id="22"/>
    </w:p>
    <w:p w:rsidR="001E231D" w:rsidRPr="003F2CE9" w:rsidRDefault="001E231D" w:rsidP="000D0624">
      <w:pPr>
        <w:pStyle w:val="BodyText"/>
      </w:pPr>
      <w:r w:rsidRPr="003F2CE9">
        <w:t>International contexts have strongly shaped Aotearoa New Zealand policy and evaluation environments; however</w:t>
      </w:r>
      <w:r w:rsidR="00940DAA">
        <w:t>,</w:t>
      </w:r>
      <w:r w:rsidRPr="003F2CE9">
        <w:t xml:space="preserve"> internal contexts such as the Treaty of Waitangi </w:t>
      </w:r>
      <w:r w:rsidRPr="003F2CE9">
        <w:lastRenderedPageBreak/>
        <w:t xml:space="preserve">and the development of partnership, </w:t>
      </w:r>
      <w:proofErr w:type="spellStart"/>
      <w:r w:rsidRPr="003F2CE9">
        <w:t>Kaupapa</w:t>
      </w:r>
      <w:proofErr w:type="spellEnd"/>
      <w:r w:rsidRPr="003F2CE9">
        <w:t xml:space="preserve"> </w:t>
      </w:r>
      <w:r w:rsidR="00E52F9C">
        <w:t>Māori</w:t>
      </w:r>
      <w:r w:rsidRPr="003F2CE9">
        <w:t xml:space="preserve"> and related approaches have contributed local challenges and solutions. Local developments have, in turn</w:t>
      </w:r>
      <w:r w:rsidR="00940DAA">
        <w:t>,</w:t>
      </w:r>
      <w:r w:rsidRPr="003F2CE9">
        <w:t xml:space="preserve"> contributed internationally. In relation to the role of evaluation in policy development and implementation, the Treaty provides an overarching framework of rights and a number of associated principles in relation to practice. However, the</w:t>
      </w:r>
      <w:r w:rsidR="00EC6E0A">
        <w:t>se</w:t>
      </w:r>
      <w:r w:rsidRPr="003F2CE9">
        <w:t xml:space="preserve"> operate within rapidly changing political and social environments, where competing voices, interests and agendas lead to complex relationships between policy and evaluation. A more complex understanding of the relationship between evaluation and policy is suggested, in line with the development of less linear and more iterative processes.</w:t>
      </w:r>
    </w:p>
    <w:p w:rsidR="001E231D" w:rsidRPr="003F2CE9" w:rsidRDefault="001E231D" w:rsidP="000D0624">
      <w:pPr>
        <w:pStyle w:val="BodyText"/>
      </w:pPr>
      <w:r w:rsidRPr="003F2CE9">
        <w:t>Rather than dealing only with ministries and state policy</w:t>
      </w:r>
      <w:r w:rsidR="00EC6E0A">
        <w:t xml:space="preserve"> </w:t>
      </w:r>
      <w:r w:rsidRPr="003F2CE9">
        <w:t xml:space="preserve">makers, </w:t>
      </w:r>
      <w:r w:rsidR="00E52F9C">
        <w:rPr>
          <w:lang w:eastAsia="en-NZ"/>
        </w:rPr>
        <w:t>Māori</w:t>
      </w:r>
      <w:r w:rsidRPr="003F2CE9">
        <w:rPr>
          <w:lang w:eastAsia="en-NZ"/>
        </w:rPr>
        <w:t xml:space="preserve"> evaluators also work with </w:t>
      </w:r>
      <w:r w:rsidR="00E52F9C">
        <w:rPr>
          <w:lang w:eastAsia="en-NZ"/>
        </w:rPr>
        <w:t>Māori</w:t>
      </w:r>
      <w:r w:rsidRPr="003F2CE9">
        <w:rPr>
          <w:lang w:eastAsia="en-NZ"/>
        </w:rPr>
        <w:t xml:space="preserve"> organisations and others with local decision</w:t>
      </w:r>
      <w:r w:rsidR="00940DAA">
        <w:rPr>
          <w:lang w:eastAsia="en-NZ"/>
        </w:rPr>
        <w:t>-</w:t>
      </w:r>
      <w:r w:rsidRPr="003F2CE9">
        <w:rPr>
          <w:lang w:eastAsia="en-NZ"/>
        </w:rPr>
        <w:t xml:space="preserve">making roles. Working with </w:t>
      </w:r>
      <w:r w:rsidR="00E52F9C">
        <w:rPr>
          <w:lang w:eastAsia="en-NZ"/>
        </w:rPr>
        <w:t>Māori</w:t>
      </w:r>
      <w:r w:rsidRPr="003F2CE9">
        <w:rPr>
          <w:lang w:eastAsia="en-NZ"/>
        </w:rPr>
        <w:t xml:space="preserve"> communities and providers can have direct benefits in terms of increased service effectiveness</w:t>
      </w:r>
      <w:r w:rsidR="00940DAA">
        <w:rPr>
          <w:lang w:eastAsia="en-NZ"/>
        </w:rPr>
        <w:t>,</w:t>
      </w:r>
      <w:r w:rsidRPr="003F2CE9">
        <w:rPr>
          <w:lang w:eastAsia="en-NZ"/>
        </w:rPr>
        <w:t xml:space="preserve"> as well as contributing to state agendas and to an important ingredient in policy development and implementation </w:t>
      </w:r>
      <w:r w:rsidR="003F2CE9" w:rsidRPr="003F2CE9">
        <w:rPr>
          <w:lang w:eastAsia="en-NZ"/>
        </w:rPr>
        <w:t>—</w:t>
      </w:r>
      <w:r w:rsidRPr="003F2CE9">
        <w:rPr>
          <w:lang w:eastAsia="en-NZ"/>
        </w:rPr>
        <w:t xml:space="preserve"> public acceptability.</w:t>
      </w:r>
    </w:p>
    <w:p w:rsidR="001E231D" w:rsidRPr="003F2CE9" w:rsidRDefault="001E231D" w:rsidP="000D0624">
      <w:pPr>
        <w:pStyle w:val="BodyText"/>
      </w:pPr>
      <w:r w:rsidRPr="003F2CE9">
        <w:t xml:space="preserve">Overlaps in both the problems and solutions encountered by social ministries along with a lack of the systematic integration of knowledge into policy development have led to ideas for improving knowledge uptake at the state level. These include increased knowledge translation roles within ministries and more structured and systematic arrangements across sectors. However, power imbalances and assumed cultural norms mean that </w:t>
      </w:r>
      <w:r w:rsidR="00E52F9C">
        <w:t>Māori</w:t>
      </w:r>
      <w:r w:rsidRPr="003F2CE9">
        <w:t xml:space="preserve"> approaches and knowledge systems may not be equally heard or validated. Issues include the development and constitution of evidence, the interpretation of information and the biases and selectivity that may occur when translating knowledge from one paradigm to another.</w:t>
      </w:r>
    </w:p>
    <w:p w:rsidR="001E231D" w:rsidRPr="003F2CE9" w:rsidRDefault="001E231D" w:rsidP="000D0624">
      <w:pPr>
        <w:pStyle w:val="BodyText"/>
      </w:pPr>
      <w:r w:rsidRPr="003F2CE9">
        <w:t xml:space="preserve">Monitoring and evaluation at the macro level in particular has met with challenges in relation to the consistency and quality of data. An ongoing commitment to consistent quality data and sufficient sample sizes for </w:t>
      </w:r>
      <w:r w:rsidR="00E52F9C">
        <w:t>Māori</w:t>
      </w:r>
      <w:r w:rsidRPr="003F2CE9">
        <w:t xml:space="preserve"> is needed. However, this should not privilege one methodology or method over another. Both quantitative and qualitative approaches are needed, depending on the context and feasibility of approaches. As well as the ability to access data from routinely available datasets, we need to validate the development of criteria using </w:t>
      </w:r>
      <w:r w:rsidR="00E52F9C">
        <w:t>Māori</w:t>
      </w:r>
      <w:r w:rsidRPr="003F2CE9">
        <w:t xml:space="preserve"> world</w:t>
      </w:r>
      <w:r w:rsidR="00EC6E0A">
        <w:t xml:space="preserve"> </w:t>
      </w:r>
      <w:r w:rsidRPr="003F2CE9">
        <w:t xml:space="preserve">views and ensure that interpretation of data also provides for </w:t>
      </w:r>
      <w:r w:rsidR="00E52F9C">
        <w:t>Māori</w:t>
      </w:r>
      <w:r w:rsidRPr="003F2CE9">
        <w:t xml:space="preserve"> voices and rights, using the Treaty of Waitangi as an overarching framework.</w:t>
      </w:r>
    </w:p>
    <w:p w:rsidR="001E231D" w:rsidRPr="003F2CE9" w:rsidRDefault="001E231D" w:rsidP="000D0624">
      <w:pPr>
        <w:pStyle w:val="BodyText"/>
      </w:pPr>
      <w:r w:rsidRPr="003F2CE9">
        <w:t xml:space="preserve">The Aotearoa New Zealand evaluation sector has demonstrated a considerable interest in best practice, both in the development of methods and methodologies and in research practice in relation to </w:t>
      </w:r>
      <w:r w:rsidR="00E52F9C">
        <w:t>Māori</w:t>
      </w:r>
      <w:r w:rsidRPr="003F2CE9">
        <w:t xml:space="preserve">. </w:t>
      </w:r>
      <w:proofErr w:type="spellStart"/>
      <w:r w:rsidRPr="003F2CE9">
        <w:t>Kaupapa</w:t>
      </w:r>
      <w:proofErr w:type="spellEnd"/>
      <w:r w:rsidRPr="003F2CE9">
        <w:t xml:space="preserve"> </w:t>
      </w:r>
      <w:r w:rsidR="00E52F9C">
        <w:t>Māori</w:t>
      </w:r>
      <w:r w:rsidRPr="003F2CE9">
        <w:t xml:space="preserve"> in particular has been widely drawn on and provides a space for </w:t>
      </w:r>
      <w:r w:rsidR="00E52F9C">
        <w:t>Māori</w:t>
      </w:r>
      <w:r w:rsidRPr="003F2CE9">
        <w:t xml:space="preserve"> practitioners to theorise, debate </w:t>
      </w:r>
      <w:r w:rsidRPr="003F2CE9">
        <w:lastRenderedPageBreak/>
        <w:t xml:space="preserve">and practice </w:t>
      </w:r>
      <w:r w:rsidR="00E52F9C">
        <w:t>Māori</w:t>
      </w:r>
      <w:r w:rsidRPr="003F2CE9">
        <w:t xml:space="preserve"> evaluation approaches. These developments have contributed to the ongoing successes of </w:t>
      </w:r>
      <w:r w:rsidR="00E52F9C">
        <w:t>Māori</w:t>
      </w:r>
      <w:r w:rsidRPr="003F2CE9">
        <w:t xml:space="preserve"> organisations in the development and delivery of services and interventions. However, a current climate of quick turnaround, short</w:t>
      </w:r>
      <w:r w:rsidR="00EC6E0A">
        <w:noBreakHyphen/>
      </w:r>
      <w:r w:rsidRPr="003F2CE9">
        <w:t>term projects with narrow parameters carries potential threats to the capacity and capability of the sector, as well as to the quality and depth of evaluation.</w:t>
      </w:r>
    </w:p>
    <w:p w:rsidR="001E231D" w:rsidRPr="003F2CE9" w:rsidRDefault="00E52F9C" w:rsidP="000D0624">
      <w:pPr>
        <w:pStyle w:val="BodyText"/>
      </w:pPr>
      <w:r>
        <w:t>Māori</w:t>
      </w:r>
      <w:r w:rsidR="001E231D" w:rsidRPr="003F2CE9">
        <w:t xml:space="preserve"> initiatives work within broader determinants and in the context of multiple policies and strategies. The focu</w:t>
      </w:r>
      <w:r w:rsidR="003F2CE9" w:rsidRPr="003F2CE9">
        <w:t xml:space="preserve">s on what we do well </w:t>
      </w:r>
      <w:r w:rsidR="003F2CE9" w:rsidRPr="003F2CE9">
        <w:rPr>
          <w:lang w:eastAsia="en-NZ"/>
        </w:rPr>
        <w:t>—</w:t>
      </w:r>
      <w:r w:rsidR="003F2CE9" w:rsidRPr="003F2CE9">
        <w:t xml:space="preserve"> program</w:t>
      </w:r>
      <w:r w:rsidR="001E231D" w:rsidRPr="003F2CE9">
        <w:t xml:space="preserve"> evaluation at the level of implementation </w:t>
      </w:r>
      <w:r w:rsidR="003F2CE9" w:rsidRPr="003F2CE9">
        <w:t>—</w:t>
      </w:r>
      <w:r w:rsidR="001E231D" w:rsidRPr="003F2CE9">
        <w:t xml:space="preserve"> has not been met with equal development in evaluating the mix of initiatives that contribute to overall strategic goals, or in evaluating overall policies in relation to </w:t>
      </w:r>
      <w:r>
        <w:t>Māori</w:t>
      </w:r>
      <w:r w:rsidR="001E231D" w:rsidRPr="003F2CE9">
        <w:t>; particularly where policies may overlap or even compete with e</w:t>
      </w:r>
      <w:r w:rsidR="003F2CE9" w:rsidRPr="003F2CE9">
        <w:t>ach other. Reliance on program</w:t>
      </w:r>
      <w:r w:rsidR="001E231D" w:rsidRPr="003F2CE9">
        <w:t xml:space="preserve"> monitoring and evaluation provides only one part of the picture. Without scrutiny of the processes of policy development and transmission through governance systems the risk is that responsibility and blame for apparent failure or lack of success will be placed on </w:t>
      </w:r>
      <w:r>
        <w:t>Māori</w:t>
      </w:r>
      <w:r w:rsidR="001E231D" w:rsidRPr="003F2CE9">
        <w:t xml:space="preserve"> providers and participants and we will be no closer to better </w:t>
      </w:r>
      <w:r w:rsidR="0080556A" w:rsidRPr="003F2CE9">
        <w:t xml:space="preserve">Indigenous </w:t>
      </w:r>
      <w:r w:rsidR="001E231D" w:rsidRPr="003F2CE9">
        <w:t>policies.</w:t>
      </w:r>
    </w:p>
    <w:p w:rsidR="001E231D" w:rsidRPr="003F2CE9" w:rsidRDefault="001E231D" w:rsidP="001E231D">
      <w:pPr>
        <w:pStyle w:val="Heading2"/>
      </w:pPr>
      <w:bookmarkStart w:id="23" w:name="_Toc341182892"/>
      <w:r w:rsidRPr="003F2CE9">
        <w:t>References</w:t>
      </w:r>
      <w:bookmarkEnd w:id="23"/>
    </w:p>
    <w:p w:rsidR="001E231D" w:rsidRPr="003F2CE9" w:rsidRDefault="001E231D" w:rsidP="001E231D">
      <w:pPr>
        <w:pStyle w:val="Reference"/>
      </w:pPr>
      <w:bookmarkStart w:id="24" w:name="_ENREF_1"/>
      <w:r w:rsidRPr="003F2CE9">
        <w:t>Barnes, J. and Harris</w:t>
      </w:r>
      <w:r w:rsidR="00AD23E1">
        <w:t>,</w:t>
      </w:r>
      <w:r w:rsidR="002F5471">
        <w:t xml:space="preserve"> P.</w:t>
      </w:r>
      <w:r w:rsidRPr="003F2CE9">
        <w:t xml:space="preserve"> 2011</w:t>
      </w:r>
      <w:r w:rsidR="002F5471">
        <w:t>,</w:t>
      </w:r>
      <w:r w:rsidRPr="003F2CE9">
        <w:t xml:space="preserve"> </w:t>
      </w:r>
      <w:r w:rsidR="003F2CE9" w:rsidRPr="003F2CE9">
        <w:t>‘</w:t>
      </w:r>
      <w:r w:rsidRPr="003F2CE9">
        <w:t xml:space="preserve">Still </w:t>
      </w:r>
      <w:r w:rsidR="002F5471">
        <w:t>k</w:t>
      </w:r>
      <w:r w:rsidRPr="003F2CE9">
        <w:t>icking? The Royal Commission on Social Policy, 20 years on</w:t>
      </w:r>
      <w:r w:rsidR="003F2CE9" w:rsidRPr="003F2CE9">
        <w:t>’</w:t>
      </w:r>
      <w:r w:rsidR="00330D5B">
        <w:t>,</w:t>
      </w:r>
      <w:r w:rsidRPr="003F2CE9">
        <w:t xml:space="preserve"> </w:t>
      </w:r>
      <w:r w:rsidRPr="003F2CE9">
        <w:rPr>
          <w:i/>
        </w:rPr>
        <w:t>Social Policy Journal of New Zealand</w:t>
      </w:r>
      <w:r w:rsidR="00330D5B">
        <w:rPr>
          <w:i/>
        </w:rPr>
        <w:t>,</w:t>
      </w:r>
      <w:r w:rsidRPr="003F2CE9">
        <w:t xml:space="preserve"> </w:t>
      </w:r>
      <w:r w:rsidR="00330D5B">
        <w:t xml:space="preserve">vol. </w:t>
      </w:r>
      <w:r w:rsidRPr="003F2CE9">
        <w:t>37</w:t>
      </w:r>
      <w:r w:rsidR="00330D5B">
        <w:t>, pp.</w:t>
      </w:r>
      <w:r w:rsidRPr="003F2CE9">
        <w:t xml:space="preserve"> 1</w:t>
      </w:r>
      <w:r w:rsidR="003F2CE9" w:rsidRPr="003F2CE9">
        <w:t>–</w:t>
      </w:r>
      <w:r w:rsidRPr="003F2CE9">
        <w:t>13.</w:t>
      </w:r>
      <w:bookmarkEnd w:id="24"/>
    </w:p>
    <w:p w:rsidR="001E231D" w:rsidRPr="003F2CE9" w:rsidRDefault="001E231D" w:rsidP="001E231D">
      <w:pPr>
        <w:pStyle w:val="Reference"/>
      </w:pPr>
      <w:bookmarkStart w:id="25" w:name="_ENREF_2"/>
      <w:proofErr w:type="spellStart"/>
      <w:r w:rsidRPr="003F2CE9">
        <w:t>Belich</w:t>
      </w:r>
      <w:proofErr w:type="spellEnd"/>
      <w:r w:rsidRPr="003F2CE9">
        <w:t>, J. 1988</w:t>
      </w:r>
      <w:r w:rsidR="00330D5B">
        <w:t>,</w:t>
      </w:r>
      <w:r w:rsidRPr="003F2CE9">
        <w:t xml:space="preserve"> </w:t>
      </w:r>
      <w:r w:rsidRPr="003F2CE9">
        <w:rPr>
          <w:i/>
        </w:rPr>
        <w:t>The New Zealand Wars</w:t>
      </w:r>
      <w:r w:rsidR="00330D5B">
        <w:t>,</w:t>
      </w:r>
      <w:r w:rsidRPr="003F2CE9">
        <w:t xml:space="preserve"> </w:t>
      </w:r>
      <w:r w:rsidR="00330D5B">
        <w:t xml:space="preserve">Penguin, </w:t>
      </w:r>
      <w:r w:rsidRPr="003F2CE9">
        <w:t>Auckland.</w:t>
      </w:r>
      <w:bookmarkEnd w:id="25"/>
    </w:p>
    <w:p w:rsidR="001E231D" w:rsidRPr="003F2CE9" w:rsidRDefault="001E231D" w:rsidP="001E231D">
      <w:pPr>
        <w:pStyle w:val="Reference"/>
      </w:pPr>
      <w:bookmarkStart w:id="26" w:name="_ENREF_3"/>
      <w:proofErr w:type="spellStart"/>
      <w:r w:rsidRPr="003F2CE9">
        <w:t>Blaiklock</w:t>
      </w:r>
      <w:proofErr w:type="spellEnd"/>
      <w:r w:rsidRPr="003F2CE9">
        <w:t xml:space="preserve">, A., </w:t>
      </w:r>
      <w:proofErr w:type="spellStart"/>
      <w:r w:rsidRPr="003F2CE9">
        <w:t>Kiro</w:t>
      </w:r>
      <w:proofErr w:type="spellEnd"/>
      <w:r w:rsidR="00AD23E1">
        <w:t>,</w:t>
      </w:r>
      <w:r w:rsidR="00330D5B">
        <w:t xml:space="preserve"> C.</w:t>
      </w:r>
      <w:r w:rsidRPr="003F2CE9">
        <w:t>, Belgrave</w:t>
      </w:r>
      <w:r w:rsidR="00AD23E1">
        <w:t>,</w:t>
      </w:r>
      <w:r w:rsidR="00330D5B">
        <w:t xml:space="preserve"> M.</w:t>
      </w:r>
      <w:r w:rsidRPr="003F2CE9">
        <w:t>, Low</w:t>
      </w:r>
      <w:r w:rsidR="00AD23E1">
        <w:t>,</w:t>
      </w:r>
      <w:r w:rsidR="00330D5B">
        <w:t xml:space="preserve"> W.</w:t>
      </w:r>
      <w:r w:rsidRPr="003F2CE9">
        <w:t>, Davenport</w:t>
      </w:r>
      <w:r w:rsidR="00AD23E1">
        <w:t>,</w:t>
      </w:r>
      <w:r w:rsidR="00330D5B">
        <w:t xml:space="preserve"> E.</w:t>
      </w:r>
      <w:r w:rsidRPr="003F2CE9">
        <w:t xml:space="preserve"> and Hassall</w:t>
      </w:r>
      <w:r w:rsidR="00AD23E1">
        <w:t>,</w:t>
      </w:r>
      <w:r w:rsidR="00330D5B">
        <w:t xml:space="preserve"> I</w:t>
      </w:r>
      <w:r w:rsidRPr="003F2CE9">
        <w:t>. 2002</w:t>
      </w:r>
      <w:r w:rsidR="00330D5B">
        <w:t>,</w:t>
      </w:r>
      <w:r w:rsidRPr="003F2CE9">
        <w:t xml:space="preserve"> </w:t>
      </w:r>
      <w:r w:rsidRPr="003F2CE9">
        <w:rPr>
          <w:i/>
        </w:rPr>
        <w:t>When the Invisible Hand Rocks the Cradle: New Zealand Children in a Time of Change</w:t>
      </w:r>
      <w:r w:rsidR="00330D5B">
        <w:t>,</w:t>
      </w:r>
      <w:r w:rsidRPr="003F2CE9">
        <w:t xml:space="preserve"> </w:t>
      </w:r>
      <w:r w:rsidR="00330D5B" w:rsidRPr="003F2CE9">
        <w:t xml:space="preserve">UNICEF </w:t>
      </w:r>
      <w:proofErr w:type="spellStart"/>
      <w:r w:rsidR="00330D5B" w:rsidRPr="003F2CE9">
        <w:t>Innocenti</w:t>
      </w:r>
      <w:proofErr w:type="spellEnd"/>
      <w:r w:rsidR="00330D5B" w:rsidRPr="003F2CE9">
        <w:t xml:space="preserve"> Research Centre</w:t>
      </w:r>
      <w:r w:rsidR="00330D5B">
        <w:t>,</w:t>
      </w:r>
      <w:r w:rsidR="00330D5B" w:rsidRPr="003F2CE9">
        <w:t xml:space="preserve"> </w:t>
      </w:r>
      <w:r w:rsidRPr="003F2CE9">
        <w:t>Florence.</w:t>
      </w:r>
      <w:bookmarkEnd w:id="26"/>
    </w:p>
    <w:p w:rsidR="001E231D" w:rsidRPr="003F2CE9" w:rsidRDefault="001E231D" w:rsidP="001E231D">
      <w:pPr>
        <w:pStyle w:val="Reference"/>
      </w:pPr>
      <w:bookmarkStart w:id="27" w:name="_ENREF_4"/>
      <w:r w:rsidRPr="003F2CE9">
        <w:t>Blakely, T., Tobias</w:t>
      </w:r>
      <w:r w:rsidR="00AD23E1">
        <w:t>,</w:t>
      </w:r>
      <w:r w:rsidR="00330D5B">
        <w:t xml:space="preserve"> M.</w:t>
      </w:r>
      <w:r w:rsidRPr="003F2CE9">
        <w:t xml:space="preserve"> and Atkinson</w:t>
      </w:r>
      <w:r w:rsidR="00AD23E1">
        <w:t>,</w:t>
      </w:r>
      <w:r w:rsidR="00330D5B">
        <w:t xml:space="preserve"> J</w:t>
      </w:r>
      <w:r w:rsidRPr="003F2CE9">
        <w:t>. 2008</w:t>
      </w:r>
      <w:r w:rsidR="00330D5B">
        <w:t>,</w:t>
      </w:r>
      <w:r w:rsidRPr="003F2CE9">
        <w:t xml:space="preserve"> </w:t>
      </w:r>
      <w:r w:rsidR="003F2CE9" w:rsidRPr="003F2CE9">
        <w:t>‘</w:t>
      </w:r>
      <w:r w:rsidRPr="003F2CE9">
        <w:t>Inequalities in mortality during and after restructuring of the New Zealand economy: repeated cohort studies</w:t>
      </w:r>
      <w:r w:rsidR="003F2CE9" w:rsidRPr="003F2CE9">
        <w:t>’</w:t>
      </w:r>
      <w:r w:rsidR="00330D5B">
        <w:t>,</w:t>
      </w:r>
      <w:r w:rsidRPr="003F2CE9">
        <w:t xml:space="preserve"> </w:t>
      </w:r>
      <w:r w:rsidR="00FB13BC" w:rsidRPr="00EC6E0A">
        <w:rPr>
          <w:i/>
        </w:rPr>
        <w:t>British Medical Journal</w:t>
      </w:r>
      <w:r w:rsidR="000E3700">
        <w:t>, vol</w:t>
      </w:r>
      <w:r w:rsidR="000767A1">
        <w:t>.</w:t>
      </w:r>
      <w:r w:rsidR="000E3700">
        <w:t xml:space="preserve"> 336</w:t>
      </w:r>
      <w:r w:rsidR="00330D5B">
        <w:t>,</w:t>
      </w:r>
      <w:r w:rsidRPr="003F2CE9">
        <w:t xml:space="preserve"> </w:t>
      </w:r>
      <w:r w:rsidR="00330D5B">
        <w:t xml:space="preserve">pp. </w:t>
      </w:r>
      <w:r w:rsidRPr="003F2CE9">
        <w:t>371</w:t>
      </w:r>
      <w:r w:rsidR="003F2CE9" w:rsidRPr="003F2CE9">
        <w:t>–</w:t>
      </w:r>
      <w:r w:rsidRPr="003F2CE9">
        <w:t>5.</w:t>
      </w:r>
      <w:bookmarkEnd w:id="27"/>
    </w:p>
    <w:p w:rsidR="001E231D" w:rsidRPr="003F2CE9" w:rsidRDefault="003C2DD4" w:rsidP="001E231D">
      <w:pPr>
        <w:pStyle w:val="Reference"/>
      </w:pPr>
      <w:bookmarkStart w:id="28" w:name="_ENREF_5"/>
      <w:proofErr w:type="spellStart"/>
      <w:r w:rsidRPr="00CB6742">
        <w:t>Borell</w:t>
      </w:r>
      <w:proofErr w:type="spellEnd"/>
      <w:r w:rsidRPr="00CB6742">
        <w:t xml:space="preserve">, B. 2005, Living in the </w:t>
      </w:r>
      <w:r w:rsidR="000767A1">
        <w:t>c</w:t>
      </w:r>
      <w:r w:rsidRPr="00CB6742">
        <w:t xml:space="preserve">ity </w:t>
      </w:r>
      <w:proofErr w:type="spellStart"/>
      <w:r w:rsidR="000767A1">
        <w:t>a</w:t>
      </w:r>
      <w:r w:rsidRPr="00CB6742">
        <w:t>in</w:t>
      </w:r>
      <w:r w:rsidR="00FB13BC" w:rsidRPr="00EC6E0A">
        <w:t>’t</w:t>
      </w:r>
      <w:proofErr w:type="spellEnd"/>
      <w:r w:rsidR="00FB13BC" w:rsidRPr="00EC6E0A">
        <w:t xml:space="preserve"> </w:t>
      </w:r>
      <w:r w:rsidR="000767A1">
        <w:t>s</w:t>
      </w:r>
      <w:r w:rsidR="00FB13BC" w:rsidRPr="00EC6E0A">
        <w:t xml:space="preserve">o </w:t>
      </w:r>
      <w:r w:rsidR="000767A1">
        <w:t>b</w:t>
      </w:r>
      <w:r w:rsidR="00FB13BC" w:rsidRPr="00EC6E0A">
        <w:t xml:space="preserve">ad: </w:t>
      </w:r>
      <w:r w:rsidR="000767A1">
        <w:t>c</w:t>
      </w:r>
      <w:r w:rsidR="00FB13BC" w:rsidRPr="00EC6E0A">
        <w:t xml:space="preserve">ultural </w:t>
      </w:r>
      <w:r w:rsidR="000767A1">
        <w:t>d</w:t>
      </w:r>
      <w:r w:rsidR="00FB13BC" w:rsidRPr="00EC6E0A">
        <w:t xml:space="preserve">iversity of South Auckland </w:t>
      </w:r>
      <w:proofErr w:type="spellStart"/>
      <w:r w:rsidR="00FB13BC" w:rsidRPr="00EC6E0A">
        <w:t>Rangatahi</w:t>
      </w:r>
      <w:proofErr w:type="spellEnd"/>
      <w:r w:rsidR="00CB6742">
        <w:t xml:space="preserve">, </w:t>
      </w:r>
      <w:r w:rsidR="00FB13BC" w:rsidRPr="00EC6E0A">
        <w:t>thesis submitted in partial fulfilment of a Masters of Philosophy in Psychology, Massey University, Auckland.</w:t>
      </w:r>
      <w:bookmarkEnd w:id="28"/>
    </w:p>
    <w:p w:rsidR="001E231D" w:rsidRPr="003F2CE9" w:rsidRDefault="001E231D" w:rsidP="001E231D">
      <w:pPr>
        <w:pStyle w:val="Reference"/>
      </w:pPr>
      <w:bookmarkStart w:id="29" w:name="_ENREF_6"/>
      <w:r w:rsidRPr="003F2CE9">
        <w:t>Brash, D. 2004</w:t>
      </w:r>
      <w:r w:rsidR="00330D5B">
        <w:t>,</w:t>
      </w:r>
      <w:r w:rsidRPr="003F2CE9">
        <w:t xml:space="preserve"> </w:t>
      </w:r>
      <w:r w:rsidR="00EC6E0A">
        <w:t>‘</w:t>
      </w:r>
      <w:r w:rsidR="00FB13BC" w:rsidRPr="00EC6E0A">
        <w:t>Nationhood</w:t>
      </w:r>
      <w:r w:rsidR="00EC6E0A">
        <w:t>’</w:t>
      </w:r>
      <w:r w:rsidR="000767A1">
        <w:t>,</w:t>
      </w:r>
      <w:r w:rsidR="00FB13BC" w:rsidRPr="00EC6E0A">
        <w:t xml:space="preserve"> address by Don Brash</w:t>
      </w:r>
      <w:r w:rsidR="00EC6E0A">
        <w:t>,</w:t>
      </w:r>
      <w:r w:rsidR="00FB13BC" w:rsidRPr="00EC6E0A">
        <w:t xml:space="preserve"> Leader of the National Party to the </w:t>
      </w:r>
      <w:proofErr w:type="spellStart"/>
      <w:r w:rsidR="00FB13BC" w:rsidRPr="00EC6E0A">
        <w:t>Orewa</w:t>
      </w:r>
      <w:proofErr w:type="spellEnd"/>
      <w:r w:rsidR="00FB13BC" w:rsidRPr="00EC6E0A">
        <w:t xml:space="preserve"> Rotary Club, 27 January</w:t>
      </w:r>
      <w:r w:rsidR="00F32742">
        <w:t xml:space="preserve"> </w:t>
      </w:r>
      <w:r w:rsidR="00CB6742">
        <w:t>,</w:t>
      </w:r>
      <w:r w:rsidRPr="003F2CE9">
        <w:t xml:space="preserve"> </w:t>
      </w:r>
      <w:r w:rsidR="000767A1" w:rsidRPr="00143602">
        <w:t>http://</w:t>
      </w:r>
      <w:proofErr w:type="spellStart"/>
      <w:r w:rsidR="000767A1" w:rsidRPr="00143602">
        <w:t>www.national.org.nz</w:t>
      </w:r>
      <w:proofErr w:type="spellEnd"/>
      <w:r w:rsidR="000767A1" w:rsidRPr="00143602">
        <w:t>/files/</w:t>
      </w:r>
      <w:proofErr w:type="spellStart"/>
      <w:r w:rsidR="000767A1" w:rsidRPr="00143602">
        <w:t>orewarotaryclub_27jan.pdf</w:t>
      </w:r>
      <w:proofErr w:type="spellEnd"/>
      <w:r w:rsidR="000767A1">
        <w:t xml:space="preserve"> (accessed 15</w:t>
      </w:r>
      <w:r w:rsidR="00EC6E0A">
        <w:t> </w:t>
      </w:r>
      <w:r w:rsidR="000767A1">
        <w:t>October 2012).</w:t>
      </w:r>
      <w:bookmarkEnd w:id="29"/>
    </w:p>
    <w:p w:rsidR="001E231D" w:rsidRPr="003F2CE9" w:rsidRDefault="001E231D" w:rsidP="001E231D">
      <w:pPr>
        <w:pStyle w:val="Reference"/>
      </w:pPr>
      <w:bookmarkStart w:id="30" w:name="_ENREF_7"/>
      <w:proofErr w:type="spellStart"/>
      <w:r w:rsidRPr="003F2CE9">
        <w:t>Catalinac</w:t>
      </w:r>
      <w:proofErr w:type="spellEnd"/>
      <w:r w:rsidRPr="003F2CE9">
        <w:t>, A. 2004</w:t>
      </w:r>
      <w:r w:rsidR="00330D5B">
        <w:t>,</w:t>
      </w:r>
      <w:r w:rsidRPr="003F2CE9">
        <w:t xml:space="preserve"> </w:t>
      </w:r>
      <w:r w:rsidR="003F2CE9" w:rsidRPr="003F2CE9">
        <w:t>‘</w:t>
      </w:r>
      <w:r w:rsidRPr="003F2CE9">
        <w:t xml:space="preserve">The </w:t>
      </w:r>
      <w:r w:rsidR="000E3700">
        <w:t>e</w:t>
      </w:r>
      <w:r w:rsidRPr="003F2CE9">
        <w:t xml:space="preserve">stablishment and </w:t>
      </w:r>
      <w:r w:rsidR="000E3700">
        <w:t>s</w:t>
      </w:r>
      <w:r w:rsidRPr="003F2CE9">
        <w:t xml:space="preserve">ubsequent </w:t>
      </w:r>
      <w:r w:rsidR="000E3700">
        <w:t>e</w:t>
      </w:r>
      <w:r w:rsidRPr="003F2CE9">
        <w:t xml:space="preserve">xpansion of the Waitangi Tribunal: the </w:t>
      </w:r>
      <w:r w:rsidR="000E3700">
        <w:t>p</w:t>
      </w:r>
      <w:r w:rsidRPr="003F2CE9">
        <w:t xml:space="preserve">olitics of </w:t>
      </w:r>
      <w:r w:rsidR="000E3700">
        <w:t>a</w:t>
      </w:r>
      <w:r w:rsidRPr="003F2CE9">
        <w:t xml:space="preserve">genda </w:t>
      </w:r>
      <w:r w:rsidR="000E3700">
        <w:t>s</w:t>
      </w:r>
      <w:r w:rsidRPr="003F2CE9">
        <w:t>etting</w:t>
      </w:r>
      <w:r w:rsidR="003F2CE9" w:rsidRPr="003F2CE9">
        <w:t>’</w:t>
      </w:r>
      <w:r w:rsidR="000767A1">
        <w:t>,</w:t>
      </w:r>
      <w:r w:rsidRPr="003F2CE9">
        <w:t xml:space="preserve"> </w:t>
      </w:r>
      <w:r w:rsidRPr="003F2CE9">
        <w:rPr>
          <w:i/>
        </w:rPr>
        <w:t>Political Science</w:t>
      </w:r>
      <w:r w:rsidR="000E3700">
        <w:rPr>
          <w:i/>
        </w:rPr>
        <w:t>,</w:t>
      </w:r>
      <w:r w:rsidRPr="003F2CE9">
        <w:t xml:space="preserve"> </w:t>
      </w:r>
      <w:r w:rsidR="000E3700">
        <w:t xml:space="preserve">vol. </w:t>
      </w:r>
      <w:r w:rsidRPr="003F2CE9">
        <w:t>56</w:t>
      </w:r>
      <w:r w:rsidR="000767A1">
        <w:t>,</w:t>
      </w:r>
      <w:r w:rsidRPr="003F2CE9">
        <w:t xml:space="preserve"> </w:t>
      </w:r>
      <w:r w:rsidR="00330D5B">
        <w:t xml:space="preserve">pp. </w:t>
      </w:r>
      <w:r w:rsidRPr="003F2CE9">
        <w:t>5</w:t>
      </w:r>
      <w:r w:rsidR="003F2CE9" w:rsidRPr="003F2CE9">
        <w:t>–</w:t>
      </w:r>
      <w:r w:rsidRPr="003F2CE9">
        <w:t>22.</w:t>
      </w:r>
      <w:bookmarkEnd w:id="30"/>
    </w:p>
    <w:p w:rsidR="001E231D" w:rsidRPr="003F2CE9" w:rsidRDefault="001E231D" w:rsidP="001E231D">
      <w:pPr>
        <w:pStyle w:val="Reference"/>
      </w:pPr>
      <w:bookmarkStart w:id="31" w:name="_ENREF_8"/>
      <w:r w:rsidRPr="003F2CE9">
        <w:lastRenderedPageBreak/>
        <w:t>Cormack, D. and Harris</w:t>
      </w:r>
      <w:r w:rsidR="00AD23E1">
        <w:t>, R</w:t>
      </w:r>
      <w:r w:rsidRPr="003F2CE9">
        <w:t>. 2009</w:t>
      </w:r>
      <w:r w:rsidR="00330D5B">
        <w:t>,</w:t>
      </w:r>
      <w:r w:rsidRPr="003F2CE9">
        <w:t xml:space="preserve"> </w:t>
      </w:r>
      <w:r w:rsidRPr="003F2CE9">
        <w:rPr>
          <w:i/>
        </w:rPr>
        <w:t>Issues in monitoring Māori health and ethnic disparities: an update</w:t>
      </w:r>
      <w:r w:rsidR="000E3700">
        <w:t>,</w:t>
      </w:r>
      <w:r w:rsidRPr="003F2CE9">
        <w:t xml:space="preserve"> </w:t>
      </w:r>
      <w:proofErr w:type="spellStart"/>
      <w:r w:rsidR="000E3700" w:rsidRPr="003F2CE9">
        <w:t>Te</w:t>
      </w:r>
      <w:proofErr w:type="spellEnd"/>
      <w:r w:rsidR="000E3700" w:rsidRPr="003F2CE9">
        <w:t xml:space="preserve"> </w:t>
      </w:r>
      <w:proofErr w:type="spellStart"/>
      <w:r w:rsidR="000E3700" w:rsidRPr="003F2CE9">
        <w:t>Rōpū</w:t>
      </w:r>
      <w:proofErr w:type="spellEnd"/>
      <w:r w:rsidR="000E3700" w:rsidRPr="003F2CE9">
        <w:t xml:space="preserve"> </w:t>
      </w:r>
      <w:proofErr w:type="spellStart"/>
      <w:r w:rsidR="000E3700" w:rsidRPr="003F2CE9">
        <w:t>Rangahau</w:t>
      </w:r>
      <w:proofErr w:type="spellEnd"/>
      <w:r w:rsidR="000E3700" w:rsidRPr="003F2CE9">
        <w:t xml:space="preserve"> </w:t>
      </w:r>
      <w:proofErr w:type="spellStart"/>
      <w:r w:rsidR="000E3700" w:rsidRPr="003F2CE9">
        <w:t>Hauora</w:t>
      </w:r>
      <w:proofErr w:type="spellEnd"/>
      <w:r w:rsidR="000E3700" w:rsidRPr="003F2CE9">
        <w:t xml:space="preserve"> a </w:t>
      </w:r>
      <w:proofErr w:type="spellStart"/>
      <w:r w:rsidR="000E3700" w:rsidRPr="003F2CE9">
        <w:t>Eru</w:t>
      </w:r>
      <w:proofErr w:type="spellEnd"/>
      <w:r w:rsidR="000E3700" w:rsidRPr="003F2CE9">
        <w:t xml:space="preserve"> </w:t>
      </w:r>
      <w:proofErr w:type="spellStart"/>
      <w:r w:rsidR="000E3700" w:rsidRPr="003F2CE9">
        <w:t>Pōmare</w:t>
      </w:r>
      <w:proofErr w:type="spellEnd"/>
      <w:r w:rsidR="000E3700">
        <w:t xml:space="preserve">, </w:t>
      </w:r>
      <w:r w:rsidRPr="003F2CE9">
        <w:t>Wellington.</w:t>
      </w:r>
      <w:bookmarkEnd w:id="31"/>
    </w:p>
    <w:p w:rsidR="001E231D" w:rsidRPr="003F2CE9" w:rsidRDefault="001E231D" w:rsidP="001E231D">
      <w:pPr>
        <w:pStyle w:val="Reference"/>
      </w:pPr>
      <w:bookmarkStart w:id="32" w:name="_ENREF_9"/>
      <w:r w:rsidRPr="003F2CE9">
        <w:t>Cram, F. 1997</w:t>
      </w:r>
      <w:r w:rsidR="00330D5B">
        <w:t>,</w:t>
      </w:r>
      <w:r w:rsidRPr="003F2CE9">
        <w:t xml:space="preserve"> </w:t>
      </w:r>
      <w:r w:rsidR="003F2CE9" w:rsidRPr="003F2CE9">
        <w:t>‘</w:t>
      </w:r>
      <w:r w:rsidRPr="003F2CE9">
        <w:t xml:space="preserve">Developing partnerships in research: Pakeha researchers and </w:t>
      </w:r>
      <w:r w:rsidR="00E52F9C">
        <w:t>Māori</w:t>
      </w:r>
      <w:r w:rsidRPr="003F2CE9">
        <w:t xml:space="preserve"> research</w:t>
      </w:r>
      <w:r w:rsidR="003F2CE9" w:rsidRPr="003F2CE9">
        <w:t>’</w:t>
      </w:r>
      <w:r w:rsidR="000767A1">
        <w:t>,</w:t>
      </w:r>
      <w:r w:rsidRPr="003F2CE9">
        <w:t xml:space="preserve"> </w:t>
      </w:r>
      <w:r w:rsidR="000B64EA">
        <w:rPr>
          <w:i/>
        </w:rPr>
        <w:t>Sites</w:t>
      </w:r>
      <w:r w:rsidR="000E3700">
        <w:rPr>
          <w:i/>
        </w:rPr>
        <w:t>,</w:t>
      </w:r>
      <w:r w:rsidRPr="003F2CE9">
        <w:t xml:space="preserve"> </w:t>
      </w:r>
      <w:r w:rsidR="000E3700">
        <w:t>vol</w:t>
      </w:r>
      <w:r w:rsidR="000767A1">
        <w:t>.</w:t>
      </w:r>
      <w:r w:rsidR="000E3700">
        <w:t xml:space="preserve"> </w:t>
      </w:r>
      <w:r w:rsidRPr="003F2CE9">
        <w:t>35</w:t>
      </w:r>
      <w:r w:rsidR="000E3700">
        <w:t>,</w:t>
      </w:r>
      <w:r w:rsidRPr="003F2CE9">
        <w:t xml:space="preserve"> </w:t>
      </w:r>
      <w:r w:rsidR="00330D5B">
        <w:t xml:space="preserve">pp. </w:t>
      </w:r>
      <w:r w:rsidRPr="003F2CE9">
        <w:t>44</w:t>
      </w:r>
      <w:r w:rsidR="003F2CE9" w:rsidRPr="003F2CE9">
        <w:t>–</w:t>
      </w:r>
      <w:r w:rsidRPr="003F2CE9">
        <w:t>63.</w:t>
      </w:r>
      <w:bookmarkEnd w:id="32"/>
    </w:p>
    <w:p w:rsidR="001E231D" w:rsidRPr="003F2CE9" w:rsidRDefault="000767A1" w:rsidP="001E231D">
      <w:pPr>
        <w:pStyle w:val="Reference"/>
      </w:pPr>
      <w:bookmarkStart w:id="33" w:name="_ENREF_10"/>
      <w:r>
        <w:t xml:space="preserve">—— </w:t>
      </w:r>
      <w:r w:rsidR="001E231D" w:rsidRPr="003F2CE9">
        <w:t>2009</w:t>
      </w:r>
      <w:r w:rsidR="00330D5B">
        <w:t>,</w:t>
      </w:r>
      <w:r w:rsidR="001E231D" w:rsidRPr="003F2CE9">
        <w:t xml:space="preserve"> </w:t>
      </w:r>
      <w:r w:rsidR="003F2CE9" w:rsidRPr="003F2CE9">
        <w:t>‘</w:t>
      </w:r>
      <w:r w:rsidR="001E231D" w:rsidRPr="003F2CE9">
        <w:t>Maintaining indigenous voices</w:t>
      </w:r>
      <w:r w:rsidR="003F2CE9" w:rsidRPr="003F2CE9">
        <w:t>’</w:t>
      </w:r>
      <w:r w:rsidR="000E3700">
        <w:t>,</w:t>
      </w:r>
      <w:r w:rsidR="001E231D" w:rsidRPr="003F2CE9">
        <w:t xml:space="preserve"> </w:t>
      </w:r>
      <w:r w:rsidR="001E231D" w:rsidRPr="003F2CE9">
        <w:rPr>
          <w:i/>
        </w:rPr>
        <w:t>The Handbook of Social Research Ethics</w:t>
      </w:r>
      <w:r w:rsidR="001E231D" w:rsidRPr="003F2CE9">
        <w:t xml:space="preserve">, edited by </w:t>
      </w:r>
      <w:proofErr w:type="spellStart"/>
      <w:r w:rsidR="001E231D" w:rsidRPr="003F2CE9">
        <w:t>Mertens</w:t>
      </w:r>
      <w:proofErr w:type="spellEnd"/>
      <w:r w:rsidR="001E231D" w:rsidRPr="003F2CE9">
        <w:t xml:space="preserve"> </w:t>
      </w:r>
      <w:r w:rsidR="004773E6">
        <w:t xml:space="preserve">D. </w:t>
      </w:r>
      <w:r w:rsidR="001E231D" w:rsidRPr="003F2CE9">
        <w:t>and Ginsberg</w:t>
      </w:r>
      <w:r w:rsidR="004773E6">
        <w:t xml:space="preserve"> P.</w:t>
      </w:r>
      <w:r w:rsidR="001E231D" w:rsidRPr="003F2CE9">
        <w:t xml:space="preserve">, </w:t>
      </w:r>
      <w:r w:rsidR="000E3700">
        <w:t xml:space="preserve">Sage (Los Angeles) </w:t>
      </w:r>
      <w:r w:rsidR="00330D5B">
        <w:t xml:space="preserve">pp. </w:t>
      </w:r>
      <w:r w:rsidR="001E231D" w:rsidRPr="003F2CE9">
        <w:t>308</w:t>
      </w:r>
      <w:r w:rsidR="003F2CE9" w:rsidRPr="003F2CE9">
        <w:t>–</w:t>
      </w:r>
      <w:r w:rsidR="001E231D" w:rsidRPr="003F2CE9">
        <w:t xml:space="preserve">22. </w:t>
      </w:r>
      <w:bookmarkEnd w:id="33"/>
    </w:p>
    <w:p w:rsidR="001E231D" w:rsidRPr="003F2CE9" w:rsidRDefault="004773E6" w:rsidP="001E231D">
      <w:pPr>
        <w:pStyle w:val="Reference"/>
      </w:pPr>
      <w:bookmarkStart w:id="34" w:name="_ENREF_11"/>
      <w:r>
        <w:t>——</w:t>
      </w:r>
      <w:r w:rsidR="001E231D" w:rsidRPr="003F2CE9">
        <w:t xml:space="preserve"> </w:t>
      </w:r>
      <w:proofErr w:type="spellStart"/>
      <w:r w:rsidR="001E231D" w:rsidRPr="003F2CE9">
        <w:t>McCreanor</w:t>
      </w:r>
      <w:proofErr w:type="spellEnd"/>
      <w:r w:rsidR="00AD23E1">
        <w:t>, T.</w:t>
      </w:r>
      <w:r w:rsidR="001E231D" w:rsidRPr="003F2CE9">
        <w:t>, Smith</w:t>
      </w:r>
      <w:r w:rsidR="00AD23E1">
        <w:t>, L.</w:t>
      </w:r>
      <w:r w:rsidR="001E231D" w:rsidRPr="003F2CE9">
        <w:t>, Nairn</w:t>
      </w:r>
      <w:r w:rsidR="00AD23E1">
        <w:t>, R.</w:t>
      </w:r>
      <w:r w:rsidR="001E231D" w:rsidRPr="003F2CE9">
        <w:t xml:space="preserve"> and Johnstone</w:t>
      </w:r>
      <w:r w:rsidR="00AD23E1">
        <w:t xml:space="preserve"> W</w:t>
      </w:r>
      <w:r w:rsidR="000E3700">
        <w:t>,</w:t>
      </w:r>
      <w:r w:rsidR="001E231D" w:rsidRPr="003F2CE9">
        <w:t xml:space="preserve"> no date</w:t>
      </w:r>
      <w:r w:rsidR="00330D5B">
        <w:t>,</w:t>
      </w:r>
      <w:r w:rsidR="001E231D" w:rsidRPr="003F2CE9">
        <w:t xml:space="preserve"> </w:t>
      </w:r>
      <w:r w:rsidR="00E52F9C">
        <w:rPr>
          <w:i/>
        </w:rPr>
        <w:t>Māori</w:t>
      </w:r>
      <w:r w:rsidR="001E231D" w:rsidRPr="003F2CE9">
        <w:rPr>
          <w:i/>
        </w:rPr>
        <w:t xml:space="preserve">-Pakeha </w:t>
      </w:r>
      <w:r>
        <w:rPr>
          <w:i/>
        </w:rPr>
        <w:t>t</w:t>
      </w:r>
      <w:r w:rsidR="001E231D" w:rsidRPr="003F2CE9">
        <w:rPr>
          <w:i/>
        </w:rPr>
        <w:t xml:space="preserve">eamwork in </w:t>
      </w:r>
      <w:r w:rsidR="00E52F9C">
        <w:rPr>
          <w:i/>
        </w:rPr>
        <w:t>Māori</w:t>
      </w:r>
      <w:r w:rsidR="001E231D" w:rsidRPr="003F2CE9">
        <w:rPr>
          <w:i/>
        </w:rPr>
        <w:t xml:space="preserve"> </w:t>
      </w:r>
      <w:r>
        <w:rPr>
          <w:i/>
        </w:rPr>
        <w:t>h</w:t>
      </w:r>
      <w:r w:rsidR="001E231D" w:rsidRPr="003F2CE9">
        <w:rPr>
          <w:i/>
        </w:rPr>
        <w:t xml:space="preserve">ealth </w:t>
      </w:r>
      <w:r>
        <w:rPr>
          <w:i/>
        </w:rPr>
        <w:t>r</w:t>
      </w:r>
      <w:r w:rsidR="001E231D" w:rsidRPr="003F2CE9">
        <w:rPr>
          <w:i/>
        </w:rPr>
        <w:t>esearch</w:t>
      </w:r>
      <w:r w:rsidR="000E3700">
        <w:t>, University of</w:t>
      </w:r>
      <w:r w:rsidR="001E231D" w:rsidRPr="003F2CE9">
        <w:t xml:space="preserve"> Auckland</w:t>
      </w:r>
      <w:r w:rsidR="000E3700">
        <w:t xml:space="preserve">, </w:t>
      </w:r>
      <w:r w:rsidR="001E231D" w:rsidRPr="003F2CE9">
        <w:t>Auckland.</w:t>
      </w:r>
      <w:bookmarkEnd w:id="34"/>
    </w:p>
    <w:p w:rsidR="001E231D" w:rsidRPr="003F2CE9" w:rsidRDefault="001E231D" w:rsidP="001E231D">
      <w:pPr>
        <w:pStyle w:val="Reference"/>
      </w:pPr>
      <w:bookmarkStart w:id="35" w:name="_ENREF_12"/>
      <w:r w:rsidRPr="003F2CE9">
        <w:t>Davison, I. 2012</w:t>
      </w:r>
      <w:r w:rsidR="000E3700">
        <w:t>,</w:t>
      </w:r>
      <w:r w:rsidRPr="003F2CE9">
        <w:t xml:space="preserve"> </w:t>
      </w:r>
      <w:r w:rsidR="003F2CE9" w:rsidRPr="003F2CE9">
        <w:t>‘</w:t>
      </w:r>
      <w:r w:rsidRPr="003F2CE9">
        <w:t xml:space="preserve">Families Commission in for major </w:t>
      </w:r>
      <w:proofErr w:type="spellStart"/>
      <w:r w:rsidRPr="003F2CE9">
        <w:t>shake up</w:t>
      </w:r>
      <w:proofErr w:type="spellEnd"/>
      <w:r w:rsidR="003F2CE9" w:rsidRPr="003F2CE9">
        <w:t>’</w:t>
      </w:r>
      <w:r w:rsidR="004773E6">
        <w:t>,</w:t>
      </w:r>
      <w:r w:rsidRPr="003F2CE9">
        <w:t xml:space="preserve"> </w:t>
      </w:r>
      <w:r w:rsidRPr="003F2CE9">
        <w:rPr>
          <w:i/>
        </w:rPr>
        <w:t>New Zealand Herald</w:t>
      </w:r>
      <w:r w:rsidRPr="003F2CE9">
        <w:t>, 29 May.</w:t>
      </w:r>
      <w:bookmarkEnd w:id="35"/>
    </w:p>
    <w:p w:rsidR="001E231D" w:rsidRPr="003F2CE9" w:rsidRDefault="001E231D" w:rsidP="001E231D">
      <w:pPr>
        <w:pStyle w:val="Reference"/>
      </w:pPr>
      <w:bookmarkStart w:id="36" w:name="_ENREF_13"/>
      <w:proofErr w:type="spellStart"/>
      <w:r w:rsidRPr="003F2CE9">
        <w:t>Duignan</w:t>
      </w:r>
      <w:proofErr w:type="spellEnd"/>
      <w:r w:rsidRPr="003F2CE9">
        <w:t>, P. 1997</w:t>
      </w:r>
      <w:r w:rsidR="00330D5B">
        <w:t>,</w:t>
      </w:r>
      <w:r w:rsidRPr="003F2CE9">
        <w:t xml:space="preserve"> </w:t>
      </w:r>
      <w:r w:rsidR="000B64EA">
        <w:t>‘</w:t>
      </w:r>
      <w:r w:rsidR="00FB13BC" w:rsidRPr="000B64EA">
        <w:t xml:space="preserve">Evaluating </w:t>
      </w:r>
      <w:r w:rsidR="002649A5">
        <w:t>h</w:t>
      </w:r>
      <w:r w:rsidR="00FB13BC" w:rsidRPr="000B64EA">
        <w:t xml:space="preserve">ealth </w:t>
      </w:r>
      <w:r w:rsidR="002649A5">
        <w:t>p</w:t>
      </w:r>
      <w:r w:rsidR="00FB13BC" w:rsidRPr="000B64EA">
        <w:t xml:space="preserve">romotion: </w:t>
      </w:r>
      <w:r w:rsidR="002649A5">
        <w:t>t</w:t>
      </w:r>
      <w:r w:rsidR="00FB13BC" w:rsidRPr="000B64EA">
        <w:t xml:space="preserve">he </w:t>
      </w:r>
      <w:r w:rsidR="002649A5">
        <w:t>s</w:t>
      </w:r>
      <w:r w:rsidR="00FB13BC" w:rsidRPr="000B64EA">
        <w:t xml:space="preserve">trategic </w:t>
      </w:r>
      <w:r w:rsidR="002649A5">
        <w:t>e</w:t>
      </w:r>
      <w:r w:rsidR="00FB13BC" w:rsidRPr="000B64EA">
        <w:t xml:space="preserve">valuation </w:t>
      </w:r>
      <w:r w:rsidR="002649A5">
        <w:t>f</w:t>
      </w:r>
      <w:r w:rsidR="00FB13BC" w:rsidRPr="000B64EA">
        <w:t>ramework</w:t>
      </w:r>
      <w:r w:rsidR="000B64EA">
        <w:t>’</w:t>
      </w:r>
      <w:r w:rsidR="002649A5">
        <w:t>,</w:t>
      </w:r>
      <w:r w:rsidRPr="003F2CE9">
        <w:t xml:space="preserve"> </w:t>
      </w:r>
      <w:r w:rsidR="002649A5">
        <w:t>d</w:t>
      </w:r>
      <w:r w:rsidRPr="003F2CE9">
        <w:t>octoral thesis, University of Waikato</w:t>
      </w:r>
      <w:r w:rsidR="000B64EA">
        <w:t>, New Zealand</w:t>
      </w:r>
      <w:r w:rsidRPr="003F2CE9">
        <w:t>.</w:t>
      </w:r>
      <w:bookmarkEnd w:id="36"/>
    </w:p>
    <w:p w:rsidR="001E231D" w:rsidRPr="003F2CE9" w:rsidRDefault="000B64EA" w:rsidP="001E231D">
      <w:pPr>
        <w:pStyle w:val="Reference"/>
      </w:pPr>
      <w:bookmarkStart w:id="37" w:name="_ENREF_14"/>
      <w:r>
        <w:t>——</w:t>
      </w:r>
      <w:r w:rsidR="001E231D" w:rsidRPr="003F2CE9">
        <w:t xml:space="preserve"> 2002</w:t>
      </w:r>
      <w:r w:rsidR="00330D5B">
        <w:t>,</w:t>
      </w:r>
      <w:r w:rsidR="001E231D" w:rsidRPr="003F2CE9">
        <w:t xml:space="preserve"> </w:t>
      </w:r>
      <w:r w:rsidR="003F2CE9" w:rsidRPr="003F2CE9">
        <w:t>‘</w:t>
      </w:r>
      <w:r w:rsidR="001E231D" w:rsidRPr="003F2CE9">
        <w:t>Building social policy evaluation capacity</w:t>
      </w:r>
      <w:r w:rsidR="003F2CE9" w:rsidRPr="003F2CE9">
        <w:t>’</w:t>
      </w:r>
      <w:r w:rsidR="002649A5">
        <w:t>,</w:t>
      </w:r>
      <w:r w:rsidR="001E231D" w:rsidRPr="003F2CE9">
        <w:t xml:space="preserve"> </w:t>
      </w:r>
      <w:r w:rsidR="001E231D" w:rsidRPr="003F2CE9">
        <w:rPr>
          <w:i/>
        </w:rPr>
        <w:t>Social Policy Journal of New Zealand</w:t>
      </w:r>
      <w:r w:rsidR="002649A5">
        <w:rPr>
          <w:i/>
        </w:rPr>
        <w:t>,</w:t>
      </w:r>
      <w:r w:rsidR="001E231D" w:rsidRPr="003F2CE9">
        <w:t xml:space="preserve"> </w:t>
      </w:r>
      <w:r w:rsidR="002649A5">
        <w:t xml:space="preserve">vol. </w:t>
      </w:r>
      <w:r w:rsidR="001E231D" w:rsidRPr="003F2CE9">
        <w:t>19</w:t>
      </w:r>
      <w:r w:rsidR="002649A5">
        <w:t>,</w:t>
      </w:r>
      <w:r w:rsidR="001E231D" w:rsidRPr="003F2CE9">
        <w:t xml:space="preserve"> </w:t>
      </w:r>
      <w:r w:rsidR="00330D5B">
        <w:t xml:space="preserve">pp. </w:t>
      </w:r>
      <w:r w:rsidR="001E231D" w:rsidRPr="003F2CE9">
        <w:t>179</w:t>
      </w:r>
      <w:r w:rsidR="003F2CE9" w:rsidRPr="003F2CE9">
        <w:t>–</w:t>
      </w:r>
      <w:r w:rsidR="001E231D" w:rsidRPr="003F2CE9">
        <w:t>94.</w:t>
      </w:r>
      <w:bookmarkEnd w:id="37"/>
    </w:p>
    <w:p w:rsidR="001E231D" w:rsidRPr="003F2CE9" w:rsidRDefault="001E231D" w:rsidP="001E231D">
      <w:pPr>
        <w:pStyle w:val="Reference"/>
      </w:pPr>
      <w:bookmarkStart w:id="38" w:name="_ENREF_15"/>
      <w:proofErr w:type="spellStart"/>
      <w:r w:rsidRPr="003F2CE9">
        <w:t>Durie</w:t>
      </w:r>
      <w:proofErr w:type="spellEnd"/>
      <w:r w:rsidRPr="003F2CE9">
        <w:t>, M. 1985</w:t>
      </w:r>
      <w:r w:rsidR="00330D5B">
        <w:t>,</w:t>
      </w:r>
      <w:r w:rsidRPr="003F2CE9">
        <w:t xml:space="preserve"> </w:t>
      </w:r>
      <w:r w:rsidR="000B64EA">
        <w:t>‘</w:t>
      </w:r>
      <w:r w:rsidRPr="003F2CE9">
        <w:t xml:space="preserve">The evaluation of </w:t>
      </w:r>
      <w:r w:rsidR="00E52F9C">
        <w:t>Māori</w:t>
      </w:r>
      <w:r w:rsidRPr="003F2CE9">
        <w:t xml:space="preserve"> health initiatives</w:t>
      </w:r>
      <w:r w:rsidR="000B64EA">
        <w:t>’</w:t>
      </w:r>
      <w:r w:rsidR="002649A5">
        <w:t>,</w:t>
      </w:r>
      <w:r w:rsidRPr="003F2CE9">
        <w:t xml:space="preserve"> </w:t>
      </w:r>
      <w:r w:rsidR="002649A5">
        <w:t>p</w:t>
      </w:r>
      <w:r w:rsidRPr="003F2CE9">
        <w:t xml:space="preserve">aper read at </w:t>
      </w:r>
      <w:proofErr w:type="spellStart"/>
      <w:r w:rsidRPr="003F2CE9">
        <w:t>ANZSERCH</w:t>
      </w:r>
      <w:proofErr w:type="spellEnd"/>
      <w:r w:rsidRPr="003F2CE9">
        <w:t xml:space="preserve"> Conference </w:t>
      </w:r>
      <w:r w:rsidR="003F2CE9" w:rsidRPr="003F2CE9">
        <w:t>—</w:t>
      </w:r>
      <w:r w:rsidRPr="003F2CE9">
        <w:t xml:space="preserve"> Health Politics and Change, Auckland.</w:t>
      </w:r>
      <w:bookmarkEnd w:id="38"/>
    </w:p>
    <w:p w:rsidR="001E231D" w:rsidRPr="003F2CE9" w:rsidRDefault="004773E6" w:rsidP="001E231D">
      <w:pPr>
        <w:pStyle w:val="Reference"/>
      </w:pPr>
      <w:bookmarkStart w:id="39" w:name="_ENREF_16"/>
      <w:r>
        <w:t xml:space="preserve">—— </w:t>
      </w:r>
      <w:r w:rsidR="001E231D" w:rsidRPr="003F2CE9">
        <w:t>1994</w:t>
      </w:r>
      <w:r w:rsidR="00330D5B">
        <w:t>,</w:t>
      </w:r>
      <w:r w:rsidR="001E231D" w:rsidRPr="003F2CE9">
        <w:t xml:space="preserve"> </w:t>
      </w:r>
      <w:proofErr w:type="spellStart"/>
      <w:r w:rsidR="001E231D" w:rsidRPr="003F2CE9">
        <w:rPr>
          <w:i/>
        </w:rPr>
        <w:t>Whaiora</w:t>
      </w:r>
      <w:proofErr w:type="spellEnd"/>
      <w:r w:rsidR="001E231D" w:rsidRPr="003F2CE9">
        <w:rPr>
          <w:i/>
        </w:rPr>
        <w:t xml:space="preserve">: </w:t>
      </w:r>
      <w:r w:rsidR="00E52F9C">
        <w:rPr>
          <w:i/>
        </w:rPr>
        <w:t>Māori</w:t>
      </w:r>
      <w:r w:rsidR="001E231D" w:rsidRPr="003F2CE9">
        <w:rPr>
          <w:i/>
        </w:rPr>
        <w:t xml:space="preserve"> Health Development</w:t>
      </w:r>
      <w:r w:rsidR="002649A5">
        <w:t>,</w:t>
      </w:r>
      <w:r w:rsidR="001E231D" w:rsidRPr="003F2CE9">
        <w:t xml:space="preserve"> Oxford University Press</w:t>
      </w:r>
      <w:r w:rsidR="002649A5">
        <w:t>, Auckland</w:t>
      </w:r>
      <w:r w:rsidR="001E231D" w:rsidRPr="003F2CE9">
        <w:t>.</w:t>
      </w:r>
      <w:bookmarkEnd w:id="39"/>
    </w:p>
    <w:p w:rsidR="001E231D" w:rsidRPr="003F2CE9" w:rsidRDefault="004773E6" w:rsidP="001E231D">
      <w:pPr>
        <w:pStyle w:val="Reference"/>
      </w:pPr>
      <w:bookmarkStart w:id="40" w:name="_ENREF_17"/>
      <w:r>
        <w:t xml:space="preserve">—— </w:t>
      </w:r>
      <w:r w:rsidR="001E231D" w:rsidRPr="003F2CE9">
        <w:t>1995</w:t>
      </w:r>
      <w:r w:rsidR="00330D5B">
        <w:t>,</w:t>
      </w:r>
      <w:r w:rsidR="001E231D" w:rsidRPr="003F2CE9">
        <w:t xml:space="preserve"> </w:t>
      </w:r>
      <w:r w:rsidR="001E231D" w:rsidRPr="003F2CE9">
        <w:rPr>
          <w:i/>
        </w:rPr>
        <w:t xml:space="preserve">Principles for the </w:t>
      </w:r>
      <w:r w:rsidR="003C2F08" w:rsidRPr="003F2CE9">
        <w:rPr>
          <w:i/>
        </w:rPr>
        <w:t xml:space="preserve">Development </w:t>
      </w:r>
      <w:r w:rsidR="001E231D" w:rsidRPr="003F2CE9">
        <w:rPr>
          <w:i/>
        </w:rPr>
        <w:t xml:space="preserve">of </w:t>
      </w:r>
      <w:r w:rsidR="00E52F9C">
        <w:rPr>
          <w:i/>
        </w:rPr>
        <w:t>Māori</w:t>
      </w:r>
      <w:r w:rsidR="001E231D" w:rsidRPr="003F2CE9">
        <w:rPr>
          <w:i/>
        </w:rPr>
        <w:t xml:space="preserve"> </w:t>
      </w:r>
      <w:r w:rsidR="003C2F08" w:rsidRPr="003F2CE9">
        <w:rPr>
          <w:i/>
        </w:rPr>
        <w:t>Policy</w:t>
      </w:r>
      <w:r w:rsidR="002649A5">
        <w:t>,</w:t>
      </w:r>
      <w:r w:rsidR="001E231D" w:rsidRPr="003F2CE9">
        <w:t xml:space="preserve"> Department of </w:t>
      </w:r>
      <w:r w:rsidR="00E52F9C">
        <w:t>Māori</w:t>
      </w:r>
      <w:r w:rsidR="001E231D" w:rsidRPr="003F2CE9">
        <w:t xml:space="preserve"> Studies, Massey University</w:t>
      </w:r>
      <w:r w:rsidR="002649A5">
        <w:t>, Wellington</w:t>
      </w:r>
      <w:r w:rsidR="001E231D" w:rsidRPr="003F2CE9">
        <w:t>.</w:t>
      </w:r>
      <w:bookmarkEnd w:id="40"/>
    </w:p>
    <w:p w:rsidR="001E231D" w:rsidRPr="003F2CE9" w:rsidRDefault="00FA7D07" w:rsidP="001E231D">
      <w:pPr>
        <w:pStyle w:val="Reference"/>
      </w:pPr>
      <w:bookmarkStart w:id="41" w:name="_ENREF_18"/>
      <w:r>
        <w:t xml:space="preserve">—— </w:t>
      </w:r>
      <w:r w:rsidR="001E231D" w:rsidRPr="003F2CE9">
        <w:t>2006</w:t>
      </w:r>
      <w:r w:rsidR="00330D5B">
        <w:t>,</w:t>
      </w:r>
      <w:r w:rsidR="001E231D" w:rsidRPr="003F2CE9">
        <w:t xml:space="preserve"> </w:t>
      </w:r>
      <w:r>
        <w:t>‘</w:t>
      </w:r>
      <w:r w:rsidR="001E231D" w:rsidRPr="003F2CE9">
        <w:t xml:space="preserve">Measuring </w:t>
      </w:r>
      <w:r w:rsidR="00E52F9C">
        <w:t>Māori</w:t>
      </w:r>
      <w:r w:rsidR="001E231D" w:rsidRPr="003F2CE9">
        <w:t xml:space="preserve"> </w:t>
      </w:r>
      <w:r w:rsidR="002649A5">
        <w:t>w</w:t>
      </w:r>
      <w:r w:rsidR="001E231D" w:rsidRPr="003F2CE9">
        <w:t>ellbeing</w:t>
      </w:r>
      <w:r>
        <w:t>’</w:t>
      </w:r>
      <w:r w:rsidR="002649A5">
        <w:t>,</w:t>
      </w:r>
      <w:r w:rsidR="001E231D" w:rsidRPr="003F2CE9">
        <w:t xml:space="preserve"> </w:t>
      </w:r>
      <w:r w:rsidR="001E231D" w:rsidRPr="003F2CE9">
        <w:rPr>
          <w:i/>
        </w:rPr>
        <w:t xml:space="preserve">Measuring </w:t>
      </w:r>
      <w:r w:rsidR="002649A5">
        <w:rPr>
          <w:i/>
        </w:rPr>
        <w:t>w</w:t>
      </w:r>
      <w:r w:rsidR="001E231D" w:rsidRPr="003F2CE9">
        <w:rPr>
          <w:i/>
        </w:rPr>
        <w:t xml:space="preserve">ellbeing of </w:t>
      </w:r>
      <w:r w:rsidR="002649A5">
        <w:rPr>
          <w:i/>
        </w:rPr>
        <w:t>c</w:t>
      </w:r>
      <w:r w:rsidR="001E231D" w:rsidRPr="003F2CE9">
        <w:rPr>
          <w:i/>
        </w:rPr>
        <w:t>ommunities</w:t>
      </w:r>
      <w:r w:rsidR="002649A5">
        <w:rPr>
          <w:i/>
        </w:rPr>
        <w:t>,</w:t>
      </w:r>
      <w:r w:rsidR="001E231D" w:rsidRPr="003F2CE9">
        <w:rPr>
          <w:i/>
        </w:rPr>
        <w:t xml:space="preserve"> The Genuine Progress Index</w:t>
      </w:r>
      <w:r w:rsidR="002649A5">
        <w:rPr>
          <w:i/>
        </w:rPr>
        <w:t>,</w:t>
      </w:r>
      <w:r w:rsidR="001E231D" w:rsidRPr="003F2CE9">
        <w:rPr>
          <w:i/>
        </w:rPr>
        <w:t xml:space="preserve"> Massey University, </w:t>
      </w:r>
      <w:proofErr w:type="spellStart"/>
      <w:r w:rsidR="001E231D" w:rsidRPr="003F2CE9">
        <w:rPr>
          <w:i/>
        </w:rPr>
        <w:t>Takapuwahia</w:t>
      </w:r>
      <w:proofErr w:type="spellEnd"/>
      <w:r w:rsidR="001E231D" w:rsidRPr="003F2CE9">
        <w:rPr>
          <w:i/>
        </w:rPr>
        <w:t xml:space="preserve"> Marae</w:t>
      </w:r>
      <w:r w:rsidR="001E231D" w:rsidRPr="003F2CE9">
        <w:t xml:space="preserve">, </w:t>
      </w:r>
      <w:proofErr w:type="spellStart"/>
      <w:r w:rsidR="001E231D" w:rsidRPr="003F2CE9">
        <w:t>Porirua</w:t>
      </w:r>
      <w:proofErr w:type="spellEnd"/>
      <w:r w:rsidR="001E231D" w:rsidRPr="003F2CE9">
        <w:t>, 19 May.</w:t>
      </w:r>
      <w:bookmarkEnd w:id="41"/>
    </w:p>
    <w:p w:rsidR="001E231D" w:rsidRPr="003F2CE9" w:rsidRDefault="001E231D" w:rsidP="001E231D">
      <w:pPr>
        <w:pStyle w:val="Reference"/>
      </w:pPr>
      <w:bookmarkStart w:id="42" w:name="_ENREF_19"/>
      <w:proofErr w:type="spellStart"/>
      <w:r w:rsidRPr="003F2CE9">
        <w:t>Gauld</w:t>
      </w:r>
      <w:proofErr w:type="spellEnd"/>
      <w:r w:rsidRPr="003F2CE9">
        <w:t>, R. 2003</w:t>
      </w:r>
      <w:r w:rsidR="00330D5B">
        <w:t>,</w:t>
      </w:r>
      <w:r w:rsidRPr="003F2CE9">
        <w:t xml:space="preserve"> </w:t>
      </w:r>
      <w:r w:rsidR="003F2CE9" w:rsidRPr="003F2CE9">
        <w:t>‘</w:t>
      </w:r>
      <w:r w:rsidRPr="003F2CE9">
        <w:t xml:space="preserve">One </w:t>
      </w:r>
      <w:r w:rsidR="002649A5">
        <w:t>c</w:t>
      </w:r>
      <w:r w:rsidRPr="003F2CE9">
        <w:t xml:space="preserve">ountry, </w:t>
      </w:r>
      <w:r w:rsidR="002649A5">
        <w:t>f</w:t>
      </w:r>
      <w:r w:rsidRPr="003F2CE9">
        <w:t xml:space="preserve">our </w:t>
      </w:r>
      <w:r w:rsidR="002649A5">
        <w:t>s</w:t>
      </w:r>
      <w:r w:rsidRPr="003F2CE9">
        <w:t xml:space="preserve">ystems: </w:t>
      </w:r>
      <w:r w:rsidR="002649A5">
        <w:t>c</w:t>
      </w:r>
      <w:r w:rsidRPr="003F2CE9">
        <w:t xml:space="preserve">omparing </w:t>
      </w:r>
      <w:r w:rsidR="002649A5">
        <w:t>c</w:t>
      </w:r>
      <w:r w:rsidRPr="003F2CE9">
        <w:t xml:space="preserve">hanging </w:t>
      </w:r>
      <w:r w:rsidR="002649A5">
        <w:t>h</w:t>
      </w:r>
      <w:r w:rsidRPr="003F2CE9">
        <w:t>ealth policies in New Zealand</w:t>
      </w:r>
      <w:r w:rsidR="003F2CE9" w:rsidRPr="003F2CE9">
        <w:t>’</w:t>
      </w:r>
      <w:r w:rsidR="00330D5B">
        <w:t>,</w:t>
      </w:r>
      <w:r w:rsidRPr="003F2CE9">
        <w:t xml:space="preserve"> </w:t>
      </w:r>
      <w:r w:rsidRPr="003F2CE9">
        <w:rPr>
          <w:i/>
        </w:rPr>
        <w:t>International Political Science Review</w:t>
      </w:r>
      <w:r w:rsidR="002649A5">
        <w:rPr>
          <w:i/>
        </w:rPr>
        <w:t>,</w:t>
      </w:r>
      <w:r w:rsidRPr="003F2CE9">
        <w:t xml:space="preserve"> </w:t>
      </w:r>
      <w:r w:rsidR="002649A5">
        <w:t xml:space="preserve">vol. </w:t>
      </w:r>
      <w:r w:rsidRPr="003F2CE9">
        <w:t>24</w:t>
      </w:r>
      <w:r w:rsidR="002649A5">
        <w:t>,</w:t>
      </w:r>
      <w:r w:rsidRPr="003F2CE9">
        <w:t xml:space="preserve"> </w:t>
      </w:r>
      <w:r w:rsidR="00330D5B">
        <w:t xml:space="preserve">pp. </w:t>
      </w:r>
      <w:r w:rsidRPr="003F2CE9">
        <w:t>199</w:t>
      </w:r>
      <w:r w:rsidR="003F2CE9" w:rsidRPr="003F2CE9">
        <w:t>–</w:t>
      </w:r>
      <w:r w:rsidRPr="003F2CE9">
        <w:t>218.</w:t>
      </w:r>
      <w:bookmarkEnd w:id="42"/>
    </w:p>
    <w:p w:rsidR="001E231D" w:rsidRPr="003F2CE9" w:rsidRDefault="00FA7D07" w:rsidP="001E231D">
      <w:pPr>
        <w:pStyle w:val="Reference"/>
      </w:pPr>
      <w:bookmarkStart w:id="43" w:name="_ENREF_20"/>
      <w:r>
        <w:t>——</w:t>
      </w:r>
      <w:r w:rsidR="001E231D" w:rsidRPr="003F2CE9">
        <w:t xml:space="preserve"> 2004</w:t>
      </w:r>
      <w:r w:rsidR="00330D5B">
        <w:t>,</w:t>
      </w:r>
      <w:r w:rsidR="001E231D" w:rsidRPr="003F2CE9">
        <w:t xml:space="preserve"> </w:t>
      </w:r>
      <w:r w:rsidR="003F2CE9" w:rsidRPr="003F2CE9">
        <w:t>‘</w:t>
      </w:r>
      <w:r w:rsidR="001E231D" w:rsidRPr="003F2CE9">
        <w:t>One step forward, one step back? Restructuring, evolving policy, and information management and technology in the New Zealand health sector</w:t>
      </w:r>
      <w:r w:rsidR="003F2CE9" w:rsidRPr="003F2CE9">
        <w:t>’</w:t>
      </w:r>
      <w:r w:rsidR="002649A5">
        <w:t>,</w:t>
      </w:r>
      <w:r w:rsidR="001E231D" w:rsidRPr="003F2CE9">
        <w:t xml:space="preserve"> </w:t>
      </w:r>
      <w:r w:rsidR="001E231D" w:rsidRPr="003F2CE9">
        <w:rPr>
          <w:i/>
        </w:rPr>
        <w:t>Government Information Quarterly</w:t>
      </w:r>
      <w:r w:rsidR="009E7254">
        <w:rPr>
          <w:i/>
        </w:rPr>
        <w:t xml:space="preserve">, </w:t>
      </w:r>
      <w:r w:rsidR="009E7254" w:rsidRPr="000B64EA">
        <w:t>vol.</w:t>
      </w:r>
      <w:r w:rsidR="001E231D" w:rsidRPr="00592243">
        <w:t xml:space="preserve"> </w:t>
      </w:r>
      <w:r w:rsidR="001E231D" w:rsidRPr="003F2CE9">
        <w:t>21</w:t>
      </w:r>
      <w:r w:rsidR="009E7254">
        <w:t>,</w:t>
      </w:r>
      <w:r w:rsidR="001E231D" w:rsidRPr="003F2CE9">
        <w:t xml:space="preserve"> </w:t>
      </w:r>
      <w:r w:rsidR="00330D5B">
        <w:t xml:space="preserve">pp. </w:t>
      </w:r>
      <w:r w:rsidR="001E231D" w:rsidRPr="003F2CE9">
        <w:t>125</w:t>
      </w:r>
      <w:r w:rsidR="003F2CE9" w:rsidRPr="003F2CE9">
        <w:t>–</w:t>
      </w:r>
      <w:r w:rsidR="001E231D" w:rsidRPr="003F2CE9">
        <w:t>42.</w:t>
      </w:r>
      <w:bookmarkEnd w:id="43"/>
    </w:p>
    <w:p w:rsidR="001E231D" w:rsidRPr="003F2CE9" w:rsidRDefault="00FA7D07" w:rsidP="001E231D">
      <w:pPr>
        <w:pStyle w:val="Reference"/>
      </w:pPr>
      <w:bookmarkStart w:id="44" w:name="_ENREF_21"/>
      <w:r>
        <w:t xml:space="preserve">——, </w:t>
      </w:r>
      <w:r w:rsidR="001E231D" w:rsidRPr="003F2CE9">
        <w:t>Bloomfield</w:t>
      </w:r>
      <w:r w:rsidR="00AD23E1">
        <w:t>, A.</w:t>
      </w:r>
      <w:r w:rsidR="001E231D" w:rsidRPr="003F2CE9">
        <w:t xml:space="preserve">, </w:t>
      </w:r>
      <w:proofErr w:type="spellStart"/>
      <w:r w:rsidR="001E231D" w:rsidRPr="003F2CE9">
        <w:t>Kiro</w:t>
      </w:r>
      <w:proofErr w:type="spellEnd"/>
      <w:r w:rsidR="00AD23E1">
        <w:t>, C.</w:t>
      </w:r>
      <w:r w:rsidR="001E231D" w:rsidRPr="003F2CE9">
        <w:t xml:space="preserve">, </w:t>
      </w:r>
      <w:proofErr w:type="spellStart"/>
      <w:r w:rsidR="001E231D" w:rsidRPr="003F2CE9">
        <w:t>Lavis</w:t>
      </w:r>
      <w:proofErr w:type="spellEnd"/>
      <w:r w:rsidR="00AD23E1">
        <w:t>, J.</w:t>
      </w:r>
      <w:r w:rsidR="001E231D" w:rsidRPr="003F2CE9">
        <w:t xml:space="preserve"> and Ross</w:t>
      </w:r>
      <w:r w:rsidR="00AD23E1">
        <w:t xml:space="preserve"> S</w:t>
      </w:r>
      <w:r w:rsidR="001E231D" w:rsidRPr="003F2CE9">
        <w:t>. 2006</w:t>
      </w:r>
      <w:r w:rsidR="00330D5B">
        <w:t>,</w:t>
      </w:r>
      <w:r w:rsidR="001E231D" w:rsidRPr="003F2CE9">
        <w:t xml:space="preserve"> </w:t>
      </w:r>
      <w:r w:rsidR="003F2CE9" w:rsidRPr="003F2CE9">
        <w:t>‘</w:t>
      </w:r>
      <w:r w:rsidR="001E231D" w:rsidRPr="003F2CE9">
        <w:t>Conceptions and uses of public health ideas by New Zealand government policymakers: report on a five-agency survey</w:t>
      </w:r>
      <w:r w:rsidR="003F2CE9" w:rsidRPr="003F2CE9">
        <w:t>’</w:t>
      </w:r>
      <w:r>
        <w:t>,</w:t>
      </w:r>
      <w:r w:rsidR="001E231D" w:rsidRPr="003F2CE9">
        <w:t xml:space="preserve"> </w:t>
      </w:r>
      <w:r w:rsidR="001E231D" w:rsidRPr="003F2CE9">
        <w:rPr>
          <w:i/>
        </w:rPr>
        <w:t>Public Health</w:t>
      </w:r>
      <w:r w:rsidR="009E7254">
        <w:rPr>
          <w:i/>
        </w:rPr>
        <w:t>,</w:t>
      </w:r>
      <w:r w:rsidR="001E231D" w:rsidRPr="003F2CE9">
        <w:t xml:space="preserve"> </w:t>
      </w:r>
      <w:r w:rsidR="009E7254">
        <w:t xml:space="preserve">vol. </w:t>
      </w:r>
      <w:r w:rsidR="001E231D" w:rsidRPr="003F2CE9">
        <w:t>120</w:t>
      </w:r>
      <w:r w:rsidR="009E7254">
        <w:t>,</w:t>
      </w:r>
      <w:r w:rsidR="001E231D" w:rsidRPr="003F2CE9">
        <w:t xml:space="preserve"> </w:t>
      </w:r>
      <w:r w:rsidR="00330D5B">
        <w:t xml:space="preserve">pp. </w:t>
      </w:r>
      <w:r w:rsidR="001E231D" w:rsidRPr="003F2CE9">
        <w:t>283</w:t>
      </w:r>
      <w:r w:rsidR="003F2CE9" w:rsidRPr="003F2CE9">
        <w:t>–</w:t>
      </w:r>
      <w:r w:rsidR="001E231D" w:rsidRPr="003F2CE9">
        <w:t>9.</w:t>
      </w:r>
      <w:bookmarkEnd w:id="44"/>
    </w:p>
    <w:p w:rsidR="001E231D" w:rsidRPr="003F2CE9" w:rsidRDefault="001E231D" w:rsidP="001E231D">
      <w:pPr>
        <w:pStyle w:val="Reference"/>
      </w:pPr>
      <w:bookmarkStart w:id="45" w:name="_ENREF_22"/>
      <w:proofErr w:type="spellStart"/>
      <w:r w:rsidRPr="003F2CE9">
        <w:t>Gluckman</w:t>
      </w:r>
      <w:proofErr w:type="spellEnd"/>
      <w:r w:rsidRPr="003F2CE9">
        <w:t>, P. 2011</w:t>
      </w:r>
      <w:r w:rsidR="00330D5B">
        <w:t>,</w:t>
      </w:r>
      <w:r w:rsidRPr="003F2CE9">
        <w:t xml:space="preserve"> </w:t>
      </w:r>
      <w:r w:rsidRPr="003F2CE9">
        <w:rPr>
          <w:i/>
        </w:rPr>
        <w:t xml:space="preserve">Towards </w:t>
      </w:r>
      <w:r w:rsidR="00FA7D07" w:rsidRPr="003F2CE9">
        <w:rPr>
          <w:i/>
        </w:rPr>
        <w:t xml:space="preserve">Better Use </w:t>
      </w:r>
      <w:r w:rsidRPr="003F2CE9">
        <w:rPr>
          <w:i/>
        </w:rPr>
        <w:t xml:space="preserve">of </w:t>
      </w:r>
      <w:r w:rsidR="00FA7D07" w:rsidRPr="003F2CE9">
        <w:rPr>
          <w:i/>
        </w:rPr>
        <w:t xml:space="preserve">Evidence </w:t>
      </w:r>
      <w:r w:rsidRPr="003F2CE9">
        <w:rPr>
          <w:i/>
        </w:rPr>
        <w:t xml:space="preserve">in </w:t>
      </w:r>
      <w:r w:rsidR="00FA7D07" w:rsidRPr="003F2CE9">
        <w:rPr>
          <w:i/>
        </w:rPr>
        <w:t>Policy Formation</w:t>
      </w:r>
      <w:r w:rsidRPr="003F2CE9">
        <w:rPr>
          <w:i/>
        </w:rPr>
        <w:t xml:space="preserve">: </w:t>
      </w:r>
      <w:r w:rsidR="00FA7D07" w:rsidRPr="003F2CE9">
        <w:rPr>
          <w:i/>
        </w:rPr>
        <w:t>A Discussion Paper</w:t>
      </w:r>
      <w:r w:rsidR="009E7254">
        <w:t>,</w:t>
      </w:r>
      <w:r w:rsidRPr="003F2CE9">
        <w:t xml:space="preserve"> Office of the Prime Minister</w:t>
      </w:r>
      <w:r w:rsidR="003F2CE9" w:rsidRPr="003F2CE9">
        <w:t>’</w:t>
      </w:r>
      <w:r w:rsidRPr="003F2CE9">
        <w:t>s Science Advisory Com</w:t>
      </w:r>
      <w:r w:rsidR="009E7254">
        <w:t>m</w:t>
      </w:r>
      <w:r w:rsidRPr="003F2CE9">
        <w:t>ittee</w:t>
      </w:r>
      <w:r w:rsidR="009E7254">
        <w:t>, Wellington</w:t>
      </w:r>
      <w:r w:rsidRPr="003F2CE9">
        <w:t>.</w:t>
      </w:r>
      <w:bookmarkEnd w:id="45"/>
    </w:p>
    <w:p w:rsidR="001E231D" w:rsidRPr="003F2CE9" w:rsidRDefault="001E231D" w:rsidP="001E231D">
      <w:pPr>
        <w:pStyle w:val="Reference"/>
      </w:pPr>
      <w:bookmarkStart w:id="46" w:name="_ENREF_23"/>
      <w:r w:rsidRPr="003F2CE9">
        <w:lastRenderedPageBreak/>
        <w:t>Hague, K. 1989</w:t>
      </w:r>
      <w:r w:rsidR="00330D5B">
        <w:t>,</w:t>
      </w:r>
      <w:r w:rsidRPr="003F2CE9">
        <w:t xml:space="preserve"> </w:t>
      </w:r>
      <w:r w:rsidR="003F2CE9" w:rsidRPr="003F2CE9">
        <w:t>‘</w:t>
      </w:r>
      <w:r w:rsidRPr="003F2CE9">
        <w:t>Recent moves by the state</w:t>
      </w:r>
      <w:r w:rsidR="003F2CE9" w:rsidRPr="003F2CE9">
        <w:t>’</w:t>
      </w:r>
      <w:r w:rsidR="009E7254">
        <w:t>,</w:t>
      </w:r>
      <w:r w:rsidR="000B64EA">
        <w:t xml:space="preserve"> </w:t>
      </w:r>
      <w:r w:rsidRPr="003F2CE9">
        <w:rPr>
          <w:i/>
        </w:rPr>
        <w:t>Honouring the Treaty: An Introduction for Pakeha to the Treaty of Waitangi</w:t>
      </w:r>
      <w:r w:rsidRPr="003F2CE9">
        <w:t xml:space="preserve">, </w:t>
      </w:r>
      <w:proofErr w:type="spellStart"/>
      <w:r w:rsidRPr="003F2CE9">
        <w:t>Yensen</w:t>
      </w:r>
      <w:proofErr w:type="spellEnd"/>
      <w:r w:rsidR="009E7254">
        <w:t>, H.</w:t>
      </w:r>
      <w:r w:rsidRPr="003F2CE9">
        <w:t>, Hague</w:t>
      </w:r>
      <w:r w:rsidR="009E7254">
        <w:t>, K.</w:t>
      </w:r>
      <w:r w:rsidRPr="003F2CE9">
        <w:t xml:space="preserve"> and </w:t>
      </w:r>
      <w:proofErr w:type="spellStart"/>
      <w:r w:rsidRPr="003F2CE9">
        <w:t>McCreanor</w:t>
      </w:r>
      <w:proofErr w:type="spellEnd"/>
      <w:r w:rsidR="009E7254">
        <w:t>, T. (</w:t>
      </w:r>
      <w:proofErr w:type="spellStart"/>
      <w:r w:rsidR="009E7254">
        <w:t>eds</w:t>
      </w:r>
      <w:proofErr w:type="spellEnd"/>
      <w:r w:rsidR="009E7254">
        <w:t xml:space="preserve">), Penguin Books, </w:t>
      </w:r>
      <w:r w:rsidRPr="003F2CE9">
        <w:t>Auckland.</w:t>
      </w:r>
      <w:bookmarkEnd w:id="46"/>
    </w:p>
    <w:p w:rsidR="001E231D" w:rsidRPr="003F2CE9" w:rsidRDefault="001E231D" w:rsidP="001E231D">
      <w:pPr>
        <w:pStyle w:val="Reference"/>
      </w:pPr>
      <w:bookmarkStart w:id="47" w:name="_ENREF_24"/>
      <w:r w:rsidRPr="003F2CE9">
        <w:t>Health Promotion Forum 2002</w:t>
      </w:r>
      <w:r w:rsidR="00AD23E1">
        <w:t>,</w:t>
      </w:r>
      <w:r w:rsidRPr="003F2CE9">
        <w:t xml:space="preserve"> </w:t>
      </w:r>
      <w:proofErr w:type="spellStart"/>
      <w:r w:rsidRPr="003F2CE9">
        <w:rPr>
          <w:i/>
        </w:rPr>
        <w:t>TUHA</w:t>
      </w:r>
      <w:proofErr w:type="spellEnd"/>
      <w:r w:rsidRPr="003F2CE9">
        <w:rPr>
          <w:i/>
        </w:rPr>
        <w:t xml:space="preserve">-NZ: A Treaty Understanding of </w:t>
      </w:r>
      <w:proofErr w:type="spellStart"/>
      <w:r w:rsidRPr="003F2CE9">
        <w:rPr>
          <w:i/>
        </w:rPr>
        <w:t>Hauora</w:t>
      </w:r>
      <w:proofErr w:type="spellEnd"/>
      <w:r w:rsidRPr="003F2CE9">
        <w:rPr>
          <w:i/>
        </w:rPr>
        <w:t xml:space="preserve"> in Aotearoa </w:t>
      </w:r>
      <w:r w:rsidR="003F2CE9" w:rsidRPr="003F2CE9">
        <w:rPr>
          <w:i/>
        </w:rPr>
        <w:t>—</w:t>
      </w:r>
      <w:r w:rsidRPr="003F2CE9">
        <w:rPr>
          <w:i/>
        </w:rPr>
        <w:t xml:space="preserve"> New Zealand</w:t>
      </w:r>
      <w:r w:rsidR="00F32742">
        <w:t xml:space="preserve"> </w:t>
      </w:r>
      <w:r w:rsidRPr="003F2CE9">
        <w:t>2002</w:t>
      </w:r>
      <w:r w:rsidR="009E7254">
        <w:t>,</w:t>
      </w:r>
      <w:r w:rsidRPr="003F2CE9">
        <w:t xml:space="preserve"> </w:t>
      </w:r>
      <w:r w:rsidR="009E7254">
        <w:t>a</w:t>
      </w:r>
      <w:r w:rsidRPr="003F2CE9">
        <w:t xml:space="preserve">vailable from </w:t>
      </w:r>
      <w:r w:rsidR="00FA7D07" w:rsidRPr="00143602">
        <w:t>http://</w:t>
      </w:r>
      <w:proofErr w:type="spellStart"/>
      <w:r w:rsidR="00FA7D07" w:rsidRPr="00143602">
        <w:t>www.hpforum.org.nz</w:t>
      </w:r>
      <w:proofErr w:type="spellEnd"/>
      <w:r w:rsidR="00FA7D07" w:rsidRPr="00143602">
        <w:t>/</w:t>
      </w:r>
      <w:proofErr w:type="spellStart"/>
      <w:r w:rsidR="00FA7D07" w:rsidRPr="00143602">
        <w:t>Tuha-nz.pdf</w:t>
      </w:r>
      <w:proofErr w:type="spellEnd"/>
      <w:r w:rsidR="00FA7D07">
        <w:t>, (accessed 4 March 2011)</w:t>
      </w:r>
      <w:r w:rsidRPr="003F2CE9">
        <w:t>.</w:t>
      </w:r>
      <w:bookmarkEnd w:id="47"/>
    </w:p>
    <w:p w:rsidR="001E231D" w:rsidRPr="003F2CE9" w:rsidRDefault="001E231D" w:rsidP="001E231D">
      <w:pPr>
        <w:pStyle w:val="Reference"/>
      </w:pPr>
      <w:bookmarkStart w:id="48" w:name="_ENREF_25"/>
      <w:r w:rsidRPr="003F2CE9">
        <w:t>Health Research Council 1998</w:t>
      </w:r>
      <w:r w:rsidR="00330D5B">
        <w:t>,</w:t>
      </w:r>
      <w:r w:rsidRPr="003F2CE9">
        <w:t xml:space="preserve"> </w:t>
      </w:r>
      <w:r w:rsidRPr="003F2CE9">
        <w:rPr>
          <w:i/>
        </w:rPr>
        <w:t xml:space="preserve">Guidelines for Researchers on Health Research Involving </w:t>
      </w:r>
      <w:r w:rsidR="00E52F9C">
        <w:rPr>
          <w:i/>
        </w:rPr>
        <w:t>Māori</w:t>
      </w:r>
      <w:r w:rsidRPr="003F2CE9">
        <w:rPr>
          <w:i/>
        </w:rPr>
        <w:t xml:space="preserve"> 1998</w:t>
      </w:r>
      <w:r w:rsidR="009E7254">
        <w:t>,</w:t>
      </w:r>
      <w:r w:rsidRPr="003F2CE9">
        <w:t xml:space="preserve"> Health Research Council of New Zealand</w:t>
      </w:r>
      <w:r w:rsidR="009E7254">
        <w:t>, Auckland</w:t>
      </w:r>
      <w:r w:rsidRPr="003F2CE9">
        <w:t>.</w:t>
      </w:r>
      <w:bookmarkEnd w:id="48"/>
    </w:p>
    <w:p w:rsidR="001E231D" w:rsidRPr="003F2CE9" w:rsidRDefault="00FA7D07" w:rsidP="001E231D">
      <w:pPr>
        <w:pStyle w:val="Reference"/>
      </w:pPr>
      <w:bookmarkStart w:id="49" w:name="_ENREF_26"/>
      <w:r>
        <w:t>——</w:t>
      </w:r>
      <w:r w:rsidR="001E231D" w:rsidRPr="003F2CE9">
        <w:t xml:space="preserve"> 2006</w:t>
      </w:r>
      <w:r w:rsidR="00D26AB5">
        <w:t>,</w:t>
      </w:r>
      <w:r w:rsidR="001E231D" w:rsidRPr="003F2CE9">
        <w:t xml:space="preserve"> </w:t>
      </w:r>
      <w:proofErr w:type="spellStart"/>
      <w:r w:rsidR="001E231D" w:rsidRPr="003F2CE9">
        <w:rPr>
          <w:i/>
        </w:rPr>
        <w:t>HRC</w:t>
      </w:r>
      <w:proofErr w:type="spellEnd"/>
      <w:r w:rsidR="001E231D" w:rsidRPr="003F2CE9">
        <w:rPr>
          <w:i/>
        </w:rPr>
        <w:t xml:space="preserve"> Research Portfolio Strategy: </w:t>
      </w:r>
      <w:proofErr w:type="spellStart"/>
      <w:r w:rsidR="001E231D" w:rsidRPr="003F2CE9">
        <w:rPr>
          <w:i/>
        </w:rPr>
        <w:t>Rangahau</w:t>
      </w:r>
      <w:proofErr w:type="spellEnd"/>
      <w:r w:rsidR="001E231D" w:rsidRPr="003F2CE9">
        <w:rPr>
          <w:i/>
        </w:rPr>
        <w:t xml:space="preserve"> </w:t>
      </w:r>
      <w:proofErr w:type="spellStart"/>
      <w:r w:rsidR="001E231D" w:rsidRPr="003F2CE9">
        <w:rPr>
          <w:i/>
        </w:rPr>
        <w:t>Hauora</w:t>
      </w:r>
      <w:proofErr w:type="spellEnd"/>
      <w:r w:rsidR="001E231D" w:rsidRPr="003F2CE9">
        <w:rPr>
          <w:i/>
        </w:rPr>
        <w:t xml:space="preserve"> </w:t>
      </w:r>
      <w:r w:rsidR="00E52F9C">
        <w:rPr>
          <w:i/>
        </w:rPr>
        <w:t>Māori</w:t>
      </w:r>
      <w:r w:rsidR="001E231D" w:rsidRPr="003F2CE9">
        <w:rPr>
          <w:i/>
        </w:rPr>
        <w:t xml:space="preserve"> Portfolio Strategy</w:t>
      </w:r>
      <w:r w:rsidR="009E7254">
        <w:t>,</w:t>
      </w:r>
      <w:r w:rsidR="001E231D" w:rsidRPr="003F2CE9">
        <w:t xml:space="preserve"> Auckland.</w:t>
      </w:r>
      <w:bookmarkEnd w:id="49"/>
    </w:p>
    <w:p w:rsidR="001E231D" w:rsidRPr="003F2CE9" w:rsidRDefault="001E231D" w:rsidP="001E231D">
      <w:pPr>
        <w:pStyle w:val="Reference"/>
      </w:pPr>
      <w:bookmarkStart w:id="50" w:name="_ENREF_27"/>
      <w:proofErr w:type="spellStart"/>
      <w:r w:rsidRPr="003F2CE9">
        <w:t>Humpage</w:t>
      </w:r>
      <w:proofErr w:type="spellEnd"/>
      <w:r w:rsidRPr="003F2CE9">
        <w:t>, L. 2005</w:t>
      </w:r>
      <w:r w:rsidR="00D26AB5">
        <w:t>,</w:t>
      </w:r>
      <w:r w:rsidRPr="003F2CE9">
        <w:t xml:space="preserve"> </w:t>
      </w:r>
      <w:r w:rsidR="003F2CE9" w:rsidRPr="003F2CE9">
        <w:t>‘</w:t>
      </w:r>
      <w:r w:rsidRPr="003F2CE9">
        <w:t xml:space="preserve">Experimenting with a </w:t>
      </w:r>
      <w:r w:rsidR="00FA7D07">
        <w:t>“</w:t>
      </w:r>
      <w:r w:rsidRPr="003F2CE9">
        <w:t>whole of government</w:t>
      </w:r>
      <w:r w:rsidR="00FA7D07">
        <w:t>”</w:t>
      </w:r>
      <w:r w:rsidRPr="003F2CE9">
        <w:t xml:space="preserve"> approach</w:t>
      </w:r>
      <w:r w:rsidR="003F2CE9" w:rsidRPr="003F2CE9">
        <w:t>’</w:t>
      </w:r>
      <w:r w:rsidR="009E7254">
        <w:t>,</w:t>
      </w:r>
      <w:r w:rsidRPr="003F2CE9">
        <w:t xml:space="preserve"> </w:t>
      </w:r>
      <w:r w:rsidRPr="003F2CE9">
        <w:rPr>
          <w:i/>
        </w:rPr>
        <w:t>Policy Studies</w:t>
      </w:r>
      <w:r w:rsidR="009E7254">
        <w:rPr>
          <w:i/>
        </w:rPr>
        <w:t>,</w:t>
      </w:r>
      <w:r w:rsidRPr="003F2CE9">
        <w:t xml:space="preserve"> </w:t>
      </w:r>
      <w:r w:rsidR="009E7254">
        <w:t xml:space="preserve">vol. </w:t>
      </w:r>
      <w:r w:rsidRPr="003F2CE9">
        <w:t>26</w:t>
      </w:r>
      <w:r w:rsidR="009E7254">
        <w:t>,</w:t>
      </w:r>
      <w:r w:rsidRPr="003F2CE9">
        <w:t xml:space="preserve"> </w:t>
      </w:r>
      <w:r w:rsidR="009E7254">
        <w:t xml:space="preserve">no. </w:t>
      </w:r>
      <w:r w:rsidRPr="003F2CE9">
        <w:t>1</w:t>
      </w:r>
      <w:r w:rsidR="009E7254">
        <w:t>,</w:t>
      </w:r>
      <w:r w:rsidRPr="003F2CE9">
        <w:t xml:space="preserve"> </w:t>
      </w:r>
      <w:r w:rsidR="00D26AB5">
        <w:t xml:space="preserve">pp. </w:t>
      </w:r>
      <w:r w:rsidRPr="003F2CE9">
        <w:t>47</w:t>
      </w:r>
      <w:r w:rsidR="003F2CE9" w:rsidRPr="003F2CE9">
        <w:t>–</w:t>
      </w:r>
      <w:r w:rsidRPr="003F2CE9">
        <w:t>66.</w:t>
      </w:r>
      <w:bookmarkEnd w:id="50"/>
    </w:p>
    <w:p w:rsidR="001E231D" w:rsidRPr="003F2CE9" w:rsidRDefault="001E231D" w:rsidP="001E231D">
      <w:pPr>
        <w:pStyle w:val="Reference"/>
      </w:pPr>
      <w:bookmarkStart w:id="51" w:name="_ENREF_28"/>
      <w:r w:rsidRPr="003F2CE9">
        <w:t>Irwin, K. 1994</w:t>
      </w:r>
      <w:r w:rsidR="00D26AB5">
        <w:t>,</w:t>
      </w:r>
      <w:r w:rsidRPr="003F2CE9">
        <w:t xml:space="preserve"> </w:t>
      </w:r>
      <w:r w:rsidR="003F2CE9" w:rsidRPr="003F2CE9">
        <w:t>‘</w:t>
      </w:r>
      <w:r w:rsidR="00E52F9C">
        <w:t>Māori</w:t>
      </w:r>
      <w:r w:rsidRPr="003F2CE9">
        <w:t xml:space="preserve"> research methods and processes: an exploration</w:t>
      </w:r>
      <w:r w:rsidR="003F2CE9" w:rsidRPr="003F2CE9">
        <w:t>’</w:t>
      </w:r>
      <w:r w:rsidR="009E7254">
        <w:t>,</w:t>
      </w:r>
      <w:r w:rsidRPr="003F2CE9">
        <w:t xml:space="preserve"> </w:t>
      </w:r>
      <w:r w:rsidR="000B64EA">
        <w:rPr>
          <w:i/>
        </w:rPr>
        <w:t>Sites</w:t>
      </w:r>
      <w:r w:rsidR="009E7254">
        <w:rPr>
          <w:i/>
        </w:rPr>
        <w:t>,</w:t>
      </w:r>
      <w:r w:rsidRPr="003F2CE9">
        <w:t xml:space="preserve"> </w:t>
      </w:r>
      <w:r w:rsidR="009E7254">
        <w:t>vol.</w:t>
      </w:r>
      <w:r w:rsidR="000B64EA">
        <w:t> </w:t>
      </w:r>
      <w:r w:rsidRPr="003F2CE9">
        <w:t>28</w:t>
      </w:r>
      <w:r w:rsidR="009E7254">
        <w:t>,</w:t>
      </w:r>
      <w:r w:rsidRPr="003F2CE9">
        <w:t xml:space="preserve"> </w:t>
      </w:r>
      <w:r w:rsidR="00D26AB5">
        <w:t xml:space="preserve">pp. </w:t>
      </w:r>
      <w:r w:rsidRPr="003F2CE9">
        <w:t>25</w:t>
      </w:r>
      <w:r w:rsidR="003F2CE9" w:rsidRPr="003F2CE9">
        <w:t>–</w:t>
      </w:r>
      <w:r w:rsidRPr="003F2CE9">
        <w:t>43.</w:t>
      </w:r>
      <w:bookmarkEnd w:id="51"/>
    </w:p>
    <w:p w:rsidR="001E231D" w:rsidRPr="003F2CE9" w:rsidRDefault="001E231D" w:rsidP="001E231D">
      <w:pPr>
        <w:pStyle w:val="Reference"/>
      </w:pPr>
      <w:bookmarkStart w:id="52" w:name="_ENREF_29"/>
      <w:r w:rsidRPr="003F2CE9">
        <w:t>James, B. 1997</w:t>
      </w:r>
      <w:r w:rsidR="00D26AB5">
        <w:t>,</w:t>
      </w:r>
      <w:r w:rsidRPr="003F2CE9">
        <w:t xml:space="preserve"> </w:t>
      </w:r>
      <w:r w:rsidR="00FB13BC" w:rsidRPr="000B64EA">
        <w:rPr>
          <w:i/>
        </w:rPr>
        <w:t xml:space="preserve">Social Policy in Aotearoa New Zealand: A Critical </w:t>
      </w:r>
      <w:r w:rsidR="007510AF" w:rsidRPr="007510AF">
        <w:rPr>
          <w:i/>
        </w:rPr>
        <w:t>Introduction</w:t>
      </w:r>
      <w:r w:rsidRPr="003F2CE9">
        <w:t xml:space="preserve">, by Christine </w:t>
      </w:r>
      <w:proofErr w:type="spellStart"/>
      <w:r w:rsidRPr="003F2CE9">
        <w:t>Cheyne</w:t>
      </w:r>
      <w:proofErr w:type="spellEnd"/>
      <w:r w:rsidRPr="003F2CE9">
        <w:t>, Mike O</w:t>
      </w:r>
      <w:r w:rsidR="003F2CE9" w:rsidRPr="003F2CE9">
        <w:t>’</w:t>
      </w:r>
      <w:r w:rsidRPr="003F2CE9">
        <w:t>Brien and Michael Belgrave [Book review]</w:t>
      </w:r>
      <w:r w:rsidR="009E7254">
        <w:t>,</w:t>
      </w:r>
      <w:r w:rsidRPr="003F2CE9">
        <w:t xml:space="preserve"> </w:t>
      </w:r>
      <w:r w:rsidRPr="003F2CE9">
        <w:rPr>
          <w:i/>
        </w:rPr>
        <w:t>Social Policy Journal of New Zealand</w:t>
      </w:r>
      <w:r w:rsidR="009E7254">
        <w:rPr>
          <w:i/>
        </w:rPr>
        <w:t>,</w:t>
      </w:r>
      <w:r w:rsidRPr="003F2CE9">
        <w:t xml:space="preserve"> </w:t>
      </w:r>
      <w:r w:rsidR="002C7707" w:rsidRPr="00BF4FBD">
        <w:t>p. 9,</w:t>
      </w:r>
      <w:r w:rsidRPr="003F2CE9">
        <w:t xml:space="preserve"> </w:t>
      </w:r>
      <w:r w:rsidRPr="006A46BC">
        <w:t>www.msd.govt.nz/about-msd-and-our-work/publications-resources/journals-and-magazines/social-policy-journal/spj09</w:t>
      </w:r>
      <w:r w:rsidRPr="003F2CE9">
        <w:t>.</w:t>
      </w:r>
      <w:bookmarkEnd w:id="52"/>
    </w:p>
    <w:p w:rsidR="001E231D" w:rsidRPr="003F2CE9" w:rsidRDefault="001E231D" w:rsidP="001E231D">
      <w:pPr>
        <w:pStyle w:val="Reference"/>
      </w:pPr>
      <w:bookmarkStart w:id="53" w:name="_ENREF_30"/>
      <w:r w:rsidRPr="003F2CE9">
        <w:t>Kawakami, A., Aton</w:t>
      </w:r>
      <w:r w:rsidR="00AD23E1">
        <w:t>, K.</w:t>
      </w:r>
      <w:r w:rsidRPr="003F2CE9">
        <w:t>, Cram</w:t>
      </w:r>
      <w:r w:rsidR="00AD23E1">
        <w:t>, F.</w:t>
      </w:r>
      <w:r w:rsidRPr="003F2CE9">
        <w:t>, Lai</w:t>
      </w:r>
      <w:r w:rsidR="00AD23E1">
        <w:t>, M.</w:t>
      </w:r>
      <w:r w:rsidRPr="003F2CE9">
        <w:t xml:space="preserve"> and </w:t>
      </w:r>
      <w:proofErr w:type="spellStart"/>
      <w:r w:rsidRPr="003F2CE9">
        <w:t>Porima</w:t>
      </w:r>
      <w:proofErr w:type="spellEnd"/>
      <w:r w:rsidR="00AD23E1">
        <w:t xml:space="preserve"> L</w:t>
      </w:r>
      <w:r w:rsidRPr="003F2CE9">
        <w:t>. 2007</w:t>
      </w:r>
      <w:r w:rsidR="00D26AB5">
        <w:t>,</w:t>
      </w:r>
      <w:r w:rsidRPr="003F2CE9">
        <w:t xml:space="preserve"> </w:t>
      </w:r>
      <w:r w:rsidR="003F2CE9" w:rsidRPr="003F2CE9">
        <w:t>‘</w:t>
      </w:r>
      <w:r w:rsidRPr="003F2CE9">
        <w:t xml:space="preserve">Improving the practice of evaluation through indigenous values and methods: </w:t>
      </w:r>
      <w:r w:rsidR="007510AF">
        <w:t>d</w:t>
      </w:r>
      <w:r w:rsidRPr="003F2CE9">
        <w:t xml:space="preserve">ecolonizing evaluation practice </w:t>
      </w:r>
      <w:r w:rsidR="003F2CE9" w:rsidRPr="003F2CE9">
        <w:rPr>
          <w:lang w:eastAsia="en-NZ"/>
        </w:rPr>
        <w:t>—</w:t>
      </w:r>
      <w:r w:rsidRPr="003F2CE9">
        <w:t xml:space="preserve"> returning the gaze from Hawai</w:t>
      </w:r>
      <w:r w:rsidR="003F2CE9" w:rsidRPr="003F2CE9">
        <w:t>’</w:t>
      </w:r>
      <w:r w:rsidRPr="003F2CE9">
        <w:t>i and Aotearoa</w:t>
      </w:r>
      <w:r w:rsidR="003F2CE9" w:rsidRPr="003F2CE9">
        <w:t>’</w:t>
      </w:r>
      <w:r w:rsidR="00BF4FBD">
        <w:t>,</w:t>
      </w:r>
      <w:r w:rsidRPr="003F2CE9">
        <w:t xml:space="preserve"> </w:t>
      </w:r>
      <w:proofErr w:type="spellStart"/>
      <w:r w:rsidRPr="003F2CE9">
        <w:rPr>
          <w:i/>
        </w:rPr>
        <w:t>Hulili</w:t>
      </w:r>
      <w:proofErr w:type="spellEnd"/>
      <w:r w:rsidRPr="003F2CE9">
        <w:rPr>
          <w:i/>
        </w:rPr>
        <w:t>: Multidisciplinary Research on Hawaiian Well-being</w:t>
      </w:r>
      <w:r w:rsidR="007510AF">
        <w:rPr>
          <w:i/>
        </w:rPr>
        <w:t>,</w:t>
      </w:r>
      <w:r w:rsidRPr="003F2CE9">
        <w:t xml:space="preserve"> </w:t>
      </w:r>
      <w:r w:rsidR="00BF4FBD">
        <w:t xml:space="preserve">vol. </w:t>
      </w:r>
      <w:r w:rsidRPr="003F2CE9">
        <w:t>4</w:t>
      </w:r>
      <w:r w:rsidR="00BF4FBD">
        <w:t>, no.</w:t>
      </w:r>
      <w:r w:rsidRPr="003F2CE9">
        <w:t xml:space="preserve"> 1</w:t>
      </w:r>
      <w:r w:rsidR="00BF4FBD">
        <w:t>,</w:t>
      </w:r>
      <w:r w:rsidRPr="003F2CE9">
        <w:t xml:space="preserve"> </w:t>
      </w:r>
      <w:r w:rsidR="00D26AB5">
        <w:t xml:space="preserve">pp. </w:t>
      </w:r>
      <w:r w:rsidRPr="003F2CE9">
        <w:t>319</w:t>
      </w:r>
      <w:r w:rsidR="003F2CE9" w:rsidRPr="003F2CE9">
        <w:t>–</w:t>
      </w:r>
      <w:r w:rsidRPr="003F2CE9">
        <w:t>48.</w:t>
      </w:r>
      <w:bookmarkEnd w:id="53"/>
    </w:p>
    <w:p w:rsidR="001E231D" w:rsidRPr="003F2CE9" w:rsidRDefault="001E231D" w:rsidP="001E231D">
      <w:pPr>
        <w:pStyle w:val="Reference"/>
      </w:pPr>
      <w:bookmarkStart w:id="54" w:name="_ENREF_31"/>
      <w:proofErr w:type="spellStart"/>
      <w:r w:rsidRPr="003F2CE9">
        <w:t>Keiha</w:t>
      </w:r>
      <w:proofErr w:type="spellEnd"/>
      <w:r w:rsidRPr="003F2CE9">
        <w:t>, P. and Moon</w:t>
      </w:r>
      <w:r w:rsidR="00AD23E1">
        <w:t>, P</w:t>
      </w:r>
      <w:r w:rsidRPr="003F2CE9">
        <w:t>. 2008</w:t>
      </w:r>
      <w:r w:rsidR="00D26AB5">
        <w:t>,</w:t>
      </w:r>
      <w:r w:rsidRPr="003F2CE9">
        <w:t xml:space="preserve"> </w:t>
      </w:r>
      <w:r w:rsidR="003F2CE9" w:rsidRPr="003F2CE9">
        <w:t>‘</w:t>
      </w:r>
      <w:r w:rsidRPr="003F2CE9">
        <w:t xml:space="preserve">The </w:t>
      </w:r>
      <w:r w:rsidR="00BF4FBD">
        <w:t>e</w:t>
      </w:r>
      <w:r w:rsidRPr="003F2CE9">
        <w:t xml:space="preserve">mergence and </w:t>
      </w:r>
      <w:r w:rsidR="00BF4FBD">
        <w:t>e</w:t>
      </w:r>
      <w:r w:rsidRPr="003F2CE9">
        <w:t xml:space="preserve">volution of </w:t>
      </w:r>
      <w:r w:rsidR="00BF4FBD">
        <w:t>u</w:t>
      </w:r>
      <w:r w:rsidRPr="003F2CE9">
        <w:t xml:space="preserve">rban </w:t>
      </w:r>
      <w:r w:rsidR="00E52F9C">
        <w:t>Māori</w:t>
      </w:r>
      <w:r w:rsidRPr="003F2CE9">
        <w:t xml:space="preserve"> </w:t>
      </w:r>
      <w:r w:rsidR="00BF4FBD">
        <w:t>a</w:t>
      </w:r>
      <w:r w:rsidRPr="003F2CE9">
        <w:t xml:space="preserve">uthorities: </w:t>
      </w:r>
      <w:r w:rsidR="00BF4FBD">
        <w:t>a</w:t>
      </w:r>
      <w:r w:rsidRPr="003F2CE9">
        <w:t xml:space="preserve"> </w:t>
      </w:r>
      <w:r w:rsidR="00BF4FBD">
        <w:t>r</w:t>
      </w:r>
      <w:r w:rsidRPr="003F2CE9">
        <w:t xml:space="preserve">esponse to </w:t>
      </w:r>
      <w:r w:rsidR="00E52F9C">
        <w:t>Māori</w:t>
      </w:r>
      <w:r w:rsidRPr="003F2CE9">
        <w:t xml:space="preserve"> </w:t>
      </w:r>
      <w:r w:rsidR="00BF4FBD">
        <w:t>u</w:t>
      </w:r>
      <w:r w:rsidRPr="003F2CE9">
        <w:t>rbanisation</w:t>
      </w:r>
      <w:r w:rsidR="003F2CE9" w:rsidRPr="003F2CE9">
        <w:t>’</w:t>
      </w:r>
      <w:r w:rsidR="00BF4FBD">
        <w:t>,</w:t>
      </w:r>
      <w:r w:rsidRPr="003F2CE9">
        <w:t xml:space="preserve"> </w:t>
      </w:r>
      <w:proofErr w:type="spellStart"/>
      <w:r w:rsidRPr="003F2CE9">
        <w:rPr>
          <w:i/>
        </w:rPr>
        <w:t>Te</w:t>
      </w:r>
      <w:proofErr w:type="spellEnd"/>
      <w:r w:rsidRPr="003F2CE9">
        <w:rPr>
          <w:i/>
        </w:rPr>
        <w:t xml:space="preserve"> </w:t>
      </w:r>
      <w:proofErr w:type="spellStart"/>
      <w:r w:rsidRPr="003F2CE9">
        <w:rPr>
          <w:i/>
        </w:rPr>
        <w:t>Kaharoa</w:t>
      </w:r>
      <w:proofErr w:type="spellEnd"/>
      <w:r w:rsidR="00BF4FBD">
        <w:rPr>
          <w:i/>
        </w:rPr>
        <w:t xml:space="preserve">, </w:t>
      </w:r>
      <w:r w:rsidR="00FB13BC" w:rsidRPr="000B64EA">
        <w:t>vol.</w:t>
      </w:r>
      <w:r w:rsidRPr="00BF4FBD">
        <w:t xml:space="preserve"> </w:t>
      </w:r>
      <w:r w:rsidRPr="003F2CE9">
        <w:t>1</w:t>
      </w:r>
      <w:r w:rsidR="00BF4FBD">
        <w:t xml:space="preserve">, no. 1, </w:t>
      </w:r>
      <w:r w:rsidR="000B64EA">
        <w:br/>
      </w:r>
      <w:r w:rsidR="00D26AB5">
        <w:t xml:space="preserve">pp. </w:t>
      </w:r>
      <w:r w:rsidRPr="003F2CE9">
        <w:t>1</w:t>
      </w:r>
      <w:r w:rsidR="003F2CE9" w:rsidRPr="003F2CE9">
        <w:t>–</w:t>
      </w:r>
      <w:r w:rsidRPr="003F2CE9">
        <w:t>17.</w:t>
      </w:r>
      <w:bookmarkEnd w:id="54"/>
    </w:p>
    <w:p w:rsidR="001E231D" w:rsidRPr="003F2CE9" w:rsidRDefault="001E231D" w:rsidP="001E231D">
      <w:pPr>
        <w:pStyle w:val="Reference"/>
      </w:pPr>
      <w:bookmarkStart w:id="55" w:name="_ENREF_32"/>
      <w:r w:rsidRPr="003F2CE9">
        <w:t>Kerr-Brown, S. 2011</w:t>
      </w:r>
      <w:r w:rsidR="00D26AB5">
        <w:t>,</w:t>
      </w:r>
      <w:r w:rsidRPr="003F2CE9">
        <w:t xml:space="preserve"> </w:t>
      </w:r>
      <w:r w:rsidR="00FB13BC" w:rsidRPr="000B64EA">
        <w:t xml:space="preserve">Searching for good evaluation: a </w:t>
      </w:r>
      <w:proofErr w:type="spellStart"/>
      <w:r w:rsidR="00FB13BC" w:rsidRPr="000B64EA">
        <w:t>hikoi</w:t>
      </w:r>
      <w:proofErr w:type="spellEnd"/>
      <w:r w:rsidR="00BF4FBD">
        <w:t>,</w:t>
      </w:r>
      <w:r w:rsidRPr="003F2CE9">
        <w:t xml:space="preserve"> thesis submitted for the degree of Doctor of Philosophy in Public Policy, Massey University.</w:t>
      </w:r>
      <w:bookmarkEnd w:id="55"/>
    </w:p>
    <w:p w:rsidR="001E231D" w:rsidRPr="003F2CE9" w:rsidRDefault="001E231D" w:rsidP="001E231D">
      <w:pPr>
        <w:pStyle w:val="Reference"/>
      </w:pPr>
      <w:bookmarkStart w:id="56" w:name="_ENREF_33"/>
      <w:r w:rsidRPr="003F2CE9">
        <w:t>Kerr, S</w:t>
      </w:r>
      <w:r w:rsidR="005D0A0B">
        <w:t>.</w:t>
      </w:r>
      <w:r w:rsidRPr="003F2CE9">
        <w:t xml:space="preserve"> and </w:t>
      </w:r>
      <w:proofErr w:type="spellStart"/>
      <w:r w:rsidRPr="003F2CE9">
        <w:t>Moewaka</w:t>
      </w:r>
      <w:proofErr w:type="spellEnd"/>
      <w:r w:rsidRPr="003F2CE9">
        <w:t xml:space="preserve"> Barnes</w:t>
      </w:r>
      <w:r w:rsidR="00AF4140">
        <w:t xml:space="preserve">, </w:t>
      </w:r>
      <w:r w:rsidR="00AF4140" w:rsidRPr="003F2CE9">
        <w:t>H.</w:t>
      </w:r>
      <w:r w:rsidRPr="003F2CE9">
        <w:t xml:space="preserve"> 2012</w:t>
      </w:r>
      <w:r w:rsidR="00D26AB5">
        <w:t>,</w:t>
      </w:r>
      <w:r w:rsidRPr="003F2CE9">
        <w:t xml:space="preserve"> </w:t>
      </w:r>
      <w:r w:rsidR="003F2CE9" w:rsidRPr="003F2CE9">
        <w:t>‘</w:t>
      </w:r>
      <w:r w:rsidRPr="003F2CE9">
        <w:t>Planning and Evaluation: a model for Aotearoa New Zealand</w:t>
      </w:r>
      <w:r w:rsidR="003F2CE9" w:rsidRPr="003F2CE9">
        <w:t>’</w:t>
      </w:r>
      <w:r w:rsidR="00BF4FBD">
        <w:t>,</w:t>
      </w:r>
      <w:r w:rsidRPr="003F2CE9">
        <w:t xml:space="preserve"> </w:t>
      </w:r>
      <w:r w:rsidRPr="003F2CE9">
        <w:rPr>
          <w:i/>
        </w:rPr>
        <w:t>Promoting Health in Aotearoa New Zealand</w:t>
      </w:r>
      <w:r w:rsidRPr="003F2CE9">
        <w:t xml:space="preserve">, Signal </w:t>
      </w:r>
      <w:r w:rsidR="007510AF">
        <w:t xml:space="preserve">L. </w:t>
      </w:r>
      <w:r w:rsidR="00FA7D07">
        <w:t>a</w:t>
      </w:r>
      <w:r w:rsidRPr="003F2CE9">
        <w:t>nd</w:t>
      </w:r>
      <w:r w:rsidR="00FA7D07">
        <w:t xml:space="preserve"> </w:t>
      </w:r>
      <w:proofErr w:type="spellStart"/>
      <w:r w:rsidRPr="003F2CE9">
        <w:t>Ratima</w:t>
      </w:r>
      <w:proofErr w:type="spellEnd"/>
      <w:r w:rsidR="00BF4FBD">
        <w:t xml:space="preserve"> </w:t>
      </w:r>
      <w:r w:rsidR="007510AF">
        <w:t xml:space="preserve">M. </w:t>
      </w:r>
      <w:r w:rsidR="00BF4FBD">
        <w:t>(</w:t>
      </w:r>
      <w:proofErr w:type="spellStart"/>
      <w:r w:rsidR="00BF4FBD">
        <w:t>eds</w:t>
      </w:r>
      <w:proofErr w:type="spellEnd"/>
      <w:r w:rsidR="00BF4FBD">
        <w:t>),</w:t>
      </w:r>
      <w:r w:rsidRPr="003F2CE9">
        <w:t xml:space="preserve"> in press.</w:t>
      </w:r>
      <w:bookmarkEnd w:id="56"/>
    </w:p>
    <w:p w:rsidR="001E231D" w:rsidRPr="003F2CE9" w:rsidRDefault="00FA7D07" w:rsidP="001E231D">
      <w:pPr>
        <w:pStyle w:val="Reference"/>
      </w:pPr>
      <w:bookmarkStart w:id="57" w:name="_ENREF_34"/>
      <w:r>
        <w:t>——</w:t>
      </w:r>
      <w:r w:rsidR="001E231D" w:rsidRPr="003F2CE9">
        <w:t>, Penney</w:t>
      </w:r>
      <w:r w:rsidR="00AD23E1">
        <w:t>,</w:t>
      </w:r>
      <w:r w:rsidR="00AF4140">
        <w:t xml:space="preserve"> L.</w:t>
      </w:r>
      <w:r w:rsidR="001E231D" w:rsidRPr="003F2CE9">
        <w:t xml:space="preserve">, </w:t>
      </w:r>
      <w:proofErr w:type="spellStart"/>
      <w:r w:rsidR="001E231D" w:rsidRPr="003F2CE9">
        <w:t>Moewaka</w:t>
      </w:r>
      <w:proofErr w:type="spellEnd"/>
      <w:r w:rsidR="001E231D" w:rsidRPr="003F2CE9">
        <w:t xml:space="preserve"> Barnes</w:t>
      </w:r>
      <w:r w:rsidR="00AD23E1">
        <w:t>,</w:t>
      </w:r>
      <w:r w:rsidR="00AF4140">
        <w:t xml:space="preserve"> M.</w:t>
      </w:r>
      <w:r w:rsidR="001E231D" w:rsidRPr="003F2CE9">
        <w:t xml:space="preserve"> and </w:t>
      </w:r>
      <w:proofErr w:type="spellStart"/>
      <w:r w:rsidR="001E231D" w:rsidRPr="003F2CE9">
        <w:t>McCreanor</w:t>
      </w:r>
      <w:proofErr w:type="spellEnd"/>
      <w:r w:rsidR="00AD23E1">
        <w:t>,</w:t>
      </w:r>
      <w:r w:rsidR="00AF4140">
        <w:t xml:space="preserve"> T</w:t>
      </w:r>
      <w:r w:rsidR="001E231D" w:rsidRPr="003F2CE9">
        <w:t>. 2010</w:t>
      </w:r>
      <w:r w:rsidR="00D26AB5">
        <w:t>,</w:t>
      </w:r>
      <w:r w:rsidR="001E231D" w:rsidRPr="003F2CE9">
        <w:t xml:space="preserve"> </w:t>
      </w:r>
      <w:r w:rsidR="003F2CE9" w:rsidRPr="003F2CE9">
        <w:t>‘</w:t>
      </w:r>
      <w:proofErr w:type="spellStart"/>
      <w:r w:rsidR="001E231D" w:rsidRPr="003F2CE9">
        <w:t>Kaupapa</w:t>
      </w:r>
      <w:proofErr w:type="spellEnd"/>
      <w:r w:rsidR="001E231D" w:rsidRPr="003F2CE9">
        <w:t xml:space="preserve"> </w:t>
      </w:r>
      <w:r w:rsidR="00E52F9C">
        <w:t>Māori</w:t>
      </w:r>
      <w:r w:rsidR="001E231D" w:rsidRPr="003F2CE9">
        <w:t xml:space="preserve"> </w:t>
      </w:r>
      <w:r w:rsidR="007510AF">
        <w:t>a</w:t>
      </w:r>
      <w:r w:rsidR="001E231D" w:rsidRPr="003F2CE9">
        <w:t xml:space="preserve">ction </w:t>
      </w:r>
      <w:r w:rsidR="007510AF">
        <w:t>r</w:t>
      </w:r>
      <w:r w:rsidR="001E231D" w:rsidRPr="003F2CE9">
        <w:t>esearch to improve heart disease services in Aotearoa, New Zealand</w:t>
      </w:r>
      <w:r w:rsidR="003F2CE9" w:rsidRPr="003F2CE9">
        <w:t>’</w:t>
      </w:r>
      <w:r w:rsidR="007510AF">
        <w:t>,</w:t>
      </w:r>
      <w:r w:rsidR="001E231D" w:rsidRPr="003F2CE9">
        <w:t xml:space="preserve"> </w:t>
      </w:r>
      <w:r w:rsidR="001E231D" w:rsidRPr="003F2CE9">
        <w:rPr>
          <w:i/>
        </w:rPr>
        <w:t>Ethnicity and Health</w:t>
      </w:r>
      <w:r w:rsidR="007510AF">
        <w:rPr>
          <w:i/>
        </w:rPr>
        <w:t>,</w:t>
      </w:r>
      <w:r w:rsidR="001E231D" w:rsidRPr="003F2CE9">
        <w:t xml:space="preserve"> </w:t>
      </w:r>
      <w:r w:rsidR="007510AF">
        <w:t xml:space="preserve">vol. </w:t>
      </w:r>
      <w:r w:rsidR="001E231D" w:rsidRPr="003F2CE9">
        <w:t>15</w:t>
      </w:r>
      <w:r w:rsidR="007510AF">
        <w:t>, no. 1,</w:t>
      </w:r>
      <w:r w:rsidR="001E231D" w:rsidRPr="003F2CE9">
        <w:t xml:space="preserve"> </w:t>
      </w:r>
      <w:r w:rsidR="00D26AB5">
        <w:t xml:space="preserve">pp. </w:t>
      </w:r>
      <w:r w:rsidR="001E231D" w:rsidRPr="003F2CE9">
        <w:t>15</w:t>
      </w:r>
      <w:r w:rsidR="003F2CE9" w:rsidRPr="003F2CE9">
        <w:t>–</w:t>
      </w:r>
      <w:r w:rsidR="001E231D" w:rsidRPr="003F2CE9">
        <w:t>31.</w:t>
      </w:r>
      <w:bookmarkEnd w:id="57"/>
    </w:p>
    <w:p w:rsidR="001E231D" w:rsidRPr="003F2CE9" w:rsidRDefault="001E231D" w:rsidP="001E231D">
      <w:pPr>
        <w:pStyle w:val="Reference"/>
      </w:pPr>
      <w:bookmarkStart w:id="58" w:name="_ENREF_35"/>
      <w:proofErr w:type="spellStart"/>
      <w:r w:rsidRPr="003F2CE9">
        <w:t>Kiro</w:t>
      </w:r>
      <w:proofErr w:type="spellEnd"/>
      <w:r w:rsidRPr="003F2CE9">
        <w:t xml:space="preserve">, C., von </w:t>
      </w:r>
      <w:proofErr w:type="spellStart"/>
      <w:r w:rsidRPr="003F2CE9">
        <w:t>Randow</w:t>
      </w:r>
      <w:proofErr w:type="spellEnd"/>
      <w:r w:rsidR="00AD23E1">
        <w:t>,</w:t>
      </w:r>
      <w:r w:rsidR="00AF4140">
        <w:t xml:space="preserve"> M.</w:t>
      </w:r>
      <w:r w:rsidRPr="003F2CE9">
        <w:t xml:space="preserve"> and </w:t>
      </w:r>
      <w:proofErr w:type="spellStart"/>
      <w:r w:rsidRPr="003F2CE9">
        <w:t>Sporle</w:t>
      </w:r>
      <w:proofErr w:type="spellEnd"/>
      <w:r w:rsidR="00AD23E1">
        <w:t>,</w:t>
      </w:r>
      <w:r w:rsidR="00AF4140">
        <w:t xml:space="preserve"> A</w:t>
      </w:r>
      <w:r w:rsidRPr="003F2CE9">
        <w:t>. 2010</w:t>
      </w:r>
      <w:r w:rsidR="00D26AB5">
        <w:t>,</w:t>
      </w:r>
      <w:r w:rsidRPr="003F2CE9">
        <w:t xml:space="preserve"> </w:t>
      </w:r>
      <w:r w:rsidRPr="003F2CE9">
        <w:rPr>
          <w:i/>
        </w:rPr>
        <w:t>Trends in Wellbeing for Māori households/families, 1981–2006</w:t>
      </w:r>
      <w:r w:rsidR="007510AF">
        <w:t>,</w:t>
      </w:r>
      <w:r w:rsidRPr="003F2CE9">
        <w:t xml:space="preserve"> </w:t>
      </w:r>
      <w:proofErr w:type="spellStart"/>
      <w:r w:rsidRPr="003F2CE9">
        <w:t>Ngä</w:t>
      </w:r>
      <w:proofErr w:type="spellEnd"/>
      <w:r w:rsidRPr="003F2CE9">
        <w:t xml:space="preserve"> </w:t>
      </w:r>
      <w:proofErr w:type="spellStart"/>
      <w:r w:rsidRPr="003F2CE9">
        <w:t>Pae</w:t>
      </w:r>
      <w:proofErr w:type="spellEnd"/>
      <w:r w:rsidRPr="003F2CE9">
        <w:t xml:space="preserve"> o </w:t>
      </w:r>
      <w:proofErr w:type="spellStart"/>
      <w:r w:rsidRPr="003F2CE9">
        <w:t>te</w:t>
      </w:r>
      <w:proofErr w:type="spellEnd"/>
      <w:r w:rsidRPr="003F2CE9">
        <w:t xml:space="preserve"> </w:t>
      </w:r>
      <w:proofErr w:type="spellStart"/>
      <w:r w:rsidRPr="003F2CE9">
        <w:t>Märamatanga</w:t>
      </w:r>
      <w:proofErr w:type="spellEnd"/>
      <w:r w:rsidRPr="003F2CE9">
        <w:t>.</w:t>
      </w:r>
      <w:bookmarkEnd w:id="58"/>
    </w:p>
    <w:p w:rsidR="001E231D" w:rsidRPr="003F2CE9" w:rsidRDefault="001E231D" w:rsidP="001E231D">
      <w:pPr>
        <w:pStyle w:val="Reference"/>
      </w:pPr>
      <w:bookmarkStart w:id="59" w:name="_ENREF_36"/>
      <w:r w:rsidRPr="003F2CE9">
        <w:lastRenderedPageBreak/>
        <w:t>Lightfoot, S. 2010</w:t>
      </w:r>
      <w:r w:rsidR="00D26AB5">
        <w:t>,</w:t>
      </w:r>
      <w:r w:rsidRPr="003F2CE9">
        <w:t xml:space="preserve"> </w:t>
      </w:r>
      <w:r w:rsidR="003F2CE9" w:rsidRPr="003F2CE9">
        <w:t>‘</w:t>
      </w:r>
      <w:r w:rsidRPr="003F2CE9">
        <w:t>Emerging international indigenous rights norms and over-compliance in New Zealand and Canada</w:t>
      </w:r>
      <w:r w:rsidR="003F2CE9" w:rsidRPr="003F2CE9">
        <w:t>’</w:t>
      </w:r>
      <w:r w:rsidR="007510AF">
        <w:t>,</w:t>
      </w:r>
      <w:r w:rsidRPr="003F2CE9">
        <w:t xml:space="preserve"> </w:t>
      </w:r>
      <w:r w:rsidRPr="003F2CE9">
        <w:rPr>
          <w:i/>
        </w:rPr>
        <w:t>Political Science</w:t>
      </w:r>
      <w:r w:rsidR="007510AF">
        <w:t>, vol.</w:t>
      </w:r>
      <w:r w:rsidRPr="003F2CE9">
        <w:t xml:space="preserve"> 62</w:t>
      </w:r>
      <w:r w:rsidR="007510AF">
        <w:t xml:space="preserve">, no. 1, </w:t>
      </w:r>
      <w:r w:rsidR="00D26AB5">
        <w:t xml:space="preserve">pp. </w:t>
      </w:r>
      <w:r w:rsidRPr="003F2CE9">
        <w:t>84</w:t>
      </w:r>
      <w:r w:rsidR="003F2CE9" w:rsidRPr="003F2CE9">
        <w:t>–</w:t>
      </w:r>
      <w:r w:rsidRPr="003F2CE9">
        <w:t>104.</w:t>
      </w:r>
      <w:bookmarkEnd w:id="59"/>
    </w:p>
    <w:p w:rsidR="001E231D" w:rsidRPr="003F2CE9" w:rsidRDefault="001E231D" w:rsidP="001E231D">
      <w:pPr>
        <w:pStyle w:val="Reference"/>
      </w:pPr>
      <w:bookmarkStart w:id="60" w:name="_ENREF_37"/>
      <w:r w:rsidRPr="003F2CE9">
        <w:t>Lunt, N. 2003</w:t>
      </w:r>
      <w:r w:rsidR="00D26AB5">
        <w:t>,</w:t>
      </w:r>
      <w:r w:rsidRPr="003F2CE9">
        <w:t xml:space="preserve"> </w:t>
      </w:r>
      <w:r w:rsidR="003F2CE9" w:rsidRPr="003F2CE9">
        <w:t>‘</w:t>
      </w:r>
      <w:r w:rsidRPr="003F2CE9">
        <w:t>Knowledge for policy: the emergence of evaluation research within New Zealand</w:t>
      </w:r>
      <w:r w:rsidR="003F2CE9" w:rsidRPr="003F2CE9">
        <w:t>’</w:t>
      </w:r>
      <w:r w:rsidR="007510AF">
        <w:t>,</w:t>
      </w:r>
      <w:r w:rsidRPr="003F2CE9">
        <w:t xml:space="preserve"> </w:t>
      </w:r>
      <w:r w:rsidRPr="003F2CE9">
        <w:rPr>
          <w:i/>
        </w:rPr>
        <w:t>Evaluating Policy and Practice.</w:t>
      </w:r>
      <w:r w:rsidR="00F32742">
        <w:rPr>
          <w:i/>
        </w:rPr>
        <w:t xml:space="preserve"> </w:t>
      </w:r>
      <w:r w:rsidRPr="003F2CE9">
        <w:rPr>
          <w:i/>
        </w:rPr>
        <w:t>A New Zealand Reader</w:t>
      </w:r>
      <w:r w:rsidRPr="003F2CE9">
        <w:t>, Lunt</w:t>
      </w:r>
      <w:r w:rsidR="007510AF">
        <w:t xml:space="preserve"> N.</w:t>
      </w:r>
      <w:r w:rsidRPr="003F2CE9">
        <w:t>, Davidson</w:t>
      </w:r>
      <w:r w:rsidR="007510AF">
        <w:t xml:space="preserve"> C.</w:t>
      </w:r>
      <w:r w:rsidRPr="003F2CE9">
        <w:t xml:space="preserve"> and </w:t>
      </w:r>
      <w:proofErr w:type="spellStart"/>
      <w:r w:rsidRPr="003F2CE9">
        <w:t>McKegg</w:t>
      </w:r>
      <w:proofErr w:type="spellEnd"/>
      <w:r w:rsidR="007510AF">
        <w:t xml:space="preserve"> K. (</w:t>
      </w:r>
      <w:proofErr w:type="spellStart"/>
      <w:r w:rsidR="007510AF">
        <w:t>eds</w:t>
      </w:r>
      <w:proofErr w:type="spellEnd"/>
      <w:r w:rsidR="007510AF">
        <w:t>)</w:t>
      </w:r>
      <w:r w:rsidRPr="003F2CE9">
        <w:t xml:space="preserve">, </w:t>
      </w:r>
      <w:r w:rsidR="007510AF">
        <w:t xml:space="preserve">Pearson Education, Auckland, </w:t>
      </w:r>
      <w:r w:rsidR="00D26AB5">
        <w:t xml:space="preserve">pp. </w:t>
      </w:r>
      <w:r w:rsidRPr="003F2CE9">
        <w:t>4</w:t>
      </w:r>
      <w:r w:rsidR="003F2CE9" w:rsidRPr="003F2CE9">
        <w:t>–</w:t>
      </w:r>
      <w:r w:rsidRPr="003F2CE9">
        <w:t xml:space="preserve">20. </w:t>
      </w:r>
      <w:bookmarkEnd w:id="60"/>
    </w:p>
    <w:p w:rsidR="001E231D" w:rsidRPr="003F2CE9" w:rsidRDefault="001E231D" w:rsidP="001E231D">
      <w:pPr>
        <w:pStyle w:val="Reference"/>
      </w:pPr>
      <w:bookmarkStart w:id="61" w:name="_ENREF_38"/>
      <w:r w:rsidRPr="003F2CE9">
        <w:t>Ministry of Social Development 2004</w:t>
      </w:r>
      <w:r w:rsidR="00D26AB5">
        <w:t>,</w:t>
      </w:r>
      <w:r w:rsidRPr="003F2CE9">
        <w:t xml:space="preserve"> </w:t>
      </w:r>
      <w:proofErr w:type="spellStart"/>
      <w:r w:rsidRPr="003F2CE9">
        <w:rPr>
          <w:i/>
        </w:rPr>
        <w:t>Nga</w:t>
      </w:r>
      <w:proofErr w:type="spellEnd"/>
      <w:r w:rsidRPr="003F2CE9">
        <w:rPr>
          <w:i/>
        </w:rPr>
        <w:t xml:space="preserve"> </w:t>
      </w:r>
      <w:proofErr w:type="spellStart"/>
      <w:r w:rsidRPr="003F2CE9">
        <w:rPr>
          <w:i/>
        </w:rPr>
        <w:t>Ara</w:t>
      </w:r>
      <w:proofErr w:type="spellEnd"/>
      <w:r w:rsidRPr="003F2CE9">
        <w:rPr>
          <w:i/>
        </w:rPr>
        <w:t xml:space="preserve"> </w:t>
      </w:r>
      <w:proofErr w:type="spellStart"/>
      <w:r w:rsidRPr="003F2CE9">
        <w:rPr>
          <w:i/>
        </w:rPr>
        <w:t>Tohutohu</w:t>
      </w:r>
      <w:proofErr w:type="spellEnd"/>
      <w:r w:rsidRPr="003F2CE9">
        <w:rPr>
          <w:i/>
        </w:rPr>
        <w:t xml:space="preserve"> </w:t>
      </w:r>
      <w:proofErr w:type="spellStart"/>
      <w:r w:rsidRPr="003F2CE9">
        <w:rPr>
          <w:i/>
        </w:rPr>
        <w:t>Rangahau</w:t>
      </w:r>
      <w:proofErr w:type="spellEnd"/>
      <w:r w:rsidRPr="003F2CE9">
        <w:rPr>
          <w:i/>
        </w:rPr>
        <w:t xml:space="preserve"> </w:t>
      </w:r>
      <w:r w:rsidR="00E52F9C">
        <w:rPr>
          <w:i/>
        </w:rPr>
        <w:t>Māori</w:t>
      </w:r>
      <w:r w:rsidRPr="003F2CE9">
        <w:rPr>
          <w:i/>
        </w:rPr>
        <w:t xml:space="preserve">: Guidelines for Research and Evaluation with </w:t>
      </w:r>
      <w:r w:rsidR="00E52F9C">
        <w:rPr>
          <w:i/>
        </w:rPr>
        <w:t>Māori</w:t>
      </w:r>
      <w:r w:rsidR="007510AF">
        <w:t>,</w:t>
      </w:r>
      <w:r w:rsidRPr="003F2CE9">
        <w:t xml:space="preserve"> Wellington.</w:t>
      </w:r>
      <w:bookmarkEnd w:id="61"/>
    </w:p>
    <w:p w:rsidR="001E231D" w:rsidRPr="003F2CE9" w:rsidRDefault="001E231D" w:rsidP="001E231D">
      <w:pPr>
        <w:pStyle w:val="Reference"/>
      </w:pPr>
      <w:bookmarkStart w:id="62" w:name="_ENREF_39"/>
      <w:proofErr w:type="spellStart"/>
      <w:r w:rsidRPr="003F2CE9">
        <w:t>Moewaka</w:t>
      </w:r>
      <w:proofErr w:type="spellEnd"/>
      <w:r w:rsidRPr="003F2CE9">
        <w:t xml:space="preserve"> Barnes, H. 2000</w:t>
      </w:r>
      <w:r w:rsidR="00D26AB5">
        <w:t>,</w:t>
      </w:r>
      <w:r w:rsidRPr="003F2CE9">
        <w:t xml:space="preserve"> </w:t>
      </w:r>
      <w:r w:rsidR="003F2CE9" w:rsidRPr="003F2CE9">
        <w:t>‘</w:t>
      </w:r>
      <w:proofErr w:type="spellStart"/>
      <w:r w:rsidRPr="003F2CE9">
        <w:t>Kaupapa</w:t>
      </w:r>
      <w:proofErr w:type="spellEnd"/>
      <w:r w:rsidRPr="003F2CE9">
        <w:t xml:space="preserve"> </w:t>
      </w:r>
      <w:r w:rsidR="00E52F9C">
        <w:t>Māori</w:t>
      </w:r>
      <w:r w:rsidRPr="003F2CE9">
        <w:t>: explaining the ordinary</w:t>
      </w:r>
      <w:r w:rsidR="003F2CE9" w:rsidRPr="003F2CE9">
        <w:t>’</w:t>
      </w:r>
      <w:r w:rsidR="007510AF">
        <w:t>,</w:t>
      </w:r>
      <w:r w:rsidRPr="003F2CE9">
        <w:t xml:space="preserve"> </w:t>
      </w:r>
      <w:r w:rsidRPr="003F2CE9">
        <w:rPr>
          <w:i/>
        </w:rPr>
        <w:t>Pacific Health Dialog</w:t>
      </w:r>
      <w:r w:rsidR="007510AF">
        <w:t>,</w:t>
      </w:r>
      <w:r w:rsidRPr="003F2CE9">
        <w:t xml:space="preserve"> </w:t>
      </w:r>
      <w:r w:rsidR="007510AF">
        <w:t xml:space="preserve">vol. </w:t>
      </w:r>
      <w:r w:rsidRPr="003F2CE9">
        <w:t>7</w:t>
      </w:r>
      <w:r w:rsidR="00EC6E0A">
        <w:t>, no. 1,</w:t>
      </w:r>
      <w:r w:rsidR="007510AF">
        <w:t xml:space="preserve"> </w:t>
      </w:r>
      <w:r w:rsidR="00D26AB5">
        <w:t xml:space="preserve">pp. </w:t>
      </w:r>
      <w:r w:rsidRPr="003F2CE9">
        <w:t>13</w:t>
      </w:r>
      <w:r w:rsidR="003F2CE9" w:rsidRPr="003F2CE9">
        <w:t>–</w:t>
      </w:r>
      <w:r w:rsidRPr="003F2CE9">
        <w:t>16.</w:t>
      </w:r>
      <w:bookmarkEnd w:id="62"/>
    </w:p>
    <w:p w:rsidR="001E231D" w:rsidRPr="003F2CE9" w:rsidRDefault="000B64EA" w:rsidP="001E231D">
      <w:pPr>
        <w:pStyle w:val="Reference"/>
      </w:pPr>
      <w:bookmarkStart w:id="63" w:name="_ENREF_40"/>
      <w:r>
        <w:t>——</w:t>
      </w:r>
      <w:r w:rsidR="001E231D" w:rsidRPr="003F2CE9">
        <w:t xml:space="preserve"> 2003</w:t>
      </w:r>
      <w:r w:rsidR="00D26AB5">
        <w:t>,</w:t>
      </w:r>
      <w:r w:rsidR="001E231D" w:rsidRPr="003F2CE9">
        <w:t xml:space="preserve"> </w:t>
      </w:r>
      <w:r w:rsidR="003F2CE9" w:rsidRPr="003F2CE9">
        <w:t>‘</w:t>
      </w:r>
      <w:r w:rsidR="00E52F9C">
        <w:t>Māori</w:t>
      </w:r>
      <w:r w:rsidR="001E231D" w:rsidRPr="003F2CE9">
        <w:t xml:space="preserve"> and evaluation: some issues to consider</w:t>
      </w:r>
      <w:r w:rsidR="003F2CE9" w:rsidRPr="003F2CE9">
        <w:t>’</w:t>
      </w:r>
      <w:r w:rsidR="00700294">
        <w:t>,</w:t>
      </w:r>
      <w:r w:rsidR="001E231D" w:rsidRPr="003F2CE9">
        <w:t xml:space="preserve"> </w:t>
      </w:r>
      <w:r w:rsidR="001E231D" w:rsidRPr="003F2CE9">
        <w:rPr>
          <w:i/>
        </w:rPr>
        <w:t>Evaluating Policy and Practice: A New Zealand Reader</w:t>
      </w:r>
      <w:r w:rsidR="001E231D" w:rsidRPr="003F2CE9">
        <w:t>, Lunt</w:t>
      </w:r>
      <w:r w:rsidR="00700294">
        <w:t>, N.</w:t>
      </w:r>
      <w:r w:rsidR="001E231D" w:rsidRPr="003F2CE9">
        <w:t>, Davidson</w:t>
      </w:r>
      <w:r w:rsidR="00700294">
        <w:t>, C.</w:t>
      </w:r>
      <w:r w:rsidR="001E231D" w:rsidRPr="003F2CE9">
        <w:t xml:space="preserve"> and </w:t>
      </w:r>
      <w:proofErr w:type="spellStart"/>
      <w:r w:rsidR="001E231D" w:rsidRPr="003F2CE9">
        <w:t>McKegg</w:t>
      </w:r>
      <w:proofErr w:type="spellEnd"/>
      <w:r w:rsidR="001E231D" w:rsidRPr="003F2CE9">
        <w:t>,</w:t>
      </w:r>
      <w:r w:rsidR="00700294">
        <w:t xml:space="preserve"> K. (</w:t>
      </w:r>
      <w:proofErr w:type="spellStart"/>
      <w:r w:rsidR="00700294">
        <w:t>eds</w:t>
      </w:r>
      <w:proofErr w:type="spellEnd"/>
      <w:r w:rsidR="00700294">
        <w:t>),</w:t>
      </w:r>
      <w:r w:rsidR="001E231D" w:rsidRPr="003F2CE9">
        <w:t xml:space="preserve"> </w:t>
      </w:r>
      <w:r w:rsidR="00700294">
        <w:t xml:space="preserve">Pearson, Auckland, </w:t>
      </w:r>
      <w:r w:rsidR="00D26AB5">
        <w:t xml:space="preserve">pp. </w:t>
      </w:r>
      <w:r w:rsidR="001E231D" w:rsidRPr="003F2CE9">
        <w:t>146</w:t>
      </w:r>
      <w:r w:rsidR="003F2CE9" w:rsidRPr="003F2CE9">
        <w:t>–</w:t>
      </w:r>
      <w:r w:rsidR="001E231D" w:rsidRPr="003F2CE9">
        <w:t xml:space="preserve">50. </w:t>
      </w:r>
      <w:bookmarkEnd w:id="63"/>
    </w:p>
    <w:p w:rsidR="001E231D" w:rsidRPr="003F2CE9" w:rsidRDefault="00FA7D07" w:rsidP="001E231D">
      <w:pPr>
        <w:pStyle w:val="Reference"/>
      </w:pPr>
      <w:bookmarkStart w:id="64" w:name="_ENREF_41"/>
      <w:r>
        <w:t xml:space="preserve">—— </w:t>
      </w:r>
      <w:r w:rsidR="001E231D" w:rsidRPr="003F2CE9">
        <w:t>2006</w:t>
      </w:r>
      <w:r w:rsidR="00D26AB5">
        <w:t>,</w:t>
      </w:r>
      <w:r w:rsidR="001E231D" w:rsidRPr="003F2CE9">
        <w:t xml:space="preserve"> </w:t>
      </w:r>
      <w:r w:rsidR="003F2CE9" w:rsidRPr="003F2CE9">
        <w:t>‘</w:t>
      </w:r>
      <w:r w:rsidR="001E231D" w:rsidRPr="003F2CE9">
        <w:t xml:space="preserve">Transforming </w:t>
      </w:r>
      <w:r w:rsidR="00700294">
        <w:t>s</w:t>
      </w:r>
      <w:r w:rsidR="001E231D" w:rsidRPr="003F2CE9">
        <w:t xml:space="preserve">cience: </w:t>
      </w:r>
      <w:r w:rsidR="00700294">
        <w:t>h</w:t>
      </w:r>
      <w:r w:rsidR="001E231D" w:rsidRPr="003F2CE9">
        <w:t xml:space="preserve">ow </w:t>
      </w:r>
      <w:r w:rsidR="00700294">
        <w:t>o</w:t>
      </w:r>
      <w:r w:rsidR="001E231D" w:rsidRPr="003F2CE9">
        <w:t xml:space="preserve">ur </w:t>
      </w:r>
      <w:r w:rsidR="00700294">
        <w:t>s</w:t>
      </w:r>
      <w:r w:rsidR="001E231D" w:rsidRPr="003F2CE9">
        <w:t xml:space="preserve">tructures </w:t>
      </w:r>
      <w:r w:rsidR="00700294">
        <w:t>l</w:t>
      </w:r>
      <w:r w:rsidR="001E231D" w:rsidRPr="003F2CE9">
        <w:t xml:space="preserve">imit </w:t>
      </w:r>
      <w:r w:rsidR="00700294">
        <w:t>i</w:t>
      </w:r>
      <w:r w:rsidR="001E231D" w:rsidRPr="003F2CE9">
        <w:t>nnovation</w:t>
      </w:r>
      <w:r w:rsidR="003F2CE9" w:rsidRPr="003F2CE9">
        <w:t>’</w:t>
      </w:r>
      <w:r>
        <w:t>,</w:t>
      </w:r>
      <w:r w:rsidR="001E231D" w:rsidRPr="003F2CE9">
        <w:t xml:space="preserve"> </w:t>
      </w:r>
      <w:r w:rsidR="001E231D" w:rsidRPr="003F2CE9">
        <w:rPr>
          <w:i/>
        </w:rPr>
        <w:t>Social Policy Journal of New Zealand</w:t>
      </w:r>
      <w:r w:rsidR="00700294">
        <w:t>, vol.</w:t>
      </w:r>
      <w:r w:rsidR="001E231D" w:rsidRPr="003F2CE9">
        <w:t xml:space="preserve"> 29</w:t>
      </w:r>
      <w:r w:rsidR="00700294">
        <w:t>,</w:t>
      </w:r>
      <w:r w:rsidR="001E231D" w:rsidRPr="003F2CE9">
        <w:t xml:space="preserve"> </w:t>
      </w:r>
      <w:r w:rsidR="00D26AB5">
        <w:t xml:space="preserve">pp. </w:t>
      </w:r>
      <w:r w:rsidR="001E231D" w:rsidRPr="003F2CE9">
        <w:t>1</w:t>
      </w:r>
      <w:r w:rsidR="003F2CE9" w:rsidRPr="003F2CE9">
        <w:t>–</w:t>
      </w:r>
      <w:r w:rsidR="001E231D" w:rsidRPr="003F2CE9">
        <w:t>16.</w:t>
      </w:r>
      <w:bookmarkEnd w:id="64"/>
    </w:p>
    <w:p w:rsidR="001E231D" w:rsidRPr="003F2CE9" w:rsidRDefault="00FA7D07" w:rsidP="001E231D">
      <w:pPr>
        <w:pStyle w:val="Reference"/>
      </w:pPr>
      <w:bookmarkStart w:id="65" w:name="_ENREF_42"/>
      <w:r>
        <w:t xml:space="preserve">—— </w:t>
      </w:r>
      <w:r w:rsidR="001E231D" w:rsidRPr="003F2CE9">
        <w:t>2008</w:t>
      </w:r>
      <w:r w:rsidR="00D26AB5">
        <w:t>,</w:t>
      </w:r>
      <w:r w:rsidR="001E231D" w:rsidRPr="003F2CE9">
        <w:t xml:space="preserve"> </w:t>
      </w:r>
      <w:r w:rsidR="00FB13BC" w:rsidRPr="000B64EA">
        <w:t>Arguing for the spirit in the language of the mind: A Māori practitioner’s view of research and science</w:t>
      </w:r>
      <w:r w:rsidR="00700294">
        <w:t>,</w:t>
      </w:r>
      <w:r w:rsidR="001E231D" w:rsidRPr="003F2CE9">
        <w:t xml:space="preserve"> </w:t>
      </w:r>
      <w:r w:rsidR="00700294">
        <w:t>d</w:t>
      </w:r>
      <w:r w:rsidR="001E231D" w:rsidRPr="003F2CE9">
        <w:t>octoral thesis, Massey University, Auckland.</w:t>
      </w:r>
      <w:bookmarkEnd w:id="65"/>
    </w:p>
    <w:p w:rsidR="001E231D" w:rsidRPr="003F2CE9" w:rsidRDefault="00FA7D07" w:rsidP="001E231D">
      <w:pPr>
        <w:pStyle w:val="Reference"/>
      </w:pPr>
      <w:bookmarkStart w:id="66" w:name="_ENREF_43"/>
      <w:r>
        <w:t xml:space="preserve">—— </w:t>
      </w:r>
      <w:r w:rsidR="001E231D" w:rsidRPr="003F2CE9">
        <w:t>2009</w:t>
      </w:r>
      <w:r w:rsidR="00D26AB5">
        <w:t>,</w:t>
      </w:r>
      <w:r w:rsidR="001E231D" w:rsidRPr="003F2CE9">
        <w:t xml:space="preserve"> </w:t>
      </w:r>
      <w:r w:rsidR="001E231D" w:rsidRPr="003F2CE9">
        <w:rPr>
          <w:i/>
        </w:rPr>
        <w:t xml:space="preserve">The </w:t>
      </w:r>
      <w:r w:rsidR="00A21FDE" w:rsidRPr="003F2CE9">
        <w:rPr>
          <w:i/>
        </w:rPr>
        <w:t xml:space="preserve">Evaluation </w:t>
      </w:r>
      <w:proofErr w:type="spellStart"/>
      <w:r w:rsidR="00A21FDE" w:rsidRPr="003F2CE9">
        <w:rPr>
          <w:i/>
        </w:rPr>
        <w:t>Hikoi</w:t>
      </w:r>
      <w:proofErr w:type="spellEnd"/>
      <w:r w:rsidR="001E231D" w:rsidRPr="003F2CE9">
        <w:rPr>
          <w:i/>
        </w:rPr>
        <w:t xml:space="preserve">: A </w:t>
      </w:r>
      <w:r w:rsidR="00E52F9C">
        <w:rPr>
          <w:i/>
        </w:rPr>
        <w:t>Māori</w:t>
      </w:r>
      <w:r w:rsidR="001E231D" w:rsidRPr="003F2CE9">
        <w:rPr>
          <w:i/>
        </w:rPr>
        <w:t xml:space="preserve"> </w:t>
      </w:r>
      <w:r w:rsidR="00A21FDE" w:rsidRPr="003F2CE9">
        <w:rPr>
          <w:i/>
        </w:rPr>
        <w:t xml:space="preserve">Overview </w:t>
      </w:r>
      <w:r w:rsidR="001E231D" w:rsidRPr="003F2CE9">
        <w:rPr>
          <w:i/>
        </w:rPr>
        <w:t xml:space="preserve">of </w:t>
      </w:r>
      <w:proofErr w:type="spellStart"/>
      <w:r w:rsidR="00A21FDE" w:rsidRPr="003F2CE9">
        <w:rPr>
          <w:i/>
        </w:rPr>
        <w:t>Programme</w:t>
      </w:r>
      <w:proofErr w:type="spellEnd"/>
      <w:r w:rsidR="00A21FDE" w:rsidRPr="003F2CE9">
        <w:rPr>
          <w:i/>
        </w:rPr>
        <w:t xml:space="preserve"> Evaluation</w:t>
      </w:r>
      <w:r w:rsidR="00700294">
        <w:t>,</w:t>
      </w:r>
      <w:r w:rsidR="001E231D" w:rsidRPr="003F2CE9">
        <w:t xml:space="preserve"> </w:t>
      </w:r>
      <w:proofErr w:type="spellStart"/>
      <w:r w:rsidR="001E231D" w:rsidRPr="003F2CE9">
        <w:t>Te</w:t>
      </w:r>
      <w:proofErr w:type="spellEnd"/>
      <w:r w:rsidR="001E231D" w:rsidRPr="003F2CE9">
        <w:t xml:space="preserve"> </w:t>
      </w:r>
      <w:proofErr w:type="spellStart"/>
      <w:r w:rsidR="001E231D" w:rsidRPr="003F2CE9">
        <w:t>Ropu</w:t>
      </w:r>
      <w:proofErr w:type="spellEnd"/>
      <w:r w:rsidR="001E231D" w:rsidRPr="003F2CE9">
        <w:t xml:space="preserve"> </w:t>
      </w:r>
      <w:proofErr w:type="spellStart"/>
      <w:r w:rsidR="001E231D" w:rsidRPr="003F2CE9">
        <w:t>Whariki</w:t>
      </w:r>
      <w:proofErr w:type="spellEnd"/>
      <w:r w:rsidR="00700294">
        <w:t>,</w:t>
      </w:r>
      <w:r w:rsidR="001E231D" w:rsidRPr="003F2CE9">
        <w:t xml:space="preserve"> </w:t>
      </w:r>
      <w:r w:rsidR="000B64EA" w:rsidRPr="00143602">
        <w:t>http://</w:t>
      </w:r>
      <w:proofErr w:type="spellStart"/>
      <w:r w:rsidR="000B64EA" w:rsidRPr="00143602">
        <w:t>www.shore.ac.nz</w:t>
      </w:r>
      <w:proofErr w:type="spellEnd"/>
      <w:r w:rsidR="000B64EA" w:rsidRPr="00143602">
        <w:t>/publications/</w:t>
      </w:r>
      <w:proofErr w:type="spellStart"/>
      <w:r w:rsidR="000B64EA" w:rsidRPr="00143602">
        <w:t>Māori%20Evaluation%20</w:t>
      </w:r>
      <w:proofErr w:type="spellEnd"/>
      <w:r w:rsidR="000B64EA" w:rsidRPr="00143602">
        <w:t xml:space="preserve"> </w:t>
      </w:r>
      <w:proofErr w:type="spellStart"/>
      <w:r w:rsidR="000B64EA" w:rsidRPr="00143602">
        <w:t>Manual%2009.pdf</w:t>
      </w:r>
      <w:proofErr w:type="spellEnd"/>
      <w:r w:rsidR="00700294">
        <w:t xml:space="preserve"> (accessed 20 May 2011)</w:t>
      </w:r>
      <w:r w:rsidR="001E231D" w:rsidRPr="003F2CE9">
        <w:t>.</w:t>
      </w:r>
      <w:bookmarkEnd w:id="66"/>
    </w:p>
    <w:p w:rsidR="001E231D" w:rsidRPr="003F2CE9" w:rsidRDefault="00A21FDE" w:rsidP="001E231D">
      <w:pPr>
        <w:pStyle w:val="Reference"/>
      </w:pPr>
      <w:bookmarkStart w:id="67" w:name="_ENREF_44"/>
      <w:r>
        <w:t xml:space="preserve">—— </w:t>
      </w:r>
      <w:r w:rsidR="001E231D" w:rsidRPr="003F2CE9">
        <w:t>2010</w:t>
      </w:r>
      <w:r w:rsidR="00D26AB5">
        <w:t>,</w:t>
      </w:r>
      <w:r w:rsidR="001E231D" w:rsidRPr="003F2CE9">
        <w:t xml:space="preserve"> </w:t>
      </w:r>
      <w:r w:rsidR="001E231D" w:rsidRPr="003F2CE9">
        <w:rPr>
          <w:i/>
        </w:rPr>
        <w:t xml:space="preserve">Sexual Coercion, Resilience and Young </w:t>
      </w:r>
      <w:r w:rsidR="00E52F9C">
        <w:rPr>
          <w:i/>
        </w:rPr>
        <w:t>Māori</w:t>
      </w:r>
      <w:r w:rsidR="001E231D" w:rsidRPr="003F2CE9">
        <w:rPr>
          <w:i/>
        </w:rPr>
        <w:t>: A Scoping Review</w:t>
      </w:r>
      <w:r w:rsidR="00700294">
        <w:t>,</w:t>
      </w:r>
      <w:r w:rsidR="001E231D" w:rsidRPr="003F2CE9">
        <w:t xml:space="preserve"> </w:t>
      </w:r>
      <w:proofErr w:type="spellStart"/>
      <w:r w:rsidR="001E231D" w:rsidRPr="003F2CE9">
        <w:t>Whariki</w:t>
      </w:r>
      <w:proofErr w:type="spellEnd"/>
      <w:r w:rsidR="001E231D" w:rsidRPr="003F2CE9">
        <w:t xml:space="preserve"> Research Group, SHORE and </w:t>
      </w:r>
      <w:proofErr w:type="spellStart"/>
      <w:r w:rsidR="001E231D" w:rsidRPr="003F2CE9">
        <w:t>Whariki</w:t>
      </w:r>
      <w:proofErr w:type="spellEnd"/>
      <w:r w:rsidR="001E231D" w:rsidRPr="003F2CE9">
        <w:t xml:space="preserve"> Research Centre, Massey University</w:t>
      </w:r>
      <w:r w:rsidR="00700294">
        <w:t>, Auckland</w:t>
      </w:r>
      <w:r w:rsidR="001E231D" w:rsidRPr="003F2CE9">
        <w:t>.</w:t>
      </w:r>
      <w:bookmarkEnd w:id="67"/>
    </w:p>
    <w:p w:rsidR="001E231D" w:rsidRPr="003F2CE9" w:rsidRDefault="00A21FDE" w:rsidP="001E231D">
      <w:pPr>
        <w:pStyle w:val="Reference"/>
      </w:pPr>
      <w:bookmarkStart w:id="68" w:name="_ENREF_45"/>
      <w:r>
        <w:t xml:space="preserve">——, </w:t>
      </w:r>
      <w:proofErr w:type="spellStart"/>
      <w:r w:rsidR="001E231D" w:rsidRPr="003F2CE9">
        <w:t>Borell</w:t>
      </w:r>
      <w:proofErr w:type="spellEnd"/>
      <w:r w:rsidR="00AD23E1">
        <w:t>,</w:t>
      </w:r>
      <w:r w:rsidR="000C0990">
        <w:t xml:space="preserve"> B.</w:t>
      </w:r>
      <w:r w:rsidR="001E231D" w:rsidRPr="003F2CE9">
        <w:t>, Edwards</w:t>
      </w:r>
      <w:r w:rsidR="00AD23E1">
        <w:t>,</w:t>
      </w:r>
      <w:r w:rsidR="000C0990">
        <w:t xml:space="preserve"> S.</w:t>
      </w:r>
      <w:r w:rsidR="001E231D" w:rsidRPr="003F2CE9">
        <w:t xml:space="preserve"> and </w:t>
      </w:r>
      <w:proofErr w:type="spellStart"/>
      <w:r w:rsidR="001E231D" w:rsidRPr="003F2CE9">
        <w:t>McCreanor</w:t>
      </w:r>
      <w:proofErr w:type="spellEnd"/>
      <w:r w:rsidR="00AD23E1">
        <w:t>,</w:t>
      </w:r>
      <w:r w:rsidR="000C0990">
        <w:t xml:space="preserve"> T</w:t>
      </w:r>
      <w:r w:rsidR="001E231D" w:rsidRPr="003F2CE9">
        <w:t>. 2009</w:t>
      </w:r>
      <w:r w:rsidR="00D26AB5">
        <w:t>,</w:t>
      </w:r>
      <w:r w:rsidR="001E231D" w:rsidRPr="003F2CE9">
        <w:t xml:space="preserve"> </w:t>
      </w:r>
      <w:r w:rsidR="003F2CE9" w:rsidRPr="003F2CE9">
        <w:t>‘</w:t>
      </w:r>
      <w:r w:rsidR="001E231D" w:rsidRPr="003F2CE9">
        <w:t>Epistemological domination: social science research ethics in Aotearoa</w:t>
      </w:r>
      <w:r w:rsidR="00700294">
        <w:t>’,</w:t>
      </w:r>
      <w:r w:rsidR="001E231D" w:rsidRPr="003F2CE9">
        <w:t xml:space="preserve"> </w:t>
      </w:r>
      <w:r w:rsidR="001E231D" w:rsidRPr="003F2CE9">
        <w:rPr>
          <w:i/>
        </w:rPr>
        <w:t>Handbook of Social Research Ethics</w:t>
      </w:r>
      <w:r w:rsidR="001E231D" w:rsidRPr="003F2CE9">
        <w:t xml:space="preserve">, </w:t>
      </w:r>
      <w:proofErr w:type="spellStart"/>
      <w:r w:rsidR="001E231D" w:rsidRPr="003F2CE9">
        <w:t>Mertens</w:t>
      </w:r>
      <w:proofErr w:type="spellEnd"/>
      <w:r w:rsidR="00700294">
        <w:t>, D.</w:t>
      </w:r>
      <w:r w:rsidR="001E231D" w:rsidRPr="003F2CE9">
        <w:t xml:space="preserve"> and Ginsberg</w:t>
      </w:r>
      <w:r w:rsidR="00700294">
        <w:t>, P. (</w:t>
      </w:r>
      <w:proofErr w:type="spellStart"/>
      <w:r w:rsidR="00700294">
        <w:t>eds</w:t>
      </w:r>
      <w:proofErr w:type="spellEnd"/>
      <w:r w:rsidR="00700294">
        <w:t>)</w:t>
      </w:r>
      <w:r w:rsidR="001E231D" w:rsidRPr="003F2CE9">
        <w:t xml:space="preserve">, </w:t>
      </w:r>
      <w:r w:rsidR="00700294">
        <w:t xml:space="preserve">Sage, Los Angeles, pp. </w:t>
      </w:r>
      <w:r w:rsidR="001E231D" w:rsidRPr="003F2CE9">
        <w:t>442</w:t>
      </w:r>
      <w:r w:rsidR="003F2CE9" w:rsidRPr="003F2CE9">
        <w:t>–</w:t>
      </w:r>
      <w:r w:rsidR="001E231D" w:rsidRPr="003F2CE9">
        <w:t xml:space="preserve">57. </w:t>
      </w:r>
      <w:bookmarkEnd w:id="68"/>
    </w:p>
    <w:p w:rsidR="001E231D" w:rsidRPr="003F2CE9" w:rsidRDefault="00A21FDE" w:rsidP="001E231D">
      <w:pPr>
        <w:pStyle w:val="Reference"/>
      </w:pPr>
      <w:bookmarkStart w:id="69" w:name="_ENREF_46"/>
      <w:r>
        <w:t xml:space="preserve">——, </w:t>
      </w:r>
      <w:proofErr w:type="spellStart"/>
      <w:r w:rsidR="001E231D" w:rsidRPr="003F2CE9">
        <w:t>Henwood</w:t>
      </w:r>
      <w:proofErr w:type="spellEnd"/>
      <w:r w:rsidR="00AD23E1">
        <w:t>,</w:t>
      </w:r>
      <w:r w:rsidR="000C0990">
        <w:t xml:space="preserve"> W.</w:t>
      </w:r>
      <w:r w:rsidR="001E231D" w:rsidRPr="003F2CE9">
        <w:t>, Kerr</w:t>
      </w:r>
      <w:r w:rsidR="00AD23E1">
        <w:t>,</w:t>
      </w:r>
      <w:r w:rsidR="000C0990">
        <w:t xml:space="preserve"> S.</w:t>
      </w:r>
      <w:r w:rsidR="001E231D" w:rsidRPr="003F2CE9">
        <w:t>, McManus</w:t>
      </w:r>
      <w:r w:rsidR="00AD23E1">
        <w:t>,</w:t>
      </w:r>
      <w:r w:rsidR="000C0990">
        <w:t xml:space="preserve"> V.</w:t>
      </w:r>
      <w:r w:rsidR="001E231D" w:rsidRPr="003F2CE9">
        <w:t xml:space="preserve"> and </w:t>
      </w:r>
      <w:proofErr w:type="spellStart"/>
      <w:r w:rsidR="001E231D" w:rsidRPr="003F2CE9">
        <w:t>McCreanor</w:t>
      </w:r>
      <w:proofErr w:type="spellEnd"/>
      <w:r w:rsidR="00AD23E1">
        <w:t>,</w:t>
      </w:r>
      <w:r w:rsidR="000C0990">
        <w:t xml:space="preserve"> T</w:t>
      </w:r>
      <w:r w:rsidR="001E231D" w:rsidRPr="003F2CE9">
        <w:t>. 2011</w:t>
      </w:r>
      <w:r w:rsidR="00D26AB5">
        <w:t>,</w:t>
      </w:r>
      <w:r w:rsidR="001E231D" w:rsidRPr="003F2CE9">
        <w:t xml:space="preserve"> </w:t>
      </w:r>
      <w:r w:rsidR="003F2CE9" w:rsidRPr="003F2CE9">
        <w:t>‘</w:t>
      </w:r>
      <w:r w:rsidR="001E231D" w:rsidRPr="003F2CE9">
        <w:t>Knowledge t</w:t>
      </w:r>
      <w:r w:rsidR="003F2CE9" w:rsidRPr="003F2CE9">
        <w:t>ransfer and indigenous research’</w:t>
      </w:r>
      <w:r w:rsidR="00700294">
        <w:t>,</w:t>
      </w:r>
      <w:r w:rsidR="001E231D" w:rsidRPr="003F2CE9">
        <w:t xml:space="preserve"> </w:t>
      </w:r>
      <w:r w:rsidR="001E231D" w:rsidRPr="003F2CE9">
        <w:rPr>
          <w:i/>
        </w:rPr>
        <w:t xml:space="preserve">Knowledge Translation in Context: </w:t>
      </w:r>
      <w:r w:rsidR="001E231D" w:rsidRPr="00A21FDE">
        <w:rPr>
          <w:i/>
        </w:rPr>
        <w:t>Indigen</w:t>
      </w:r>
      <w:r w:rsidR="0023012D" w:rsidRPr="00A21FDE">
        <w:rPr>
          <w:i/>
        </w:rPr>
        <w:t>ous,</w:t>
      </w:r>
      <w:r w:rsidR="001E231D" w:rsidRPr="003F2CE9">
        <w:rPr>
          <w:i/>
        </w:rPr>
        <w:t xml:space="preserve"> Policy, and Community Settings</w:t>
      </w:r>
      <w:r w:rsidR="001E231D" w:rsidRPr="003F2CE9">
        <w:t>, Banister</w:t>
      </w:r>
      <w:r w:rsidR="00700294">
        <w:t>, E.</w:t>
      </w:r>
      <w:r w:rsidR="001E231D" w:rsidRPr="003F2CE9">
        <w:t xml:space="preserve">, </w:t>
      </w:r>
      <w:proofErr w:type="spellStart"/>
      <w:r w:rsidR="001E231D" w:rsidRPr="003F2CE9">
        <w:t>Leadbeater</w:t>
      </w:r>
      <w:proofErr w:type="spellEnd"/>
      <w:r w:rsidR="00700294">
        <w:t>,</w:t>
      </w:r>
      <w:r w:rsidR="001E231D" w:rsidRPr="003F2CE9">
        <w:t xml:space="preserve"> </w:t>
      </w:r>
      <w:r w:rsidR="00700294">
        <w:t xml:space="preserve">B. </w:t>
      </w:r>
      <w:r w:rsidR="001E231D" w:rsidRPr="003F2CE9">
        <w:t>and Marshall</w:t>
      </w:r>
      <w:r w:rsidR="00700294">
        <w:t>, A. (</w:t>
      </w:r>
      <w:proofErr w:type="spellStart"/>
      <w:r w:rsidR="00700294">
        <w:t>eds</w:t>
      </w:r>
      <w:proofErr w:type="spellEnd"/>
      <w:r w:rsidR="00700294">
        <w:t xml:space="preserve">), </w:t>
      </w:r>
      <w:r w:rsidR="001E231D" w:rsidRPr="003F2CE9">
        <w:t>University of Toronto Press</w:t>
      </w:r>
      <w:r w:rsidR="00700294">
        <w:t>, Toronto</w:t>
      </w:r>
      <w:r w:rsidR="001E231D" w:rsidRPr="003F2CE9">
        <w:t>.</w:t>
      </w:r>
      <w:bookmarkEnd w:id="69"/>
    </w:p>
    <w:p w:rsidR="00775D69" w:rsidRDefault="000B64EA" w:rsidP="001E231D">
      <w:pPr>
        <w:pStyle w:val="Reference"/>
      </w:pPr>
      <w:bookmarkStart w:id="70" w:name="_ENREF_47"/>
      <w:r>
        <w:t>——</w:t>
      </w:r>
      <w:r w:rsidR="00775D69">
        <w:t xml:space="preserve">, </w:t>
      </w:r>
      <w:proofErr w:type="spellStart"/>
      <w:r w:rsidR="00775D69">
        <w:t>McCreanor</w:t>
      </w:r>
      <w:proofErr w:type="spellEnd"/>
      <w:r w:rsidR="00775D69">
        <w:t xml:space="preserve">, T. &amp; </w:t>
      </w:r>
      <w:proofErr w:type="spellStart"/>
      <w:r w:rsidR="00775D69">
        <w:t>Huakau</w:t>
      </w:r>
      <w:proofErr w:type="spellEnd"/>
      <w:r w:rsidR="00775D69">
        <w:t xml:space="preserve">, J. </w:t>
      </w:r>
      <w:r w:rsidR="00775D69" w:rsidRPr="00775D69">
        <w:t>2008</w:t>
      </w:r>
      <w:r w:rsidR="00775D69">
        <w:t>,</w:t>
      </w:r>
      <w:r w:rsidR="00775D69" w:rsidRPr="00775D69">
        <w:t xml:space="preserve"> </w:t>
      </w:r>
      <w:r w:rsidR="00775D69" w:rsidRPr="00775D69">
        <w:rPr>
          <w:i/>
        </w:rPr>
        <w:t>Maori and the New Zealand Values Survey: the importance of research relationships</w:t>
      </w:r>
      <w:r w:rsidR="00775D69">
        <w:t xml:space="preserve">, </w:t>
      </w:r>
      <w:proofErr w:type="spellStart"/>
      <w:r w:rsidR="00775D69" w:rsidRPr="00775D69">
        <w:t>Kotuitui</w:t>
      </w:r>
      <w:proofErr w:type="spellEnd"/>
      <w:r w:rsidR="00775D69" w:rsidRPr="00775D69">
        <w:t xml:space="preserve">: New Zealand Journal of Social Sciences Online, </w:t>
      </w:r>
      <w:r w:rsidR="00775D69">
        <w:t xml:space="preserve">vol. </w:t>
      </w:r>
      <w:r w:rsidR="00775D69" w:rsidRPr="00775D69">
        <w:t>3</w:t>
      </w:r>
      <w:r w:rsidR="00775D69">
        <w:t>, issue 2, pp. 135-147.</w:t>
      </w:r>
    </w:p>
    <w:p w:rsidR="001E231D" w:rsidRPr="003F2CE9" w:rsidRDefault="000B64EA" w:rsidP="001E231D">
      <w:pPr>
        <w:pStyle w:val="Reference"/>
      </w:pPr>
      <w:r>
        <w:lastRenderedPageBreak/>
        <w:t xml:space="preserve">——, </w:t>
      </w:r>
      <w:proofErr w:type="spellStart"/>
      <w:r w:rsidR="001E231D" w:rsidRPr="003F2CE9">
        <w:t>Moewaka</w:t>
      </w:r>
      <w:proofErr w:type="spellEnd"/>
      <w:r w:rsidR="001E231D" w:rsidRPr="003F2CE9">
        <w:t xml:space="preserve"> Barnes</w:t>
      </w:r>
      <w:r w:rsidR="00AD23E1">
        <w:t>,</w:t>
      </w:r>
      <w:r w:rsidR="000C0990">
        <w:t xml:space="preserve"> A.</w:t>
      </w:r>
      <w:r w:rsidR="001E231D" w:rsidRPr="003F2CE9">
        <w:t>, Baxter</w:t>
      </w:r>
      <w:r w:rsidR="00AD23E1">
        <w:t>,</w:t>
      </w:r>
      <w:r w:rsidR="000C0990">
        <w:t xml:space="preserve"> J.</w:t>
      </w:r>
      <w:r w:rsidR="001E231D" w:rsidRPr="003F2CE9">
        <w:t xml:space="preserve">, </w:t>
      </w:r>
      <w:proofErr w:type="spellStart"/>
      <w:r w:rsidR="001E231D" w:rsidRPr="003F2CE9">
        <w:t>Crengle</w:t>
      </w:r>
      <w:proofErr w:type="spellEnd"/>
      <w:r w:rsidR="00AD23E1">
        <w:t>,</w:t>
      </w:r>
      <w:r w:rsidR="000C0990">
        <w:t xml:space="preserve"> S.</w:t>
      </w:r>
      <w:r w:rsidR="001E231D" w:rsidRPr="003F2CE9">
        <w:t xml:space="preserve">, </w:t>
      </w:r>
      <w:proofErr w:type="spellStart"/>
      <w:r w:rsidR="001E231D" w:rsidRPr="003F2CE9">
        <w:t>Pihama</w:t>
      </w:r>
      <w:proofErr w:type="spellEnd"/>
      <w:r w:rsidR="00AD23E1">
        <w:t>,</w:t>
      </w:r>
      <w:r w:rsidR="000C0990">
        <w:t xml:space="preserve"> L.</w:t>
      </w:r>
      <w:r w:rsidR="001E231D" w:rsidRPr="003F2CE9">
        <w:t xml:space="preserve">, </w:t>
      </w:r>
      <w:proofErr w:type="spellStart"/>
      <w:r w:rsidR="001E231D" w:rsidRPr="003F2CE9">
        <w:t>Ratima</w:t>
      </w:r>
      <w:proofErr w:type="spellEnd"/>
      <w:r w:rsidR="00AD23E1">
        <w:t>,</w:t>
      </w:r>
      <w:r w:rsidR="000C0990">
        <w:t xml:space="preserve"> M.</w:t>
      </w:r>
      <w:r w:rsidR="001E231D" w:rsidRPr="003F2CE9">
        <w:t xml:space="preserve"> and Robson</w:t>
      </w:r>
      <w:r w:rsidR="00AD23E1">
        <w:t>,</w:t>
      </w:r>
      <w:r w:rsidR="000C0990">
        <w:t xml:space="preserve"> B</w:t>
      </w:r>
      <w:r w:rsidR="001E231D" w:rsidRPr="003F2CE9">
        <w:t>. 2012</w:t>
      </w:r>
      <w:r w:rsidR="00D26AB5">
        <w:t>,</w:t>
      </w:r>
      <w:r w:rsidR="001E231D" w:rsidRPr="003F2CE9">
        <w:t xml:space="preserve"> </w:t>
      </w:r>
      <w:r w:rsidR="001E231D" w:rsidRPr="003F2CE9">
        <w:rPr>
          <w:i/>
        </w:rPr>
        <w:t xml:space="preserve">Hapu </w:t>
      </w:r>
      <w:proofErr w:type="spellStart"/>
      <w:r w:rsidR="001E231D" w:rsidRPr="003F2CE9">
        <w:rPr>
          <w:i/>
        </w:rPr>
        <w:t>Ora</w:t>
      </w:r>
      <w:proofErr w:type="spellEnd"/>
      <w:r w:rsidR="00700294">
        <w:t>,</w:t>
      </w:r>
      <w:r w:rsidR="001E231D" w:rsidRPr="003F2CE9">
        <w:t xml:space="preserve"> </w:t>
      </w:r>
      <w:proofErr w:type="spellStart"/>
      <w:r w:rsidR="001E231D" w:rsidRPr="003F2CE9">
        <w:t>Whariki</w:t>
      </w:r>
      <w:proofErr w:type="spellEnd"/>
      <w:r w:rsidR="001E231D" w:rsidRPr="003F2CE9">
        <w:t xml:space="preserve"> Research Group, SHORE and </w:t>
      </w:r>
      <w:proofErr w:type="spellStart"/>
      <w:r w:rsidR="001E231D" w:rsidRPr="003F2CE9">
        <w:t>Whariki</w:t>
      </w:r>
      <w:proofErr w:type="spellEnd"/>
      <w:r w:rsidR="001E231D" w:rsidRPr="003F2CE9">
        <w:t xml:space="preserve"> Research Centre, Massey University</w:t>
      </w:r>
      <w:r w:rsidR="00700294">
        <w:t>, Auckland</w:t>
      </w:r>
      <w:r w:rsidR="001E231D" w:rsidRPr="003F2CE9">
        <w:t>.</w:t>
      </w:r>
      <w:bookmarkEnd w:id="70"/>
    </w:p>
    <w:p w:rsidR="001E231D" w:rsidRPr="003F2CE9" w:rsidRDefault="00A21FDE" w:rsidP="001E231D">
      <w:pPr>
        <w:pStyle w:val="Reference"/>
      </w:pPr>
      <w:bookmarkStart w:id="71" w:name="_ENREF_48"/>
      <w:r>
        <w:t>——</w:t>
      </w:r>
      <w:r w:rsidR="001E231D" w:rsidRPr="003F2CE9">
        <w:t xml:space="preserve"> and Stanley</w:t>
      </w:r>
      <w:r w:rsidR="00AD23E1">
        <w:t>,</w:t>
      </w:r>
      <w:r w:rsidR="000C0990">
        <w:t xml:space="preserve"> P</w:t>
      </w:r>
      <w:r w:rsidR="001E231D" w:rsidRPr="003F2CE9">
        <w:t>. 1999</w:t>
      </w:r>
      <w:r w:rsidR="00D26AB5">
        <w:t>,</w:t>
      </w:r>
      <w:r w:rsidR="001E231D" w:rsidRPr="003F2CE9">
        <w:t xml:space="preserve"> </w:t>
      </w:r>
      <w:r w:rsidR="003F2CE9" w:rsidRPr="003F2CE9">
        <w:t>‘</w:t>
      </w:r>
      <w:r w:rsidR="001E231D" w:rsidRPr="003F2CE9">
        <w:t xml:space="preserve">Kia Mau </w:t>
      </w:r>
      <w:proofErr w:type="spellStart"/>
      <w:r w:rsidR="001E231D" w:rsidRPr="003F2CE9">
        <w:t>te</w:t>
      </w:r>
      <w:proofErr w:type="spellEnd"/>
      <w:r w:rsidR="001E231D" w:rsidRPr="003F2CE9">
        <w:t xml:space="preserve"> Mana</w:t>
      </w:r>
      <w:r w:rsidR="003F2CE9" w:rsidRPr="003F2CE9">
        <w:t>’</w:t>
      </w:r>
      <w:r w:rsidR="00E93F5B">
        <w:t>,</w:t>
      </w:r>
      <w:r w:rsidR="001E231D" w:rsidRPr="003F2CE9">
        <w:t xml:space="preserve"> </w:t>
      </w:r>
      <w:r w:rsidR="001E231D" w:rsidRPr="003F2CE9">
        <w:rPr>
          <w:i/>
        </w:rPr>
        <w:t>Community Action to Prevent Alcohol Problems</w:t>
      </w:r>
      <w:r w:rsidR="00E93F5B">
        <w:t>,</w:t>
      </w:r>
      <w:r w:rsidR="001E231D" w:rsidRPr="003F2CE9">
        <w:t xml:space="preserve"> WHO Regional Office for Europe</w:t>
      </w:r>
      <w:r w:rsidR="00E93F5B">
        <w:t>, Copenhagen</w:t>
      </w:r>
      <w:r w:rsidR="001E231D" w:rsidRPr="003F2CE9">
        <w:t>.</w:t>
      </w:r>
      <w:bookmarkEnd w:id="71"/>
    </w:p>
    <w:p w:rsidR="001E231D" w:rsidRPr="003F2CE9" w:rsidRDefault="00A21FDE" w:rsidP="001E231D">
      <w:pPr>
        <w:pStyle w:val="Reference"/>
      </w:pPr>
      <w:bookmarkStart w:id="72" w:name="_ENREF_49"/>
      <w:r>
        <w:t>——</w:t>
      </w:r>
      <w:r w:rsidR="001E231D" w:rsidRPr="003F2CE9">
        <w:t xml:space="preserve">, </w:t>
      </w:r>
      <w:proofErr w:type="spellStart"/>
      <w:r w:rsidR="001E231D" w:rsidRPr="003F2CE9">
        <w:t>Tunks</w:t>
      </w:r>
      <w:proofErr w:type="spellEnd"/>
      <w:r w:rsidR="00AD23E1">
        <w:t>,</w:t>
      </w:r>
      <w:r w:rsidR="000C0990">
        <w:t xml:space="preserve"> M.</w:t>
      </w:r>
      <w:r w:rsidR="001E231D" w:rsidRPr="003F2CE9">
        <w:t xml:space="preserve">, </w:t>
      </w:r>
      <w:proofErr w:type="spellStart"/>
      <w:r w:rsidR="001E231D" w:rsidRPr="003F2CE9">
        <w:t>Dacey</w:t>
      </w:r>
      <w:proofErr w:type="spellEnd"/>
      <w:r w:rsidR="00AD23E1">
        <w:t>,</w:t>
      </w:r>
      <w:r w:rsidR="000C0990">
        <w:t xml:space="preserve"> B.</w:t>
      </w:r>
      <w:r w:rsidR="001E231D" w:rsidRPr="003F2CE9">
        <w:t xml:space="preserve"> and </w:t>
      </w:r>
      <w:proofErr w:type="spellStart"/>
      <w:r w:rsidR="001E231D" w:rsidRPr="003F2CE9">
        <w:t>Hallmond</w:t>
      </w:r>
      <w:proofErr w:type="spellEnd"/>
      <w:r w:rsidR="00AD23E1">
        <w:t>,</w:t>
      </w:r>
      <w:r w:rsidR="000C0990">
        <w:t xml:space="preserve"> H</w:t>
      </w:r>
      <w:r w:rsidR="001E231D" w:rsidRPr="003F2CE9">
        <w:t>. 1998</w:t>
      </w:r>
      <w:r w:rsidR="00D26AB5">
        <w:t>,</w:t>
      </w:r>
      <w:r w:rsidR="001E231D" w:rsidRPr="003F2CE9">
        <w:t xml:space="preserve"> </w:t>
      </w:r>
      <w:proofErr w:type="spellStart"/>
      <w:r w:rsidR="001E231D" w:rsidRPr="003F2CE9">
        <w:rPr>
          <w:i/>
        </w:rPr>
        <w:t>Te</w:t>
      </w:r>
      <w:proofErr w:type="spellEnd"/>
      <w:r w:rsidR="001E231D" w:rsidRPr="003F2CE9">
        <w:rPr>
          <w:i/>
        </w:rPr>
        <w:t xml:space="preserve"> Pataka o </w:t>
      </w:r>
      <w:proofErr w:type="spellStart"/>
      <w:r w:rsidR="001E231D" w:rsidRPr="003F2CE9">
        <w:rPr>
          <w:i/>
        </w:rPr>
        <w:t>Te</w:t>
      </w:r>
      <w:proofErr w:type="spellEnd"/>
      <w:r w:rsidR="001E231D" w:rsidRPr="003F2CE9">
        <w:rPr>
          <w:i/>
        </w:rPr>
        <w:t xml:space="preserve"> Tai </w:t>
      </w:r>
      <w:proofErr w:type="spellStart"/>
      <w:r w:rsidR="001E231D" w:rsidRPr="003F2CE9">
        <w:rPr>
          <w:i/>
        </w:rPr>
        <w:t>Tokerau</w:t>
      </w:r>
      <w:proofErr w:type="spellEnd"/>
      <w:r w:rsidR="001E231D" w:rsidRPr="003F2CE9">
        <w:rPr>
          <w:i/>
        </w:rPr>
        <w:t xml:space="preserve"> Outcome Evaluation Report</w:t>
      </w:r>
      <w:r w:rsidR="00E93F5B">
        <w:t>,</w:t>
      </w:r>
      <w:r w:rsidR="001E231D" w:rsidRPr="003F2CE9">
        <w:t xml:space="preserve"> </w:t>
      </w:r>
      <w:proofErr w:type="spellStart"/>
      <w:r w:rsidR="001E231D" w:rsidRPr="003F2CE9">
        <w:t>Whariki</w:t>
      </w:r>
      <w:proofErr w:type="spellEnd"/>
      <w:r w:rsidR="001E231D" w:rsidRPr="003F2CE9">
        <w:t xml:space="preserve"> Research Group, Alcohol &amp; Public Health Research Unit, University of Auckland</w:t>
      </w:r>
      <w:r w:rsidR="00E93F5B">
        <w:t>, Auckland</w:t>
      </w:r>
      <w:r w:rsidR="001E231D" w:rsidRPr="003F2CE9">
        <w:t>.</w:t>
      </w:r>
      <w:bookmarkEnd w:id="72"/>
    </w:p>
    <w:p w:rsidR="001E231D" w:rsidRPr="003F2CE9" w:rsidRDefault="001E231D" w:rsidP="001E231D">
      <w:pPr>
        <w:pStyle w:val="Reference"/>
      </w:pPr>
      <w:bookmarkStart w:id="73" w:name="_ENREF_50"/>
      <w:r w:rsidRPr="003F2CE9">
        <w:t>National Party 2008</w:t>
      </w:r>
      <w:r w:rsidR="00D26AB5">
        <w:t>,</w:t>
      </w:r>
      <w:r w:rsidRPr="003F2CE9">
        <w:t xml:space="preserve"> </w:t>
      </w:r>
      <w:r w:rsidRPr="003F2CE9">
        <w:rPr>
          <w:i/>
        </w:rPr>
        <w:t xml:space="preserve">Policy 2008: </w:t>
      </w:r>
      <w:r w:rsidR="00E52F9C">
        <w:rPr>
          <w:i/>
        </w:rPr>
        <w:t>Māori</w:t>
      </w:r>
      <w:r w:rsidRPr="003F2CE9">
        <w:rPr>
          <w:i/>
        </w:rPr>
        <w:t xml:space="preserve"> Affairs Policy</w:t>
      </w:r>
      <w:r w:rsidR="00F32742">
        <w:t xml:space="preserve"> </w:t>
      </w:r>
      <w:r w:rsidRPr="003F2CE9">
        <w:t>2008</w:t>
      </w:r>
      <w:r w:rsidR="00E93F5B">
        <w:t>,</w:t>
      </w:r>
      <w:r w:rsidRPr="003F2CE9">
        <w:t xml:space="preserve"> </w:t>
      </w:r>
      <w:proofErr w:type="spellStart"/>
      <w:r w:rsidR="00E93F5B" w:rsidRPr="00143602">
        <w:t>www.national.org.nz</w:t>
      </w:r>
      <w:proofErr w:type="spellEnd"/>
      <w:r w:rsidRPr="003F2CE9">
        <w:t>.</w:t>
      </w:r>
      <w:bookmarkEnd w:id="73"/>
    </w:p>
    <w:p w:rsidR="001E231D" w:rsidRPr="003F2CE9" w:rsidRDefault="001E231D" w:rsidP="001E231D">
      <w:pPr>
        <w:pStyle w:val="Reference"/>
      </w:pPr>
      <w:bookmarkStart w:id="74" w:name="_ENREF_51"/>
      <w:proofErr w:type="spellStart"/>
      <w:r w:rsidRPr="003F2CE9">
        <w:t>Nunns</w:t>
      </w:r>
      <w:proofErr w:type="spellEnd"/>
      <w:r w:rsidRPr="003F2CE9">
        <w:t>, H. 2009</w:t>
      </w:r>
      <w:r w:rsidR="00D26AB5">
        <w:t>,</w:t>
      </w:r>
      <w:r w:rsidRPr="003F2CE9">
        <w:t xml:space="preserve"> </w:t>
      </w:r>
      <w:r w:rsidR="003F2CE9" w:rsidRPr="003F2CE9">
        <w:t>‘</w:t>
      </w:r>
      <w:r w:rsidRPr="003F2CE9">
        <w:t>Responding to the demand for quicker evaluation findings</w:t>
      </w:r>
      <w:r w:rsidR="003F2CE9" w:rsidRPr="003F2CE9">
        <w:t>’</w:t>
      </w:r>
      <w:r w:rsidR="00E93F5B">
        <w:t>,</w:t>
      </w:r>
      <w:r w:rsidRPr="003F2CE9">
        <w:t xml:space="preserve"> </w:t>
      </w:r>
      <w:r w:rsidRPr="003F2CE9">
        <w:rPr>
          <w:i/>
        </w:rPr>
        <w:t>Social Policy Journal of New Zealand</w:t>
      </w:r>
      <w:r w:rsidR="00E93F5B">
        <w:t>,</w:t>
      </w:r>
      <w:r w:rsidRPr="003F2CE9">
        <w:t xml:space="preserve"> </w:t>
      </w:r>
      <w:r w:rsidR="00E93F5B">
        <w:t xml:space="preserve">vol. </w:t>
      </w:r>
      <w:r w:rsidRPr="003F2CE9">
        <w:t>34</w:t>
      </w:r>
      <w:r w:rsidR="00E93F5B">
        <w:t>,</w:t>
      </w:r>
      <w:r w:rsidRPr="003F2CE9">
        <w:t xml:space="preserve"> </w:t>
      </w:r>
      <w:r w:rsidR="00D26AB5">
        <w:t xml:space="preserve">pp. </w:t>
      </w:r>
      <w:r w:rsidRPr="003F2CE9">
        <w:t>89</w:t>
      </w:r>
      <w:r w:rsidR="003F2CE9" w:rsidRPr="003F2CE9">
        <w:t>–</w:t>
      </w:r>
      <w:r w:rsidRPr="003F2CE9">
        <w:t>99.</w:t>
      </w:r>
      <w:bookmarkEnd w:id="74"/>
    </w:p>
    <w:p w:rsidR="001E231D" w:rsidRPr="003F2CE9" w:rsidRDefault="001E231D" w:rsidP="001E231D">
      <w:pPr>
        <w:pStyle w:val="Reference"/>
      </w:pPr>
      <w:bookmarkStart w:id="75" w:name="_ENREF_52"/>
      <w:r w:rsidRPr="003F2CE9">
        <w:t>O</w:t>
      </w:r>
      <w:r w:rsidR="003F2CE9" w:rsidRPr="003F2CE9">
        <w:t>’</w:t>
      </w:r>
      <w:r w:rsidRPr="003F2CE9">
        <w:t>Sullivan, D. 2008</w:t>
      </w:r>
      <w:r w:rsidR="00D26AB5">
        <w:t>,</w:t>
      </w:r>
      <w:r w:rsidRPr="003F2CE9">
        <w:t xml:space="preserve"> </w:t>
      </w:r>
      <w:r w:rsidR="003F2CE9" w:rsidRPr="003F2CE9">
        <w:t>‘</w:t>
      </w:r>
      <w:r w:rsidRPr="003F2CE9">
        <w:t>The Treaty of Waitangi in Contemporary New Zealand Politics</w:t>
      </w:r>
      <w:r w:rsidR="003F2CE9" w:rsidRPr="003F2CE9">
        <w:t>’</w:t>
      </w:r>
      <w:r w:rsidR="00E93F5B">
        <w:t>,</w:t>
      </w:r>
      <w:r w:rsidRPr="003F2CE9">
        <w:t xml:space="preserve"> </w:t>
      </w:r>
      <w:r w:rsidRPr="003F2CE9">
        <w:rPr>
          <w:i/>
        </w:rPr>
        <w:t>Australian Journal of Political Science</w:t>
      </w:r>
      <w:r w:rsidR="00E93F5B">
        <w:t>,</w:t>
      </w:r>
      <w:r w:rsidRPr="003F2CE9">
        <w:t xml:space="preserve"> </w:t>
      </w:r>
      <w:r w:rsidR="00E93F5B">
        <w:t xml:space="preserve">vol. </w:t>
      </w:r>
      <w:r w:rsidRPr="003F2CE9">
        <w:t>43</w:t>
      </w:r>
      <w:r w:rsidR="00E93F5B">
        <w:t xml:space="preserve">, no. 2, </w:t>
      </w:r>
      <w:r w:rsidR="00D26AB5">
        <w:t xml:space="preserve">pp. </w:t>
      </w:r>
      <w:r w:rsidRPr="003F2CE9">
        <w:t>317</w:t>
      </w:r>
      <w:r w:rsidR="003F2CE9" w:rsidRPr="003F2CE9">
        <w:t>–</w:t>
      </w:r>
      <w:r w:rsidRPr="003F2CE9">
        <w:t>31.</w:t>
      </w:r>
      <w:bookmarkEnd w:id="75"/>
    </w:p>
    <w:p w:rsidR="001E231D" w:rsidRPr="003F2CE9" w:rsidRDefault="001E231D" w:rsidP="001E231D">
      <w:pPr>
        <w:pStyle w:val="Reference"/>
      </w:pPr>
      <w:bookmarkStart w:id="76" w:name="_ENREF_53"/>
      <w:r w:rsidRPr="003F2CE9">
        <w:t>Parliamentary Library 2000</w:t>
      </w:r>
      <w:r w:rsidR="00D26AB5">
        <w:t>,</w:t>
      </w:r>
      <w:r w:rsidRPr="003F2CE9">
        <w:t xml:space="preserve"> </w:t>
      </w:r>
      <w:r w:rsidRPr="003F2CE9">
        <w:rPr>
          <w:i/>
        </w:rPr>
        <w:t>Gaps between ethnic groups: some key statistics, Background note</w:t>
      </w:r>
      <w:r w:rsidR="00E93F5B">
        <w:rPr>
          <w:i/>
        </w:rPr>
        <w:t>,</w:t>
      </w:r>
      <w:r w:rsidRPr="003F2CE9">
        <w:t xml:space="preserve"> Wellington.</w:t>
      </w:r>
      <w:bookmarkEnd w:id="76"/>
    </w:p>
    <w:p w:rsidR="001E231D" w:rsidRPr="003F2CE9" w:rsidRDefault="001E231D" w:rsidP="001E231D">
      <w:pPr>
        <w:pStyle w:val="Reference"/>
      </w:pPr>
      <w:bookmarkStart w:id="77" w:name="_ENREF_54"/>
      <w:proofErr w:type="spellStart"/>
      <w:r w:rsidRPr="003F2CE9">
        <w:t>PASE</w:t>
      </w:r>
      <w:proofErr w:type="spellEnd"/>
      <w:r w:rsidRPr="003F2CE9">
        <w:t xml:space="preserve"> 2003</w:t>
      </w:r>
      <w:r w:rsidR="00D26AB5">
        <w:t>,</w:t>
      </w:r>
      <w:r w:rsidRPr="003F2CE9">
        <w:t xml:space="preserve"> </w:t>
      </w:r>
      <w:r w:rsidRPr="003F2CE9">
        <w:rPr>
          <w:i/>
        </w:rPr>
        <w:t xml:space="preserve">Evaluation </w:t>
      </w:r>
      <w:proofErr w:type="spellStart"/>
      <w:r w:rsidRPr="003F2CE9">
        <w:rPr>
          <w:i/>
        </w:rPr>
        <w:t>Hui</w:t>
      </w:r>
      <w:proofErr w:type="spellEnd"/>
      <w:r w:rsidRPr="003F2CE9">
        <w:rPr>
          <w:i/>
        </w:rPr>
        <w:t>: Toward Guidelines for Culturally Responsible Evaluation and Research</w:t>
      </w:r>
      <w:r w:rsidR="00E93F5B">
        <w:rPr>
          <w:i/>
        </w:rPr>
        <w:t>,</w:t>
      </w:r>
      <w:r w:rsidRPr="003F2CE9">
        <w:t xml:space="preserve"> Policy Analysis &amp; System Evaluation</w:t>
      </w:r>
      <w:r w:rsidR="00E93F5B">
        <w:t xml:space="preserve">, Honolulu, Hawai’i, </w:t>
      </w:r>
      <w:r w:rsidRPr="006A46BC">
        <w:t>http://</w:t>
      </w:r>
      <w:proofErr w:type="spellStart"/>
      <w:r w:rsidRPr="006A46BC">
        <w:t>www.ksbe.edu</w:t>
      </w:r>
      <w:proofErr w:type="spellEnd"/>
      <w:r w:rsidRPr="006A46BC">
        <w:t>/</w:t>
      </w:r>
      <w:proofErr w:type="spellStart"/>
      <w:r w:rsidRPr="006A46BC">
        <w:t>pase</w:t>
      </w:r>
      <w:proofErr w:type="spellEnd"/>
      <w:r w:rsidRPr="006A46BC">
        <w:t>/</w:t>
      </w:r>
      <w:proofErr w:type="spellStart"/>
      <w:r w:rsidRPr="006A46BC">
        <w:t>pdf</w:t>
      </w:r>
      <w:proofErr w:type="spellEnd"/>
      <w:r w:rsidRPr="006A46BC">
        <w:t>/</w:t>
      </w:r>
      <w:proofErr w:type="spellStart"/>
      <w:r w:rsidRPr="006A46BC">
        <w:t>EvaluationHui</w:t>
      </w:r>
      <w:proofErr w:type="spellEnd"/>
      <w:r w:rsidRPr="006A46BC">
        <w:t>/</w:t>
      </w:r>
      <w:proofErr w:type="spellStart"/>
      <w:r w:rsidRPr="006A46BC">
        <w:t>InfoBrief.pdf</w:t>
      </w:r>
      <w:proofErr w:type="spellEnd"/>
      <w:r w:rsidRPr="003F2CE9">
        <w:t>.</w:t>
      </w:r>
      <w:bookmarkEnd w:id="77"/>
    </w:p>
    <w:p w:rsidR="001E231D" w:rsidRPr="003F2CE9" w:rsidRDefault="001E231D" w:rsidP="001E231D">
      <w:pPr>
        <w:pStyle w:val="Reference"/>
      </w:pPr>
      <w:bookmarkStart w:id="78" w:name="_ENREF_55"/>
      <w:r w:rsidRPr="003F2CE9">
        <w:t>Pere, R. 1988</w:t>
      </w:r>
      <w:r w:rsidR="000C0990">
        <w:t>,</w:t>
      </w:r>
      <w:r w:rsidRPr="003F2CE9">
        <w:t xml:space="preserve"> </w:t>
      </w:r>
      <w:r w:rsidR="003F2CE9" w:rsidRPr="003F2CE9">
        <w:t>‘</w:t>
      </w:r>
      <w:proofErr w:type="spellStart"/>
      <w:r w:rsidRPr="003F2CE9">
        <w:t>Te</w:t>
      </w:r>
      <w:proofErr w:type="spellEnd"/>
      <w:r w:rsidRPr="003F2CE9">
        <w:t xml:space="preserve"> </w:t>
      </w:r>
      <w:proofErr w:type="spellStart"/>
      <w:r w:rsidRPr="003F2CE9">
        <w:t>Wheke</w:t>
      </w:r>
      <w:proofErr w:type="spellEnd"/>
      <w:r w:rsidRPr="003F2CE9">
        <w:t xml:space="preserve">: </w:t>
      </w:r>
      <w:proofErr w:type="spellStart"/>
      <w:r w:rsidRPr="003F2CE9">
        <w:t>Whaia</w:t>
      </w:r>
      <w:proofErr w:type="spellEnd"/>
      <w:r w:rsidRPr="003F2CE9">
        <w:t xml:space="preserve"> </w:t>
      </w:r>
      <w:proofErr w:type="spellStart"/>
      <w:r w:rsidRPr="003F2CE9">
        <w:t>Te</w:t>
      </w:r>
      <w:proofErr w:type="spellEnd"/>
      <w:r w:rsidRPr="003F2CE9">
        <w:t xml:space="preserve"> </w:t>
      </w:r>
      <w:proofErr w:type="spellStart"/>
      <w:r w:rsidRPr="003F2CE9">
        <w:t>Maramatanga</w:t>
      </w:r>
      <w:proofErr w:type="spellEnd"/>
      <w:r w:rsidRPr="003F2CE9">
        <w:t xml:space="preserve"> Me </w:t>
      </w:r>
      <w:proofErr w:type="spellStart"/>
      <w:r w:rsidRPr="003F2CE9">
        <w:t>Te</w:t>
      </w:r>
      <w:proofErr w:type="spellEnd"/>
      <w:r w:rsidRPr="003F2CE9">
        <w:t xml:space="preserve"> </w:t>
      </w:r>
      <w:proofErr w:type="spellStart"/>
      <w:r w:rsidRPr="003F2CE9">
        <w:t>Aroha</w:t>
      </w:r>
      <w:proofErr w:type="spellEnd"/>
      <w:r w:rsidR="003F2CE9" w:rsidRPr="003F2CE9">
        <w:t>’</w:t>
      </w:r>
      <w:r w:rsidR="00E93F5B">
        <w:t>,</w:t>
      </w:r>
      <w:r w:rsidRPr="003F2CE9">
        <w:t xml:space="preserve"> </w:t>
      </w:r>
      <w:r w:rsidRPr="003F2CE9">
        <w:rPr>
          <w:i/>
        </w:rPr>
        <w:t xml:space="preserve">Women </w:t>
      </w:r>
      <w:r w:rsidR="00327DD5">
        <w:rPr>
          <w:i/>
        </w:rPr>
        <w:t>a</w:t>
      </w:r>
      <w:r w:rsidRPr="003F2CE9">
        <w:rPr>
          <w:i/>
        </w:rPr>
        <w:t xml:space="preserve">nd Education </w:t>
      </w:r>
      <w:r w:rsidR="00327DD5">
        <w:rPr>
          <w:i/>
        </w:rPr>
        <w:t>i</w:t>
      </w:r>
      <w:r w:rsidRPr="003F2CE9">
        <w:rPr>
          <w:i/>
        </w:rPr>
        <w:t>n Aotearoa</w:t>
      </w:r>
      <w:r w:rsidRPr="003F2CE9">
        <w:t>, Middleton</w:t>
      </w:r>
      <w:r w:rsidR="00E93F5B">
        <w:t>, S. (ed</w:t>
      </w:r>
      <w:r w:rsidR="005D0A0B">
        <w:t>.</w:t>
      </w:r>
      <w:r w:rsidR="00E93F5B">
        <w:t xml:space="preserve">), </w:t>
      </w:r>
      <w:r w:rsidRPr="003F2CE9">
        <w:t xml:space="preserve">Allen &amp; </w:t>
      </w:r>
      <w:proofErr w:type="spellStart"/>
      <w:r w:rsidRPr="003F2CE9">
        <w:t>Unwin</w:t>
      </w:r>
      <w:proofErr w:type="spellEnd"/>
      <w:r w:rsidR="00327DD5">
        <w:t>, Wellington</w:t>
      </w:r>
      <w:r w:rsidRPr="003F2CE9">
        <w:t>.</w:t>
      </w:r>
      <w:bookmarkEnd w:id="78"/>
    </w:p>
    <w:p w:rsidR="001E231D" w:rsidRPr="003F2CE9" w:rsidRDefault="001E231D" w:rsidP="001E231D">
      <w:pPr>
        <w:pStyle w:val="Reference"/>
      </w:pPr>
      <w:bookmarkStart w:id="79" w:name="_ENREF_56"/>
      <w:proofErr w:type="spellStart"/>
      <w:r w:rsidRPr="003F2CE9">
        <w:t>Roorda</w:t>
      </w:r>
      <w:proofErr w:type="spellEnd"/>
      <w:r w:rsidRPr="003F2CE9">
        <w:t>, M. and Peace</w:t>
      </w:r>
      <w:r w:rsidR="00AD23E1">
        <w:t>,</w:t>
      </w:r>
      <w:r w:rsidR="000C0990">
        <w:t xml:space="preserve"> R</w:t>
      </w:r>
      <w:r w:rsidRPr="003F2CE9">
        <w:t>. 2009</w:t>
      </w:r>
      <w:r w:rsidR="00D26AB5">
        <w:t>,</w:t>
      </w:r>
      <w:r w:rsidRPr="003F2CE9">
        <w:t xml:space="preserve"> </w:t>
      </w:r>
      <w:r w:rsidR="003F2CE9" w:rsidRPr="003F2CE9">
        <w:t>‘</w:t>
      </w:r>
      <w:r w:rsidRPr="003F2CE9">
        <w:t xml:space="preserve">Challenges to implementing good practice guidelines for evaluation with </w:t>
      </w:r>
      <w:r w:rsidR="00E52F9C">
        <w:t>Māori</w:t>
      </w:r>
      <w:r w:rsidRPr="003F2CE9">
        <w:t>: a Pakeha perspective</w:t>
      </w:r>
      <w:r w:rsidR="003F2CE9" w:rsidRPr="003F2CE9">
        <w:t>’</w:t>
      </w:r>
      <w:r w:rsidR="00327DD5">
        <w:t>,</w:t>
      </w:r>
      <w:r w:rsidRPr="003F2CE9">
        <w:t xml:space="preserve"> </w:t>
      </w:r>
      <w:r w:rsidRPr="003F2CE9">
        <w:rPr>
          <w:i/>
        </w:rPr>
        <w:t>Social Policy Journal of New Zealand</w:t>
      </w:r>
      <w:r w:rsidR="00327DD5">
        <w:t>, vol.</w:t>
      </w:r>
      <w:r w:rsidRPr="003F2CE9">
        <w:t xml:space="preserve"> 34</w:t>
      </w:r>
      <w:r w:rsidR="00327DD5">
        <w:t>,</w:t>
      </w:r>
      <w:r w:rsidRPr="003F2CE9">
        <w:t xml:space="preserve"> </w:t>
      </w:r>
      <w:r w:rsidR="00D26AB5">
        <w:t xml:space="preserve">pp. </w:t>
      </w:r>
      <w:r w:rsidRPr="003F2CE9">
        <w:t>73</w:t>
      </w:r>
      <w:r w:rsidR="003F2CE9" w:rsidRPr="003F2CE9">
        <w:t>–</w:t>
      </w:r>
      <w:r w:rsidRPr="003F2CE9">
        <w:t>88.</w:t>
      </w:r>
      <w:bookmarkEnd w:id="79"/>
    </w:p>
    <w:p w:rsidR="001E231D" w:rsidRPr="003F2CE9" w:rsidRDefault="001E231D" w:rsidP="001E231D">
      <w:pPr>
        <w:pStyle w:val="Reference"/>
      </w:pPr>
      <w:bookmarkStart w:id="80" w:name="_ENREF_57"/>
      <w:proofErr w:type="spellStart"/>
      <w:r w:rsidRPr="003F2CE9">
        <w:t>Saville</w:t>
      </w:r>
      <w:proofErr w:type="spellEnd"/>
      <w:r w:rsidRPr="003F2CE9">
        <w:t>-Smith, K. 2003</w:t>
      </w:r>
      <w:r w:rsidR="00D26AB5">
        <w:t>,</w:t>
      </w:r>
      <w:r w:rsidRPr="003F2CE9">
        <w:t xml:space="preserve"> </w:t>
      </w:r>
      <w:r w:rsidR="003F2CE9" w:rsidRPr="003F2CE9">
        <w:t>‘</w:t>
      </w:r>
      <w:r w:rsidRPr="003F2CE9">
        <w:t>Power and politics: the shaping of evaluation research in New Zealand</w:t>
      </w:r>
      <w:r w:rsidR="003F2CE9" w:rsidRPr="003F2CE9">
        <w:t>’</w:t>
      </w:r>
      <w:r w:rsidR="00327DD5">
        <w:t>,</w:t>
      </w:r>
      <w:r w:rsidRPr="003F2CE9">
        <w:t xml:space="preserve"> </w:t>
      </w:r>
      <w:r w:rsidRPr="003F2CE9">
        <w:rPr>
          <w:i/>
        </w:rPr>
        <w:t>Evaluating Policy and Practice. A New Zealand Reader</w:t>
      </w:r>
      <w:r w:rsidRPr="003F2CE9">
        <w:t>, Lunt</w:t>
      </w:r>
      <w:r w:rsidR="00327DD5">
        <w:t>, N.</w:t>
      </w:r>
      <w:r w:rsidRPr="003F2CE9">
        <w:t>, Davidson</w:t>
      </w:r>
      <w:r w:rsidR="00327DD5">
        <w:t>, C.</w:t>
      </w:r>
      <w:r w:rsidRPr="003F2CE9">
        <w:t xml:space="preserve"> and </w:t>
      </w:r>
      <w:proofErr w:type="spellStart"/>
      <w:r w:rsidRPr="003F2CE9">
        <w:t>McKegg</w:t>
      </w:r>
      <w:proofErr w:type="spellEnd"/>
      <w:r w:rsidRPr="003F2CE9">
        <w:t>,</w:t>
      </w:r>
      <w:r w:rsidR="00327DD5">
        <w:t xml:space="preserve"> K. (</w:t>
      </w:r>
      <w:proofErr w:type="spellStart"/>
      <w:r w:rsidR="00327DD5">
        <w:t>eds</w:t>
      </w:r>
      <w:proofErr w:type="spellEnd"/>
      <w:r w:rsidR="00327DD5">
        <w:t>),</w:t>
      </w:r>
      <w:r w:rsidRPr="003F2CE9">
        <w:t xml:space="preserve"> </w:t>
      </w:r>
      <w:r w:rsidR="00327DD5">
        <w:t>Pearson Education, Auckland,</w:t>
      </w:r>
      <w:r w:rsidR="00DF4F36">
        <w:br/>
      </w:r>
      <w:r w:rsidR="00D26AB5">
        <w:t xml:space="preserve">pp. </w:t>
      </w:r>
      <w:r w:rsidRPr="003F2CE9">
        <w:t>16</w:t>
      </w:r>
      <w:r w:rsidR="003F2CE9" w:rsidRPr="003F2CE9">
        <w:t>–</w:t>
      </w:r>
      <w:r w:rsidRPr="003F2CE9">
        <w:t xml:space="preserve">20. </w:t>
      </w:r>
      <w:bookmarkEnd w:id="80"/>
    </w:p>
    <w:p w:rsidR="001E231D" w:rsidRPr="003F2CE9" w:rsidRDefault="001E231D" w:rsidP="001E231D">
      <w:pPr>
        <w:pStyle w:val="Reference"/>
      </w:pPr>
      <w:bookmarkStart w:id="81" w:name="_ENREF_58"/>
      <w:r w:rsidRPr="003F2CE9">
        <w:t xml:space="preserve">Smith, L. </w:t>
      </w:r>
      <w:proofErr w:type="spellStart"/>
      <w:r w:rsidRPr="003F2CE9">
        <w:t>1996a</w:t>
      </w:r>
      <w:proofErr w:type="spellEnd"/>
      <w:r w:rsidR="00D26AB5">
        <w:t>,</w:t>
      </w:r>
      <w:r w:rsidRPr="003F2CE9">
        <w:t xml:space="preserve"> </w:t>
      </w:r>
      <w:r w:rsidR="00327DD5">
        <w:t>‘</w:t>
      </w:r>
      <w:proofErr w:type="spellStart"/>
      <w:r w:rsidRPr="003F2CE9">
        <w:t>Kaupapa</w:t>
      </w:r>
      <w:proofErr w:type="spellEnd"/>
      <w:r w:rsidRPr="003F2CE9">
        <w:t xml:space="preserve"> </w:t>
      </w:r>
      <w:r w:rsidR="00E52F9C">
        <w:t>Māori</w:t>
      </w:r>
      <w:r w:rsidRPr="003F2CE9">
        <w:t xml:space="preserve"> </w:t>
      </w:r>
      <w:r w:rsidR="00327DD5">
        <w:t>h</w:t>
      </w:r>
      <w:r w:rsidRPr="003F2CE9">
        <w:t xml:space="preserve">ealth </w:t>
      </w:r>
      <w:r w:rsidR="00327DD5">
        <w:t>r</w:t>
      </w:r>
      <w:r w:rsidRPr="003F2CE9">
        <w:t>esearch</w:t>
      </w:r>
      <w:r w:rsidR="00327DD5">
        <w:t>’,</w:t>
      </w:r>
      <w:r w:rsidRPr="003F2CE9">
        <w:t xml:space="preserve"> </w:t>
      </w:r>
      <w:proofErr w:type="spellStart"/>
      <w:r w:rsidRPr="003F2CE9">
        <w:rPr>
          <w:i/>
        </w:rPr>
        <w:t>Hui</w:t>
      </w:r>
      <w:proofErr w:type="spellEnd"/>
      <w:r w:rsidRPr="003F2CE9">
        <w:rPr>
          <w:i/>
        </w:rPr>
        <w:t xml:space="preserve"> </w:t>
      </w:r>
      <w:proofErr w:type="spellStart"/>
      <w:r w:rsidRPr="003F2CE9">
        <w:rPr>
          <w:i/>
        </w:rPr>
        <w:t>Whakapiripiri</w:t>
      </w:r>
      <w:proofErr w:type="spellEnd"/>
      <w:r w:rsidRPr="003F2CE9">
        <w:rPr>
          <w:i/>
        </w:rPr>
        <w:t xml:space="preserve">: A </w:t>
      </w:r>
      <w:proofErr w:type="spellStart"/>
      <w:r w:rsidRPr="003F2CE9">
        <w:rPr>
          <w:i/>
        </w:rPr>
        <w:t>Hui</w:t>
      </w:r>
      <w:proofErr w:type="spellEnd"/>
      <w:r w:rsidRPr="003F2CE9">
        <w:rPr>
          <w:i/>
        </w:rPr>
        <w:t xml:space="preserve"> to Discuss Strategic Directions for </w:t>
      </w:r>
      <w:r w:rsidR="00E52F9C">
        <w:rPr>
          <w:i/>
        </w:rPr>
        <w:t>Māori</w:t>
      </w:r>
      <w:r w:rsidRPr="003F2CE9">
        <w:rPr>
          <w:i/>
        </w:rPr>
        <w:t xml:space="preserve"> Health Research</w:t>
      </w:r>
      <w:r w:rsidR="00327DD5">
        <w:t>,</w:t>
      </w:r>
      <w:r w:rsidRPr="003F2CE9">
        <w:t xml:space="preserve"> </w:t>
      </w:r>
      <w:proofErr w:type="spellStart"/>
      <w:r w:rsidRPr="003F2CE9">
        <w:t>Te</w:t>
      </w:r>
      <w:proofErr w:type="spellEnd"/>
      <w:r w:rsidRPr="003F2CE9">
        <w:t xml:space="preserve"> </w:t>
      </w:r>
      <w:proofErr w:type="spellStart"/>
      <w:r w:rsidRPr="003F2CE9">
        <w:t>Ropu</w:t>
      </w:r>
      <w:proofErr w:type="spellEnd"/>
      <w:r w:rsidRPr="003F2CE9">
        <w:t xml:space="preserve"> </w:t>
      </w:r>
      <w:proofErr w:type="spellStart"/>
      <w:r w:rsidRPr="003F2CE9">
        <w:t>Rangahau</w:t>
      </w:r>
      <w:proofErr w:type="spellEnd"/>
      <w:r w:rsidRPr="003F2CE9">
        <w:t xml:space="preserve"> a </w:t>
      </w:r>
      <w:proofErr w:type="spellStart"/>
      <w:r w:rsidRPr="003F2CE9">
        <w:t>Eru</w:t>
      </w:r>
      <w:proofErr w:type="spellEnd"/>
      <w:r w:rsidRPr="003F2CE9">
        <w:t xml:space="preserve"> </w:t>
      </w:r>
      <w:proofErr w:type="spellStart"/>
      <w:r w:rsidRPr="003F2CE9">
        <w:t>Pomare</w:t>
      </w:r>
      <w:proofErr w:type="spellEnd"/>
      <w:r w:rsidRPr="003F2CE9">
        <w:t>, University of Otago, Wellington School of Medicine, Wellington.</w:t>
      </w:r>
      <w:bookmarkEnd w:id="81"/>
    </w:p>
    <w:p w:rsidR="001E231D" w:rsidRPr="003F2CE9" w:rsidRDefault="00A21FDE" w:rsidP="001E231D">
      <w:pPr>
        <w:pStyle w:val="Reference"/>
      </w:pPr>
      <w:bookmarkStart w:id="82" w:name="_ENREF_59"/>
      <w:r>
        <w:t xml:space="preserve">—— </w:t>
      </w:r>
      <w:proofErr w:type="spellStart"/>
      <w:r w:rsidR="001E231D" w:rsidRPr="003F2CE9">
        <w:t>1996b</w:t>
      </w:r>
      <w:proofErr w:type="spellEnd"/>
      <w:r w:rsidR="00D26AB5">
        <w:t>,</w:t>
      </w:r>
      <w:r w:rsidR="001E231D" w:rsidRPr="003F2CE9">
        <w:t xml:space="preserve"> </w:t>
      </w:r>
      <w:proofErr w:type="spellStart"/>
      <w:r w:rsidR="001E231D" w:rsidRPr="003F2CE9">
        <w:rPr>
          <w:i/>
        </w:rPr>
        <w:t>Kaupapa</w:t>
      </w:r>
      <w:proofErr w:type="spellEnd"/>
      <w:r w:rsidR="001E231D" w:rsidRPr="003F2CE9">
        <w:rPr>
          <w:i/>
        </w:rPr>
        <w:t xml:space="preserve"> </w:t>
      </w:r>
      <w:r w:rsidR="00E52F9C">
        <w:rPr>
          <w:i/>
        </w:rPr>
        <w:t>Māori</w:t>
      </w:r>
      <w:r w:rsidR="001E231D" w:rsidRPr="003F2CE9">
        <w:rPr>
          <w:i/>
        </w:rPr>
        <w:t xml:space="preserve"> Research</w:t>
      </w:r>
      <w:r w:rsidR="00327DD5">
        <w:t>,</w:t>
      </w:r>
      <w:r w:rsidR="001E231D" w:rsidRPr="003F2CE9">
        <w:t xml:space="preserve"> Department of Education, University of Auckland</w:t>
      </w:r>
      <w:r w:rsidR="00327DD5">
        <w:t>, Auckland</w:t>
      </w:r>
      <w:r w:rsidR="001E231D" w:rsidRPr="003F2CE9">
        <w:t>.</w:t>
      </w:r>
      <w:bookmarkEnd w:id="82"/>
    </w:p>
    <w:p w:rsidR="001E231D" w:rsidRPr="003F2CE9" w:rsidRDefault="00A21FDE" w:rsidP="001E231D">
      <w:pPr>
        <w:pStyle w:val="Reference"/>
      </w:pPr>
      <w:bookmarkStart w:id="83" w:name="_ENREF_60"/>
      <w:r>
        <w:t xml:space="preserve">—— </w:t>
      </w:r>
      <w:r w:rsidR="001E231D" w:rsidRPr="003F2CE9">
        <w:t>1999</w:t>
      </w:r>
      <w:r w:rsidR="00D26AB5">
        <w:t>,</w:t>
      </w:r>
      <w:r w:rsidR="001E231D" w:rsidRPr="003F2CE9">
        <w:t xml:space="preserve"> </w:t>
      </w:r>
      <w:r w:rsidR="001E231D" w:rsidRPr="003F2CE9">
        <w:rPr>
          <w:i/>
        </w:rPr>
        <w:t xml:space="preserve">Decolonizing </w:t>
      </w:r>
      <w:r w:rsidRPr="003F2CE9">
        <w:rPr>
          <w:i/>
        </w:rPr>
        <w:t>Methodologies</w:t>
      </w:r>
      <w:r w:rsidR="001E231D" w:rsidRPr="003F2CE9">
        <w:rPr>
          <w:i/>
        </w:rPr>
        <w:t xml:space="preserve">: Research and </w:t>
      </w:r>
      <w:r w:rsidRPr="003F2CE9">
        <w:rPr>
          <w:i/>
        </w:rPr>
        <w:t>Indigenous Peoples</w:t>
      </w:r>
      <w:r w:rsidR="00327DD5">
        <w:t>,</w:t>
      </w:r>
      <w:r w:rsidR="001E231D" w:rsidRPr="003F2CE9">
        <w:t xml:space="preserve"> </w:t>
      </w:r>
      <w:r w:rsidR="00327DD5">
        <w:t xml:space="preserve">Zed, </w:t>
      </w:r>
      <w:r w:rsidR="001E231D" w:rsidRPr="003F2CE9">
        <w:t>London.</w:t>
      </w:r>
      <w:bookmarkEnd w:id="83"/>
    </w:p>
    <w:p w:rsidR="001E231D" w:rsidRPr="003F2CE9" w:rsidRDefault="001E231D" w:rsidP="001E231D">
      <w:pPr>
        <w:pStyle w:val="Reference"/>
      </w:pPr>
      <w:bookmarkStart w:id="84" w:name="_ENREF_61"/>
      <w:r w:rsidRPr="003F2CE9">
        <w:lastRenderedPageBreak/>
        <w:t>Social Sciences Reference Group 2005</w:t>
      </w:r>
      <w:r w:rsidR="00D26AB5">
        <w:t>,</w:t>
      </w:r>
      <w:r w:rsidRPr="003F2CE9">
        <w:t xml:space="preserve"> </w:t>
      </w:r>
      <w:r w:rsidRPr="003F2CE9">
        <w:rPr>
          <w:i/>
        </w:rPr>
        <w:t>Coming of Age, Social Science Research and its Contribution to Wealth and Well-being in New Zealand</w:t>
      </w:r>
      <w:r w:rsidRPr="00DF4F36">
        <w:rPr>
          <w:i/>
        </w:rPr>
        <w:t>, 2006</w:t>
      </w:r>
      <w:r w:rsidR="00DF4F36" w:rsidRPr="00DF4F36">
        <w:rPr>
          <w:i/>
        </w:rPr>
        <w:t>–2016</w:t>
      </w:r>
      <w:r w:rsidR="00DF4F36">
        <w:t>,</w:t>
      </w:r>
      <w:r w:rsidRPr="003F2CE9">
        <w:t xml:space="preserve"> Ministry of Research Science and Technology</w:t>
      </w:r>
      <w:r w:rsidR="00327DD5">
        <w:t>, Wellington</w:t>
      </w:r>
      <w:r w:rsidRPr="003F2CE9">
        <w:t>.</w:t>
      </w:r>
      <w:bookmarkEnd w:id="84"/>
    </w:p>
    <w:p w:rsidR="001E231D" w:rsidRPr="003F2CE9" w:rsidRDefault="001E231D" w:rsidP="001E231D">
      <w:pPr>
        <w:pStyle w:val="Reference"/>
      </w:pPr>
      <w:bookmarkStart w:id="85" w:name="_ENREF_62"/>
      <w:proofErr w:type="spellStart"/>
      <w:r w:rsidRPr="003F2CE9">
        <w:t>SPEaR</w:t>
      </w:r>
      <w:proofErr w:type="spellEnd"/>
      <w:r w:rsidRPr="003F2CE9">
        <w:t xml:space="preserve"> 2008</w:t>
      </w:r>
      <w:r w:rsidR="00D26AB5">
        <w:t>,</w:t>
      </w:r>
      <w:r w:rsidRPr="003F2CE9">
        <w:t xml:space="preserve"> </w:t>
      </w:r>
      <w:proofErr w:type="spellStart"/>
      <w:r w:rsidRPr="003F2CE9">
        <w:rPr>
          <w:i/>
        </w:rPr>
        <w:t>SPEaR</w:t>
      </w:r>
      <w:proofErr w:type="spellEnd"/>
      <w:r w:rsidRPr="003F2CE9">
        <w:rPr>
          <w:i/>
        </w:rPr>
        <w:t xml:space="preserve"> Good Practice Guidelines</w:t>
      </w:r>
      <w:r w:rsidR="00327DD5">
        <w:t>,</w:t>
      </w:r>
      <w:r w:rsidRPr="003F2CE9">
        <w:t xml:space="preserve"> Wellington.</w:t>
      </w:r>
      <w:bookmarkEnd w:id="85"/>
    </w:p>
    <w:p w:rsidR="001E231D" w:rsidRPr="003F2CE9" w:rsidRDefault="001E231D" w:rsidP="001E231D">
      <w:pPr>
        <w:pStyle w:val="Reference"/>
      </w:pPr>
      <w:bookmarkStart w:id="86" w:name="_ENREF_63"/>
      <w:proofErr w:type="spellStart"/>
      <w:r w:rsidRPr="003F2CE9">
        <w:t>SPEaR</w:t>
      </w:r>
      <w:proofErr w:type="spellEnd"/>
      <w:r w:rsidRPr="003F2CE9">
        <w:t xml:space="preserve"> Bulletin 2007</w:t>
      </w:r>
      <w:r w:rsidR="00D26AB5">
        <w:t>,</w:t>
      </w:r>
      <w:r w:rsidRPr="003F2CE9">
        <w:t xml:space="preserve"> Report on </w:t>
      </w:r>
      <w:proofErr w:type="spellStart"/>
      <w:r w:rsidRPr="003F2CE9">
        <w:t>SPEaR</w:t>
      </w:r>
      <w:proofErr w:type="spellEnd"/>
      <w:r w:rsidRPr="003F2CE9">
        <w:t xml:space="preserve"> Best Practice </w:t>
      </w:r>
      <w:r w:rsidR="00E52F9C">
        <w:t>Māori</w:t>
      </w:r>
      <w:r w:rsidRPr="003F2CE9">
        <w:t xml:space="preserve"> Guidelines </w:t>
      </w:r>
      <w:proofErr w:type="spellStart"/>
      <w:r w:rsidRPr="003F2CE9">
        <w:t>Hui</w:t>
      </w:r>
      <w:proofErr w:type="spellEnd"/>
      <w:r w:rsidRPr="003F2CE9">
        <w:t xml:space="preserve"> 2007</w:t>
      </w:r>
      <w:r w:rsidR="0095743C">
        <w:t>,</w:t>
      </w:r>
      <w:r w:rsidRPr="003F2CE9">
        <w:t xml:space="preserve"> </w:t>
      </w:r>
      <w:proofErr w:type="spellStart"/>
      <w:r w:rsidR="00FB13BC" w:rsidRPr="00DF4F36">
        <w:t>ANZEA</w:t>
      </w:r>
      <w:proofErr w:type="spellEnd"/>
      <w:r w:rsidR="00FB13BC" w:rsidRPr="00DF4F36">
        <w:t>, November</w:t>
      </w:r>
      <w:r w:rsidRPr="003F2CE9">
        <w:t>.</w:t>
      </w:r>
      <w:bookmarkEnd w:id="86"/>
    </w:p>
    <w:p w:rsidR="001E231D" w:rsidRPr="003F2CE9" w:rsidRDefault="001E231D" w:rsidP="001E231D">
      <w:pPr>
        <w:pStyle w:val="Reference"/>
      </w:pPr>
      <w:bookmarkStart w:id="87" w:name="_ENREF_64"/>
      <w:r w:rsidRPr="0095743C">
        <w:t>St John,</w:t>
      </w:r>
      <w:r w:rsidRPr="003F2CE9">
        <w:t xml:space="preserve"> S. and Dale</w:t>
      </w:r>
      <w:r w:rsidR="00AD23E1">
        <w:t>,</w:t>
      </w:r>
      <w:r w:rsidR="000C0990">
        <w:t xml:space="preserve"> C</w:t>
      </w:r>
      <w:r w:rsidRPr="003F2CE9">
        <w:t>. 2012</w:t>
      </w:r>
      <w:r w:rsidR="00D26AB5">
        <w:t>,</w:t>
      </w:r>
      <w:r w:rsidRPr="003F2CE9">
        <w:t xml:space="preserve"> </w:t>
      </w:r>
      <w:r w:rsidR="003F2CE9" w:rsidRPr="003F2CE9">
        <w:t>‘</w:t>
      </w:r>
      <w:r w:rsidRPr="003F2CE9">
        <w:t xml:space="preserve">Evidence-based </w:t>
      </w:r>
      <w:r w:rsidR="00BF4FBD">
        <w:t>e</w:t>
      </w:r>
      <w:r w:rsidRPr="003F2CE9">
        <w:t xml:space="preserve">valuation </w:t>
      </w:r>
      <w:r w:rsidR="00BF4FBD">
        <w:t>w</w:t>
      </w:r>
      <w:r w:rsidRPr="003F2CE9">
        <w:t xml:space="preserve">orking for </w:t>
      </w:r>
      <w:r w:rsidR="00BF4FBD">
        <w:t>f</w:t>
      </w:r>
      <w:r w:rsidRPr="003F2CE9">
        <w:t>amilies</w:t>
      </w:r>
      <w:r w:rsidR="003F2CE9" w:rsidRPr="003F2CE9">
        <w:t>’</w:t>
      </w:r>
      <w:r w:rsidR="00BF4FBD">
        <w:t>,</w:t>
      </w:r>
      <w:r w:rsidRPr="003F2CE9">
        <w:t xml:space="preserve"> </w:t>
      </w:r>
      <w:r w:rsidRPr="003F2CE9">
        <w:rPr>
          <w:i/>
        </w:rPr>
        <w:t>Policy Quarterly</w:t>
      </w:r>
      <w:r w:rsidR="00BF4FBD">
        <w:rPr>
          <w:i/>
        </w:rPr>
        <w:t>,</w:t>
      </w:r>
      <w:r w:rsidRPr="003F2CE9">
        <w:t xml:space="preserve"> </w:t>
      </w:r>
      <w:r w:rsidR="00BF4FBD">
        <w:t xml:space="preserve">vol. </w:t>
      </w:r>
      <w:r w:rsidRPr="003F2CE9">
        <w:t>8</w:t>
      </w:r>
      <w:r w:rsidR="00A21FDE">
        <w:t>, n</w:t>
      </w:r>
      <w:r w:rsidR="00BF4FBD">
        <w:t>o. 1,</w:t>
      </w:r>
      <w:r w:rsidRPr="003F2CE9">
        <w:t xml:space="preserve"> February.</w:t>
      </w:r>
      <w:bookmarkEnd w:id="87"/>
    </w:p>
    <w:p w:rsidR="001E231D" w:rsidRPr="003F2CE9" w:rsidRDefault="001E231D" w:rsidP="001E231D">
      <w:pPr>
        <w:pStyle w:val="Reference"/>
      </w:pPr>
      <w:bookmarkStart w:id="88" w:name="_ENREF_65"/>
      <w:r w:rsidRPr="003F2CE9">
        <w:t>State Services Commission 1999</w:t>
      </w:r>
      <w:r w:rsidR="00D26AB5">
        <w:t>,</w:t>
      </w:r>
      <w:r w:rsidRPr="003F2CE9">
        <w:t xml:space="preserve"> </w:t>
      </w:r>
      <w:r w:rsidRPr="003F2CE9">
        <w:rPr>
          <w:i/>
        </w:rPr>
        <w:t xml:space="preserve">Looping the Loop </w:t>
      </w:r>
      <w:r w:rsidR="003F2CE9" w:rsidRPr="003F2CE9">
        <w:rPr>
          <w:lang w:eastAsia="en-NZ"/>
        </w:rPr>
        <w:t>—</w:t>
      </w:r>
      <w:r w:rsidRPr="003F2CE9">
        <w:rPr>
          <w:i/>
        </w:rPr>
        <w:t xml:space="preserve"> Evaluating Outcomes and Other Risky Feats</w:t>
      </w:r>
      <w:r w:rsidR="00BF4FBD">
        <w:t>,</w:t>
      </w:r>
      <w:r w:rsidRPr="003F2CE9">
        <w:t xml:space="preserve"> Wellington.</w:t>
      </w:r>
      <w:bookmarkEnd w:id="88"/>
    </w:p>
    <w:p w:rsidR="001E231D" w:rsidRPr="003F2CE9" w:rsidRDefault="001E231D" w:rsidP="001E231D">
      <w:pPr>
        <w:pStyle w:val="Reference"/>
      </w:pPr>
      <w:bookmarkStart w:id="89" w:name="_ENREF_66"/>
      <w:proofErr w:type="spellStart"/>
      <w:r w:rsidRPr="003F2CE9">
        <w:t>Tahana</w:t>
      </w:r>
      <w:proofErr w:type="spellEnd"/>
      <w:r w:rsidRPr="003F2CE9">
        <w:t>, Y. and Collins</w:t>
      </w:r>
      <w:r w:rsidR="00AD23E1">
        <w:t>,</w:t>
      </w:r>
      <w:r w:rsidR="00D26AB5">
        <w:t xml:space="preserve"> S</w:t>
      </w:r>
      <w:r w:rsidRPr="003F2CE9">
        <w:t xml:space="preserve">. </w:t>
      </w:r>
      <w:proofErr w:type="spellStart"/>
      <w:r w:rsidRPr="003F2CE9">
        <w:t>2012a</w:t>
      </w:r>
      <w:proofErr w:type="spellEnd"/>
      <w:r w:rsidR="00D26AB5">
        <w:t>,</w:t>
      </w:r>
      <w:r w:rsidRPr="003F2CE9">
        <w:t xml:space="preserve"> </w:t>
      </w:r>
      <w:r w:rsidR="003F2CE9" w:rsidRPr="003F2CE9">
        <w:t>‘</w:t>
      </w:r>
      <w:proofErr w:type="spellStart"/>
      <w:r w:rsidRPr="003F2CE9">
        <w:t>Whanau</w:t>
      </w:r>
      <w:proofErr w:type="spellEnd"/>
      <w:r w:rsidRPr="003F2CE9">
        <w:t xml:space="preserve"> </w:t>
      </w:r>
      <w:proofErr w:type="spellStart"/>
      <w:r w:rsidRPr="003F2CE9">
        <w:t>Ora</w:t>
      </w:r>
      <w:proofErr w:type="spellEnd"/>
      <w:r w:rsidRPr="003F2CE9">
        <w:t xml:space="preserve">: </w:t>
      </w:r>
      <w:r w:rsidR="00BF4FBD">
        <w:t>f</w:t>
      </w:r>
      <w:r w:rsidRPr="003F2CE9">
        <w:t>uture of scheme hangs on results, says leader</w:t>
      </w:r>
      <w:r w:rsidR="003F2CE9" w:rsidRPr="003F2CE9">
        <w:t>’</w:t>
      </w:r>
      <w:r w:rsidR="00BF4FBD">
        <w:t>,</w:t>
      </w:r>
      <w:r w:rsidRPr="003F2CE9">
        <w:t xml:space="preserve"> </w:t>
      </w:r>
      <w:r w:rsidRPr="003F2CE9">
        <w:rPr>
          <w:i/>
        </w:rPr>
        <w:t>New Zealand Herald</w:t>
      </w:r>
      <w:r w:rsidRPr="003F2CE9">
        <w:t>, 16 August.</w:t>
      </w:r>
      <w:bookmarkEnd w:id="89"/>
    </w:p>
    <w:p w:rsidR="001E231D" w:rsidRPr="003F2CE9" w:rsidRDefault="00A21FDE" w:rsidP="001E231D">
      <w:pPr>
        <w:pStyle w:val="Reference"/>
      </w:pPr>
      <w:bookmarkStart w:id="90" w:name="_ENREF_67"/>
      <w:r>
        <w:t xml:space="preserve">——, —— </w:t>
      </w:r>
      <w:proofErr w:type="spellStart"/>
      <w:r w:rsidR="001E231D" w:rsidRPr="003F2CE9">
        <w:t>2012b</w:t>
      </w:r>
      <w:proofErr w:type="spellEnd"/>
      <w:r w:rsidR="00D26AB5">
        <w:t>,</w:t>
      </w:r>
      <w:r w:rsidR="001E231D" w:rsidRPr="003F2CE9">
        <w:t xml:space="preserve"> </w:t>
      </w:r>
      <w:r w:rsidR="00BF4FBD">
        <w:t>‘</w:t>
      </w:r>
      <w:proofErr w:type="spellStart"/>
      <w:r w:rsidR="00FB13BC" w:rsidRPr="00DF4F36">
        <w:t>Whanau</w:t>
      </w:r>
      <w:proofErr w:type="spellEnd"/>
      <w:r w:rsidR="00FB13BC" w:rsidRPr="00DF4F36">
        <w:t xml:space="preserve"> </w:t>
      </w:r>
      <w:proofErr w:type="spellStart"/>
      <w:r w:rsidR="00FB13BC" w:rsidRPr="00DF4F36">
        <w:t>Ora</w:t>
      </w:r>
      <w:proofErr w:type="spellEnd"/>
      <w:r w:rsidR="00FB13BC" w:rsidRPr="00DF4F36">
        <w:t xml:space="preserve">: </w:t>
      </w:r>
      <w:r w:rsidR="00BF4FBD">
        <w:t>u</w:t>
      </w:r>
      <w:r w:rsidR="00FB13BC" w:rsidRPr="00DF4F36">
        <w:t>rgent review follows abuse of scheme</w:t>
      </w:r>
      <w:r w:rsidR="00BF4FBD">
        <w:t>,</w:t>
      </w:r>
      <w:r w:rsidR="001E231D" w:rsidRPr="003F2CE9">
        <w:t xml:space="preserve"> </w:t>
      </w:r>
      <w:r w:rsidR="00FB13BC" w:rsidRPr="00DF4F36">
        <w:rPr>
          <w:i/>
        </w:rPr>
        <w:t>New Zealand Herald</w:t>
      </w:r>
      <w:r w:rsidR="001E231D" w:rsidRPr="003F2CE9">
        <w:t>, 13 August</w:t>
      </w:r>
      <w:r w:rsidR="00BF4FBD">
        <w:t xml:space="preserve">, </w:t>
      </w:r>
      <w:r w:rsidR="008048F6" w:rsidRPr="00143602">
        <w:t>http://www.nzherald.co.nz/nz/news/article.cfm?c_id=1&amp;objectid=10826513</w:t>
      </w:r>
      <w:r w:rsidR="008048F6">
        <w:t xml:space="preserve"> (accessed 20 November 2012)</w:t>
      </w:r>
      <w:r w:rsidR="001E231D" w:rsidRPr="003F2CE9">
        <w:t>.</w:t>
      </w:r>
      <w:bookmarkEnd w:id="90"/>
    </w:p>
    <w:p w:rsidR="001E231D" w:rsidRPr="003F2CE9" w:rsidRDefault="001E231D" w:rsidP="001E231D">
      <w:pPr>
        <w:pStyle w:val="Reference"/>
      </w:pPr>
      <w:bookmarkStart w:id="91" w:name="_ENREF_68"/>
      <w:proofErr w:type="spellStart"/>
      <w:r w:rsidRPr="003F2CE9">
        <w:t>Te</w:t>
      </w:r>
      <w:proofErr w:type="spellEnd"/>
      <w:r w:rsidRPr="003F2CE9">
        <w:t xml:space="preserve"> </w:t>
      </w:r>
      <w:proofErr w:type="spellStart"/>
      <w:r w:rsidRPr="003F2CE9">
        <w:t>Ara</w:t>
      </w:r>
      <w:proofErr w:type="spellEnd"/>
      <w:r w:rsidRPr="003F2CE9">
        <w:t xml:space="preserve"> 2012</w:t>
      </w:r>
      <w:r w:rsidR="00D26AB5">
        <w:t>,</w:t>
      </w:r>
      <w:r w:rsidRPr="003F2CE9">
        <w:t xml:space="preserve"> </w:t>
      </w:r>
      <w:proofErr w:type="spellStart"/>
      <w:r w:rsidR="00FB13BC" w:rsidRPr="00DF4F36">
        <w:t>Nga</w:t>
      </w:r>
      <w:proofErr w:type="spellEnd"/>
      <w:r w:rsidR="00FB13BC" w:rsidRPr="00DF4F36">
        <w:t xml:space="preserve"> take </w:t>
      </w:r>
      <w:r w:rsidR="00E52F9C">
        <w:t>Māori</w:t>
      </w:r>
      <w:r w:rsidR="00FB13BC" w:rsidRPr="00DF4F36">
        <w:t xml:space="preserve"> </w:t>
      </w:r>
      <w:r w:rsidR="003F2CE9" w:rsidRPr="003D1D27">
        <w:rPr>
          <w:lang w:eastAsia="en-NZ"/>
        </w:rPr>
        <w:t>—</w:t>
      </w:r>
      <w:r w:rsidR="00FB13BC" w:rsidRPr="00DF4F36">
        <w:t xml:space="preserve"> government policy and </w:t>
      </w:r>
      <w:r w:rsidR="00E52F9C">
        <w:t>Māori</w:t>
      </w:r>
      <w:r w:rsidR="003D1D27">
        <w:t>,</w:t>
      </w:r>
      <w:r w:rsidRPr="003D1D27">
        <w:rPr>
          <w:i/>
        </w:rPr>
        <w:t xml:space="preserve"> </w:t>
      </w:r>
      <w:proofErr w:type="spellStart"/>
      <w:r w:rsidR="00FB13BC" w:rsidRPr="00DF4F36">
        <w:rPr>
          <w:i/>
        </w:rPr>
        <w:t>Te</w:t>
      </w:r>
      <w:proofErr w:type="spellEnd"/>
      <w:r w:rsidR="00FB13BC" w:rsidRPr="00DF4F36">
        <w:rPr>
          <w:i/>
        </w:rPr>
        <w:t xml:space="preserve"> </w:t>
      </w:r>
      <w:proofErr w:type="spellStart"/>
      <w:r w:rsidR="00FB13BC" w:rsidRPr="00DF4F36">
        <w:rPr>
          <w:i/>
        </w:rPr>
        <w:t>Ara</w:t>
      </w:r>
      <w:proofErr w:type="spellEnd"/>
      <w:r w:rsidR="00FB13BC" w:rsidRPr="00DF4F36">
        <w:rPr>
          <w:i/>
        </w:rPr>
        <w:t xml:space="preserve">: The </w:t>
      </w:r>
      <w:proofErr w:type="spellStart"/>
      <w:r w:rsidR="00FB13BC" w:rsidRPr="00DF4F36">
        <w:rPr>
          <w:i/>
        </w:rPr>
        <w:t>encyclopedia</w:t>
      </w:r>
      <w:proofErr w:type="spellEnd"/>
      <w:r w:rsidR="00FB13BC" w:rsidRPr="00DF4F36">
        <w:rPr>
          <w:i/>
        </w:rPr>
        <w:t xml:space="preserve"> of New Zealand</w:t>
      </w:r>
      <w:r w:rsidR="008048F6">
        <w:t>,</w:t>
      </w:r>
      <w:r w:rsidRPr="003F2CE9">
        <w:t xml:space="preserve"> </w:t>
      </w:r>
      <w:r w:rsidR="008048F6" w:rsidRPr="00143602">
        <w:t>http://www.teara.govt.nz/en/nga-take-</w:t>
      </w:r>
      <w:r w:rsidR="00E52F9C" w:rsidRPr="00143602">
        <w:t>Māori</w:t>
      </w:r>
      <w:r w:rsidR="008048F6" w:rsidRPr="00143602">
        <w:t>-government-policy-and-</w:t>
      </w:r>
      <w:r w:rsidR="00E52F9C" w:rsidRPr="00143602">
        <w:t>Māori</w:t>
      </w:r>
      <w:r w:rsidR="008048F6" w:rsidRPr="00143602">
        <w:t>/1</w:t>
      </w:r>
      <w:bookmarkEnd w:id="91"/>
      <w:r w:rsidR="008048F6">
        <w:t xml:space="preserve"> (accessed 15 October 2012).</w:t>
      </w:r>
    </w:p>
    <w:p w:rsidR="001E231D" w:rsidRPr="003F2CE9" w:rsidRDefault="001E231D" w:rsidP="001E231D">
      <w:pPr>
        <w:pStyle w:val="Reference"/>
      </w:pPr>
      <w:bookmarkStart w:id="92" w:name="_ENREF_69"/>
      <w:proofErr w:type="spellStart"/>
      <w:r w:rsidRPr="003F2CE9">
        <w:t>Te</w:t>
      </w:r>
      <w:proofErr w:type="spellEnd"/>
      <w:r w:rsidRPr="003F2CE9">
        <w:t xml:space="preserve"> </w:t>
      </w:r>
      <w:proofErr w:type="spellStart"/>
      <w:r w:rsidRPr="003F2CE9">
        <w:t>Puni</w:t>
      </w:r>
      <w:proofErr w:type="spellEnd"/>
      <w:r w:rsidRPr="003F2CE9">
        <w:t xml:space="preserve"> </w:t>
      </w:r>
      <w:proofErr w:type="spellStart"/>
      <w:r w:rsidRPr="003F2CE9">
        <w:t>K</w:t>
      </w:r>
      <w:r w:rsidR="004E3974" w:rsidRPr="003F2CE9">
        <w:rPr>
          <w:rFonts w:cs="DPPGOL+Arial"/>
          <w:color w:val="000000"/>
        </w:rPr>
        <w:t>ō</w:t>
      </w:r>
      <w:r w:rsidRPr="003F2CE9">
        <w:t>kiri</w:t>
      </w:r>
      <w:proofErr w:type="spellEnd"/>
      <w:r w:rsidRPr="003F2CE9">
        <w:t xml:space="preserve"> </w:t>
      </w:r>
      <w:proofErr w:type="spellStart"/>
      <w:r w:rsidRPr="003F2CE9">
        <w:t>1999a</w:t>
      </w:r>
      <w:proofErr w:type="spellEnd"/>
      <w:r w:rsidR="00D26AB5">
        <w:t>,</w:t>
      </w:r>
      <w:r w:rsidRPr="003F2CE9">
        <w:t xml:space="preserve"> </w:t>
      </w:r>
      <w:r w:rsidRPr="003F2CE9">
        <w:rPr>
          <w:i/>
        </w:rPr>
        <w:t xml:space="preserve">Evaluation for </w:t>
      </w:r>
      <w:r w:rsidR="00E52F9C">
        <w:rPr>
          <w:i/>
        </w:rPr>
        <w:t>Māori</w:t>
      </w:r>
      <w:r w:rsidRPr="003F2CE9">
        <w:rPr>
          <w:i/>
        </w:rPr>
        <w:t>: Guidelines for Government Agencies</w:t>
      </w:r>
      <w:r w:rsidR="008048F6">
        <w:t>,</w:t>
      </w:r>
      <w:r w:rsidRPr="003F2CE9">
        <w:t xml:space="preserve"> </w:t>
      </w:r>
      <w:proofErr w:type="spellStart"/>
      <w:r w:rsidRPr="003F2CE9">
        <w:t>Aroturuki</w:t>
      </w:r>
      <w:proofErr w:type="spellEnd"/>
      <w:r w:rsidRPr="003F2CE9">
        <w:t xml:space="preserve"> me </w:t>
      </w:r>
      <w:proofErr w:type="spellStart"/>
      <w:r w:rsidRPr="003F2CE9">
        <w:t>te</w:t>
      </w:r>
      <w:proofErr w:type="spellEnd"/>
      <w:r w:rsidRPr="003F2CE9">
        <w:t xml:space="preserve"> </w:t>
      </w:r>
      <w:proofErr w:type="spellStart"/>
      <w:r w:rsidRPr="003F2CE9">
        <w:t>Arotakenga</w:t>
      </w:r>
      <w:proofErr w:type="spellEnd"/>
      <w:r w:rsidR="00F32742">
        <w:t xml:space="preserve"> </w:t>
      </w:r>
      <w:r w:rsidRPr="003F2CE9">
        <w:t xml:space="preserve">Monitoring and Evaluation Branch, </w:t>
      </w:r>
      <w:proofErr w:type="spellStart"/>
      <w:r w:rsidRPr="003F2CE9">
        <w:t>Te</w:t>
      </w:r>
      <w:proofErr w:type="spellEnd"/>
      <w:r w:rsidRPr="003F2CE9">
        <w:t xml:space="preserve"> </w:t>
      </w:r>
      <w:proofErr w:type="spellStart"/>
      <w:r w:rsidRPr="003F2CE9">
        <w:t>Puni</w:t>
      </w:r>
      <w:proofErr w:type="spellEnd"/>
      <w:r w:rsidRPr="003F2CE9">
        <w:t xml:space="preserve"> </w:t>
      </w:r>
      <w:proofErr w:type="spellStart"/>
      <w:r w:rsidRPr="003F2CE9">
        <w:t>K</w:t>
      </w:r>
      <w:r w:rsidR="004E3974" w:rsidRPr="003F2CE9">
        <w:rPr>
          <w:rFonts w:cs="DPPGOL+Arial"/>
          <w:color w:val="000000"/>
        </w:rPr>
        <w:t>ō</w:t>
      </w:r>
      <w:r w:rsidRPr="003F2CE9">
        <w:t>kiri</w:t>
      </w:r>
      <w:proofErr w:type="spellEnd"/>
      <w:r w:rsidR="008048F6">
        <w:t>, Wellington</w:t>
      </w:r>
      <w:r w:rsidRPr="003F2CE9">
        <w:t>.</w:t>
      </w:r>
      <w:bookmarkEnd w:id="92"/>
    </w:p>
    <w:p w:rsidR="001E231D" w:rsidRPr="003F2CE9" w:rsidRDefault="00DF4F36" w:rsidP="001E231D">
      <w:pPr>
        <w:pStyle w:val="Reference"/>
      </w:pPr>
      <w:bookmarkStart w:id="93" w:name="_ENREF_70"/>
      <w:r>
        <w:t>——</w:t>
      </w:r>
      <w:r w:rsidR="001E231D" w:rsidRPr="003F2CE9">
        <w:t xml:space="preserve"> </w:t>
      </w:r>
      <w:proofErr w:type="spellStart"/>
      <w:r w:rsidR="001E231D" w:rsidRPr="003F2CE9">
        <w:t>1999b</w:t>
      </w:r>
      <w:proofErr w:type="spellEnd"/>
      <w:r w:rsidR="00D26AB5">
        <w:t>,</w:t>
      </w:r>
      <w:r w:rsidR="001E231D" w:rsidRPr="003F2CE9">
        <w:t xml:space="preserve"> </w:t>
      </w:r>
      <w:r w:rsidR="001E231D" w:rsidRPr="003F2CE9">
        <w:rPr>
          <w:i/>
        </w:rPr>
        <w:t>Māori in the New Zealand Economy</w:t>
      </w:r>
      <w:r w:rsidR="008048F6">
        <w:t>,</w:t>
      </w:r>
      <w:r w:rsidR="001E231D" w:rsidRPr="003F2CE9">
        <w:t xml:space="preserve"> </w:t>
      </w:r>
      <w:proofErr w:type="spellStart"/>
      <w:r w:rsidRPr="00DF4F36">
        <w:t>Te</w:t>
      </w:r>
      <w:proofErr w:type="spellEnd"/>
      <w:r w:rsidRPr="00DF4F36">
        <w:t xml:space="preserve"> </w:t>
      </w:r>
      <w:proofErr w:type="spellStart"/>
      <w:r w:rsidRPr="00DF4F36">
        <w:t>Puni</w:t>
      </w:r>
      <w:proofErr w:type="spellEnd"/>
      <w:r w:rsidRPr="00DF4F36">
        <w:t xml:space="preserve"> </w:t>
      </w:r>
      <w:proofErr w:type="spellStart"/>
      <w:r w:rsidRPr="00DF4F36">
        <w:t>Kōkiri</w:t>
      </w:r>
      <w:proofErr w:type="spellEnd"/>
      <w:r w:rsidRPr="00DF4F36">
        <w:t xml:space="preserve">, </w:t>
      </w:r>
      <w:r w:rsidR="001E231D" w:rsidRPr="003F2CE9">
        <w:t>Wellington.</w:t>
      </w:r>
      <w:bookmarkEnd w:id="93"/>
    </w:p>
    <w:p w:rsidR="001E231D" w:rsidRPr="003F2CE9" w:rsidRDefault="001E231D" w:rsidP="001E231D">
      <w:pPr>
        <w:pStyle w:val="Reference"/>
      </w:pPr>
      <w:bookmarkStart w:id="94" w:name="_ENREF_71"/>
      <w:proofErr w:type="spellStart"/>
      <w:r w:rsidRPr="003F2CE9">
        <w:t>Te</w:t>
      </w:r>
      <w:proofErr w:type="spellEnd"/>
      <w:r w:rsidRPr="003F2CE9">
        <w:t xml:space="preserve"> </w:t>
      </w:r>
      <w:proofErr w:type="spellStart"/>
      <w:r w:rsidRPr="003F2CE9">
        <w:t>Rōpū</w:t>
      </w:r>
      <w:proofErr w:type="spellEnd"/>
      <w:r w:rsidRPr="003F2CE9">
        <w:t xml:space="preserve"> </w:t>
      </w:r>
      <w:proofErr w:type="spellStart"/>
      <w:r w:rsidRPr="003F2CE9">
        <w:t>Rangahau</w:t>
      </w:r>
      <w:proofErr w:type="spellEnd"/>
      <w:r w:rsidRPr="003F2CE9">
        <w:t xml:space="preserve"> </w:t>
      </w:r>
      <w:proofErr w:type="spellStart"/>
      <w:r w:rsidRPr="003F2CE9">
        <w:t>Hauora</w:t>
      </w:r>
      <w:proofErr w:type="spellEnd"/>
      <w:r w:rsidRPr="003F2CE9">
        <w:t xml:space="preserve"> a </w:t>
      </w:r>
      <w:proofErr w:type="spellStart"/>
      <w:r w:rsidRPr="003F2CE9">
        <w:t>Eru</w:t>
      </w:r>
      <w:proofErr w:type="spellEnd"/>
      <w:r w:rsidRPr="003F2CE9">
        <w:t xml:space="preserve"> </w:t>
      </w:r>
      <w:proofErr w:type="spellStart"/>
      <w:r w:rsidRPr="003F2CE9">
        <w:t>Pōmare</w:t>
      </w:r>
      <w:proofErr w:type="spellEnd"/>
      <w:r w:rsidRPr="003F2CE9">
        <w:t xml:space="preserve"> 2000</w:t>
      </w:r>
      <w:r w:rsidR="00D26AB5">
        <w:t>,</w:t>
      </w:r>
      <w:r w:rsidRPr="003F2CE9">
        <w:t xml:space="preserve"> </w:t>
      </w:r>
      <w:r w:rsidRPr="003F2CE9">
        <w:rPr>
          <w:i/>
        </w:rPr>
        <w:t xml:space="preserve">Counting for Nothing: Understanding the </w:t>
      </w:r>
      <w:r w:rsidR="00A21FDE" w:rsidRPr="003F2CE9">
        <w:rPr>
          <w:i/>
        </w:rPr>
        <w:t xml:space="preserve">Issues </w:t>
      </w:r>
      <w:r w:rsidRPr="003F2CE9">
        <w:rPr>
          <w:i/>
        </w:rPr>
        <w:t xml:space="preserve">in </w:t>
      </w:r>
      <w:r w:rsidR="00A21FDE" w:rsidRPr="003F2CE9">
        <w:rPr>
          <w:i/>
        </w:rPr>
        <w:t xml:space="preserve">Monitoring </w:t>
      </w:r>
      <w:r w:rsidRPr="003F2CE9">
        <w:rPr>
          <w:i/>
        </w:rPr>
        <w:t xml:space="preserve">for </w:t>
      </w:r>
      <w:r w:rsidR="00A21FDE" w:rsidRPr="003F2CE9">
        <w:rPr>
          <w:i/>
        </w:rPr>
        <w:t>Disparities</w:t>
      </w:r>
      <w:r w:rsidR="008048F6">
        <w:t>,</w:t>
      </w:r>
      <w:r w:rsidRPr="003F2CE9">
        <w:t xml:space="preserve"> </w:t>
      </w:r>
      <w:r w:rsidR="004816BE" w:rsidRPr="004816BE">
        <w:rPr>
          <w:i/>
        </w:rPr>
        <w:t>Social Policy Journal of N</w:t>
      </w:r>
      <w:r w:rsidR="004816BE">
        <w:rPr>
          <w:i/>
        </w:rPr>
        <w:t xml:space="preserve">ew Zealand, vol. </w:t>
      </w:r>
      <w:r w:rsidR="004816BE">
        <w:t>14, pp.</w:t>
      </w:r>
      <w:r w:rsidR="004816BE" w:rsidRPr="004816BE">
        <w:t xml:space="preserve"> 1</w:t>
      </w:r>
      <w:r w:rsidR="004816BE">
        <w:t>–</w:t>
      </w:r>
      <w:r w:rsidR="004816BE" w:rsidRPr="004816BE">
        <w:t>16</w:t>
      </w:r>
      <w:r w:rsidR="004816BE">
        <w:t xml:space="preserve">. </w:t>
      </w:r>
      <w:bookmarkEnd w:id="94"/>
    </w:p>
    <w:p w:rsidR="009421D9" w:rsidRDefault="009421D9" w:rsidP="001E231D">
      <w:pPr>
        <w:pStyle w:val="Reference"/>
      </w:pPr>
      <w:bookmarkStart w:id="95" w:name="_ENREF_72"/>
      <w:r>
        <w:t xml:space="preserve">Walker, R. </w:t>
      </w:r>
      <w:r w:rsidRPr="009421D9">
        <w:t>1990</w:t>
      </w:r>
      <w:r>
        <w:t>,</w:t>
      </w:r>
      <w:r w:rsidRPr="009421D9">
        <w:t xml:space="preserve"> </w:t>
      </w:r>
      <w:proofErr w:type="spellStart"/>
      <w:r w:rsidRPr="009421D9">
        <w:rPr>
          <w:i/>
        </w:rPr>
        <w:t>Ka</w:t>
      </w:r>
      <w:proofErr w:type="spellEnd"/>
      <w:r w:rsidRPr="009421D9">
        <w:rPr>
          <w:i/>
        </w:rPr>
        <w:t xml:space="preserve"> </w:t>
      </w:r>
      <w:proofErr w:type="spellStart"/>
      <w:r w:rsidRPr="009421D9">
        <w:rPr>
          <w:i/>
        </w:rPr>
        <w:t>Whawhai</w:t>
      </w:r>
      <w:proofErr w:type="spellEnd"/>
      <w:r w:rsidRPr="009421D9">
        <w:rPr>
          <w:i/>
        </w:rPr>
        <w:t xml:space="preserve"> </w:t>
      </w:r>
      <w:proofErr w:type="spellStart"/>
      <w:r w:rsidRPr="009421D9">
        <w:rPr>
          <w:i/>
        </w:rPr>
        <w:t>Tonu</w:t>
      </w:r>
      <w:proofErr w:type="spellEnd"/>
      <w:r w:rsidRPr="009421D9">
        <w:rPr>
          <w:i/>
        </w:rPr>
        <w:t xml:space="preserve"> </w:t>
      </w:r>
      <w:proofErr w:type="spellStart"/>
      <w:r w:rsidRPr="009421D9">
        <w:rPr>
          <w:i/>
        </w:rPr>
        <w:t>Matou</w:t>
      </w:r>
      <w:proofErr w:type="spellEnd"/>
      <w:r w:rsidRPr="009421D9">
        <w:rPr>
          <w:i/>
        </w:rPr>
        <w:t>: Struggle Without End</w:t>
      </w:r>
      <w:r w:rsidRPr="009421D9">
        <w:t>, Penguin</w:t>
      </w:r>
      <w:r>
        <w:t>,</w:t>
      </w:r>
      <w:r w:rsidRPr="009421D9">
        <w:t xml:space="preserve"> </w:t>
      </w:r>
      <w:r>
        <w:t>Auckland.</w:t>
      </w:r>
    </w:p>
    <w:p w:rsidR="001E231D" w:rsidRPr="003F2CE9" w:rsidRDefault="009421D9" w:rsidP="001E231D">
      <w:pPr>
        <w:pStyle w:val="Reference"/>
      </w:pPr>
      <w:r>
        <w:t>——</w:t>
      </w:r>
      <w:r w:rsidR="001E231D" w:rsidRPr="003F2CE9">
        <w:t xml:space="preserve"> 2004</w:t>
      </w:r>
      <w:r w:rsidR="00D26AB5">
        <w:t>,</w:t>
      </w:r>
      <w:r w:rsidR="001E231D" w:rsidRPr="003F2CE9">
        <w:t xml:space="preserve"> </w:t>
      </w:r>
      <w:proofErr w:type="spellStart"/>
      <w:r w:rsidR="001E231D" w:rsidRPr="003F2CE9">
        <w:rPr>
          <w:i/>
        </w:rPr>
        <w:t>Ka</w:t>
      </w:r>
      <w:proofErr w:type="spellEnd"/>
      <w:r w:rsidR="001E231D" w:rsidRPr="003F2CE9">
        <w:rPr>
          <w:i/>
        </w:rPr>
        <w:t xml:space="preserve"> </w:t>
      </w:r>
      <w:proofErr w:type="spellStart"/>
      <w:r w:rsidR="001E231D" w:rsidRPr="003F2CE9">
        <w:rPr>
          <w:i/>
        </w:rPr>
        <w:t>whawhai</w:t>
      </w:r>
      <w:proofErr w:type="spellEnd"/>
      <w:r w:rsidR="001E231D" w:rsidRPr="003F2CE9">
        <w:rPr>
          <w:i/>
        </w:rPr>
        <w:t xml:space="preserve"> </w:t>
      </w:r>
      <w:proofErr w:type="spellStart"/>
      <w:r w:rsidR="001E231D" w:rsidRPr="003F2CE9">
        <w:rPr>
          <w:i/>
        </w:rPr>
        <w:t>tonu</w:t>
      </w:r>
      <w:proofErr w:type="spellEnd"/>
      <w:r w:rsidR="001E231D" w:rsidRPr="003F2CE9">
        <w:rPr>
          <w:i/>
        </w:rPr>
        <w:t xml:space="preserve"> </w:t>
      </w:r>
      <w:proofErr w:type="spellStart"/>
      <w:r w:rsidR="001E231D" w:rsidRPr="003F2CE9">
        <w:rPr>
          <w:i/>
        </w:rPr>
        <w:t>matou</w:t>
      </w:r>
      <w:proofErr w:type="spellEnd"/>
      <w:r w:rsidR="001E231D" w:rsidRPr="003F2CE9">
        <w:rPr>
          <w:i/>
        </w:rPr>
        <w:t xml:space="preserve">, Struggle without </w:t>
      </w:r>
      <w:r w:rsidR="00A21FDE" w:rsidRPr="003F2CE9">
        <w:rPr>
          <w:i/>
        </w:rPr>
        <w:t>End</w:t>
      </w:r>
      <w:r w:rsidR="008048F6">
        <w:t>, Penguin,</w:t>
      </w:r>
      <w:r w:rsidR="001E231D" w:rsidRPr="003F2CE9">
        <w:t xml:space="preserve"> Auckland.</w:t>
      </w:r>
      <w:bookmarkEnd w:id="95"/>
    </w:p>
    <w:p w:rsidR="001E231D" w:rsidRPr="008048F6" w:rsidRDefault="001E231D" w:rsidP="001E231D">
      <w:pPr>
        <w:pStyle w:val="Reference"/>
      </w:pPr>
      <w:bookmarkStart w:id="96" w:name="_ENREF_73"/>
      <w:proofErr w:type="spellStart"/>
      <w:r w:rsidRPr="003F2CE9">
        <w:t>Wehipeihana</w:t>
      </w:r>
      <w:proofErr w:type="spellEnd"/>
      <w:r w:rsidRPr="003F2CE9">
        <w:t>, N. and Davidson</w:t>
      </w:r>
      <w:r w:rsidR="00AD23E1">
        <w:t>,</w:t>
      </w:r>
      <w:r w:rsidR="00D26AB5">
        <w:t xml:space="preserve"> J</w:t>
      </w:r>
      <w:r w:rsidRPr="003F2CE9">
        <w:t>. 2010</w:t>
      </w:r>
      <w:r w:rsidR="00D26AB5">
        <w:t>,</w:t>
      </w:r>
      <w:r w:rsidRPr="003F2CE9">
        <w:t xml:space="preserve"> </w:t>
      </w:r>
      <w:r w:rsidR="008048F6">
        <w:t>‘</w:t>
      </w:r>
      <w:r w:rsidRPr="003F2CE9">
        <w:t xml:space="preserve">Strategic </w:t>
      </w:r>
      <w:r w:rsidR="008048F6">
        <w:t>p</w:t>
      </w:r>
      <w:r w:rsidRPr="003F2CE9">
        <w:t xml:space="preserve">olicy </w:t>
      </w:r>
      <w:r w:rsidR="008048F6">
        <w:t>e</w:t>
      </w:r>
      <w:r w:rsidRPr="003F2CE9">
        <w:t xml:space="preserve">valuation: </w:t>
      </w:r>
      <w:r w:rsidR="008048F6">
        <w:t>a</w:t>
      </w:r>
      <w:r w:rsidRPr="003F2CE9">
        <w:t>nswering macro-level cross project questions</w:t>
      </w:r>
      <w:r w:rsidR="008048F6">
        <w:t>’,</w:t>
      </w:r>
      <w:r w:rsidRPr="003F2CE9">
        <w:t xml:space="preserve"> </w:t>
      </w:r>
      <w:proofErr w:type="spellStart"/>
      <w:r w:rsidR="00FB13BC" w:rsidRPr="004816BE">
        <w:t>ANZEA</w:t>
      </w:r>
      <w:proofErr w:type="spellEnd"/>
      <w:r w:rsidR="00FB13BC" w:rsidRPr="004816BE">
        <w:t xml:space="preserve"> Regional Symposium, Wellington, 5 May</w:t>
      </w:r>
      <w:r w:rsidRPr="008048F6">
        <w:t>.</w:t>
      </w:r>
      <w:bookmarkEnd w:id="96"/>
    </w:p>
    <w:p w:rsidR="001E231D" w:rsidRPr="003F2CE9" w:rsidRDefault="001E231D" w:rsidP="00370DE4">
      <w:pPr>
        <w:pStyle w:val="Reference"/>
      </w:pPr>
      <w:bookmarkStart w:id="97" w:name="_ENREF_74"/>
      <w:proofErr w:type="spellStart"/>
      <w:r w:rsidRPr="003F2CE9">
        <w:t>Whanau</w:t>
      </w:r>
      <w:proofErr w:type="spellEnd"/>
      <w:r w:rsidRPr="003F2CE9">
        <w:t xml:space="preserve"> </w:t>
      </w:r>
      <w:proofErr w:type="spellStart"/>
      <w:r w:rsidRPr="003F2CE9">
        <w:t>Ora</w:t>
      </w:r>
      <w:proofErr w:type="spellEnd"/>
      <w:r w:rsidRPr="003F2CE9">
        <w:t xml:space="preserve"> Taskforce 2009</w:t>
      </w:r>
      <w:r w:rsidR="00A21FDE">
        <w:t>,</w:t>
      </w:r>
      <w:r w:rsidRPr="003F2CE9">
        <w:t xml:space="preserve"> </w:t>
      </w:r>
      <w:proofErr w:type="spellStart"/>
      <w:r w:rsidRPr="003F2CE9">
        <w:rPr>
          <w:i/>
        </w:rPr>
        <w:t>Whänau</w:t>
      </w:r>
      <w:proofErr w:type="spellEnd"/>
      <w:r w:rsidRPr="003F2CE9">
        <w:rPr>
          <w:i/>
        </w:rPr>
        <w:t xml:space="preserve"> </w:t>
      </w:r>
      <w:proofErr w:type="spellStart"/>
      <w:r w:rsidRPr="003F2CE9">
        <w:rPr>
          <w:i/>
        </w:rPr>
        <w:t>Ora</w:t>
      </w:r>
      <w:proofErr w:type="spellEnd"/>
      <w:r w:rsidRPr="003F2CE9">
        <w:rPr>
          <w:i/>
        </w:rPr>
        <w:t xml:space="preserve">: A </w:t>
      </w:r>
      <w:proofErr w:type="spellStart"/>
      <w:r w:rsidRPr="003F2CE9">
        <w:rPr>
          <w:i/>
        </w:rPr>
        <w:t>whänau</w:t>
      </w:r>
      <w:proofErr w:type="spellEnd"/>
      <w:r w:rsidRPr="003F2CE9">
        <w:rPr>
          <w:i/>
        </w:rPr>
        <w:t xml:space="preserve">-centred approach to </w:t>
      </w:r>
      <w:proofErr w:type="spellStart"/>
      <w:r w:rsidRPr="003F2CE9">
        <w:rPr>
          <w:i/>
        </w:rPr>
        <w:t>Mäori</w:t>
      </w:r>
      <w:proofErr w:type="spellEnd"/>
      <w:r w:rsidRPr="003F2CE9">
        <w:rPr>
          <w:i/>
        </w:rPr>
        <w:t xml:space="preserve"> wellbeing</w:t>
      </w:r>
      <w:r w:rsidR="00D26AB5">
        <w:t>,</w:t>
      </w:r>
      <w:r w:rsidRPr="003F2CE9">
        <w:t xml:space="preserve"> </w:t>
      </w:r>
      <w:proofErr w:type="spellStart"/>
      <w:r w:rsidR="00370DE4" w:rsidRPr="00370DE4">
        <w:t>Whanau</w:t>
      </w:r>
      <w:proofErr w:type="spellEnd"/>
      <w:r w:rsidR="00370DE4" w:rsidRPr="00370DE4">
        <w:t xml:space="preserve"> </w:t>
      </w:r>
      <w:proofErr w:type="spellStart"/>
      <w:r w:rsidR="00370DE4" w:rsidRPr="00370DE4">
        <w:t>Ora</w:t>
      </w:r>
      <w:proofErr w:type="spellEnd"/>
      <w:r w:rsidR="00370DE4" w:rsidRPr="00370DE4">
        <w:t xml:space="preserve"> Taskforce</w:t>
      </w:r>
      <w:r w:rsidR="00370DE4">
        <w:t>,</w:t>
      </w:r>
      <w:r w:rsidR="00370DE4" w:rsidRPr="003F2CE9">
        <w:t xml:space="preserve"> </w:t>
      </w:r>
      <w:r w:rsidRPr="003F2CE9">
        <w:t>Wellington.</w:t>
      </w:r>
      <w:bookmarkEnd w:id="97"/>
    </w:p>
    <w:p w:rsidR="001E231D" w:rsidRPr="003F2CE9" w:rsidRDefault="001E231D" w:rsidP="001E231D">
      <w:pPr>
        <w:pStyle w:val="Reference"/>
      </w:pPr>
      <w:bookmarkStart w:id="98" w:name="_ENREF_75"/>
      <w:r w:rsidRPr="003F2CE9">
        <w:t>Winston P</w:t>
      </w:r>
      <w:r w:rsidR="005D0A0B">
        <w:t>.</w:t>
      </w:r>
      <w:r w:rsidRPr="003F2CE9">
        <w:t xml:space="preserve"> 2012</w:t>
      </w:r>
      <w:r w:rsidR="00D26AB5">
        <w:t>,</w:t>
      </w:r>
      <w:r w:rsidRPr="003F2CE9">
        <w:t xml:space="preserve"> </w:t>
      </w:r>
      <w:proofErr w:type="spellStart"/>
      <w:r w:rsidRPr="003F2CE9">
        <w:rPr>
          <w:i/>
        </w:rPr>
        <w:t>Whanau</w:t>
      </w:r>
      <w:proofErr w:type="spellEnd"/>
      <w:r w:rsidRPr="003F2CE9">
        <w:rPr>
          <w:i/>
        </w:rPr>
        <w:t xml:space="preserve"> </w:t>
      </w:r>
      <w:proofErr w:type="spellStart"/>
      <w:r w:rsidRPr="003F2CE9">
        <w:rPr>
          <w:i/>
        </w:rPr>
        <w:t>Ora</w:t>
      </w:r>
      <w:proofErr w:type="spellEnd"/>
      <w:r w:rsidRPr="003F2CE9">
        <w:rPr>
          <w:i/>
        </w:rPr>
        <w:t xml:space="preserve"> </w:t>
      </w:r>
      <w:r w:rsidR="00A21FDE">
        <w:rPr>
          <w:i/>
        </w:rPr>
        <w:t>p</w:t>
      </w:r>
      <w:r w:rsidRPr="003F2CE9">
        <w:rPr>
          <w:i/>
        </w:rPr>
        <w:t xml:space="preserve">rovides a </w:t>
      </w:r>
      <w:r w:rsidR="00A21FDE">
        <w:rPr>
          <w:i/>
        </w:rPr>
        <w:t>d</w:t>
      </w:r>
      <w:r w:rsidRPr="003F2CE9">
        <w:rPr>
          <w:i/>
        </w:rPr>
        <w:t xml:space="preserve">rug </w:t>
      </w:r>
      <w:r w:rsidR="00A21FDE">
        <w:rPr>
          <w:i/>
        </w:rPr>
        <w:t>d</w:t>
      </w:r>
      <w:r w:rsidRPr="003F2CE9">
        <w:rPr>
          <w:i/>
        </w:rPr>
        <w:t xml:space="preserve">ealing </w:t>
      </w:r>
      <w:r w:rsidR="00A21FDE">
        <w:rPr>
          <w:i/>
        </w:rPr>
        <w:t>p</w:t>
      </w:r>
      <w:r w:rsidRPr="003F2CE9">
        <w:rPr>
          <w:i/>
        </w:rPr>
        <w:t>aradise</w:t>
      </w:r>
      <w:r w:rsidRPr="003F2CE9">
        <w:t>. Press Release: New Zealand First Party, 15 November 2012</w:t>
      </w:r>
      <w:r w:rsidR="00A21FDE">
        <w:t xml:space="preserve">, </w:t>
      </w:r>
      <w:r w:rsidR="00A21FDE" w:rsidRPr="00143602">
        <w:lastRenderedPageBreak/>
        <w:t>http://www.scoop.co.nz/stories/PA1211/S00270/whanau-ora-provides-a-drug-dealing-paradise.htm</w:t>
      </w:r>
      <w:r w:rsidR="00A21FDE">
        <w:t xml:space="preserve"> (accessed 20 November 2012)</w:t>
      </w:r>
      <w:r w:rsidRPr="003F2CE9">
        <w:t>.</w:t>
      </w:r>
      <w:bookmarkEnd w:id="98"/>
    </w:p>
    <w:p w:rsidR="001E231D" w:rsidRPr="003F2CE9" w:rsidRDefault="001E231D" w:rsidP="001E231D">
      <w:pPr>
        <w:pStyle w:val="Reference"/>
      </w:pPr>
      <w:bookmarkStart w:id="99" w:name="_ENREF_76"/>
      <w:r w:rsidRPr="003F2CE9">
        <w:t>Workman, K. 1995</w:t>
      </w:r>
      <w:r w:rsidR="00D26AB5">
        <w:t>,</w:t>
      </w:r>
      <w:r w:rsidRPr="003F2CE9">
        <w:t xml:space="preserve"> </w:t>
      </w:r>
      <w:r w:rsidR="00E52F9C">
        <w:t>Māori</w:t>
      </w:r>
      <w:r w:rsidRPr="003F2CE9">
        <w:t xml:space="preserve"> </w:t>
      </w:r>
      <w:r w:rsidR="00F47D0C">
        <w:t>p</w:t>
      </w:r>
      <w:r w:rsidRPr="003F2CE9">
        <w:t xml:space="preserve">olicy development in a </w:t>
      </w:r>
      <w:r w:rsidR="00F47D0C">
        <w:t>m</w:t>
      </w:r>
      <w:r w:rsidRPr="003F2CE9">
        <w:t xml:space="preserve">ainstream </w:t>
      </w:r>
      <w:r w:rsidR="00F47D0C">
        <w:t>e</w:t>
      </w:r>
      <w:r w:rsidRPr="003F2CE9">
        <w:t>nvironment</w:t>
      </w:r>
      <w:r w:rsidR="00F47D0C">
        <w:t>,</w:t>
      </w:r>
      <w:r w:rsidRPr="003F2CE9">
        <w:t xml:space="preserve"> </w:t>
      </w:r>
      <w:r w:rsidR="00FB13BC" w:rsidRPr="004816BE">
        <w:t xml:space="preserve">AIC </w:t>
      </w:r>
      <w:r w:rsidR="00F47D0C">
        <w:t>c</w:t>
      </w:r>
      <w:r w:rsidR="00FB13BC" w:rsidRPr="004816BE">
        <w:t>onference</w:t>
      </w:r>
      <w:r w:rsidR="00F47D0C">
        <w:rPr>
          <w:i/>
        </w:rPr>
        <w:t>,</w:t>
      </w:r>
      <w:r w:rsidRPr="003F2CE9">
        <w:rPr>
          <w:i/>
        </w:rPr>
        <w:t xml:space="preserve"> </w:t>
      </w:r>
      <w:r w:rsidR="00FB13BC" w:rsidRPr="004816BE">
        <w:t>‘</w:t>
      </w:r>
      <w:r w:rsidR="00E52F9C">
        <w:t>Māori</w:t>
      </w:r>
      <w:r w:rsidR="00FB13BC" w:rsidRPr="004816BE">
        <w:t xml:space="preserve"> policy development’,</w:t>
      </w:r>
      <w:r w:rsidRPr="003F2CE9">
        <w:rPr>
          <w:i/>
        </w:rPr>
        <w:t xml:space="preserve"> </w:t>
      </w:r>
      <w:r w:rsidR="00FB13BC" w:rsidRPr="004816BE">
        <w:t>Wellington, April</w:t>
      </w:r>
      <w:r w:rsidRPr="003F2CE9">
        <w:t>.</w:t>
      </w:r>
      <w:bookmarkEnd w:id="99"/>
    </w:p>
    <w:p w:rsidR="00F056FC" w:rsidRPr="003F2CE9" w:rsidRDefault="00F056FC" w:rsidP="00120072">
      <w:pPr>
        <w:pStyle w:val="BodyText"/>
      </w:pPr>
    </w:p>
    <w:sectPr w:rsidR="00F056FC" w:rsidRPr="003F2CE9" w:rsidSect="00A90A81">
      <w:headerReference w:type="even" r:id="rId9"/>
      <w:headerReference w:type="default" r:id="rId10"/>
      <w:footerReference w:type="even" r:id="rId11"/>
      <w:footerReference w:type="default" r:id="rId12"/>
      <w:pgSz w:w="11907" w:h="16840" w:code="9"/>
      <w:pgMar w:top="1985" w:right="1304" w:bottom="1418" w:left="1814" w:header="1701" w:footer="567" w:gutter="0"/>
      <w:pgNumType w:start="15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BE" w:rsidRDefault="004816BE">
      <w:r>
        <w:separator/>
      </w:r>
    </w:p>
  </w:endnote>
  <w:endnote w:type="continuationSeparator" w:id="0">
    <w:p w:rsidR="004816BE" w:rsidRDefault="0048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PPGOL+Arial">
    <w:altName w:val="Arial"/>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SabonMaori-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816BE">
      <w:trPr>
        <w:trHeight w:hRule="exact" w:val="740"/>
      </w:trPr>
      <w:tc>
        <w:tcPr>
          <w:tcW w:w="510" w:type="dxa"/>
          <w:tcBorders>
            <w:top w:val="single" w:sz="6" w:space="0" w:color="auto"/>
          </w:tcBorders>
        </w:tcPr>
        <w:p w:rsidR="004816BE" w:rsidRDefault="004816B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81BCF">
            <w:rPr>
              <w:rStyle w:val="PageNumber"/>
              <w:noProof/>
            </w:rPr>
            <w:t>180</w:t>
          </w:r>
          <w:r>
            <w:rPr>
              <w:rStyle w:val="PageNumber"/>
            </w:rPr>
            <w:fldChar w:fldCharType="end"/>
          </w:r>
        </w:p>
      </w:tc>
      <w:tc>
        <w:tcPr>
          <w:tcW w:w="1644" w:type="dxa"/>
          <w:tcBorders>
            <w:top w:val="single" w:sz="6" w:space="0" w:color="auto"/>
          </w:tcBorders>
        </w:tcPr>
        <w:p w:rsidR="004816BE" w:rsidRDefault="00481BCF" w:rsidP="0019293B">
          <w:pPr>
            <w:pStyle w:val="Footer"/>
          </w:pPr>
          <w:r>
            <w:fldChar w:fldCharType="begin"/>
          </w:r>
          <w:r>
            <w:instrText xml:space="preserve"> SUBJECT  \* MERGEFORMAT </w:instrText>
          </w:r>
          <w:r>
            <w:fldChar w:fldCharType="separate"/>
          </w:r>
          <w:r w:rsidR="00C05E3E">
            <w:t>Better Indigenous Policies: The role of Evaluation</w:t>
          </w:r>
          <w:r>
            <w:fldChar w:fldCharType="end"/>
          </w:r>
        </w:p>
      </w:tc>
      <w:tc>
        <w:tcPr>
          <w:tcW w:w="6634" w:type="dxa"/>
        </w:tcPr>
        <w:p w:rsidR="004816BE" w:rsidRDefault="004816BE" w:rsidP="0019293B">
          <w:pPr>
            <w:pStyle w:val="Footer"/>
          </w:pPr>
        </w:p>
      </w:tc>
    </w:tr>
  </w:tbl>
  <w:p w:rsidR="004816BE" w:rsidRDefault="004816B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816BE">
      <w:trPr>
        <w:trHeight w:hRule="exact" w:val="740"/>
      </w:trPr>
      <w:tc>
        <w:tcPr>
          <w:tcW w:w="6634" w:type="dxa"/>
        </w:tcPr>
        <w:p w:rsidR="004816BE" w:rsidRDefault="004816BE">
          <w:pPr>
            <w:pStyle w:val="Footer"/>
            <w:ind w:right="360" w:firstLine="360"/>
          </w:pPr>
        </w:p>
      </w:tc>
      <w:tc>
        <w:tcPr>
          <w:tcW w:w="1644" w:type="dxa"/>
          <w:tcBorders>
            <w:top w:val="single" w:sz="6" w:space="0" w:color="auto"/>
          </w:tcBorders>
        </w:tcPr>
        <w:p w:rsidR="004816BE" w:rsidRDefault="00481BCF">
          <w:pPr>
            <w:pStyle w:val="Footer"/>
          </w:pPr>
          <w:r>
            <w:fldChar w:fldCharType="begin"/>
          </w:r>
          <w:r>
            <w:instrText xml:space="preserve"> TITLE  \* MERGEFORMAT </w:instrText>
          </w:r>
          <w:r>
            <w:fldChar w:fldCharType="separate"/>
          </w:r>
          <w:r w:rsidR="00C05E3E">
            <w:t xml:space="preserve">An Aotearoa New Zealand Perspective </w:t>
          </w:r>
          <w:r>
            <w:fldChar w:fldCharType="end"/>
          </w:r>
        </w:p>
      </w:tc>
      <w:tc>
        <w:tcPr>
          <w:tcW w:w="510" w:type="dxa"/>
          <w:tcBorders>
            <w:top w:val="single" w:sz="6" w:space="0" w:color="auto"/>
          </w:tcBorders>
        </w:tcPr>
        <w:p w:rsidR="004816BE" w:rsidRDefault="004816BE">
          <w:pPr>
            <w:pStyle w:val="Footer"/>
            <w:jc w:val="right"/>
          </w:pPr>
          <w:r>
            <w:rPr>
              <w:rStyle w:val="PageNumber"/>
            </w:rPr>
            <w:fldChar w:fldCharType="begin"/>
          </w:r>
          <w:r>
            <w:rPr>
              <w:rStyle w:val="PageNumber"/>
            </w:rPr>
            <w:instrText xml:space="preserve">PAGE  </w:instrText>
          </w:r>
          <w:r>
            <w:rPr>
              <w:rStyle w:val="PageNumber"/>
            </w:rPr>
            <w:fldChar w:fldCharType="separate"/>
          </w:r>
          <w:r w:rsidR="00481BCF">
            <w:rPr>
              <w:rStyle w:val="PageNumber"/>
              <w:noProof/>
            </w:rPr>
            <w:t>155</w:t>
          </w:r>
          <w:r>
            <w:rPr>
              <w:rStyle w:val="PageNumber"/>
            </w:rPr>
            <w:fldChar w:fldCharType="end"/>
          </w:r>
        </w:p>
      </w:tc>
    </w:tr>
  </w:tbl>
  <w:p w:rsidR="004816BE" w:rsidRDefault="004816B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BE" w:rsidRDefault="004816BE">
      <w:r>
        <w:separator/>
      </w:r>
    </w:p>
  </w:footnote>
  <w:footnote w:type="continuationSeparator" w:id="0">
    <w:p w:rsidR="004816BE" w:rsidRDefault="004816BE">
      <w:r>
        <w:continuationSeparator/>
      </w:r>
    </w:p>
  </w:footnote>
  <w:footnote w:id="1">
    <w:p w:rsidR="004816BE" w:rsidRPr="00251694" w:rsidRDefault="004816BE" w:rsidP="001E231D">
      <w:pPr>
        <w:pStyle w:val="FootnoteText"/>
      </w:pPr>
      <w:r w:rsidRPr="001E231D">
        <w:rPr>
          <w:rStyle w:val="FootnoteReference"/>
        </w:rPr>
        <w:footnoteRef/>
      </w:r>
      <w:r>
        <w:tab/>
      </w:r>
      <w:r w:rsidR="008E7AB4">
        <w:t xml:space="preserve">Associate Professor and Director, </w:t>
      </w:r>
      <w:proofErr w:type="spellStart"/>
      <w:r>
        <w:t>Whariki</w:t>
      </w:r>
      <w:proofErr w:type="spellEnd"/>
      <w:r>
        <w:t xml:space="preserve"> Research Group, SHORE &amp; </w:t>
      </w:r>
      <w:proofErr w:type="spellStart"/>
      <w:r>
        <w:t>Whariki</w:t>
      </w:r>
      <w:proofErr w:type="spellEnd"/>
      <w:r>
        <w:t xml:space="preserve"> Research Centre, School of </w:t>
      </w:r>
      <w:r w:rsidR="008E7AB4">
        <w:t>Public Health, Massey University</w:t>
      </w:r>
      <w:r>
        <w:t>.</w:t>
      </w:r>
    </w:p>
  </w:footnote>
  <w:footnote w:id="2">
    <w:p w:rsidR="004816BE" w:rsidRDefault="004816BE" w:rsidP="001E231D">
      <w:pPr>
        <w:pStyle w:val="FootnoteText"/>
      </w:pPr>
      <w:r w:rsidRPr="001E231D">
        <w:rPr>
          <w:rStyle w:val="FootnoteReference"/>
        </w:rPr>
        <w:footnoteRef/>
      </w:r>
      <w:r>
        <w:tab/>
        <w:t>The Indigenous peoples of Aotearoa New Zealand.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816BE">
      <w:tc>
        <w:tcPr>
          <w:tcW w:w="2155" w:type="dxa"/>
          <w:tcBorders>
            <w:top w:val="single" w:sz="24" w:space="0" w:color="auto"/>
          </w:tcBorders>
        </w:tcPr>
        <w:p w:rsidR="004816BE" w:rsidRDefault="004816BE" w:rsidP="0019293B">
          <w:pPr>
            <w:pStyle w:val="HeaderEven"/>
          </w:pPr>
        </w:p>
      </w:tc>
      <w:tc>
        <w:tcPr>
          <w:tcW w:w="6634" w:type="dxa"/>
          <w:tcBorders>
            <w:top w:val="single" w:sz="6" w:space="0" w:color="auto"/>
          </w:tcBorders>
        </w:tcPr>
        <w:p w:rsidR="004816BE" w:rsidRDefault="004816BE" w:rsidP="0019293B">
          <w:pPr>
            <w:pStyle w:val="HeaderEven"/>
          </w:pPr>
        </w:p>
      </w:tc>
    </w:tr>
  </w:tbl>
  <w:p w:rsidR="004816BE" w:rsidRDefault="004816B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816BE">
      <w:tc>
        <w:tcPr>
          <w:tcW w:w="6634" w:type="dxa"/>
          <w:tcBorders>
            <w:top w:val="single" w:sz="6" w:space="0" w:color="auto"/>
          </w:tcBorders>
        </w:tcPr>
        <w:p w:rsidR="004816BE" w:rsidRDefault="004816BE" w:rsidP="00E669E2">
          <w:pPr>
            <w:pStyle w:val="HeaderOdd"/>
          </w:pPr>
        </w:p>
      </w:tc>
      <w:tc>
        <w:tcPr>
          <w:tcW w:w="2155" w:type="dxa"/>
          <w:tcBorders>
            <w:top w:val="single" w:sz="24" w:space="0" w:color="auto"/>
          </w:tcBorders>
        </w:tcPr>
        <w:p w:rsidR="004816BE" w:rsidRDefault="004816BE" w:rsidP="00E669E2">
          <w:pPr>
            <w:pStyle w:val="HeaderOdd"/>
          </w:pPr>
        </w:p>
      </w:tc>
    </w:tr>
  </w:tbl>
  <w:p w:rsidR="004816BE" w:rsidRDefault="004816B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2"/>
  </w:num>
  <w:num w:numId="3">
    <w:abstractNumId w:val="7"/>
  </w:num>
  <w:num w:numId="4">
    <w:abstractNumId w:val="25"/>
  </w:num>
  <w:num w:numId="5">
    <w:abstractNumId w:val="9"/>
  </w:num>
  <w:num w:numId="6">
    <w:abstractNumId w:val="37"/>
  </w:num>
  <w:num w:numId="7">
    <w:abstractNumId w:val="28"/>
  </w:num>
  <w:num w:numId="8">
    <w:abstractNumId w:val="43"/>
  </w:num>
  <w:num w:numId="9">
    <w:abstractNumId w:val="16"/>
  </w:num>
  <w:num w:numId="10">
    <w:abstractNumId w:val="26"/>
  </w:num>
  <w:num w:numId="11">
    <w:abstractNumId w:val="15"/>
  </w:num>
  <w:num w:numId="12">
    <w:abstractNumId w:val="14"/>
  </w:num>
  <w:num w:numId="13">
    <w:abstractNumId w:val="17"/>
  </w:num>
  <w:num w:numId="14">
    <w:abstractNumId w:val="19"/>
  </w:num>
  <w:num w:numId="15">
    <w:abstractNumId w:val="22"/>
  </w:num>
  <w:num w:numId="16">
    <w:abstractNumId w:val="10"/>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n Aotearoa New Zealand Perspective "/>
    <w:docVar w:name="ShortReportTitle" w:val="Better Indigenous Policies: The role of Evaluation"/>
  </w:docVars>
  <w:rsids>
    <w:rsidRoot w:val="001E231D"/>
    <w:rsid w:val="000227D5"/>
    <w:rsid w:val="000245AA"/>
    <w:rsid w:val="0003664B"/>
    <w:rsid w:val="0004084A"/>
    <w:rsid w:val="0004111F"/>
    <w:rsid w:val="000415C6"/>
    <w:rsid w:val="000565B3"/>
    <w:rsid w:val="0007150B"/>
    <w:rsid w:val="0007419F"/>
    <w:rsid w:val="000767A1"/>
    <w:rsid w:val="000938F5"/>
    <w:rsid w:val="000963CD"/>
    <w:rsid w:val="00096E55"/>
    <w:rsid w:val="00097E8D"/>
    <w:rsid w:val="000B601B"/>
    <w:rsid w:val="000B64EA"/>
    <w:rsid w:val="000C0990"/>
    <w:rsid w:val="000C207E"/>
    <w:rsid w:val="000D0624"/>
    <w:rsid w:val="000E3700"/>
    <w:rsid w:val="000F0035"/>
    <w:rsid w:val="000F420B"/>
    <w:rsid w:val="00110116"/>
    <w:rsid w:val="00120072"/>
    <w:rsid w:val="00126EB8"/>
    <w:rsid w:val="001274D4"/>
    <w:rsid w:val="001363AA"/>
    <w:rsid w:val="00143602"/>
    <w:rsid w:val="00183E82"/>
    <w:rsid w:val="001878BB"/>
    <w:rsid w:val="00191AE0"/>
    <w:rsid w:val="0019293B"/>
    <w:rsid w:val="001B12B1"/>
    <w:rsid w:val="001C0865"/>
    <w:rsid w:val="001C3ABA"/>
    <w:rsid w:val="001E231D"/>
    <w:rsid w:val="001E7BE8"/>
    <w:rsid w:val="001F0248"/>
    <w:rsid w:val="001F2304"/>
    <w:rsid w:val="001F3EB3"/>
    <w:rsid w:val="001F4F86"/>
    <w:rsid w:val="00202C2C"/>
    <w:rsid w:val="002135AB"/>
    <w:rsid w:val="002144BE"/>
    <w:rsid w:val="0023012D"/>
    <w:rsid w:val="00242279"/>
    <w:rsid w:val="00245C82"/>
    <w:rsid w:val="00251694"/>
    <w:rsid w:val="002649A5"/>
    <w:rsid w:val="0028557D"/>
    <w:rsid w:val="00291B40"/>
    <w:rsid w:val="00293AC1"/>
    <w:rsid w:val="002A1D3B"/>
    <w:rsid w:val="002B4008"/>
    <w:rsid w:val="002C7707"/>
    <w:rsid w:val="002D0E8E"/>
    <w:rsid w:val="002F5471"/>
    <w:rsid w:val="00301189"/>
    <w:rsid w:val="00304944"/>
    <w:rsid w:val="00323E09"/>
    <w:rsid w:val="00327DD5"/>
    <w:rsid w:val="00330D5B"/>
    <w:rsid w:val="00333626"/>
    <w:rsid w:val="00333932"/>
    <w:rsid w:val="003518AA"/>
    <w:rsid w:val="00352165"/>
    <w:rsid w:val="00353182"/>
    <w:rsid w:val="00354520"/>
    <w:rsid w:val="003565D9"/>
    <w:rsid w:val="00356ED8"/>
    <w:rsid w:val="003602E1"/>
    <w:rsid w:val="0036608D"/>
    <w:rsid w:val="0037026F"/>
    <w:rsid w:val="00370DE4"/>
    <w:rsid w:val="00371240"/>
    <w:rsid w:val="00374731"/>
    <w:rsid w:val="00376E59"/>
    <w:rsid w:val="003919F9"/>
    <w:rsid w:val="003C2DD4"/>
    <w:rsid w:val="003C2F08"/>
    <w:rsid w:val="003C38B5"/>
    <w:rsid w:val="003C5D99"/>
    <w:rsid w:val="003D1D27"/>
    <w:rsid w:val="003E2F59"/>
    <w:rsid w:val="003F0789"/>
    <w:rsid w:val="003F2CE9"/>
    <w:rsid w:val="00401882"/>
    <w:rsid w:val="004100C8"/>
    <w:rsid w:val="00411DBD"/>
    <w:rsid w:val="00412ACE"/>
    <w:rsid w:val="0041586D"/>
    <w:rsid w:val="00431249"/>
    <w:rsid w:val="00434C19"/>
    <w:rsid w:val="00444D23"/>
    <w:rsid w:val="00450810"/>
    <w:rsid w:val="004717E5"/>
    <w:rsid w:val="00473C66"/>
    <w:rsid w:val="00477144"/>
    <w:rsid w:val="004773E6"/>
    <w:rsid w:val="004816BE"/>
    <w:rsid w:val="00481BCF"/>
    <w:rsid w:val="00491380"/>
    <w:rsid w:val="0049459F"/>
    <w:rsid w:val="004A38DD"/>
    <w:rsid w:val="004B0D39"/>
    <w:rsid w:val="004B43AE"/>
    <w:rsid w:val="004C30ED"/>
    <w:rsid w:val="004D5675"/>
    <w:rsid w:val="004E3974"/>
    <w:rsid w:val="0051080A"/>
    <w:rsid w:val="00523639"/>
    <w:rsid w:val="00531FE5"/>
    <w:rsid w:val="005402FA"/>
    <w:rsid w:val="00547527"/>
    <w:rsid w:val="00574119"/>
    <w:rsid w:val="0058392A"/>
    <w:rsid w:val="00583C39"/>
    <w:rsid w:val="00587F28"/>
    <w:rsid w:val="005909CF"/>
    <w:rsid w:val="00591E71"/>
    <w:rsid w:val="00592243"/>
    <w:rsid w:val="005A0D41"/>
    <w:rsid w:val="005C6B98"/>
    <w:rsid w:val="005D0A0B"/>
    <w:rsid w:val="005F739C"/>
    <w:rsid w:val="00607BF1"/>
    <w:rsid w:val="00630D4D"/>
    <w:rsid w:val="00632A74"/>
    <w:rsid w:val="006A0D1A"/>
    <w:rsid w:val="006A4655"/>
    <w:rsid w:val="006A46BC"/>
    <w:rsid w:val="006B2B3C"/>
    <w:rsid w:val="006B50A8"/>
    <w:rsid w:val="006C1D81"/>
    <w:rsid w:val="006C7038"/>
    <w:rsid w:val="006E73EF"/>
    <w:rsid w:val="00700294"/>
    <w:rsid w:val="00712166"/>
    <w:rsid w:val="00714D4D"/>
    <w:rsid w:val="007510AF"/>
    <w:rsid w:val="00752F95"/>
    <w:rsid w:val="007604BB"/>
    <w:rsid w:val="007714BB"/>
    <w:rsid w:val="00772718"/>
    <w:rsid w:val="00775D69"/>
    <w:rsid w:val="00785232"/>
    <w:rsid w:val="007A21EB"/>
    <w:rsid w:val="007B1A93"/>
    <w:rsid w:val="007C36C9"/>
    <w:rsid w:val="007D6401"/>
    <w:rsid w:val="007E01E4"/>
    <w:rsid w:val="007F7107"/>
    <w:rsid w:val="00800D4C"/>
    <w:rsid w:val="008048F6"/>
    <w:rsid w:val="0080556A"/>
    <w:rsid w:val="00806874"/>
    <w:rsid w:val="0081030F"/>
    <w:rsid w:val="0082087D"/>
    <w:rsid w:val="00835771"/>
    <w:rsid w:val="00842933"/>
    <w:rsid w:val="00853035"/>
    <w:rsid w:val="0086082C"/>
    <w:rsid w:val="008617C8"/>
    <w:rsid w:val="00864ADC"/>
    <w:rsid w:val="00880153"/>
    <w:rsid w:val="00880F97"/>
    <w:rsid w:val="0088133A"/>
    <w:rsid w:val="0089285E"/>
    <w:rsid w:val="0089436C"/>
    <w:rsid w:val="008D365C"/>
    <w:rsid w:val="008E7AB4"/>
    <w:rsid w:val="009030BF"/>
    <w:rsid w:val="0091032F"/>
    <w:rsid w:val="00914368"/>
    <w:rsid w:val="00931076"/>
    <w:rsid w:val="009345D9"/>
    <w:rsid w:val="00934B15"/>
    <w:rsid w:val="00940C87"/>
    <w:rsid w:val="00940DAA"/>
    <w:rsid w:val="009421D9"/>
    <w:rsid w:val="00942B62"/>
    <w:rsid w:val="0095323B"/>
    <w:rsid w:val="00956A0C"/>
    <w:rsid w:val="00956BD9"/>
    <w:rsid w:val="0095743C"/>
    <w:rsid w:val="00962489"/>
    <w:rsid w:val="00990C2C"/>
    <w:rsid w:val="009E1844"/>
    <w:rsid w:val="009E60AC"/>
    <w:rsid w:val="009E7254"/>
    <w:rsid w:val="009F0D1B"/>
    <w:rsid w:val="009F696D"/>
    <w:rsid w:val="009F6BC6"/>
    <w:rsid w:val="00A14EEB"/>
    <w:rsid w:val="00A17328"/>
    <w:rsid w:val="00A21FDE"/>
    <w:rsid w:val="00A23A20"/>
    <w:rsid w:val="00A268B9"/>
    <w:rsid w:val="00A2703A"/>
    <w:rsid w:val="00A33DFF"/>
    <w:rsid w:val="00A341DD"/>
    <w:rsid w:val="00A35115"/>
    <w:rsid w:val="00A36D9A"/>
    <w:rsid w:val="00A456E4"/>
    <w:rsid w:val="00A554AB"/>
    <w:rsid w:val="00A57062"/>
    <w:rsid w:val="00A77F5A"/>
    <w:rsid w:val="00A90A81"/>
    <w:rsid w:val="00A92B53"/>
    <w:rsid w:val="00A94FA6"/>
    <w:rsid w:val="00A976B3"/>
    <w:rsid w:val="00AA49A0"/>
    <w:rsid w:val="00AA6710"/>
    <w:rsid w:val="00AB0681"/>
    <w:rsid w:val="00AD23E1"/>
    <w:rsid w:val="00AD520B"/>
    <w:rsid w:val="00AF4140"/>
    <w:rsid w:val="00B425C3"/>
    <w:rsid w:val="00B440AD"/>
    <w:rsid w:val="00B53E7E"/>
    <w:rsid w:val="00B609F5"/>
    <w:rsid w:val="00B6342E"/>
    <w:rsid w:val="00B7113F"/>
    <w:rsid w:val="00BA73B6"/>
    <w:rsid w:val="00BA7E27"/>
    <w:rsid w:val="00BB2603"/>
    <w:rsid w:val="00BB4FCD"/>
    <w:rsid w:val="00BC04E9"/>
    <w:rsid w:val="00BD13EA"/>
    <w:rsid w:val="00BE3808"/>
    <w:rsid w:val="00BF4FBD"/>
    <w:rsid w:val="00C02335"/>
    <w:rsid w:val="00C05E3E"/>
    <w:rsid w:val="00C05E7E"/>
    <w:rsid w:val="00C062E9"/>
    <w:rsid w:val="00C07B64"/>
    <w:rsid w:val="00C13721"/>
    <w:rsid w:val="00C14FE4"/>
    <w:rsid w:val="00C3066D"/>
    <w:rsid w:val="00C52416"/>
    <w:rsid w:val="00C543F4"/>
    <w:rsid w:val="00C6291C"/>
    <w:rsid w:val="00C633CB"/>
    <w:rsid w:val="00C736B7"/>
    <w:rsid w:val="00C81D4A"/>
    <w:rsid w:val="00C8762C"/>
    <w:rsid w:val="00CA00F9"/>
    <w:rsid w:val="00CA03D1"/>
    <w:rsid w:val="00CA2961"/>
    <w:rsid w:val="00CB50D7"/>
    <w:rsid w:val="00CB6742"/>
    <w:rsid w:val="00CB7177"/>
    <w:rsid w:val="00CC1998"/>
    <w:rsid w:val="00CC4946"/>
    <w:rsid w:val="00CC4D4F"/>
    <w:rsid w:val="00CE045E"/>
    <w:rsid w:val="00D26AB5"/>
    <w:rsid w:val="00D270A4"/>
    <w:rsid w:val="00D31FE9"/>
    <w:rsid w:val="00D34E1B"/>
    <w:rsid w:val="00D376BA"/>
    <w:rsid w:val="00D45634"/>
    <w:rsid w:val="00D5568A"/>
    <w:rsid w:val="00D63D73"/>
    <w:rsid w:val="00D64452"/>
    <w:rsid w:val="00D66E1E"/>
    <w:rsid w:val="00D75722"/>
    <w:rsid w:val="00D80CF5"/>
    <w:rsid w:val="00D9132A"/>
    <w:rsid w:val="00DA5BBA"/>
    <w:rsid w:val="00DB26D2"/>
    <w:rsid w:val="00DB67C9"/>
    <w:rsid w:val="00DC0C95"/>
    <w:rsid w:val="00DD6580"/>
    <w:rsid w:val="00DF4F36"/>
    <w:rsid w:val="00E01CFD"/>
    <w:rsid w:val="00E17C72"/>
    <w:rsid w:val="00E21FC6"/>
    <w:rsid w:val="00E431A9"/>
    <w:rsid w:val="00E52F9C"/>
    <w:rsid w:val="00E669E2"/>
    <w:rsid w:val="00E76135"/>
    <w:rsid w:val="00E801A0"/>
    <w:rsid w:val="00E82F4F"/>
    <w:rsid w:val="00E93F5B"/>
    <w:rsid w:val="00EA531B"/>
    <w:rsid w:val="00EC2844"/>
    <w:rsid w:val="00EC5500"/>
    <w:rsid w:val="00EC6E0A"/>
    <w:rsid w:val="00ED2633"/>
    <w:rsid w:val="00EE7766"/>
    <w:rsid w:val="00EF0680"/>
    <w:rsid w:val="00EF6C6C"/>
    <w:rsid w:val="00F042D4"/>
    <w:rsid w:val="00F056FC"/>
    <w:rsid w:val="00F10476"/>
    <w:rsid w:val="00F135D8"/>
    <w:rsid w:val="00F20FB8"/>
    <w:rsid w:val="00F24649"/>
    <w:rsid w:val="00F31299"/>
    <w:rsid w:val="00F32742"/>
    <w:rsid w:val="00F3534A"/>
    <w:rsid w:val="00F47D0C"/>
    <w:rsid w:val="00F51609"/>
    <w:rsid w:val="00F81006"/>
    <w:rsid w:val="00F85325"/>
    <w:rsid w:val="00F96A81"/>
    <w:rsid w:val="00FA7D07"/>
    <w:rsid w:val="00FB13BC"/>
    <w:rsid w:val="00FC789B"/>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81BCF"/>
    <w:rPr>
      <w:sz w:val="26"/>
      <w:szCs w:val="24"/>
    </w:rPr>
  </w:style>
  <w:style w:type="paragraph" w:styleId="Heading1">
    <w:name w:val="heading 1"/>
    <w:basedOn w:val="BodyText"/>
    <w:next w:val="BodyText"/>
    <w:link w:val="Heading1Char"/>
    <w:rsid w:val="00481BC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81BC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81BCF"/>
    <w:pPr>
      <w:spacing w:before="560" w:line="320" w:lineRule="exact"/>
      <w:ind w:left="0" w:firstLine="0"/>
      <w:outlineLvl w:val="2"/>
    </w:pPr>
    <w:rPr>
      <w:sz w:val="26"/>
    </w:rPr>
  </w:style>
  <w:style w:type="paragraph" w:styleId="Heading4">
    <w:name w:val="heading 4"/>
    <w:basedOn w:val="Heading3"/>
    <w:next w:val="BodyText"/>
    <w:qFormat/>
    <w:rsid w:val="00481BCF"/>
    <w:pPr>
      <w:spacing w:before="480"/>
      <w:outlineLvl w:val="3"/>
    </w:pPr>
    <w:rPr>
      <w:b w:val="0"/>
      <w:i/>
      <w:sz w:val="24"/>
    </w:rPr>
  </w:style>
  <w:style w:type="paragraph" w:styleId="Heading5">
    <w:name w:val="heading 5"/>
    <w:basedOn w:val="Heading4"/>
    <w:next w:val="BodyText"/>
    <w:qFormat/>
    <w:rsid w:val="00481BCF"/>
    <w:pPr>
      <w:outlineLvl w:val="4"/>
    </w:pPr>
    <w:rPr>
      <w:rFonts w:ascii="Times New Roman" w:hAnsi="Times New Roman"/>
      <w:sz w:val="26"/>
    </w:rPr>
  </w:style>
  <w:style w:type="paragraph" w:styleId="Heading6">
    <w:name w:val="heading 6"/>
    <w:basedOn w:val="BodyText"/>
    <w:next w:val="BodyText"/>
    <w:rsid w:val="00481BCF"/>
    <w:pPr>
      <w:spacing w:after="60"/>
      <w:jc w:val="left"/>
      <w:outlineLvl w:val="5"/>
    </w:pPr>
    <w:rPr>
      <w:i/>
      <w:sz w:val="22"/>
    </w:rPr>
  </w:style>
  <w:style w:type="paragraph" w:styleId="Heading7">
    <w:name w:val="heading 7"/>
    <w:basedOn w:val="BodyText"/>
    <w:next w:val="BodyText"/>
    <w:rsid w:val="00481BCF"/>
    <w:pPr>
      <w:spacing w:after="60" w:line="240" w:lineRule="auto"/>
      <w:jc w:val="left"/>
      <w:outlineLvl w:val="6"/>
    </w:pPr>
    <w:rPr>
      <w:rFonts w:ascii="Arial" w:hAnsi="Arial"/>
      <w:sz w:val="20"/>
    </w:rPr>
  </w:style>
  <w:style w:type="paragraph" w:styleId="Heading8">
    <w:name w:val="heading 8"/>
    <w:basedOn w:val="BodyText"/>
    <w:next w:val="BodyText"/>
    <w:link w:val="Heading8Char"/>
    <w:rsid w:val="00481BCF"/>
    <w:pPr>
      <w:spacing w:after="60" w:line="240" w:lineRule="auto"/>
      <w:jc w:val="left"/>
      <w:outlineLvl w:val="7"/>
    </w:pPr>
    <w:rPr>
      <w:rFonts w:ascii="Arial" w:hAnsi="Arial"/>
      <w:i/>
      <w:sz w:val="20"/>
    </w:rPr>
  </w:style>
  <w:style w:type="paragraph" w:styleId="Heading9">
    <w:name w:val="heading 9"/>
    <w:basedOn w:val="BodyText"/>
    <w:next w:val="BodyText"/>
    <w:rsid w:val="00481B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81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BCF"/>
  </w:style>
  <w:style w:type="paragraph" w:styleId="BodyText">
    <w:name w:val="Body Text"/>
    <w:qFormat/>
    <w:rsid w:val="00481BCF"/>
    <w:pPr>
      <w:spacing w:before="240" w:line="320" w:lineRule="atLeast"/>
      <w:jc w:val="both"/>
    </w:pPr>
    <w:rPr>
      <w:sz w:val="26"/>
    </w:rPr>
  </w:style>
  <w:style w:type="paragraph" w:styleId="Footer">
    <w:name w:val="footer"/>
    <w:basedOn w:val="BodyText"/>
    <w:link w:val="FooterChar"/>
    <w:rsid w:val="00481BCF"/>
    <w:pPr>
      <w:spacing w:before="80" w:line="200" w:lineRule="exact"/>
      <w:ind w:right="6"/>
      <w:jc w:val="left"/>
    </w:pPr>
    <w:rPr>
      <w:caps/>
      <w:spacing w:val="-4"/>
      <w:sz w:val="16"/>
    </w:rPr>
  </w:style>
  <w:style w:type="paragraph" w:customStyle="1" w:styleId="FooterEnd">
    <w:name w:val="Footer End"/>
    <w:basedOn w:val="Footer"/>
    <w:rsid w:val="00481BCF"/>
    <w:pPr>
      <w:spacing w:before="0" w:line="20" w:lineRule="exact"/>
    </w:pPr>
  </w:style>
  <w:style w:type="paragraph" w:styleId="Header">
    <w:name w:val="header"/>
    <w:basedOn w:val="BodyText"/>
    <w:link w:val="HeaderChar"/>
    <w:rsid w:val="00481B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81BCF"/>
    <w:pPr>
      <w:spacing w:line="20" w:lineRule="exact"/>
    </w:pPr>
    <w:rPr>
      <w:sz w:val="16"/>
    </w:rPr>
  </w:style>
  <w:style w:type="paragraph" w:customStyle="1" w:styleId="HeaderEven">
    <w:name w:val="Header Even"/>
    <w:basedOn w:val="Header"/>
    <w:semiHidden/>
    <w:rsid w:val="00481BCF"/>
  </w:style>
  <w:style w:type="paragraph" w:customStyle="1" w:styleId="HeaderOdd">
    <w:name w:val="Header Odd"/>
    <w:basedOn w:val="Header"/>
    <w:semiHidden/>
    <w:rsid w:val="00481BCF"/>
  </w:style>
  <w:style w:type="character" w:styleId="PageNumber">
    <w:name w:val="page number"/>
    <w:basedOn w:val="DefaultParagraphFont"/>
    <w:rsid w:val="00481BCF"/>
    <w:rPr>
      <w:rFonts w:ascii="Arial" w:hAnsi="Arial"/>
      <w:b/>
      <w:sz w:val="16"/>
    </w:rPr>
  </w:style>
  <w:style w:type="paragraph" w:customStyle="1" w:styleId="Abbreviation">
    <w:name w:val="Abbreviation"/>
    <w:basedOn w:val="BodyText"/>
    <w:rsid w:val="00481BCF"/>
    <w:pPr>
      <w:spacing w:before="120"/>
      <w:ind w:left="2381" w:hanging="2381"/>
      <w:jc w:val="left"/>
    </w:pPr>
  </w:style>
  <w:style w:type="paragraph" w:customStyle="1" w:styleId="Box">
    <w:name w:val="Box"/>
    <w:basedOn w:val="BodyText"/>
    <w:qFormat/>
    <w:rsid w:val="00481BCF"/>
    <w:pPr>
      <w:keepNext/>
      <w:spacing w:before="120" w:line="280" w:lineRule="atLeast"/>
    </w:pPr>
    <w:rPr>
      <w:rFonts w:ascii="Arial" w:hAnsi="Arial"/>
      <w:sz w:val="22"/>
    </w:rPr>
  </w:style>
  <w:style w:type="paragraph" w:customStyle="1" w:styleId="BoxContinued">
    <w:name w:val="Box Continued"/>
    <w:basedOn w:val="BodyText"/>
    <w:next w:val="BodyText"/>
    <w:semiHidden/>
    <w:rsid w:val="00481BCF"/>
    <w:pPr>
      <w:spacing w:before="180" w:line="220" w:lineRule="exact"/>
      <w:jc w:val="right"/>
    </w:pPr>
    <w:rPr>
      <w:rFonts w:ascii="Arial" w:hAnsi="Arial"/>
      <w:sz w:val="18"/>
    </w:rPr>
  </w:style>
  <w:style w:type="paragraph" w:customStyle="1" w:styleId="BoxHeading1">
    <w:name w:val="Box Heading 1"/>
    <w:basedOn w:val="BodyText"/>
    <w:next w:val="Box"/>
    <w:rsid w:val="00481BCF"/>
    <w:pPr>
      <w:keepNext/>
      <w:spacing w:before="200" w:line="280" w:lineRule="atLeast"/>
    </w:pPr>
    <w:rPr>
      <w:rFonts w:ascii="Arial" w:hAnsi="Arial"/>
      <w:b/>
      <w:sz w:val="22"/>
    </w:rPr>
  </w:style>
  <w:style w:type="paragraph" w:customStyle="1" w:styleId="BoxHeading2">
    <w:name w:val="Box Heading 2"/>
    <w:basedOn w:val="BoxHeading1"/>
    <w:next w:val="Normal"/>
    <w:rsid w:val="00481BCF"/>
    <w:rPr>
      <w:b w:val="0"/>
      <w:i/>
    </w:rPr>
  </w:style>
  <w:style w:type="paragraph" w:customStyle="1" w:styleId="BoxListBullet">
    <w:name w:val="Box List Bullet"/>
    <w:basedOn w:val="BodyText"/>
    <w:rsid w:val="00481BCF"/>
    <w:pPr>
      <w:keepNext/>
      <w:numPr>
        <w:numId w:val="1"/>
      </w:numPr>
      <w:spacing w:before="60" w:line="280" w:lineRule="atLeast"/>
    </w:pPr>
    <w:rPr>
      <w:rFonts w:ascii="Arial" w:hAnsi="Arial"/>
      <w:sz w:val="22"/>
    </w:rPr>
  </w:style>
  <w:style w:type="paragraph" w:customStyle="1" w:styleId="BoxListBullet2">
    <w:name w:val="Box List Bullet 2"/>
    <w:basedOn w:val="BodyText"/>
    <w:rsid w:val="00481BCF"/>
    <w:pPr>
      <w:keepNext/>
      <w:numPr>
        <w:numId w:val="16"/>
      </w:numPr>
      <w:spacing w:before="60" w:line="280" w:lineRule="atLeast"/>
    </w:pPr>
    <w:rPr>
      <w:rFonts w:ascii="Arial" w:hAnsi="Arial"/>
      <w:sz w:val="22"/>
    </w:rPr>
  </w:style>
  <w:style w:type="paragraph" w:customStyle="1" w:styleId="BoxListNumber">
    <w:name w:val="Box List Number"/>
    <w:basedOn w:val="BodyText"/>
    <w:rsid w:val="00481BCF"/>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481BCF"/>
    <w:pPr>
      <w:numPr>
        <w:ilvl w:val="1"/>
      </w:numPr>
    </w:pPr>
  </w:style>
  <w:style w:type="paragraph" w:customStyle="1" w:styleId="BoxQuote">
    <w:name w:val="Box Quote"/>
    <w:basedOn w:val="BodyText"/>
    <w:next w:val="Box"/>
    <w:rsid w:val="00481BCF"/>
    <w:pPr>
      <w:keepNext/>
      <w:spacing w:before="60" w:line="260" w:lineRule="exact"/>
      <w:ind w:left="284"/>
    </w:pPr>
    <w:rPr>
      <w:rFonts w:ascii="Arial" w:hAnsi="Arial"/>
      <w:sz w:val="20"/>
    </w:rPr>
  </w:style>
  <w:style w:type="paragraph" w:customStyle="1" w:styleId="Note">
    <w:name w:val="Note"/>
    <w:basedOn w:val="BodyText"/>
    <w:next w:val="BodyText"/>
    <w:rsid w:val="00481BCF"/>
    <w:pPr>
      <w:keepLines/>
      <w:spacing w:before="80" w:line="220" w:lineRule="exact"/>
    </w:pPr>
    <w:rPr>
      <w:rFonts w:ascii="Arial" w:hAnsi="Arial"/>
      <w:sz w:val="18"/>
    </w:rPr>
  </w:style>
  <w:style w:type="paragraph" w:customStyle="1" w:styleId="Source">
    <w:name w:val="Source"/>
    <w:basedOn w:val="Note"/>
    <w:next w:val="BodyText"/>
    <w:rsid w:val="00481BCF"/>
    <w:pPr>
      <w:spacing w:after="120"/>
    </w:pPr>
  </w:style>
  <w:style w:type="paragraph" w:customStyle="1" w:styleId="BoxSource">
    <w:name w:val="Box Source"/>
    <w:basedOn w:val="Source"/>
    <w:next w:val="BodyText"/>
    <w:rsid w:val="00481BCF"/>
    <w:pPr>
      <w:spacing w:before="180" w:after="0"/>
    </w:pPr>
  </w:style>
  <w:style w:type="paragraph" w:customStyle="1" w:styleId="BoxSpaceAbove">
    <w:name w:val="Box Space Above"/>
    <w:basedOn w:val="BodyText"/>
    <w:rsid w:val="00481BCF"/>
    <w:pPr>
      <w:keepNext/>
      <w:spacing w:before="360" w:line="80" w:lineRule="exact"/>
      <w:jc w:val="left"/>
    </w:pPr>
  </w:style>
  <w:style w:type="paragraph" w:styleId="Caption">
    <w:name w:val="caption"/>
    <w:basedOn w:val="Normal"/>
    <w:next w:val="BodyText"/>
    <w:rsid w:val="00481BC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81BCF"/>
    <w:pPr>
      <w:spacing w:before="120" w:after="0"/>
      <w:ind w:left="1304" w:hanging="1304"/>
    </w:pPr>
    <w:rPr>
      <w:sz w:val="24"/>
    </w:rPr>
  </w:style>
  <w:style w:type="paragraph" w:customStyle="1" w:styleId="BoxSubtitle">
    <w:name w:val="Box Subtitle"/>
    <w:basedOn w:val="BoxTitle"/>
    <w:next w:val="Normal"/>
    <w:rsid w:val="00481BCF"/>
    <w:pPr>
      <w:spacing w:after="80" w:line="200" w:lineRule="exact"/>
      <w:ind w:firstLine="0"/>
    </w:pPr>
    <w:rPr>
      <w:b w:val="0"/>
      <w:sz w:val="20"/>
    </w:rPr>
  </w:style>
  <w:style w:type="paragraph" w:customStyle="1" w:styleId="Chapter">
    <w:name w:val="Chapter"/>
    <w:basedOn w:val="Heading1"/>
    <w:next w:val="BodyText"/>
    <w:semiHidden/>
    <w:rsid w:val="00481BCF"/>
    <w:pPr>
      <w:ind w:left="0" w:firstLine="0"/>
      <w:outlineLvl w:val="9"/>
    </w:pPr>
  </w:style>
  <w:style w:type="paragraph" w:customStyle="1" w:styleId="ChapterSummary">
    <w:name w:val="Chapter Summary"/>
    <w:basedOn w:val="BodyText"/>
    <w:rsid w:val="00481BCF"/>
    <w:pPr>
      <w:ind w:left="907"/>
    </w:pPr>
    <w:rPr>
      <w:rFonts w:ascii="Arial" w:hAnsi="Arial"/>
      <w:b/>
      <w:sz w:val="22"/>
    </w:rPr>
  </w:style>
  <w:style w:type="character" w:styleId="CommentReference">
    <w:name w:val="annotation reference"/>
    <w:basedOn w:val="DefaultParagraphFont"/>
    <w:semiHidden/>
    <w:rsid w:val="00481BCF"/>
    <w:rPr>
      <w:b/>
      <w:vanish/>
      <w:color w:val="FF00FF"/>
      <w:sz w:val="20"/>
    </w:rPr>
  </w:style>
  <w:style w:type="paragraph" w:styleId="CommentText">
    <w:name w:val="annotation text"/>
    <w:basedOn w:val="Normal"/>
    <w:link w:val="CommentTextChar"/>
    <w:semiHidden/>
    <w:rsid w:val="00481BCF"/>
    <w:pPr>
      <w:spacing w:before="120" w:line="240" w:lineRule="atLeast"/>
      <w:ind w:left="567" w:hanging="567"/>
    </w:pPr>
    <w:rPr>
      <w:sz w:val="20"/>
    </w:rPr>
  </w:style>
  <w:style w:type="paragraph" w:customStyle="1" w:styleId="Continued">
    <w:name w:val="Continued"/>
    <w:basedOn w:val="BoxContinued"/>
    <w:next w:val="BodyText"/>
    <w:rsid w:val="00481BCF"/>
  </w:style>
  <w:style w:type="character" w:customStyle="1" w:styleId="DocumentInfo">
    <w:name w:val="Document Info"/>
    <w:basedOn w:val="DefaultParagraphFont"/>
    <w:semiHidden/>
    <w:rsid w:val="00481BCF"/>
    <w:rPr>
      <w:rFonts w:ascii="Arial" w:hAnsi="Arial"/>
      <w:sz w:val="14"/>
    </w:rPr>
  </w:style>
  <w:style w:type="character" w:customStyle="1" w:styleId="DraftingNote">
    <w:name w:val="Drafting Note"/>
    <w:basedOn w:val="DefaultParagraphFont"/>
    <w:rsid w:val="00481BCF"/>
    <w:rPr>
      <w:b/>
      <w:color w:val="FF0000"/>
      <w:sz w:val="24"/>
      <w:u w:val="dotted"/>
    </w:rPr>
  </w:style>
  <w:style w:type="paragraph" w:customStyle="1" w:styleId="Figure">
    <w:name w:val="Figure"/>
    <w:basedOn w:val="BodyText"/>
    <w:rsid w:val="00481BCF"/>
    <w:pPr>
      <w:keepNext/>
      <w:spacing w:before="120" w:after="120" w:line="240" w:lineRule="atLeast"/>
      <w:jc w:val="center"/>
    </w:pPr>
  </w:style>
  <w:style w:type="paragraph" w:customStyle="1" w:styleId="FigureTitle">
    <w:name w:val="Figure Title"/>
    <w:basedOn w:val="Caption"/>
    <w:next w:val="Subtitle"/>
    <w:rsid w:val="00481BCF"/>
    <w:rPr>
      <w:sz w:val="24"/>
    </w:rPr>
  </w:style>
  <w:style w:type="paragraph" w:styleId="Subtitle">
    <w:name w:val="Subtitle"/>
    <w:basedOn w:val="Caption"/>
    <w:link w:val="SubtitleChar"/>
    <w:rsid w:val="00481BCF"/>
    <w:pPr>
      <w:spacing w:before="0" w:line="200" w:lineRule="exact"/>
      <w:ind w:firstLine="0"/>
    </w:pPr>
    <w:rPr>
      <w:b w:val="0"/>
      <w:sz w:val="20"/>
    </w:rPr>
  </w:style>
  <w:style w:type="paragraph" w:customStyle="1" w:styleId="Finding">
    <w:name w:val="Finding"/>
    <w:basedOn w:val="BodyText"/>
    <w:rsid w:val="00481BCF"/>
    <w:pPr>
      <w:keepLines/>
      <w:spacing w:before="180"/>
    </w:pPr>
    <w:rPr>
      <w:i/>
    </w:rPr>
  </w:style>
  <w:style w:type="paragraph" w:customStyle="1" w:styleId="FindingBullet">
    <w:name w:val="Finding Bullet"/>
    <w:basedOn w:val="Finding"/>
    <w:rsid w:val="00481BCF"/>
    <w:pPr>
      <w:numPr>
        <w:numId w:val="2"/>
      </w:numPr>
      <w:spacing w:before="80"/>
    </w:pPr>
  </w:style>
  <w:style w:type="paragraph" w:customStyle="1" w:styleId="FindingNoTitle">
    <w:name w:val="Finding NoTitle"/>
    <w:basedOn w:val="Finding"/>
    <w:semiHidden/>
    <w:rsid w:val="00481BCF"/>
    <w:pPr>
      <w:spacing w:before="240"/>
    </w:pPr>
  </w:style>
  <w:style w:type="paragraph" w:customStyle="1" w:styleId="RecTitle">
    <w:name w:val="Rec Title"/>
    <w:basedOn w:val="BodyText"/>
    <w:next w:val="Normal"/>
    <w:rsid w:val="00481BCF"/>
    <w:pPr>
      <w:keepNext/>
      <w:keepLines/>
    </w:pPr>
    <w:rPr>
      <w:caps/>
      <w:sz w:val="20"/>
    </w:rPr>
  </w:style>
  <w:style w:type="paragraph" w:customStyle="1" w:styleId="FindingTitle">
    <w:name w:val="Finding Title"/>
    <w:basedOn w:val="RecTitle"/>
    <w:next w:val="Finding"/>
    <w:rsid w:val="00481BCF"/>
    <w:pPr>
      <w:framePr w:wrap="notBeside" w:hAnchor="text"/>
    </w:pPr>
  </w:style>
  <w:style w:type="character" w:styleId="FootnoteReference">
    <w:name w:val="footnote reference"/>
    <w:basedOn w:val="DefaultParagraphFont"/>
    <w:rsid w:val="00481BCF"/>
    <w:rPr>
      <w:rFonts w:ascii="Times New Roman" w:hAnsi="Times New Roman"/>
      <w:position w:val="6"/>
      <w:sz w:val="22"/>
      <w:vertAlign w:val="baseline"/>
    </w:rPr>
  </w:style>
  <w:style w:type="paragraph" w:styleId="FootnoteText">
    <w:name w:val="footnote text"/>
    <w:basedOn w:val="BodyText"/>
    <w:link w:val="FootnoteTextChar"/>
    <w:rsid w:val="00481BC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81BCF"/>
    <w:pPr>
      <w:spacing w:before="360" w:after="120"/>
    </w:pPr>
    <w:rPr>
      <w:rFonts w:ascii="Arial" w:hAnsi="Arial"/>
      <w:sz w:val="24"/>
    </w:rPr>
  </w:style>
  <w:style w:type="paragraph" w:customStyle="1" w:styleId="Jurisdictioncommentsbodytext">
    <w:name w:val="Jurisdiction comments body text"/>
    <w:rsid w:val="00481BCF"/>
    <w:pPr>
      <w:spacing w:after="140"/>
      <w:jc w:val="both"/>
    </w:pPr>
    <w:rPr>
      <w:rFonts w:ascii="Arial" w:hAnsi="Arial"/>
      <w:sz w:val="24"/>
      <w:lang w:eastAsia="en-US"/>
    </w:rPr>
  </w:style>
  <w:style w:type="paragraph" w:customStyle="1" w:styleId="Jurisdictioncommentsheading">
    <w:name w:val="Jurisdiction comments heading"/>
    <w:rsid w:val="00481B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81BCF"/>
    <w:pPr>
      <w:numPr>
        <w:numId w:val="3"/>
      </w:numPr>
      <w:spacing w:after="140"/>
      <w:jc w:val="both"/>
    </w:pPr>
    <w:rPr>
      <w:rFonts w:ascii="Arial" w:hAnsi="Arial"/>
      <w:sz w:val="24"/>
      <w:lang w:eastAsia="en-US"/>
    </w:rPr>
  </w:style>
  <w:style w:type="paragraph" w:styleId="ListBullet">
    <w:name w:val="List Bullet"/>
    <w:basedOn w:val="BodyText"/>
    <w:rsid w:val="00481BCF"/>
    <w:pPr>
      <w:numPr>
        <w:numId w:val="4"/>
      </w:numPr>
      <w:spacing w:before="120"/>
    </w:pPr>
  </w:style>
  <w:style w:type="paragraph" w:styleId="ListBullet2">
    <w:name w:val="List Bullet 2"/>
    <w:basedOn w:val="BodyText"/>
    <w:rsid w:val="00481BCF"/>
    <w:pPr>
      <w:numPr>
        <w:numId w:val="5"/>
      </w:numPr>
      <w:spacing w:before="120"/>
    </w:pPr>
  </w:style>
  <w:style w:type="paragraph" w:styleId="ListBullet3">
    <w:name w:val="List Bullet 3"/>
    <w:basedOn w:val="BodyText"/>
    <w:rsid w:val="00481BCF"/>
    <w:pPr>
      <w:numPr>
        <w:numId w:val="6"/>
      </w:numPr>
      <w:spacing w:before="120"/>
    </w:pPr>
  </w:style>
  <w:style w:type="paragraph" w:styleId="ListNumber">
    <w:name w:val="List Number"/>
    <w:basedOn w:val="BodyText"/>
    <w:rsid w:val="00481BCF"/>
    <w:pPr>
      <w:numPr>
        <w:numId w:val="11"/>
      </w:numPr>
      <w:spacing w:before="120"/>
    </w:pPr>
  </w:style>
  <w:style w:type="paragraph" w:styleId="ListNumber2">
    <w:name w:val="List Number 2"/>
    <w:basedOn w:val="ListNumber"/>
    <w:rsid w:val="00481BCF"/>
    <w:pPr>
      <w:numPr>
        <w:ilvl w:val="1"/>
      </w:numPr>
    </w:pPr>
  </w:style>
  <w:style w:type="paragraph" w:styleId="ListNumber3">
    <w:name w:val="List Number 3"/>
    <w:basedOn w:val="ListNumber2"/>
    <w:rsid w:val="00481BCF"/>
    <w:pPr>
      <w:numPr>
        <w:ilvl w:val="2"/>
      </w:numPr>
    </w:pPr>
  </w:style>
  <w:style w:type="character" w:customStyle="1" w:styleId="NoteLabel">
    <w:name w:val="Note Label"/>
    <w:basedOn w:val="DefaultParagraphFont"/>
    <w:rsid w:val="00481BCF"/>
    <w:rPr>
      <w:rFonts w:ascii="Arial" w:hAnsi="Arial"/>
      <w:b/>
      <w:position w:val="6"/>
      <w:sz w:val="18"/>
    </w:rPr>
  </w:style>
  <w:style w:type="paragraph" w:customStyle="1" w:styleId="PartDivider">
    <w:name w:val="Part Divider"/>
    <w:basedOn w:val="BodyText"/>
    <w:next w:val="BodyText"/>
    <w:semiHidden/>
    <w:rsid w:val="00481BCF"/>
    <w:pPr>
      <w:spacing w:before="0" w:line="40" w:lineRule="exact"/>
      <w:jc w:val="right"/>
    </w:pPr>
    <w:rPr>
      <w:smallCaps/>
      <w:sz w:val="16"/>
    </w:rPr>
  </w:style>
  <w:style w:type="paragraph" w:customStyle="1" w:styleId="PartNumber">
    <w:name w:val="Part Number"/>
    <w:basedOn w:val="BodyText"/>
    <w:next w:val="BodyText"/>
    <w:semiHidden/>
    <w:rsid w:val="00481BCF"/>
    <w:pPr>
      <w:spacing w:before="4000" w:line="320" w:lineRule="exact"/>
      <w:ind w:left="6634"/>
      <w:jc w:val="right"/>
    </w:pPr>
    <w:rPr>
      <w:smallCaps/>
      <w:spacing w:val="60"/>
      <w:sz w:val="32"/>
    </w:rPr>
  </w:style>
  <w:style w:type="paragraph" w:customStyle="1" w:styleId="PartTitle">
    <w:name w:val="Part Title"/>
    <w:basedOn w:val="BodyText"/>
    <w:semiHidden/>
    <w:rsid w:val="00481BCF"/>
    <w:pPr>
      <w:spacing w:before="160" w:after="1360" w:line="520" w:lineRule="exact"/>
      <w:ind w:right="2381"/>
      <w:jc w:val="right"/>
    </w:pPr>
    <w:rPr>
      <w:smallCaps/>
      <w:sz w:val="52"/>
    </w:rPr>
  </w:style>
  <w:style w:type="paragraph" w:styleId="Quote">
    <w:name w:val="Quote"/>
    <w:basedOn w:val="BodyText"/>
    <w:next w:val="BodyText"/>
    <w:qFormat/>
    <w:rsid w:val="00481BCF"/>
    <w:pPr>
      <w:spacing w:before="120" w:line="280" w:lineRule="exact"/>
      <w:ind w:left="340"/>
    </w:pPr>
    <w:rPr>
      <w:sz w:val="24"/>
    </w:rPr>
  </w:style>
  <w:style w:type="paragraph" w:customStyle="1" w:styleId="QuoteBullet">
    <w:name w:val="Quote Bullet"/>
    <w:basedOn w:val="Quote"/>
    <w:rsid w:val="00481BCF"/>
    <w:pPr>
      <w:numPr>
        <w:numId w:val="7"/>
      </w:numPr>
    </w:pPr>
  </w:style>
  <w:style w:type="paragraph" w:customStyle="1" w:styleId="Rec">
    <w:name w:val="Rec"/>
    <w:basedOn w:val="BodyText"/>
    <w:rsid w:val="00481BCF"/>
    <w:pPr>
      <w:keepLines/>
      <w:spacing w:before="180"/>
    </w:pPr>
    <w:rPr>
      <w:b/>
      <w:i/>
    </w:rPr>
  </w:style>
  <w:style w:type="paragraph" w:customStyle="1" w:styleId="RecBullet">
    <w:name w:val="Rec Bullet"/>
    <w:basedOn w:val="Rec"/>
    <w:rsid w:val="00481BCF"/>
    <w:pPr>
      <w:numPr>
        <w:numId w:val="8"/>
      </w:numPr>
      <w:spacing w:before="80"/>
    </w:pPr>
  </w:style>
  <w:style w:type="paragraph" w:customStyle="1" w:styleId="RecB">
    <w:name w:val="RecB"/>
    <w:basedOn w:val="Normal"/>
    <w:semiHidden/>
    <w:rsid w:val="00481BC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81BCF"/>
    <w:pPr>
      <w:numPr>
        <w:numId w:val="13"/>
      </w:numPr>
      <w:spacing w:before="80"/>
    </w:pPr>
  </w:style>
  <w:style w:type="paragraph" w:customStyle="1" w:styleId="RecBNoTitle">
    <w:name w:val="RecB NoTitle"/>
    <w:basedOn w:val="RecB"/>
    <w:semiHidden/>
    <w:rsid w:val="00481BCF"/>
    <w:pPr>
      <w:spacing w:before="240"/>
    </w:pPr>
  </w:style>
  <w:style w:type="paragraph" w:customStyle="1" w:styleId="Reference">
    <w:name w:val="Reference"/>
    <w:basedOn w:val="BodyText"/>
    <w:rsid w:val="00481BCF"/>
    <w:pPr>
      <w:spacing w:before="120"/>
      <w:ind w:left="340" w:hanging="340"/>
    </w:pPr>
  </w:style>
  <w:style w:type="paragraph" w:customStyle="1" w:styleId="SequenceInfo">
    <w:name w:val="Sequence Info"/>
    <w:basedOn w:val="BodyText"/>
    <w:semiHidden/>
    <w:rsid w:val="00481BCF"/>
    <w:rPr>
      <w:vanish/>
      <w:sz w:val="16"/>
    </w:rPr>
  </w:style>
  <w:style w:type="paragraph" w:customStyle="1" w:styleId="SideNote">
    <w:name w:val="Side Note"/>
    <w:basedOn w:val="BodyText"/>
    <w:next w:val="BodyText"/>
    <w:semiHidden/>
    <w:rsid w:val="00481BC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81BCF"/>
    <w:pPr>
      <w:framePr w:wrap="around"/>
      <w:numPr>
        <w:numId w:val="9"/>
      </w:numPr>
      <w:tabs>
        <w:tab w:val="left" w:pos="227"/>
      </w:tabs>
    </w:pPr>
  </w:style>
  <w:style w:type="paragraph" w:customStyle="1" w:styleId="SideNoteGraphic">
    <w:name w:val="Side Note Graphic"/>
    <w:basedOn w:val="SideNote"/>
    <w:next w:val="BodyText"/>
    <w:semiHidden/>
    <w:rsid w:val="00481BCF"/>
    <w:pPr>
      <w:framePr w:wrap="around"/>
    </w:pPr>
  </w:style>
  <w:style w:type="paragraph" w:customStyle="1" w:styleId="TableBodyText">
    <w:name w:val="Table Body Text"/>
    <w:basedOn w:val="BodyText"/>
    <w:rsid w:val="00481BC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81BCF"/>
    <w:pPr>
      <w:numPr>
        <w:numId w:val="10"/>
      </w:numPr>
      <w:jc w:val="left"/>
    </w:pPr>
  </w:style>
  <w:style w:type="paragraph" w:customStyle="1" w:styleId="TableColumnHeading">
    <w:name w:val="Table Column Heading"/>
    <w:basedOn w:val="TableBodyText"/>
    <w:rsid w:val="00481BCF"/>
    <w:pPr>
      <w:spacing w:before="80" w:after="80"/>
    </w:pPr>
    <w:rPr>
      <w:i/>
    </w:rPr>
  </w:style>
  <w:style w:type="paragraph" w:styleId="TOC2">
    <w:name w:val="toc 2"/>
    <w:basedOn w:val="BodyText"/>
    <w:semiHidden/>
    <w:rsid w:val="00481BCF"/>
    <w:pPr>
      <w:tabs>
        <w:tab w:val="right" w:pos="8789"/>
      </w:tabs>
      <w:ind w:left="510" w:right="851" w:hanging="510"/>
      <w:jc w:val="left"/>
    </w:pPr>
    <w:rPr>
      <w:b/>
    </w:rPr>
  </w:style>
  <w:style w:type="paragraph" w:styleId="TOC3">
    <w:name w:val="toc 3"/>
    <w:basedOn w:val="TOC2"/>
    <w:semiHidden/>
    <w:rsid w:val="00481BCF"/>
    <w:pPr>
      <w:spacing w:before="60"/>
      <w:ind w:left="1190" w:hanging="680"/>
    </w:pPr>
    <w:rPr>
      <w:b w:val="0"/>
    </w:rPr>
  </w:style>
  <w:style w:type="paragraph" w:styleId="TableofFigures">
    <w:name w:val="table of figures"/>
    <w:basedOn w:val="TOC3"/>
    <w:next w:val="BodyText"/>
    <w:semiHidden/>
    <w:rsid w:val="00481BCF"/>
    <w:pPr>
      <w:ind w:left="737" w:hanging="737"/>
    </w:pPr>
  </w:style>
  <w:style w:type="paragraph" w:customStyle="1" w:styleId="TableTitle">
    <w:name w:val="Table Title"/>
    <w:basedOn w:val="Caption"/>
    <w:next w:val="Subtitle"/>
    <w:rsid w:val="00481BCF"/>
    <w:rPr>
      <w:sz w:val="24"/>
    </w:rPr>
  </w:style>
  <w:style w:type="paragraph" w:customStyle="1" w:styleId="TableUnitsRow">
    <w:name w:val="Table Units Row"/>
    <w:basedOn w:val="TableBodyText"/>
    <w:rsid w:val="00481BCF"/>
    <w:pPr>
      <w:spacing w:before="80" w:after="80"/>
    </w:pPr>
  </w:style>
  <w:style w:type="paragraph" w:styleId="TOC1">
    <w:name w:val="toc 1"/>
    <w:basedOn w:val="Normal"/>
    <w:next w:val="TOC2"/>
    <w:semiHidden/>
    <w:rsid w:val="00481BCF"/>
    <w:pPr>
      <w:tabs>
        <w:tab w:val="right" w:pos="8789"/>
      </w:tabs>
      <w:spacing w:before="480" w:after="60" w:line="320" w:lineRule="exact"/>
      <w:ind w:left="1191" w:right="851" w:hanging="1191"/>
    </w:pPr>
    <w:rPr>
      <w:b/>
      <w:caps/>
    </w:rPr>
  </w:style>
  <w:style w:type="paragraph" w:styleId="TOC4">
    <w:name w:val="toc 4"/>
    <w:basedOn w:val="TOC3"/>
    <w:semiHidden/>
    <w:rsid w:val="00481BCF"/>
    <w:pPr>
      <w:ind w:left="1191" w:firstLine="0"/>
    </w:pPr>
  </w:style>
  <w:style w:type="paragraph" w:customStyle="1" w:styleId="RecBBullet2">
    <w:name w:val="RecB Bullet 2"/>
    <w:basedOn w:val="ListBullet2"/>
    <w:semiHidden/>
    <w:rsid w:val="00481BCF"/>
    <w:pPr>
      <w:pBdr>
        <w:left w:val="single" w:sz="24" w:space="29" w:color="C0C0C0"/>
      </w:pBdr>
    </w:pPr>
    <w:rPr>
      <w:b/>
      <w:i/>
    </w:rPr>
  </w:style>
  <w:style w:type="paragraph" w:styleId="BalloonText">
    <w:name w:val="Balloon Text"/>
    <w:basedOn w:val="Normal"/>
    <w:link w:val="BalloonTextChar"/>
    <w:rsid w:val="00481BCF"/>
    <w:rPr>
      <w:rFonts w:ascii="Tahoma" w:hAnsi="Tahoma" w:cs="Tahoma"/>
      <w:sz w:val="16"/>
      <w:szCs w:val="16"/>
    </w:rPr>
  </w:style>
  <w:style w:type="character" w:customStyle="1" w:styleId="BalloonTextChar">
    <w:name w:val="Balloon Text Char"/>
    <w:basedOn w:val="DefaultParagraphFont"/>
    <w:link w:val="BalloonText"/>
    <w:rsid w:val="00481BCF"/>
    <w:rPr>
      <w:rFonts w:ascii="Tahoma" w:hAnsi="Tahoma" w:cs="Tahoma"/>
      <w:sz w:val="16"/>
      <w:szCs w:val="16"/>
    </w:rPr>
  </w:style>
  <w:style w:type="character" w:customStyle="1" w:styleId="SubtitleChar">
    <w:name w:val="Subtitle Char"/>
    <w:basedOn w:val="DefaultParagraphFont"/>
    <w:link w:val="Subtitle"/>
    <w:rsid w:val="00481BCF"/>
    <w:rPr>
      <w:rFonts w:ascii="Arial" w:hAnsi="Arial"/>
      <w:szCs w:val="24"/>
    </w:rPr>
  </w:style>
  <w:style w:type="paragraph" w:customStyle="1" w:styleId="BoxListBullet3">
    <w:name w:val="Box List Bullet 3"/>
    <w:basedOn w:val="ListBullet3"/>
    <w:rsid w:val="00481BCF"/>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81BCF"/>
    <w:rPr>
      <w:i/>
      <w:iCs/>
    </w:rPr>
  </w:style>
  <w:style w:type="paragraph" w:customStyle="1" w:styleId="BoxQuoteBullet">
    <w:name w:val="Box Quote Bullet"/>
    <w:basedOn w:val="BoxQuote"/>
    <w:next w:val="Box"/>
    <w:rsid w:val="00481BCF"/>
    <w:pPr>
      <w:numPr>
        <w:numId w:val="14"/>
      </w:numPr>
      <w:ind w:left="568" w:hanging="284"/>
    </w:pPr>
  </w:style>
  <w:style w:type="paragraph" w:customStyle="1" w:styleId="InformationRequestBullet">
    <w:name w:val="Information Request Bullet"/>
    <w:basedOn w:val="ListBullet"/>
    <w:next w:val="BodyText"/>
    <w:rsid w:val="00481BCF"/>
    <w:pPr>
      <w:numPr>
        <w:numId w:val="15"/>
      </w:numPr>
      <w:ind w:left="340" w:hanging="340"/>
    </w:pPr>
    <w:rPr>
      <w:rFonts w:ascii="Arial" w:hAnsi="Arial"/>
      <w:i/>
      <w:sz w:val="24"/>
    </w:rPr>
  </w:style>
  <w:style w:type="paragraph" w:customStyle="1" w:styleId="BoxSpaceBelow">
    <w:name w:val="Box Space Below"/>
    <w:basedOn w:val="Box"/>
    <w:rsid w:val="00481BCF"/>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Heading1Char">
    <w:name w:val="Heading 1 Char"/>
    <w:basedOn w:val="DefaultParagraphFont"/>
    <w:link w:val="Heading1"/>
    <w:rsid w:val="001E231D"/>
    <w:rPr>
      <w:sz w:val="52"/>
    </w:rPr>
  </w:style>
  <w:style w:type="character" w:customStyle="1" w:styleId="Heading2Char">
    <w:name w:val="Heading 2 Char"/>
    <w:basedOn w:val="DefaultParagraphFont"/>
    <w:link w:val="Heading2"/>
    <w:rsid w:val="001E231D"/>
    <w:rPr>
      <w:rFonts w:ascii="Arial" w:hAnsi="Arial"/>
      <w:b/>
      <w:sz w:val="32"/>
    </w:rPr>
  </w:style>
  <w:style w:type="character" w:customStyle="1" w:styleId="Heading8Char">
    <w:name w:val="Heading 8 Char"/>
    <w:basedOn w:val="DefaultParagraphFont"/>
    <w:link w:val="Heading8"/>
    <w:rsid w:val="001E231D"/>
    <w:rPr>
      <w:rFonts w:ascii="Arial" w:hAnsi="Arial"/>
      <w:i/>
    </w:rPr>
  </w:style>
  <w:style w:type="character" w:styleId="Hyperlink">
    <w:name w:val="Hyperlink"/>
    <w:basedOn w:val="DefaultParagraphFont"/>
    <w:uiPriority w:val="99"/>
    <w:unhideWhenUsed/>
    <w:rsid w:val="001E231D"/>
    <w:rPr>
      <w:color w:val="0000FF" w:themeColor="hyperlink"/>
      <w:u w:val="single"/>
    </w:rPr>
  </w:style>
  <w:style w:type="character" w:customStyle="1" w:styleId="HeaderChar">
    <w:name w:val="Header Char"/>
    <w:basedOn w:val="DefaultParagraphFont"/>
    <w:link w:val="Header"/>
    <w:rsid w:val="001E231D"/>
    <w:rPr>
      <w:rFonts w:ascii="Arial" w:hAnsi="Arial"/>
      <w:caps/>
      <w:sz w:val="26"/>
    </w:rPr>
  </w:style>
  <w:style w:type="character" w:customStyle="1" w:styleId="FooterChar">
    <w:name w:val="Footer Char"/>
    <w:basedOn w:val="DefaultParagraphFont"/>
    <w:link w:val="Footer"/>
    <w:rsid w:val="001E231D"/>
    <w:rPr>
      <w:caps/>
      <w:spacing w:val="-4"/>
      <w:sz w:val="16"/>
    </w:rPr>
  </w:style>
  <w:style w:type="character" w:customStyle="1" w:styleId="FootnoteTextChar">
    <w:name w:val="Footnote Text Char"/>
    <w:basedOn w:val="DefaultParagraphFont"/>
    <w:link w:val="FootnoteText"/>
    <w:rsid w:val="001E231D"/>
    <w:rPr>
      <w:sz w:val="22"/>
    </w:rPr>
  </w:style>
  <w:style w:type="paragraph" w:styleId="CommentSubject">
    <w:name w:val="annotation subject"/>
    <w:basedOn w:val="CommentText"/>
    <w:next w:val="CommentText"/>
    <w:link w:val="CommentSubjectChar"/>
    <w:rsid w:val="00EF068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F0680"/>
    <w:rPr>
      <w:szCs w:val="24"/>
    </w:rPr>
  </w:style>
  <w:style w:type="character" w:customStyle="1" w:styleId="CommentSubjectChar">
    <w:name w:val="Comment Subject Char"/>
    <w:basedOn w:val="CommentTextChar"/>
    <w:link w:val="CommentSubject"/>
    <w:rsid w:val="00EF0680"/>
    <w:rPr>
      <w:szCs w:val="24"/>
    </w:rPr>
  </w:style>
  <w:style w:type="character" w:styleId="FollowedHyperlink">
    <w:name w:val="FollowedHyperlink"/>
    <w:basedOn w:val="DefaultParagraphFont"/>
    <w:rsid w:val="003D1D27"/>
    <w:rPr>
      <w:color w:val="800080" w:themeColor="followedHyperlink"/>
      <w:u w:val="single"/>
    </w:rPr>
  </w:style>
  <w:style w:type="paragraph" w:styleId="Revision">
    <w:name w:val="Revision"/>
    <w:hidden/>
    <w:uiPriority w:val="99"/>
    <w:semiHidden/>
    <w:rsid w:val="001B12B1"/>
    <w:rPr>
      <w:sz w:val="26"/>
      <w:szCs w:val="24"/>
    </w:rPr>
  </w:style>
  <w:style w:type="paragraph" w:customStyle="1" w:styleId="AbstractHeading">
    <w:name w:val="AbstractHeading"/>
    <w:basedOn w:val="Normal"/>
    <w:rsid w:val="00293AC1"/>
    <w:pPr>
      <w:spacing w:before="240" w:after="120" w:line="320" w:lineRule="atLeast"/>
      <w:ind w:left="907"/>
    </w:pPr>
    <w:rPr>
      <w:rFonts w:ascii="Arial" w:hAnsi="Arial"/>
      <w:b/>
      <w:sz w:val="22"/>
    </w:rPr>
  </w:style>
  <w:style w:type="paragraph" w:customStyle="1" w:styleId="AbstractText">
    <w:name w:val="AbstractText"/>
    <w:basedOn w:val="Normal"/>
    <w:rsid w:val="00293AC1"/>
    <w:pPr>
      <w:spacing w:before="120" w:after="120" w:line="320" w:lineRule="atLeast"/>
      <w:ind w:left="907"/>
    </w:pPr>
    <w:rPr>
      <w:rFonts w:ascii="Arial" w:hAnsi="Arial"/>
      <w:sz w:val="22"/>
    </w:rPr>
  </w:style>
  <w:style w:type="paragraph" w:styleId="DocumentMap">
    <w:name w:val="Document Map"/>
    <w:basedOn w:val="Normal"/>
    <w:link w:val="DocumentMapChar"/>
    <w:rsid w:val="00CE045E"/>
    <w:rPr>
      <w:rFonts w:ascii="Tahoma" w:hAnsi="Tahoma" w:cs="Tahoma"/>
      <w:sz w:val="16"/>
      <w:szCs w:val="16"/>
    </w:rPr>
  </w:style>
  <w:style w:type="character" w:customStyle="1" w:styleId="DocumentMapChar">
    <w:name w:val="Document Map Char"/>
    <w:basedOn w:val="DefaultParagraphFont"/>
    <w:link w:val="DocumentMap"/>
    <w:rsid w:val="00CE04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81BCF"/>
    <w:rPr>
      <w:sz w:val="26"/>
      <w:szCs w:val="24"/>
    </w:rPr>
  </w:style>
  <w:style w:type="paragraph" w:styleId="Heading1">
    <w:name w:val="heading 1"/>
    <w:basedOn w:val="BodyText"/>
    <w:next w:val="BodyText"/>
    <w:link w:val="Heading1Char"/>
    <w:rsid w:val="00481BC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81BC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81BCF"/>
    <w:pPr>
      <w:spacing w:before="560" w:line="320" w:lineRule="exact"/>
      <w:ind w:left="0" w:firstLine="0"/>
      <w:outlineLvl w:val="2"/>
    </w:pPr>
    <w:rPr>
      <w:sz w:val="26"/>
    </w:rPr>
  </w:style>
  <w:style w:type="paragraph" w:styleId="Heading4">
    <w:name w:val="heading 4"/>
    <w:basedOn w:val="Heading3"/>
    <w:next w:val="BodyText"/>
    <w:qFormat/>
    <w:rsid w:val="00481BCF"/>
    <w:pPr>
      <w:spacing w:before="480"/>
      <w:outlineLvl w:val="3"/>
    </w:pPr>
    <w:rPr>
      <w:b w:val="0"/>
      <w:i/>
      <w:sz w:val="24"/>
    </w:rPr>
  </w:style>
  <w:style w:type="paragraph" w:styleId="Heading5">
    <w:name w:val="heading 5"/>
    <w:basedOn w:val="Heading4"/>
    <w:next w:val="BodyText"/>
    <w:qFormat/>
    <w:rsid w:val="00481BCF"/>
    <w:pPr>
      <w:outlineLvl w:val="4"/>
    </w:pPr>
    <w:rPr>
      <w:rFonts w:ascii="Times New Roman" w:hAnsi="Times New Roman"/>
      <w:sz w:val="26"/>
    </w:rPr>
  </w:style>
  <w:style w:type="paragraph" w:styleId="Heading6">
    <w:name w:val="heading 6"/>
    <w:basedOn w:val="BodyText"/>
    <w:next w:val="BodyText"/>
    <w:rsid w:val="00481BCF"/>
    <w:pPr>
      <w:spacing w:after="60"/>
      <w:jc w:val="left"/>
      <w:outlineLvl w:val="5"/>
    </w:pPr>
    <w:rPr>
      <w:i/>
      <w:sz w:val="22"/>
    </w:rPr>
  </w:style>
  <w:style w:type="paragraph" w:styleId="Heading7">
    <w:name w:val="heading 7"/>
    <w:basedOn w:val="BodyText"/>
    <w:next w:val="BodyText"/>
    <w:rsid w:val="00481BCF"/>
    <w:pPr>
      <w:spacing w:after="60" w:line="240" w:lineRule="auto"/>
      <w:jc w:val="left"/>
      <w:outlineLvl w:val="6"/>
    </w:pPr>
    <w:rPr>
      <w:rFonts w:ascii="Arial" w:hAnsi="Arial"/>
      <w:sz w:val="20"/>
    </w:rPr>
  </w:style>
  <w:style w:type="paragraph" w:styleId="Heading8">
    <w:name w:val="heading 8"/>
    <w:basedOn w:val="BodyText"/>
    <w:next w:val="BodyText"/>
    <w:link w:val="Heading8Char"/>
    <w:rsid w:val="00481BCF"/>
    <w:pPr>
      <w:spacing w:after="60" w:line="240" w:lineRule="auto"/>
      <w:jc w:val="left"/>
      <w:outlineLvl w:val="7"/>
    </w:pPr>
    <w:rPr>
      <w:rFonts w:ascii="Arial" w:hAnsi="Arial"/>
      <w:i/>
      <w:sz w:val="20"/>
    </w:rPr>
  </w:style>
  <w:style w:type="paragraph" w:styleId="Heading9">
    <w:name w:val="heading 9"/>
    <w:basedOn w:val="BodyText"/>
    <w:next w:val="BodyText"/>
    <w:rsid w:val="00481B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81B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1BCF"/>
  </w:style>
  <w:style w:type="paragraph" w:styleId="BodyText">
    <w:name w:val="Body Text"/>
    <w:qFormat/>
    <w:rsid w:val="00481BCF"/>
    <w:pPr>
      <w:spacing w:before="240" w:line="320" w:lineRule="atLeast"/>
      <w:jc w:val="both"/>
    </w:pPr>
    <w:rPr>
      <w:sz w:val="26"/>
    </w:rPr>
  </w:style>
  <w:style w:type="paragraph" w:styleId="Footer">
    <w:name w:val="footer"/>
    <w:basedOn w:val="BodyText"/>
    <w:link w:val="FooterChar"/>
    <w:rsid w:val="00481BCF"/>
    <w:pPr>
      <w:spacing w:before="80" w:line="200" w:lineRule="exact"/>
      <w:ind w:right="6"/>
      <w:jc w:val="left"/>
    </w:pPr>
    <w:rPr>
      <w:caps/>
      <w:spacing w:val="-4"/>
      <w:sz w:val="16"/>
    </w:rPr>
  </w:style>
  <w:style w:type="paragraph" w:customStyle="1" w:styleId="FooterEnd">
    <w:name w:val="Footer End"/>
    <w:basedOn w:val="Footer"/>
    <w:rsid w:val="00481BCF"/>
    <w:pPr>
      <w:spacing w:before="0" w:line="20" w:lineRule="exact"/>
    </w:pPr>
  </w:style>
  <w:style w:type="paragraph" w:styleId="Header">
    <w:name w:val="header"/>
    <w:basedOn w:val="BodyText"/>
    <w:link w:val="HeaderChar"/>
    <w:rsid w:val="00481B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81BCF"/>
    <w:pPr>
      <w:spacing w:line="20" w:lineRule="exact"/>
    </w:pPr>
    <w:rPr>
      <w:sz w:val="16"/>
    </w:rPr>
  </w:style>
  <w:style w:type="paragraph" w:customStyle="1" w:styleId="HeaderEven">
    <w:name w:val="Header Even"/>
    <w:basedOn w:val="Header"/>
    <w:semiHidden/>
    <w:rsid w:val="00481BCF"/>
  </w:style>
  <w:style w:type="paragraph" w:customStyle="1" w:styleId="HeaderOdd">
    <w:name w:val="Header Odd"/>
    <w:basedOn w:val="Header"/>
    <w:semiHidden/>
    <w:rsid w:val="00481BCF"/>
  </w:style>
  <w:style w:type="character" w:styleId="PageNumber">
    <w:name w:val="page number"/>
    <w:basedOn w:val="DefaultParagraphFont"/>
    <w:rsid w:val="00481BCF"/>
    <w:rPr>
      <w:rFonts w:ascii="Arial" w:hAnsi="Arial"/>
      <w:b/>
      <w:sz w:val="16"/>
    </w:rPr>
  </w:style>
  <w:style w:type="paragraph" w:customStyle="1" w:styleId="Abbreviation">
    <w:name w:val="Abbreviation"/>
    <w:basedOn w:val="BodyText"/>
    <w:rsid w:val="00481BCF"/>
    <w:pPr>
      <w:spacing w:before="120"/>
      <w:ind w:left="2381" w:hanging="2381"/>
      <w:jc w:val="left"/>
    </w:pPr>
  </w:style>
  <w:style w:type="paragraph" w:customStyle="1" w:styleId="Box">
    <w:name w:val="Box"/>
    <w:basedOn w:val="BodyText"/>
    <w:qFormat/>
    <w:rsid w:val="00481BCF"/>
    <w:pPr>
      <w:keepNext/>
      <w:spacing w:before="120" w:line="280" w:lineRule="atLeast"/>
    </w:pPr>
    <w:rPr>
      <w:rFonts w:ascii="Arial" w:hAnsi="Arial"/>
      <w:sz w:val="22"/>
    </w:rPr>
  </w:style>
  <w:style w:type="paragraph" w:customStyle="1" w:styleId="BoxContinued">
    <w:name w:val="Box Continued"/>
    <w:basedOn w:val="BodyText"/>
    <w:next w:val="BodyText"/>
    <w:semiHidden/>
    <w:rsid w:val="00481BCF"/>
    <w:pPr>
      <w:spacing w:before="180" w:line="220" w:lineRule="exact"/>
      <w:jc w:val="right"/>
    </w:pPr>
    <w:rPr>
      <w:rFonts w:ascii="Arial" w:hAnsi="Arial"/>
      <w:sz w:val="18"/>
    </w:rPr>
  </w:style>
  <w:style w:type="paragraph" w:customStyle="1" w:styleId="BoxHeading1">
    <w:name w:val="Box Heading 1"/>
    <w:basedOn w:val="BodyText"/>
    <w:next w:val="Box"/>
    <w:rsid w:val="00481BCF"/>
    <w:pPr>
      <w:keepNext/>
      <w:spacing w:before="200" w:line="280" w:lineRule="atLeast"/>
    </w:pPr>
    <w:rPr>
      <w:rFonts w:ascii="Arial" w:hAnsi="Arial"/>
      <w:b/>
      <w:sz w:val="22"/>
    </w:rPr>
  </w:style>
  <w:style w:type="paragraph" w:customStyle="1" w:styleId="BoxHeading2">
    <w:name w:val="Box Heading 2"/>
    <w:basedOn w:val="BoxHeading1"/>
    <w:next w:val="Normal"/>
    <w:rsid w:val="00481BCF"/>
    <w:rPr>
      <w:b w:val="0"/>
      <w:i/>
    </w:rPr>
  </w:style>
  <w:style w:type="paragraph" w:customStyle="1" w:styleId="BoxListBullet">
    <w:name w:val="Box List Bullet"/>
    <w:basedOn w:val="BodyText"/>
    <w:rsid w:val="00481BCF"/>
    <w:pPr>
      <w:keepNext/>
      <w:numPr>
        <w:numId w:val="1"/>
      </w:numPr>
      <w:spacing w:before="60" w:line="280" w:lineRule="atLeast"/>
    </w:pPr>
    <w:rPr>
      <w:rFonts w:ascii="Arial" w:hAnsi="Arial"/>
      <w:sz w:val="22"/>
    </w:rPr>
  </w:style>
  <w:style w:type="paragraph" w:customStyle="1" w:styleId="BoxListBullet2">
    <w:name w:val="Box List Bullet 2"/>
    <w:basedOn w:val="BodyText"/>
    <w:rsid w:val="00481BCF"/>
    <w:pPr>
      <w:keepNext/>
      <w:numPr>
        <w:numId w:val="16"/>
      </w:numPr>
      <w:spacing w:before="60" w:line="280" w:lineRule="atLeast"/>
    </w:pPr>
    <w:rPr>
      <w:rFonts w:ascii="Arial" w:hAnsi="Arial"/>
      <w:sz w:val="22"/>
    </w:rPr>
  </w:style>
  <w:style w:type="paragraph" w:customStyle="1" w:styleId="BoxListNumber">
    <w:name w:val="Box List Number"/>
    <w:basedOn w:val="BodyText"/>
    <w:rsid w:val="00481BCF"/>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481BCF"/>
    <w:pPr>
      <w:numPr>
        <w:ilvl w:val="1"/>
      </w:numPr>
    </w:pPr>
  </w:style>
  <w:style w:type="paragraph" w:customStyle="1" w:styleId="BoxQuote">
    <w:name w:val="Box Quote"/>
    <w:basedOn w:val="BodyText"/>
    <w:next w:val="Box"/>
    <w:rsid w:val="00481BCF"/>
    <w:pPr>
      <w:keepNext/>
      <w:spacing w:before="60" w:line="260" w:lineRule="exact"/>
      <w:ind w:left="284"/>
    </w:pPr>
    <w:rPr>
      <w:rFonts w:ascii="Arial" w:hAnsi="Arial"/>
      <w:sz w:val="20"/>
    </w:rPr>
  </w:style>
  <w:style w:type="paragraph" w:customStyle="1" w:styleId="Note">
    <w:name w:val="Note"/>
    <w:basedOn w:val="BodyText"/>
    <w:next w:val="BodyText"/>
    <w:rsid w:val="00481BCF"/>
    <w:pPr>
      <w:keepLines/>
      <w:spacing w:before="80" w:line="220" w:lineRule="exact"/>
    </w:pPr>
    <w:rPr>
      <w:rFonts w:ascii="Arial" w:hAnsi="Arial"/>
      <w:sz w:val="18"/>
    </w:rPr>
  </w:style>
  <w:style w:type="paragraph" w:customStyle="1" w:styleId="Source">
    <w:name w:val="Source"/>
    <w:basedOn w:val="Note"/>
    <w:next w:val="BodyText"/>
    <w:rsid w:val="00481BCF"/>
    <w:pPr>
      <w:spacing w:after="120"/>
    </w:pPr>
  </w:style>
  <w:style w:type="paragraph" w:customStyle="1" w:styleId="BoxSource">
    <w:name w:val="Box Source"/>
    <w:basedOn w:val="Source"/>
    <w:next w:val="BodyText"/>
    <w:rsid w:val="00481BCF"/>
    <w:pPr>
      <w:spacing w:before="180" w:after="0"/>
    </w:pPr>
  </w:style>
  <w:style w:type="paragraph" w:customStyle="1" w:styleId="BoxSpaceAbove">
    <w:name w:val="Box Space Above"/>
    <w:basedOn w:val="BodyText"/>
    <w:rsid w:val="00481BCF"/>
    <w:pPr>
      <w:keepNext/>
      <w:spacing w:before="360" w:line="80" w:lineRule="exact"/>
      <w:jc w:val="left"/>
    </w:pPr>
  </w:style>
  <w:style w:type="paragraph" w:styleId="Caption">
    <w:name w:val="caption"/>
    <w:basedOn w:val="Normal"/>
    <w:next w:val="BodyText"/>
    <w:rsid w:val="00481BC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81BCF"/>
    <w:pPr>
      <w:spacing w:before="120" w:after="0"/>
      <w:ind w:left="1304" w:hanging="1304"/>
    </w:pPr>
    <w:rPr>
      <w:sz w:val="24"/>
    </w:rPr>
  </w:style>
  <w:style w:type="paragraph" w:customStyle="1" w:styleId="BoxSubtitle">
    <w:name w:val="Box Subtitle"/>
    <w:basedOn w:val="BoxTitle"/>
    <w:next w:val="Normal"/>
    <w:rsid w:val="00481BCF"/>
    <w:pPr>
      <w:spacing w:after="80" w:line="200" w:lineRule="exact"/>
      <w:ind w:firstLine="0"/>
    </w:pPr>
    <w:rPr>
      <w:b w:val="0"/>
      <w:sz w:val="20"/>
    </w:rPr>
  </w:style>
  <w:style w:type="paragraph" w:customStyle="1" w:styleId="Chapter">
    <w:name w:val="Chapter"/>
    <w:basedOn w:val="Heading1"/>
    <w:next w:val="BodyText"/>
    <w:semiHidden/>
    <w:rsid w:val="00481BCF"/>
    <w:pPr>
      <w:ind w:left="0" w:firstLine="0"/>
      <w:outlineLvl w:val="9"/>
    </w:pPr>
  </w:style>
  <w:style w:type="paragraph" w:customStyle="1" w:styleId="ChapterSummary">
    <w:name w:val="Chapter Summary"/>
    <w:basedOn w:val="BodyText"/>
    <w:rsid w:val="00481BCF"/>
    <w:pPr>
      <w:ind w:left="907"/>
    </w:pPr>
    <w:rPr>
      <w:rFonts w:ascii="Arial" w:hAnsi="Arial"/>
      <w:b/>
      <w:sz w:val="22"/>
    </w:rPr>
  </w:style>
  <w:style w:type="character" w:styleId="CommentReference">
    <w:name w:val="annotation reference"/>
    <w:basedOn w:val="DefaultParagraphFont"/>
    <w:semiHidden/>
    <w:rsid w:val="00481BCF"/>
    <w:rPr>
      <w:b/>
      <w:vanish/>
      <w:color w:val="FF00FF"/>
      <w:sz w:val="20"/>
    </w:rPr>
  </w:style>
  <w:style w:type="paragraph" w:styleId="CommentText">
    <w:name w:val="annotation text"/>
    <w:basedOn w:val="Normal"/>
    <w:link w:val="CommentTextChar"/>
    <w:semiHidden/>
    <w:rsid w:val="00481BCF"/>
    <w:pPr>
      <w:spacing w:before="120" w:line="240" w:lineRule="atLeast"/>
      <w:ind w:left="567" w:hanging="567"/>
    </w:pPr>
    <w:rPr>
      <w:sz w:val="20"/>
    </w:rPr>
  </w:style>
  <w:style w:type="paragraph" w:customStyle="1" w:styleId="Continued">
    <w:name w:val="Continued"/>
    <w:basedOn w:val="BoxContinued"/>
    <w:next w:val="BodyText"/>
    <w:rsid w:val="00481BCF"/>
  </w:style>
  <w:style w:type="character" w:customStyle="1" w:styleId="DocumentInfo">
    <w:name w:val="Document Info"/>
    <w:basedOn w:val="DefaultParagraphFont"/>
    <w:semiHidden/>
    <w:rsid w:val="00481BCF"/>
    <w:rPr>
      <w:rFonts w:ascii="Arial" w:hAnsi="Arial"/>
      <w:sz w:val="14"/>
    </w:rPr>
  </w:style>
  <w:style w:type="character" w:customStyle="1" w:styleId="DraftingNote">
    <w:name w:val="Drafting Note"/>
    <w:basedOn w:val="DefaultParagraphFont"/>
    <w:rsid w:val="00481BCF"/>
    <w:rPr>
      <w:b/>
      <w:color w:val="FF0000"/>
      <w:sz w:val="24"/>
      <w:u w:val="dotted"/>
    </w:rPr>
  </w:style>
  <w:style w:type="paragraph" w:customStyle="1" w:styleId="Figure">
    <w:name w:val="Figure"/>
    <w:basedOn w:val="BodyText"/>
    <w:rsid w:val="00481BCF"/>
    <w:pPr>
      <w:keepNext/>
      <w:spacing w:before="120" w:after="120" w:line="240" w:lineRule="atLeast"/>
      <w:jc w:val="center"/>
    </w:pPr>
  </w:style>
  <w:style w:type="paragraph" w:customStyle="1" w:styleId="FigureTitle">
    <w:name w:val="Figure Title"/>
    <w:basedOn w:val="Caption"/>
    <w:next w:val="Subtitle"/>
    <w:rsid w:val="00481BCF"/>
    <w:rPr>
      <w:sz w:val="24"/>
    </w:rPr>
  </w:style>
  <w:style w:type="paragraph" w:styleId="Subtitle">
    <w:name w:val="Subtitle"/>
    <w:basedOn w:val="Caption"/>
    <w:link w:val="SubtitleChar"/>
    <w:rsid w:val="00481BCF"/>
    <w:pPr>
      <w:spacing w:before="0" w:line="200" w:lineRule="exact"/>
      <w:ind w:firstLine="0"/>
    </w:pPr>
    <w:rPr>
      <w:b w:val="0"/>
      <w:sz w:val="20"/>
    </w:rPr>
  </w:style>
  <w:style w:type="paragraph" w:customStyle="1" w:styleId="Finding">
    <w:name w:val="Finding"/>
    <w:basedOn w:val="BodyText"/>
    <w:rsid w:val="00481BCF"/>
    <w:pPr>
      <w:keepLines/>
      <w:spacing w:before="180"/>
    </w:pPr>
    <w:rPr>
      <w:i/>
    </w:rPr>
  </w:style>
  <w:style w:type="paragraph" w:customStyle="1" w:styleId="FindingBullet">
    <w:name w:val="Finding Bullet"/>
    <w:basedOn w:val="Finding"/>
    <w:rsid w:val="00481BCF"/>
    <w:pPr>
      <w:numPr>
        <w:numId w:val="2"/>
      </w:numPr>
      <w:spacing w:before="80"/>
    </w:pPr>
  </w:style>
  <w:style w:type="paragraph" w:customStyle="1" w:styleId="FindingNoTitle">
    <w:name w:val="Finding NoTitle"/>
    <w:basedOn w:val="Finding"/>
    <w:semiHidden/>
    <w:rsid w:val="00481BCF"/>
    <w:pPr>
      <w:spacing w:before="240"/>
    </w:pPr>
  </w:style>
  <w:style w:type="paragraph" w:customStyle="1" w:styleId="RecTitle">
    <w:name w:val="Rec Title"/>
    <w:basedOn w:val="BodyText"/>
    <w:next w:val="Normal"/>
    <w:rsid w:val="00481BCF"/>
    <w:pPr>
      <w:keepNext/>
      <w:keepLines/>
    </w:pPr>
    <w:rPr>
      <w:caps/>
      <w:sz w:val="20"/>
    </w:rPr>
  </w:style>
  <w:style w:type="paragraph" w:customStyle="1" w:styleId="FindingTitle">
    <w:name w:val="Finding Title"/>
    <w:basedOn w:val="RecTitle"/>
    <w:next w:val="Finding"/>
    <w:rsid w:val="00481BCF"/>
    <w:pPr>
      <w:framePr w:wrap="notBeside" w:hAnchor="text"/>
    </w:pPr>
  </w:style>
  <w:style w:type="character" w:styleId="FootnoteReference">
    <w:name w:val="footnote reference"/>
    <w:basedOn w:val="DefaultParagraphFont"/>
    <w:rsid w:val="00481BCF"/>
    <w:rPr>
      <w:rFonts w:ascii="Times New Roman" w:hAnsi="Times New Roman"/>
      <w:position w:val="6"/>
      <w:sz w:val="22"/>
      <w:vertAlign w:val="baseline"/>
    </w:rPr>
  </w:style>
  <w:style w:type="paragraph" w:styleId="FootnoteText">
    <w:name w:val="footnote text"/>
    <w:basedOn w:val="BodyText"/>
    <w:link w:val="FootnoteTextChar"/>
    <w:rsid w:val="00481BC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81BCF"/>
    <w:pPr>
      <w:spacing w:before="360" w:after="120"/>
    </w:pPr>
    <w:rPr>
      <w:rFonts w:ascii="Arial" w:hAnsi="Arial"/>
      <w:sz w:val="24"/>
    </w:rPr>
  </w:style>
  <w:style w:type="paragraph" w:customStyle="1" w:styleId="Jurisdictioncommentsbodytext">
    <w:name w:val="Jurisdiction comments body text"/>
    <w:rsid w:val="00481BCF"/>
    <w:pPr>
      <w:spacing w:after="140"/>
      <w:jc w:val="both"/>
    </w:pPr>
    <w:rPr>
      <w:rFonts w:ascii="Arial" w:hAnsi="Arial"/>
      <w:sz w:val="24"/>
      <w:lang w:eastAsia="en-US"/>
    </w:rPr>
  </w:style>
  <w:style w:type="paragraph" w:customStyle="1" w:styleId="Jurisdictioncommentsheading">
    <w:name w:val="Jurisdiction comments heading"/>
    <w:rsid w:val="00481B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81BCF"/>
    <w:pPr>
      <w:numPr>
        <w:numId w:val="3"/>
      </w:numPr>
      <w:spacing w:after="140"/>
      <w:jc w:val="both"/>
    </w:pPr>
    <w:rPr>
      <w:rFonts w:ascii="Arial" w:hAnsi="Arial"/>
      <w:sz w:val="24"/>
      <w:lang w:eastAsia="en-US"/>
    </w:rPr>
  </w:style>
  <w:style w:type="paragraph" w:styleId="ListBullet">
    <w:name w:val="List Bullet"/>
    <w:basedOn w:val="BodyText"/>
    <w:rsid w:val="00481BCF"/>
    <w:pPr>
      <w:numPr>
        <w:numId w:val="4"/>
      </w:numPr>
      <w:spacing w:before="120"/>
    </w:pPr>
  </w:style>
  <w:style w:type="paragraph" w:styleId="ListBullet2">
    <w:name w:val="List Bullet 2"/>
    <w:basedOn w:val="BodyText"/>
    <w:rsid w:val="00481BCF"/>
    <w:pPr>
      <w:numPr>
        <w:numId w:val="5"/>
      </w:numPr>
      <w:spacing w:before="120"/>
    </w:pPr>
  </w:style>
  <w:style w:type="paragraph" w:styleId="ListBullet3">
    <w:name w:val="List Bullet 3"/>
    <w:basedOn w:val="BodyText"/>
    <w:rsid w:val="00481BCF"/>
    <w:pPr>
      <w:numPr>
        <w:numId w:val="6"/>
      </w:numPr>
      <w:spacing w:before="120"/>
    </w:pPr>
  </w:style>
  <w:style w:type="paragraph" w:styleId="ListNumber">
    <w:name w:val="List Number"/>
    <w:basedOn w:val="BodyText"/>
    <w:rsid w:val="00481BCF"/>
    <w:pPr>
      <w:numPr>
        <w:numId w:val="11"/>
      </w:numPr>
      <w:spacing w:before="120"/>
    </w:pPr>
  </w:style>
  <w:style w:type="paragraph" w:styleId="ListNumber2">
    <w:name w:val="List Number 2"/>
    <w:basedOn w:val="ListNumber"/>
    <w:rsid w:val="00481BCF"/>
    <w:pPr>
      <w:numPr>
        <w:ilvl w:val="1"/>
      </w:numPr>
    </w:pPr>
  </w:style>
  <w:style w:type="paragraph" w:styleId="ListNumber3">
    <w:name w:val="List Number 3"/>
    <w:basedOn w:val="ListNumber2"/>
    <w:rsid w:val="00481BCF"/>
    <w:pPr>
      <w:numPr>
        <w:ilvl w:val="2"/>
      </w:numPr>
    </w:pPr>
  </w:style>
  <w:style w:type="character" w:customStyle="1" w:styleId="NoteLabel">
    <w:name w:val="Note Label"/>
    <w:basedOn w:val="DefaultParagraphFont"/>
    <w:rsid w:val="00481BCF"/>
    <w:rPr>
      <w:rFonts w:ascii="Arial" w:hAnsi="Arial"/>
      <w:b/>
      <w:position w:val="6"/>
      <w:sz w:val="18"/>
    </w:rPr>
  </w:style>
  <w:style w:type="paragraph" w:customStyle="1" w:styleId="PartDivider">
    <w:name w:val="Part Divider"/>
    <w:basedOn w:val="BodyText"/>
    <w:next w:val="BodyText"/>
    <w:semiHidden/>
    <w:rsid w:val="00481BCF"/>
    <w:pPr>
      <w:spacing w:before="0" w:line="40" w:lineRule="exact"/>
      <w:jc w:val="right"/>
    </w:pPr>
    <w:rPr>
      <w:smallCaps/>
      <w:sz w:val="16"/>
    </w:rPr>
  </w:style>
  <w:style w:type="paragraph" w:customStyle="1" w:styleId="PartNumber">
    <w:name w:val="Part Number"/>
    <w:basedOn w:val="BodyText"/>
    <w:next w:val="BodyText"/>
    <w:semiHidden/>
    <w:rsid w:val="00481BCF"/>
    <w:pPr>
      <w:spacing w:before="4000" w:line="320" w:lineRule="exact"/>
      <w:ind w:left="6634"/>
      <w:jc w:val="right"/>
    </w:pPr>
    <w:rPr>
      <w:smallCaps/>
      <w:spacing w:val="60"/>
      <w:sz w:val="32"/>
    </w:rPr>
  </w:style>
  <w:style w:type="paragraph" w:customStyle="1" w:styleId="PartTitle">
    <w:name w:val="Part Title"/>
    <w:basedOn w:val="BodyText"/>
    <w:semiHidden/>
    <w:rsid w:val="00481BCF"/>
    <w:pPr>
      <w:spacing w:before="160" w:after="1360" w:line="520" w:lineRule="exact"/>
      <w:ind w:right="2381"/>
      <w:jc w:val="right"/>
    </w:pPr>
    <w:rPr>
      <w:smallCaps/>
      <w:sz w:val="52"/>
    </w:rPr>
  </w:style>
  <w:style w:type="paragraph" w:styleId="Quote">
    <w:name w:val="Quote"/>
    <w:basedOn w:val="BodyText"/>
    <w:next w:val="BodyText"/>
    <w:qFormat/>
    <w:rsid w:val="00481BCF"/>
    <w:pPr>
      <w:spacing w:before="120" w:line="280" w:lineRule="exact"/>
      <w:ind w:left="340"/>
    </w:pPr>
    <w:rPr>
      <w:sz w:val="24"/>
    </w:rPr>
  </w:style>
  <w:style w:type="paragraph" w:customStyle="1" w:styleId="QuoteBullet">
    <w:name w:val="Quote Bullet"/>
    <w:basedOn w:val="Quote"/>
    <w:rsid w:val="00481BCF"/>
    <w:pPr>
      <w:numPr>
        <w:numId w:val="7"/>
      </w:numPr>
    </w:pPr>
  </w:style>
  <w:style w:type="paragraph" w:customStyle="1" w:styleId="Rec">
    <w:name w:val="Rec"/>
    <w:basedOn w:val="BodyText"/>
    <w:rsid w:val="00481BCF"/>
    <w:pPr>
      <w:keepLines/>
      <w:spacing w:before="180"/>
    </w:pPr>
    <w:rPr>
      <w:b/>
      <w:i/>
    </w:rPr>
  </w:style>
  <w:style w:type="paragraph" w:customStyle="1" w:styleId="RecBullet">
    <w:name w:val="Rec Bullet"/>
    <w:basedOn w:val="Rec"/>
    <w:rsid w:val="00481BCF"/>
    <w:pPr>
      <w:numPr>
        <w:numId w:val="8"/>
      </w:numPr>
      <w:spacing w:before="80"/>
    </w:pPr>
  </w:style>
  <w:style w:type="paragraph" w:customStyle="1" w:styleId="RecB">
    <w:name w:val="RecB"/>
    <w:basedOn w:val="Normal"/>
    <w:semiHidden/>
    <w:rsid w:val="00481BC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81BCF"/>
    <w:pPr>
      <w:numPr>
        <w:numId w:val="13"/>
      </w:numPr>
      <w:spacing w:before="80"/>
    </w:pPr>
  </w:style>
  <w:style w:type="paragraph" w:customStyle="1" w:styleId="RecBNoTitle">
    <w:name w:val="RecB NoTitle"/>
    <w:basedOn w:val="RecB"/>
    <w:semiHidden/>
    <w:rsid w:val="00481BCF"/>
    <w:pPr>
      <w:spacing w:before="240"/>
    </w:pPr>
  </w:style>
  <w:style w:type="paragraph" w:customStyle="1" w:styleId="Reference">
    <w:name w:val="Reference"/>
    <w:basedOn w:val="BodyText"/>
    <w:rsid w:val="00481BCF"/>
    <w:pPr>
      <w:spacing w:before="120"/>
      <w:ind w:left="340" w:hanging="340"/>
    </w:pPr>
  </w:style>
  <w:style w:type="paragraph" w:customStyle="1" w:styleId="SequenceInfo">
    <w:name w:val="Sequence Info"/>
    <w:basedOn w:val="BodyText"/>
    <w:semiHidden/>
    <w:rsid w:val="00481BCF"/>
    <w:rPr>
      <w:vanish/>
      <w:sz w:val="16"/>
    </w:rPr>
  </w:style>
  <w:style w:type="paragraph" w:customStyle="1" w:styleId="SideNote">
    <w:name w:val="Side Note"/>
    <w:basedOn w:val="BodyText"/>
    <w:next w:val="BodyText"/>
    <w:semiHidden/>
    <w:rsid w:val="00481BC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81BCF"/>
    <w:pPr>
      <w:framePr w:wrap="around"/>
      <w:numPr>
        <w:numId w:val="9"/>
      </w:numPr>
      <w:tabs>
        <w:tab w:val="left" w:pos="227"/>
      </w:tabs>
    </w:pPr>
  </w:style>
  <w:style w:type="paragraph" w:customStyle="1" w:styleId="SideNoteGraphic">
    <w:name w:val="Side Note Graphic"/>
    <w:basedOn w:val="SideNote"/>
    <w:next w:val="BodyText"/>
    <w:semiHidden/>
    <w:rsid w:val="00481BCF"/>
    <w:pPr>
      <w:framePr w:wrap="around"/>
    </w:pPr>
  </w:style>
  <w:style w:type="paragraph" w:customStyle="1" w:styleId="TableBodyText">
    <w:name w:val="Table Body Text"/>
    <w:basedOn w:val="BodyText"/>
    <w:rsid w:val="00481BC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81BCF"/>
    <w:pPr>
      <w:numPr>
        <w:numId w:val="10"/>
      </w:numPr>
      <w:jc w:val="left"/>
    </w:pPr>
  </w:style>
  <w:style w:type="paragraph" w:customStyle="1" w:styleId="TableColumnHeading">
    <w:name w:val="Table Column Heading"/>
    <w:basedOn w:val="TableBodyText"/>
    <w:rsid w:val="00481BCF"/>
    <w:pPr>
      <w:spacing w:before="80" w:after="80"/>
    </w:pPr>
    <w:rPr>
      <w:i/>
    </w:rPr>
  </w:style>
  <w:style w:type="paragraph" w:styleId="TOC2">
    <w:name w:val="toc 2"/>
    <w:basedOn w:val="BodyText"/>
    <w:semiHidden/>
    <w:rsid w:val="00481BCF"/>
    <w:pPr>
      <w:tabs>
        <w:tab w:val="right" w:pos="8789"/>
      </w:tabs>
      <w:ind w:left="510" w:right="851" w:hanging="510"/>
      <w:jc w:val="left"/>
    </w:pPr>
    <w:rPr>
      <w:b/>
    </w:rPr>
  </w:style>
  <w:style w:type="paragraph" w:styleId="TOC3">
    <w:name w:val="toc 3"/>
    <w:basedOn w:val="TOC2"/>
    <w:semiHidden/>
    <w:rsid w:val="00481BCF"/>
    <w:pPr>
      <w:spacing w:before="60"/>
      <w:ind w:left="1190" w:hanging="680"/>
    </w:pPr>
    <w:rPr>
      <w:b w:val="0"/>
    </w:rPr>
  </w:style>
  <w:style w:type="paragraph" w:styleId="TableofFigures">
    <w:name w:val="table of figures"/>
    <w:basedOn w:val="TOC3"/>
    <w:next w:val="BodyText"/>
    <w:semiHidden/>
    <w:rsid w:val="00481BCF"/>
    <w:pPr>
      <w:ind w:left="737" w:hanging="737"/>
    </w:pPr>
  </w:style>
  <w:style w:type="paragraph" w:customStyle="1" w:styleId="TableTitle">
    <w:name w:val="Table Title"/>
    <w:basedOn w:val="Caption"/>
    <w:next w:val="Subtitle"/>
    <w:rsid w:val="00481BCF"/>
    <w:rPr>
      <w:sz w:val="24"/>
    </w:rPr>
  </w:style>
  <w:style w:type="paragraph" w:customStyle="1" w:styleId="TableUnitsRow">
    <w:name w:val="Table Units Row"/>
    <w:basedOn w:val="TableBodyText"/>
    <w:rsid w:val="00481BCF"/>
    <w:pPr>
      <w:spacing w:before="80" w:after="80"/>
    </w:pPr>
  </w:style>
  <w:style w:type="paragraph" w:styleId="TOC1">
    <w:name w:val="toc 1"/>
    <w:basedOn w:val="Normal"/>
    <w:next w:val="TOC2"/>
    <w:semiHidden/>
    <w:rsid w:val="00481BCF"/>
    <w:pPr>
      <w:tabs>
        <w:tab w:val="right" w:pos="8789"/>
      </w:tabs>
      <w:spacing w:before="480" w:after="60" w:line="320" w:lineRule="exact"/>
      <w:ind w:left="1191" w:right="851" w:hanging="1191"/>
    </w:pPr>
    <w:rPr>
      <w:b/>
      <w:caps/>
    </w:rPr>
  </w:style>
  <w:style w:type="paragraph" w:styleId="TOC4">
    <w:name w:val="toc 4"/>
    <w:basedOn w:val="TOC3"/>
    <w:semiHidden/>
    <w:rsid w:val="00481BCF"/>
    <w:pPr>
      <w:ind w:left="1191" w:firstLine="0"/>
    </w:pPr>
  </w:style>
  <w:style w:type="paragraph" w:customStyle="1" w:styleId="RecBBullet2">
    <w:name w:val="RecB Bullet 2"/>
    <w:basedOn w:val="ListBullet2"/>
    <w:semiHidden/>
    <w:rsid w:val="00481BCF"/>
    <w:pPr>
      <w:pBdr>
        <w:left w:val="single" w:sz="24" w:space="29" w:color="C0C0C0"/>
      </w:pBdr>
    </w:pPr>
    <w:rPr>
      <w:b/>
      <w:i/>
    </w:rPr>
  </w:style>
  <w:style w:type="paragraph" w:styleId="BalloonText">
    <w:name w:val="Balloon Text"/>
    <w:basedOn w:val="Normal"/>
    <w:link w:val="BalloonTextChar"/>
    <w:rsid w:val="00481BCF"/>
    <w:rPr>
      <w:rFonts w:ascii="Tahoma" w:hAnsi="Tahoma" w:cs="Tahoma"/>
      <w:sz w:val="16"/>
      <w:szCs w:val="16"/>
    </w:rPr>
  </w:style>
  <w:style w:type="character" w:customStyle="1" w:styleId="BalloonTextChar">
    <w:name w:val="Balloon Text Char"/>
    <w:basedOn w:val="DefaultParagraphFont"/>
    <w:link w:val="BalloonText"/>
    <w:rsid w:val="00481BCF"/>
    <w:rPr>
      <w:rFonts w:ascii="Tahoma" w:hAnsi="Tahoma" w:cs="Tahoma"/>
      <w:sz w:val="16"/>
      <w:szCs w:val="16"/>
    </w:rPr>
  </w:style>
  <w:style w:type="character" w:customStyle="1" w:styleId="SubtitleChar">
    <w:name w:val="Subtitle Char"/>
    <w:basedOn w:val="DefaultParagraphFont"/>
    <w:link w:val="Subtitle"/>
    <w:rsid w:val="00481BCF"/>
    <w:rPr>
      <w:rFonts w:ascii="Arial" w:hAnsi="Arial"/>
      <w:szCs w:val="24"/>
    </w:rPr>
  </w:style>
  <w:style w:type="paragraph" w:customStyle="1" w:styleId="BoxListBullet3">
    <w:name w:val="Box List Bullet 3"/>
    <w:basedOn w:val="ListBullet3"/>
    <w:rsid w:val="00481BCF"/>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81BCF"/>
    <w:rPr>
      <w:i/>
      <w:iCs/>
    </w:rPr>
  </w:style>
  <w:style w:type="paragraph" w:customStyle="1" w:styleId="BoxQuoteBullet">
    <w:name w:val="Box Quote Bullet"/>
    <w:basedOn w:val="BoxQuote"/>
    <w:next w:val="Box"/>
    <w:rsid w:val="00481BCF"/>
    <w:pPr>
      <w:numPr>
        <w:numId w:val="14"/>
      </w:numPr>
      <w:ind w:left="568" w:hanging="284"/>
    </w:pPr>
  </w:style>
  <w:style w:type="paragraph" w:customStyle="1" w:styleId="InformationRequestBullet">
    <w:name w:val="Information Request Bullet"/>
    <w:basedOn w:val="ListBullet"/>
    <w:next w:val="BodyText"/>
    <w:rsid w:val="00481BCF"/>
    <w:pPr>
      <w:numPr>
        <w:numId w:val="15"/>
      </w:numPr>
      <w:ind w:left="340" w:hanging="340"/>
    </w:pPr>
    <w:rPr>
      <w:rFonts w:ascii="Arial" w:hAnsi="Arial"/>
      <w:i/>
      <w:sz w:val="24"/>
    </w:rPr>
  </w:style>
  <w:style w:type="paragraph" w:customStyle="1" w:styleId="BoxSpaceBelow">
    <w:name w:val="Box Space Below"/>
    <w:basedOn w:val="Box"/>
    <w:rsid w:val="00481BCF"/>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Heading1Char">
    <w:name w:val="Heading 1 Char"/>
    <w:basedOn w:val="DefaultParagraphFont"/>
    <w:link w:val="Heading1"/>
    <w:rsid w:val="001E231D"/>
    <w:rPr>
      <w:sz w:val="52"/>
    </w:rPr>
  </w:style>
  <w:style w:type="character" w:customStyle="1" w:styleId="Heading2Char">
    <w:name w:val="Heading 2 Char"/>
    <w:basedOn w:val="DefaultParagraphFont"/>
    <w:link w:val="Heading2"/>
    <w:rsid w:val="001E231D"/>
    <w:rPr>
      <w:rFonts w:ascii="Arial" w:hAnsi="Arial"/>
      <w:b/>
      <w:sz w:val="32"/>
    </w:rPr>
  </w:style>
  <w:style w:type="character" w:customStyle="1" w:styleId="Heading8Char">
    <w:name w:val="Heading 8 Char"/>
    <w:basedOn w:val="DefaultParagraphFont"/>
    <w:link w:val="Heading8"/>
    <w:rsid w:val="001E231D"/>
    <w:rPr>
      <w:rFonts w:ascii="Arial" w:hAnsi="Arial"/>
      <w:i/>
    </w:rPr>
  </w:style>
  <w:style w:type="character" w:styleId="Hyperlink">
    <w:name w:val="Hyperlink"/>
    <w:basedOn w:val="DefaultParagraphFont"/>
    <w:uiPriority w:val="99"/>
    <w:unhideWhenUsed/>
    <w:rsid w:val="001E231D"/>
    <w:rPr>
      <w:color w:val="0000FF" w:themeColor="hyperlink"/>
      <w:u w:val="single"/>
    </w:rPr>
  </w:style>
  <w:style w:type="character" w:customStyle="1" w:styleId="HeaderChar">
    <w:name w:val="Header Char"/>
    <w:basedOn w:val="DefaultParagraphFont"/>
    <w:link w:val="Header"/>
    <w:rsid w:val="001E231D"/>
    <w:rPr>
      <w:rFonts w:ascii="Arial" w:hAnsi="Arial"/>
      <w:caps/>
      <w:sz w:val="26"/>
    </w:rPr>
  </w:style>
  <w:style w:type="character" w:customStyle="1" w:styleId="FooterChar">
    <w:name w:val="Footer Char"/>
    <w:basedOn w:val="DefaultParagraphFont"/>
    <w:link w:val="Footer"/>
    <w:rsid w:val="001E231D"/>
    <w:rPr>
      <w:caps/>
      <w:spacing w:val="-4"/>
      <w:sz w:val="16"/>
    </w:rPr>
  </w:style>
  <w:style w:type="character" w:customStyle="1" w:styleId="FootnoteTextChar">
    <w:name w:val="Footnote Text Char"/>
    <w:basedOn w:val="DefaultParagraphFont"/>
    <w:link w:val="FootnoteText"/>
    <w:rsid w:val="001E231D"/>
    <w:rPr>
      <w:sz w:val="22"/>
    </w:rPr>
  </w:style>
  <w:style w:type="paragraph" w:styleId="CommentSubject">
    <w:name w:val="annotation subject"/>
    <w:basedOn w:val="CommentText"/>
    <w:next w:val="CommentText"/>
    <w:link w:val="CommentSubjectChar"/>
    <w:rsid w:val="00EF068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F0680"/>
    <w:rPr>
      <w:szCs w:val="24"/>
    </w:rPr>
  </w:style>
  <w:style w:type="character" w:customStyle="1" w:styleId="CommentSubjectChar">
    <w:name w:val="Comment Subject Char"/>
    <w:basedOn w:val="CommentTextChar"/>
    <w:link w:val="CommentSubject"/>
    <w:rsid w:val="00EF0680"/>
    <w:rPr>
      <w:szCs w:val="24"/>
    </w:rPr>
  </w:style>
  <w:style w:type="character" w:styleId="FollowedHyperlink">
    <w:name w:val="FollowedHyperlink"/>
    <w:basedOn w:val="DefaultParagraphFont"/>
    <w:rsid w:val="003D1D27"/>
    <w:rPr>
      <w:color w:val="800080" w:themeColor="followedHyperlink"/>
      <w:u w:val="single"/>
    </w:rPr>
  </w:style>
  <w:style w:type="paragraph" w:styleId="Revision">
    <w:name w:val="Revision"/>
    <w:hidden/>
    <w:uiPriority w:val="99"/>
    <w:semiHidden/>
    <w:rsid w:val="001B12B1"/>
    <w:rPr>
      <w:sz w:val="26"/>
      <w:szCs w:val="24"/>
    </w:rPr>
  </w:style>
  <w:style w:type="paragraph" w:customStyle="1" w:styleId="AbstractHeading">
    <w:name w:val="AbstractHeading"/>
    <w:basedOn w:val="Normal"/>
    <w:rsid w:val="00293AC1"/>
    <w:pPr>
      <w:spacing w:before="240" w:after="120" w:line="320" w:lineRule="atLeast"/>
      <w:ind w:left="907"/>
    </w:pPr>
    <w:rPr>
      <w:rFonts w:ascii="Arial" w:hAnsi="Arial"/>
      <w:b/>
      <w:sz w:val="22"/>
    </w:rPr>
  </w:style>
  <w:style w:type="paragraph" w:customStyle="1" w:styleId="AbstractText">
    <w:name w:val="AbstractText"/>
    <w:basedOn w:val="Normal"/>
    <w:rsid w:val="00293AC1"/>
    <w:pPr>
      <w:spacing w:before="120" w:after="120" w:line="320" w:lineRule="atLeast"/>
      <w:ind w:left="907"/>
    </w:pPr>
    <w:rPr>
      <w:rFonts w:ascii="Arial" w:hAnsi="Arial"/>
      <w:sz w:val="22"/>
    </w:rPr>
  </w:style>
  <w:style w:type="paragraph" w:styleId="DocumentMap">
    <w:name w:val="Document Map"/>
    <w:basedOn w:val="Normal"/>
    <w:link w:val="DocumentMapChar"/>
    <w:rsid w:val="00CE045E"/>
    <w:rPr>
      <w:rFonts w:ascii="Tahoma" w:hAnsi="Tahoma" w:cs="Tahoma"/>
      <w:sz w:val="16"/>
      <w:szCs w:val="16"/>
    </w:rPr>
  </w:style>
  <w:style w:type="character" w:customStyle="1" w:styleId="DocumentMapChar">
    <w:name w:val="Document Map Char"/>
    <w:basedOn w:val="DefaultParagraphFont"/>
    <w:link w:val="DocumentMap"/>
    <w:rsid w:val="00CE04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571B0-8EA7-4D44-91E3-39B214550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125</TotalTime>
  <Pages>27</Pages>
  <Words>10125</Words>
  <Characters>58302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An Aotearoa New Zealand Perspective </vt:lpstr>
    </vt:vector>
  </TitlesOfParts>
  <Company>Productivity Commission</Company>
  <LinksUpToDate>false</LinksUpToDate>
  <CharactersWithSpaces>68291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Aotearoa New Zealand Perspective </dc:title>
  <dc:subject>Better Indigenous Policies: The role of Evaluation</dc:subject>
  <dc:creator>Productivity Commission</dc:creator>
  <cp:keywords/>
  <dc:description>10.</dc:description>
  <cp:lastModifiedBy>Productivity Commission</cp:lastModifiedBy>
  <cp:revision>18</cp:revision>
  <cp:lastPrinted>2013-04-16T00:59:00Z</cp:lastPrinted>
  <dcterms:created xsi:type="dcterms:W3CDTF">2013-03-06T03:54:00Z</dcterms:created>
  <dcterms:modified xsi:type="dcterms:W3CDTF">2013-04-24T02:04:00Z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-1178336350</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