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1386F" w:rsidP="00531FE5">
      <w:pPr>
        <w:pStyle w:val="Heading1"/>
        <w:spacing w:before="0"/>
      </w:pPr>
      <w:bookmarkStart w:id="0" w:name="ChapterNumber"/>
      <w:bookmarkStart w:id="1" w:name="_GoBack"/>
      <w:bookmarkEnd w:id="1"/>
      <w:r>
        <w:t>11</w:t>
      </w:r>
      <w:bookmarkEnd w:id="0"/>
      <w:r w:rsidR="00531FE5">
        <w:tab/>
      </w:r>
      <w:r w:rsidR="00251192" w:rsidRPr="00251192">
        <w:t>Is evaluation a tool for social justice? Reconciliation? Control? — Reflections on the Canadian experience in Indigenous affairs</w:t>
      </w:r>
    </w:p>
    <w:p w:rsidR="00DB26D2" w:rsidRDefault="00F969F0" w:rsidP="00F969F0">
      <w:pPr>
        <w:pStyle w:val="Author"/>
      </w:pPr>
      <w:bookmarkStart w:id="2" w:name="begin"/>
      <w:bookmarkEnd w:id="2"/>
      <w:r w:rsidRPr="00F969F0">
        <w:t>Frances Abele</w:t>
      </w:r>
      <w:r>
        <w:rPr>
          <w:rStyle w:val="FootnoteReference"/>
        </w:rPr>
        <w:footnoteReference w:id="1"/>
      </w:r>
    </w:p>
    <w:p w:rsidR="00F969F0" w:rsidRDefault="00F969F0" w:rsidP="00F969F0">
      <w:pPr>
        <w:pStyle w:val="AbstractHeading"/>
      </w:pPr>
      <w:r>
        <w:t>Abstract</w:t>
      </w:r>
    </w:p>
    <w:p w:rsidR="00251192" w:rsidRPr="00045156" w:rsidRDefault="00251192" w:rsidP="00201111">
      <w:pPr>
        <w:pStyle w:val="AbstractText"/>
        <w:jc w:val="both"/>
        <w:rPr>
          <w:lang w:val="en-GB"/>
        </w:rPr>
      </w:pPr>
      <w:r w:rsidRPr="00045156">
        <w:rPr>
          <w:lang w:val="en-GB"/>
        </w:rPr>
        <w:t>Relations between Canadian public governments and Indigenous peoples are complex. First Nations, Inuit and Métis are all constitutionally recognised, but each of these major constitutional groups has a distinct relationship with the Crown (and federal, provincial, territorial and municipal governments in right of the Crown). This history includes a particular history of policy and program development, delivery and evaluation. In addition, there are programs of general application that affect First Nations, Inuit and M</w:t>
      </w:r>
      <w:r w:rsidRPr="00045156">
        <w:rPr>
          <w:rFonts w:cstheme="minorHAnsi"/>
          <w:lang w:val="en-GB"/>
        </w:rPr>
        <w:t>é</w:t>
      </w:r>
      <w:r w:rsidRPr="00045156">
        <w:rPr>
          <w:lang w:val="en-GB"/>
        </w:rPr>
        <w:t xml:space="preserve">tis as they do other citizens of Canada; programs that are available to all of the constitutional Aboriginal groups; and programs that are particular to each. It is difficult to generalise about the usefulness of evaluations across all these situations. Instead, my paper offers a general description of how the evaluation function is organised, and some good and bad examples of how policy and program evaluation has been used in Canada, in historical context and in the light of an overview of the specific political, economic and social circumstances that the programs are meant to address. </w:t>
      </w:r>
    </w:p>
    <w:p w:rsidR="00251192" w:rsidRPr="00045156" w:rsidRDefault="0095163F" w:rsidP="00251192">
      <w:pPr>
        <w:pStyle w:val="Heading2"/>
        <w:rPr>
          <w:lang w:val="en-GB"/>
        </w:rPr>
      </w:pPr>
      <w:r>
        <w:rPr>
          <w:lang w:val="en-GB"/>
        </w:rPr>
        <w:t>11</w:t>
      </w:r>
      <w:r w:rsidR="00251192">
        <w:rPr>
          <w:lang w:val="en-GB"/>
        </w:rPr>
        <w:t>.1</w:t>
      </w:r>
      <w:r w:rsidR="00251192">
        <w:rPr>
          <w:lang w:val="en-GB"/>
        </w:rPr>
        <w:tab/>
      </w:r>
      <w:r w:rsidR="00251192" w:rsidRPr="00045156">
        <w:rPr>
          <w:lang w:val="en-GB"/>
        </w:rPr>
        <w:t>Introduction</w:t>
      </w:r>
    </w:p>
    <w:p w:rsidR="00251192" w:rsidRPr="00045156" w:rsidRDefault="00251192" w:rsidP="00251192">
      <w:pPr>
        <w:pStyle w:val="BodyText"/>
        <w:rPr>
          <w:lang w:val="en-GB"/>
        </w:rPr>
      </w:pPr>
      <w:r w:rsidRPr="00045156">
        <w:rPr>
          <w:lang w:val="en-GB"/>
        </w:rPr>
        <w:t xml:space="preserve">Indigenous people in Canada have distinctive constitutional rights and a special relationship with both the state and the rest of Canadian society. Each nation and people has its own language, culture and history. In many cases, Indigenous people receive programs and services from branches of the state </w:t>
      </w:r>
      <w:r w:rsidR="00591E6A">
        <w:rPr>
          <w:lang w:val="en-GB"/>
        </w:rPr>
        <w:t xml:space="preserve">that are different from </w:t>
      </w:r>
      <w:r w:rsidRPr="00045156">
        <w:rPr>
          <w:lang w:val="en-GB"/>
        </w:rPr>
        <w:t>those that serve other Canadians. Thus</w:t>
      </w:r>
      <w:r w:rsidR="00591E6A">
        <w:rPr>
          <w:lang w:val="en-GB"/>
        </w:rPr>
        <w:t>,</w:t>
      </w:r>
      <w:r w:rsidRPr="00045156">
        <w:rPr>
          <w:lang w:val="en-GB"/>
        </w:rPr>
        <w:t xml:space="preserve"> while there is a high and growing degree of </w:t>
      </w:r>
      <w:r w:rsidRPr="00045156">
        <w:rPr>
          <w:lang w:val="en-GB"/>
        </w:rPr>
        <w:lastRenderedPageBreak/>
        <w:t>residential integration, economic collaboration and intermarriage, in some senses Indigenous people still live in a country apart. This paper begins with an explanation of this situation, then provides some basic information about Indigenous peoples</w:t>
      </w:r>
      <w:r w:rsidR="00B1382E">
        <w:rPr>
          <w:lang w:val="en-GB"/>
        </w:rPr>
        <w:t>’</w:t>
      </w:r>
      <w:r w:rsidRPr="00045156">
        <w:rPr>
          <w:lang w:val="en-GB"/>
        </w:rPr>
        <w:t xml:space="preserve"> socioeconomic position with some historical context. With this information in hand, it considers how well or how poorly they have been served by policy and program evaluation as th</w:t>
      </w:r>
      <w:r w:rsidR="00591E6A">
        <w:rPr>
          <w:lang w:val="en-GB"/>
        </w:rPr>
        <w:t xml:space="preserve">is is </w:t>
      </w:r>
      <w:r w:rsidRPr="00045156">
        <w:rPr>
          <w:lang w:val="en-GB"/>
        </w:rPr>
        <w:t>practi</w:t>
      </w:r>
      <w:r w:rsidR="00591E6A">
        <w:rPr>
          <w:lang w:val="en-GB"/>
        </w:rPr>
        <w:t>s</w:t>
      </w:r>
      <w:r w:rsidRPr="00045156">
        <w:rPr>
          <w:lang w:val="en-GB"/>
        </w:rPr>
        <w:t>ed in Canada.</w:t>
      </w:r>
    </w:p>
    <w:p w:rsidR="00251192" w:rsidRPr="00045156" w:rsidRDefault="00251192" w:rsidP="00251192">
      <w:pPr>
        <w:pStyle w:val="BodyText"/>
        <w:rPr>
          <w:lang w:val="en-GB"/>
        </w:rPr>
      </w:pPr>
      <w:r w:rsidRPr="00045156">
        <w:rPr>
          <w:lang w:val="en-GB"/>
        </w:rPr>
        <w:t>For reasons of space, simplification is necessary. I discuss program</w:t>
      </w:r>
      <w:r>
        <w:rPr>
          <w:lang w:val="en-GB"/>
        </w:rPr>
        <w:t xml:space="preserve"> evaluation as it is practised </w:t>
      </w:r>
      <w:r w:rsidRPr="00045156">
        <w:rPr>
          <w:lang w:val="en-GB"/>
        </w:rPr>
        <w:t>in one department with major responsibilities for Indigenous people (the federal Department of Aboriginal Affairs and Northern Development). The next section considers the external audit function as it is interpreted and practi</w:t>
      </w:r>
      <w:r w:rsidR="00591E6A">
        <w:rPr>
          <w:lang w:val="en-GB"/>
        </w:rPr>
        <w:t>s</w:t>
      </w:r>
      <w:r w:rsidRPr="00045156">
        <w:rPr>
          <w:lang w:val="en-GB"/>
        </w:rPr>
        <w:t>ed by the Office of the Auditor-General of Canada, since the mandate of this office leads to public reports that have implications for matters other than fiscal probity. Finally</w:t>
      </w:r>
      <w:r>
        <w:rPr>
          <w:lang w:val="en-GB"/>
        </w:rPr>
        <w:t>,</w:t>
      </w:r>
      <w:r w:rsidRPr="00045156">
        <w:rPr>
          <w:lang w:val="en-GB"/>
        </w:rPr>
        <w:t xml:space="preserve"> I will describe and comment on the ways in which </w:t>
      </w:r>
      <w:r w:rsidRPr="00045156">
        <w:rPr>
          <w:i/>
          <w:lang w:val="en-GB"/>
        </w:rPr>
        <w:t xml:space="preserve">policy </w:t>
      </w:r>
      <w:r w:rsidRPr="00045156">
        <w:rPr>
          <w:lang w:val="en-GB"/>
        </w:rPr>
        <w:t>evaluation has contributed to changes in relations between Indigenous peoples and the rest of Canadian society, focusing primarily on the 1992</w:t>
      </w:r>
      <w:r w:rsidR="00B1382E">
        <w:rPr>
          <w:lang w:val="en-GB"/>
        </w:rPr>
        <w:t>–</w:t>
      </w:r>
      <w:r w:rsidR="00591E6A">
        <w:rPr>
          <w:lang w:val="en-GB"/>
        </w:rPr>
        <w:t>9</w:t>
      </w:r>
      <w:r w:rsidRPr="00045156">
        <w:rPr>
          <w:lang w:val="en-GB"/>
        </w:rPr>
        <w:t>6 Royal Commission on Aboriginal Peoples</w:t>
      </w:r>
      <w:r w:rsidR="00591E6A">
        <w:rPr>
          <w:lang w:val="en-GB"/>
        </w:rPr>
        <w:t xml:space="preserve"> (</w:t>
      </w:r>
      <w:proofErr w:type="spellStart"/>
      <w:r w:rsidR="00591E6A">
        <w:rPr>
          <w:lang w:val="en-GB"/>
        </w:rPr>
        <w:t>RCAP</w:t>
      </w:r>
      <w:proofErr w:type="spellEnd"/>
      <w:r w:rsidR="00591E6A">
        <w:rPr>
          <w:lang w:val="en-GB"/>
        </w:rPr>
        <w:t>)</w:t>
      </w:r>
      <w:r w:rsidRPr="00045156">
        <w:rPr>
          <w:lang w:val="en-GB"/>
        </w:rPr>
        <w:t xml:space="preserve">. All of this discussion </w:t>
      </w:r>
      <w:r>
        <w:rPr>
          <w:lang w:val="en-GB"/>
        </w:rPr>
        <w:t>recognis</w:t>
      </w:r>
      <w:r w:rsidRPr="00045156">
        <w:rPr>
          <w:lang w:val="en-GB"/>
        </w:rPr>
        <w:t>es that program and policy evaluation has had a role to play in Indigenous peoples</w:t>
      </w:r>
      <w:r w:rsidR="00B1382E">
        <w:rPr>
          <w:lang w:val="en-GB"/>
        </w:rPr>
        <w:t>’</w:t>
      </w:r>
      <w:r w:rsidRPr="00045156">
        <w:rPr>
          <w:lang w:val="en-GB"/>
        </w:rPr>
        <w:t xml:space="preserve"> decades long struggles for social justice and for a suitable practical relationship with the Crown and Canadian society.</w:t>
      </w:r>
    </w:p>
    <w:p w:rsidR="00251192" w:rsidRPr="00251192" w:rsidRDefault="0095163F" w:rsidP="00251192">
      <w:pPr>
        <w:pStyle w:val="Heading2"/>
        <w:rPr>
          <w:lang w:val="en-GB"/>
        </w:rPr>
      </w:pPr>
      <w:r>
        <w:rPr>
          <w:lang w:val="en-GB"/>
        </w:rPr>
        <w:t>11</w:t>
      </w:r>
      <w:r w:rsidR="00251192" w:rsidRPr="00251192">
        <w:rPr>
          <w:lang w:val="en-GB"/>
        </w:rPr>
        <w:t>.2</w:t>
      </w:r>
      <w:r w:rsidR="00251192" w:rsidRPr="00251192">
        <w:rPr>
          <w:lang w:val="en-GB"/>
        </w:rPr>
        <w:tab/>
        <w:t>Who are the Indigenous people of Canada?</w:t>
      </w:r>
    </w:p>
    <w:p w:rsidR="00251192" w:rsidRPr="00045156" w:rsidRDefault="00251192" w:rsidP="00251192">
      <w:pPr>
        <w:pStyle w:val="BodyText"/>
        <w:rPr>
          <w:lang w:val="en-GB"/>
        </w:rPr>
      </w:pPr>
      <w:r w:rsidRPr="00045156">
        <w:rPr>
          <w:lang w:val="en-GB"/>
        </w:rPr>
        <w:t xml:space="preserve">Before European settlement in the seventeenth century, the lands and waters now called Canada were home to between </w:t>
      </w:r>
      <w:r w:rsidR="00591E6A">
        <w:rPr>
          <w:lang w:val="en-GB"/>
        </w:rPr>
        <w:t xml:space="preserve">40 </w:t>
      </w:r>
      <w:r w:rsidRPr="00045156">
        <w:rPr>
          <w:lang w:val="en-GB"/>
        </w:rPr>
        <w:t xml:space="preserve">and </w:t>
      </w:r>
      <w:r w:rsidR="00591E6A">
        <w:rPr>
          <w:lang w:val="en-GB"/>
        </w:rPr>
        <w:t xml:space="preserve">60 </w:t>
      </w:r>
      <w:r w:rsidRPr="00045156">
        <w:rPr>
          <w:lang w:val="en-GB"/>
        </w:rPr>
        <w:t>Indigenous nations and peoples.</w:t>
      </w:r>
      <w:r w:rsidRPr="00B1382E">
        <w:rPr>
          <w:rStyle w:val="FootnoteReference"/>
        </w:rPr>
        <w:footnoteReference w:id="2"/>
      </w:r>
      <w:r w:rsidRPr="00045156">
        <w:rPr>
          <w:lang w:val="en-GB"/>
        </w:rPr>
        <w:t xml:space="preserve"> One Indigenous people, the </w:t>
      </w:r>
      <w:proofErr w:type="spellStart"/>
      <w:r w:rsidRPr="00045156">
        <w:rPr>
          <w:lang w:val="en-GB"/>
        </w:rPr>
        <w:t>Beothuk</w:t>
      </w:r>
      <w:proofErr w:type="spellEnd"/>
      <w:r w:rsidRPr="00045156">
        <w:rPr>
          <w:lang w:val="en-GB"/>
        </w:rPr>
        <w:t xml:space="preserve">, were entirely annihilated by European settler diseases and violence, but all of the other nations and peoples survive. They are the Dene, </w:t>
      </w:r>
      <w:proofErr w:type="spellStart"/>
      <w:r w:rsidRPr="00045156">
        <w:rPr>
          <w:lang w:val="en-GB"/>
        </w:rPr>
        <w:t>Haida</w:t>
      </w:r>
      <w:proofErr w:type="spellEnd"/>
      <w:r w:rsidRPr="00045156">
        <w:rPr>
          <w:lang w:val="en-GB"/>
        </w:rPr>
        <w:t xml:space="preserve">, Inuit, Cree, Innu, Mohawk, </w:t>
      </w:r>
      <w:proofErr w:type="spellStart"/>
      <w:r w:rsidRPr="00045156">
        <w:rPr>
          <w:lang w:val="en-GB"/>
        </w:rPr>
        <w:t>Siksika</w:t>
      </w:r>
      <w:proofErr w:type="spellEnd"/>
      <w:r w:rsidRPr="00045156">
        <w:rPr>
          <w:lang w:val="en-GB"/>
        </w:rPr>
        <w:t xml:space="preserve">, among many others. Each group shares a common language, history and sense of identity. Original (pre-contact) political systems and regimes of territorial control varied considerably, involving both large and small mainly sedentary </w:t>
      </w:r>
      <w:proofErr w:type="spellStart"/>
      <w:r w:rsidRPr="00045156">
        <w:rPr>
          <w:lang w:val="en-GB"/>
        </w:rPr>
        <w:t>semiagricultural</w:t>
      </w:r>
      <w:proofErr w:type="spellEnd"/>
      <w:r w:rsidRPr="00045156">
        <w:rPr>
          <w:lang w:val="en-GB"/>
        </w:rPr>
        <w:t xml:space="preserve"> societies, as well as variously </w:t>
      </w:r>
      <w:r>
        <w:rPr>
          <w:lang w:val="en-GB"/>
        </w:rPr>
        <w:t>organise</w:t>
      </w:r>
      <w:r w:rsidRPr="00045156">
        <w:rPr>
          <w:lang w:val="en-GB"/>
        </w:rPr>
        <w:t xml:space="preserve">d band societies living primarily from hunting, fishing and gathering. There were both maritime and land-based peoples and substantial transcontinental trading networks. Political forms were correspondingly diverse, </w:t>
      </w:r>
      <w:r w:rsidRPr="00045156">
        <w:rPr>
          <w:lang w:val="en-GB"/>
        </w:rPr>
        <w:lastRenderedPageBreak/>
        <w:t xml:space="preserve">including various forms of hierarchical societies, directly democratic band societies, federations and other forms of alliances. </w:t>
      </w:r>
    </w:p>
    <w:p w:rsidR="00251192" w:rsidRPr="00045156" w:rsidRDefault="00251192" w:rsidP="00251192">
      <w:pPr>
        <w:pStyle w:val="BodyText"/>
        <w:rPr>
          <w:lang w:val="en-GB"/>
        </w:rPr>
      </w:pPr>
      <w:r w:rsidRPr="00045156">
        <w:rPr>
          <w:lang w:val="en-GB"/>
        </w:rPr>
        <w:t>Contemporary political forms do not match the original nations and peoples and their territories. With contact came substantial displacement, dis</w:t>
      </w:r>
      <w:r>
        <w:rPr>
          <w:lang w:val="en-GB"/>
        </w:rPr>
        <w:t>organisation</w:t>
      </w:r>
      <w:r w:rsidRPr="00045156">
        <w:rPr>
          <w:lang w:val="en-GB"/>
        </w:rPr>
        <w:t xml:space="preserve"> and re</w:t>
      </w:r>
      <w:r>
        <w:rPr>
          <w:lang w:val="en-GB"/>
        </w:rPr>
        <w:t>organisation</w:t>
      </w:r>
      <w:r w:rsidRPr="00045156">
        <w:rPr>
          <w:lang w:val="en-GB"/>
        </w:rPr>
        <w:t xml:space="preserve">, so that today Indigenous political </w:t>
      </w:r>
      <w:r>
        <w:rPr>
          <w:lang w:val="en-GB"/>
        </w:rPr>
        <w:t>organisation</w:t>
      </w:r>
      <w:r w:rsidRPr="00045156">
        <w:rPr>
          <w:lang w:val="en-GB"/>
        </w:rPr>
        <w:t xml:space="preserve"> is complex indeed. It is important to understand something of this complexity, because the constitutional and political </w:t>
      </w:r>
      <w:r>
        <w:rPr>
          <w:lang w:val="en-GB"/>
        </w:rPr>
        <w:t>organisation</w:t>
      </w:r>
      <w:r w:rsidRPr="00045156">
        <w:rPr>
          <w:lang w:val="en-GB"/>
        </w:rPr>
        <w:t xml:space="preserve"> of Indigenous people in Canada affects their eligibility for programs and services</w:t>
      </w:r>
      <w:r w:rsidR="00591E6A">
        <w:rPr>
          <w:lang w:val="en-GB"/>
        </w:rPr>
        <w:t xml:space="preserve"> and</w:t>
      </w:r>
      <w:r w:rsidRPr="00045156">
        <w:rPr>
          <w:lang w:val="en-GB"/>
        </w:rPr>
        <w:t>, of course,</w:t>
      </w:r>
      <w:r>
        <w:rPr>
          <w:lang w:val="en-GB"/>
        </w:rPr>
        <w:t xml:space="preserve"> </w:t>
      </w:r>
      <w:r w:rsidRPr="00045156">
        <w:rPr>
          <w:lang w:val="en-GB"/>
        </w:rPr>
        <w:t>many other aspects of their daily lives.</w:t>
      </w:r>
    </w:p>
    <w:p w:rsidR="00251192" w:rsidRPr="00045156" w:rsidRDefault="00251192" w:rsidP="00251192">
      <w:pPr>
        <w:pStyle w:val="BodyText"/>
        <w:rPr>
          <w:lang w:val="en-GB"/>
        </w:rPr>
      </w:pPr>
      <w:r w:rsidRPr="00045156">
        <w:rPr>
          <w:lang w:val="en-GB"/>
        </w:rPr>
        <w:t>Today fewer than 5</w:t>
      </w:r>
      <w:r>
        <w:rPr>
          <w:lang w:val="en-GB"/>
        </w:rPr>
        <w:t xml:space="preserve"> per cent</w:t>
      </w:r>
      <w:r w:rsidRPr="00045156">
        <w:rPr>
          <w:lang w:val="en-GB"/>
        </w:rPr>
        <w:t xml:space="preserve"> of the Canadian population are Indigenous people. Just over half of them live in Canadian cities, and fewer than a quarter live on </w:t>
      </w:r>
      <w:r w:rsidR="00B1382E">
        <w:rPr>
          <w:lang w:val="en-GB"/>
        </w:rPr>
        <w:t>‘</w:t>
      </w:r>
      <w:r w:rsidRPr="00045156">
        <w:rPr>
          <w:lang w:val="en-GB"/>
        </w:rPr>
        <w:t>reserves</w:t>
      </w:r>
      <w:r w:rsidR="00B1382E">
        <w:rPr>
          <w:lang w:val="en-GB"/>
        </w:rPr>
        <w:t>’</w:t>
      </w:r>
      <w:r w:rsidRPr="00045156">
        <w:rPr>
          <w:lang w:val="en-GB"/>
        </w:rPr>
        <w:t xml:space="preserve"> </w:t>
      </w:r>
      <w:r>
        <w:rPr>
          <w:lang w:val="en-GB"/>
        </w:rPr>
        <w:t xml:space="preserve">— </w:t>
      </w:r>
      <w:r w:rsidRPr="00045156">
        <w:rPr>
          <w:lang w:val="en-GB"/>
        </w:rPr>
        <w:t>lands set aside for First Nations under the treaties. Geographic distribution is relevant as well. Canada shares with Australia an extremely uneven population distribution and a high degree of concentration. Most of the Canadian population lives within 500 kilometres of the border with the United States. In that southern band of territory, Indigenous people are a small minority. In the northern two-thirds of the country, however, the demographic situation, and the political dynamics, are different:</w:t>
      </w:r>
      <w:r>
        <w:rPr>
          <w:lang w:val="en-GB"/>
        </w:rPr>
        <w:t xml:space="preserve"> </w:t>
      </w:r>
      <w:r w:rsidRPr="00045156">
        <w:rPr>
          <w:lang w:val="en-GB"/>
        </w:rPr>
        <w:t>Indigenous people are the majority or a large minority in every northern region. For example, considering just the three northern territories, Indigenous people are one-quarter of the population of Yukon, half the population of the Northwest Territories, and 85</w:t>
      </w:r>
      <w:r>
        <w:rPr>
          <w:lang w:val="en-GB"/>
        </w:rPr>
        <w:t xml:space="preserve"> per cent</w:t>
      </w:r>
      <w:r w:rsidRPr="00045156">
        <w:rPr>
          <w:lang w:val="en-GB"/>
        </w:rPr>
        <w:t xml:space="preserve"> of the population of Nunavut. </w:t>
      </w:r>
    </w:p>
    <w:p w:rsidR="00251192" w:rsidRPr="00045156" w:rsidRDefault="00251192" w:rsidP="00251192">
      <w:pPr>
        <w:pStyle w:val="Heading3"/>
        <w:rPr>
          <w:lang w:val="en-GB"/>
        </w:rPr>
      </w:pPr>
      <w:r w:rsidRPr="00045156">
        <w:rPr>
          <w:lang w:val="en-GB"/>
        </w:rPr>
        <w:t xml:space="preserve">Constitutional </w:t>
      </w:r>
      <w:r>
        <w:rPr>
          <w:lang w:val="en-GB"/>
        </w:rPr>
        <w:t>s</w:t>
      </w:r>
      <w:r w:rsidRPr="00045156">
        <w:rPr>
          <w:lang w:val="en-GB"/>
        </w:rPr>
        <w:t xml:space="preserve">tatus and </w:t>
      </w:r>
      <w:r>
        <w:rPr>
          <w:lang w:val="en-GB"/>
        </w:rPr>
        <w:t>r</w:t>
      </w:r>
      <w:r w:rsidRPr="00045156">
        <w:rPr>
          <w:lang w:val="en-GB"/>
        </w:rPr>
        <w:t>epresentation</w:t>
      </w:r>
    </w:p>
    <w:p w:rsidR="00251192" w:rsidRPr="00045156" w:rsidRDefault="00251192" w:rsidP="00251192">
      <w:pPr>
        <w:pStyle w:val="BodyText"/>
        <w:rPr>
          <w:lang w:val="en-GB"/>
        </w:rPr>
      </w:pPr>
      <w:r w:rsidRPr="00045156">
        <w:rPr>
          <w:lang w:val="en-GB"/>
        </w:rPr>
        <w:t xml:space="preserve">Section 35 of the </w:t>
      </w:r>
      <w:r w:rsidR="0027451E" w:rsidRPr="00106D82">
        <w:rPr>
          <w:i/>
          <w:lang w:val="en-GB"/>
        </w:rPr>
        <w:t>Constitution Act</w:t>
      </w:r>
      <w:r w:rsidRPr="00106D82">
        <w:rPr>
          <w:i/>
          <w:lang w:val="en-GB"/>
        </w:rPr>
        <w:t xml:space="preserve"> </w:t>
      </w:r>
      <w:r w:rsidR="00106D82" w:rsidRPr="00106D82">
        <w:rPr>
          <w:i/>
          <w:lang w:val="en-GB"/>
        </w:rPr>
        <w:t>1982</w:t>
      </w:r>
      <w:r w:rsidR="00106D82">
        <w:rPr>
          <w:lang w:val="en-GB"/>
        </w:rPr>
        <w:t xml:space="preserve"> </w:t>
      </w:r>
      <w:r w:rsidRPr="00045156">
        <w:rPr>
          <w:lang w:val="en-GB"/>
        </w:rPr>
        <w:t>identifies three groups of Indigenous peoples</w:t>
      </w:r>
      <w:r w:rsidR="009B7D2A">
        <w:rPr>
          <w:lang w:val="en-GB"/>
        </w:rPr>
        <w:t xml:space="preserve">: </w:t>
      </w:r>
      <w:r w:rsidR="00B1382E">
        <w:rPr>
          <w:lang w:val="en-GB"/>
        </w:rPr>
        <w:t>‘</w:t>
      </w:r>
      <w:r w:rsidRPr="00045156">
        <w:rPr>
          <w:lang w:val="en-GB" w:eastAsia="en-US"/>
        </w:rPr>
        <w:t>the Indian, Inuit and Métis peoples of Canada</w:t>
      </w:r>
      <w:r w:rsidR="00B1382E">
        <w:rPr>
          <w:lang w:val="en-GB" w:eastAsia="en-US"/>
        </w:rPr>
        <w:t>’</w:t>
      </w:r>
      <w:r w:rsidRPr="00045156">
        <w:rPr>
          <w:lang w:val="en-GB" w:eastAsia="en-US"/>
        </w:rPr>
        <w:t>.</w:t>
      </w:r>
      <w:r w:rsidRPr="00B1382E">
        <w:rPr>
          <w:rStyle w:val="FootnoteReference"/>
        </w:rPr>
        <w:footnoteReference w:id="3"/>
      </w:r>
      <w:r w:rsidRPr="00045156">
        <w:rPr>
          <w:lang w:val="en-GB" w:eastAsia="en-US"/>
        </w:rPr>
        <w:t xml:space="preserve"> </w:t>
      </w:r>
      <w:r w:rsidRPr="00045156">
        <w:rPr>
          <w:lang w:val="en-GB"/>
        </w:rPr>
        <w:t>These large categories reflect the Canada-wide groupings that formed during the great rising of the Indigenous rights movement that began</w:t>
      </w:r>
      <w:r>
        <w:rPr>
          <w:lang w:val="en-GB"/>
        </w:rPr>
        <w:t xml:space="preserve"> </w:t>
      </w:r>
      <w:r w:rsidRPr="00045156">
        <w:rPr>
          <w:lang w:val="en-GB"/>
        </w:rPr>
        <w:t>in Canada</w:t>
      </w:r>
      <w:r w:rsidR="002F5525">
        <w:rPr>
          <w:lang w:val="en-GB"/>
        </w:rPr>
        <w:t>,</w:t>
      </w:r>
      <w:r w:rsidRPr="00045156">
        <w:rPr>
          <w:lang w:val="en-GB"/>
        </w:rPr>
        <w:t xml:space="preserve"> as</w:t>
      </w:r>
      <w:r>
        <w:rPr>
          <w:lang w:val="en-GB"/>
        </w:rPr>
        <w:t xml:space="preserve"> in Australia and New Zealand</w:t>
      </w:r>
      <w:r w:rsidR="002F5525">
        <w:rPr>
          <w:lang w:val="en-GB"/>
        </w:rPr>
        <w:t>,</w:t>
      </w:r>
      <w:r>
        <w:rPr>
          <w:lang w:val="en-GB"/>
        </w:rPr>
        <w:t xml:space="preserve"> </w:t>
      </w:r>
      <w:r w:rsidRPr="00045156">
        <w:rPr>
          <w:lang w:val="en-GB"/>
        </w:rPr>
        <w:t xml:space="preserve">in the years after the Second World War. The categories also correspond to Canada-wide Indigenous advocacy </w:t>
      </w:r>
      <w:r>
        <w:rPr>
          <w:lang w:val="en-GB"/>
        </w:rPr>
        <w:t>organisation</w:t>
      </w:r>
      <w:r w:rsidRPr="00045156">
        <w:rPr>
          <w:lang w:val="en-GB"/>
        </w:rPr>
        <w:t xml:space="preserve">s. The first constitutional group, there termed </w:t>
      </w:r>
      <w:r w:rsidR="00B1382E">
        <w:rPr>
          <w:lang w:val="en-GB"/>
        </w:rPr>
        <w:t>‘</w:t>
      </w:r>
      <w:r w:rsidRPr="00045156">
        <w:rPr>
          <w:lang w:val="en-GB"/>
        </w:rPr>
        <w:t>Indian</w:t>
      </w:r>
      <w:r w:rsidR="00B1382E">
        <w:rPr>
          <w:lang w:val="en-GB"/>
        </w:rPr>
        <w:t>’</w:t>
      </w:r>
      <w:r w:rsidRPr="00045156">
        <w:rPr>
          <w:lang w:val="en-GB"/>
        </w:rPr>
        <w:t xml:space="preserve"> (famously a European misnomer resulting from geographical </w:t>
      </w:r>
      <w:r w:rsidRPr="00045156">
        <w:rPr>
          <w:lang w:val="en-GB"/>
        </w:rPr>
        <w:lastRenderedPageBreak/>
        <w:t xml:space="preserve">confusion) include some who refer to themselves now as First Nations and most are represented by the Assembly of First Nations. As the name of this </w:t>
      </w:r>
      <w:r>
        <w:rPr>
          <w:lang w:val="en-GB"/>
        </w:rPr>
        <w:t>organisation</w:t>
      </w:r>
      <w:r w:rsidRPr="00045156">
        <w:rPr>
          <w:lang w:val="en-GB"/>
        </w:rPr>
        <w:t xml:space="preserve"> suggests, members are drawn from many historic nations and peoples. Many but not all are </w:t>
      </w:r>
      <w:proofErr w:type="spellStart"/>
      <w:r w:rsidRPr="00045156">
        <w:rPr>
          <w:lang w:val="en-GB"/>
        </w:rPr>
        <w:t>descendents</w:t>
      </w:r>
      <w:proofErr w:type="spellEnd"/>
      <w:r w:rsidRPr="00045156">
        <w:rPr>
          <w:lang w:val="en-GB"/>
        </w:rPr>
        <w:t xml:space="preserve"> of peoples who negotiated the historic treaties with European emissaries; many but not all are subject to an oppressive piece of race-based legislation called the </w:t>
      </w:r>
      <w:r w:rsidR="0027451E" w:rsidRPr="00106D82">
        <w:rPr>
          <w:lang w:val="en-GB"/>
        </w:rPr>
        <w:t>Indian Act</w:t>
      </w:r>
      <w:r w:rsidRPr="002F5525">
        <w:rPr>
          <w:lang w:val="en-GB"/>
        </w:rPr>
        <w:t>.</w:t>
      </w:r>
      <w:r w:rsidRPr="00045156">
        <w:rPr>
          <w:lang w:val="en-GB"/>
        </w:rPr>
        <w:t xml:space="preserve"> Status under the </w:t>
      </w:r>
      <w:r w:rsidR="0027451E" w:rsidRPr="00106D82">
        <w:rPr>
          <w:lang w:val="en-GB"/>
        </w:rPr>
        <w:t>Indian Act</w:t>
      </w:r>
      <w:r w:rsidRPr="002F5525">
        <w:rPr>
          <w:lang w:val="en-GB"/>
        </w:rPr>
        <w:t xml:space="preserve"> </w:t>
      </w:r>
      <w:r w:rsidRPr="00045156">
        <w:rPr>
          <w:lang w:val="en-GB"/>
        </w:rPr>
        <w:t>has a number of important implications for public service, with the federal government assuming responsibility for health, social programs, education, and several other matters that are for Canadians as a whole exclusive provincial responsibilities.</w:t>
      </w:r>
      <w:r w:rsidRPr="00B1382E">
        <w:rPr>
          <w:rStyle w:val="FootnoteReference"/>
        </w:rPr>
        <w:footnoteReference w:id="4"/>
      </w:r>
    </w:p>
    <w:p w:rsidR="00251192" w:rsidRPr="00045156" w:rsidRDefault="00B615D0" w:rsidP="00251192">
      <w:pPr>
        <w:pStyle w:val="BodyText"/>
        <w:rPr>
          <w:lang w:val="en-GB"/>
        </w:rPr>
      </w:pPr>
      <w:r w:rsidRPr="00ED2360">
        <w:rPr>
          <w:lang w:val="en-GB"/>
        </w:rPr>
        <w:t>The second constitutionally recognised group are Inuit, formerly known as Eskimos, who live in the Arctic re</w:t>
      </w:r>
      <w:r w:rsidR="00251192" w:rsidRPr="00ED2360">
        <w:rPr>
          <w:lang w:val="en-GB"/>
        </w:rPr>
        <w:t>g</w:t>
      </w:r>
      <w:r w:rsidR="00251192" w:rsidRPr="00045156">
        <w:rPr>
          <w:lang w:val="en-GB"/>
        </w:rPr>
        <w:t xml:space="preserve">ions of Canada in four provinces and territories: Quebec, Newfoundland and Labrador, Nunavut and the Northwest Territories. The Inuit territories in Canada are collectively known as Inuit </w:t>
      </w:r>
      <w:proofErr w:type="spellStart"/>
      <w:r w:rsidR="00251192" w:rsidRPr="00045156">
        <w:rPr>
          <w:lang w:val="en-GB"/>
        </w:rPr>
        <w:t>Nunangat</w:t>
      </w:r>
      <w:proofErr w:type="spellEnd"/>
      <w:r w:rsidR="00251192" w:rsidRPr="00045156">
        <w:rPr>
          <w:lang w:val="en-GB"/>
        </w:rPr>
        <w:t xml:space="preserve">. Inuit were never subject to the terms of the </w:t>
      </w:r>
      <w:r w:rsidR="00251192" w:rsidRPr="00ED2360">
        <w:rPr>
          <w:lang w:val="en-GB"/>
        </w:rPr>
        <w:t>Indian Act</w:t>
      </w:r>
      <w:r w:rsidR="00251192" w:rsidRPr="00045156">
        <w:rPr>
          <w:lang w:val="en-GB"/>
        </w:rPr>
        <w:t xml:space="preserve">, but since a 1936 Supreme Court reference they have had a formal collective relationship with the federal government. The federal government has responsibility for delivery of many province-like services to Inuit, though these tend to be </w:t>
      </w:r>
      <w:r w:rsidR="00251192">
        <w:rPr>
          <w:lang w:val="en-GB"/>
        </w:rPr>
        <w:t>organise</w:t>
      </w:r>
      <w:r w:rsidR="00251192" w:rsidRPr="00045156">
        <w:rPr>
          <w:lang w:val="en-GB"/>
        </w:rPr>
        <w:t xml:space="preserve">d differently </w:t>
      </w:r>
      <w:r w:rsidR="009B7D2A">
        <w:rPr>
          <w:lang w:val="en-GB"/>
        </w:rPr>
        <w:t xml:space="preserve">from </w:t>
      </w:r>
      <w:r w:rsidR="00251192" w:rsidRPr="00045156">
        <w:rPr>
          <w:lang w:val="en-GB"/>
        </w:rPr>
        <w:t xml:space="preserve">programs for First Nations. Inuit are represented at the federal level by Inuit </w:t>
      </w:r>
      <w:proofErr w:type="spellStart"/>
      <w:r w:rsidR="00251192" w:rsidRPr="00045156">
        <w:rPr>
          <w:lang w:val="en-GB"/>
        </w:rPr>
        <w:t>Tapiriit</w:t>
      </w:r>
      <w:proofErr w:type="spellEnd"/>
      <w:r w:rsidR="00251192" w:rsidRPr="00045156">
        <w:rPr>
          <w:lang w:val="en-GB"/>
        </w:rPr>
        <w:t xml:space="preserve"> </w:t>
      </w:r>
      <w:proofErr w:type="spellStart"/>
      <w:r w:rsidR="00251192" w:rsidRPr="00045156">
        <w:rPr>
          <w:lang w:val="en-GB"/>
        </w:rPr>
        <w:t>Kanatami</w:t>
      </w:r>
      <w:proofErr w:type="spellEnd"/>
      <w:r w:rsidR="00251192" w:rsidRPr="00045156">
        <w:rPr>
          <w:lang w:val="en-GB"/>
        </w:rPr>
        <w:t xml:space="preserve">, a federation of regional </w:t>
      </w:r>
      <w:r w:rsidR="00251192">
        <w:rPr>
          <w:lang w:val="en-GB"/>
        </w:rPr>
        <w:t>organisation</w:t>
      </w:r>
      <w:r w:rsidR="00251192" w:rsidRPr="00045156">
        <w:rPr>
          <w:lang w:val="en-GB"/>
        </w:rPr>
        <w:t>s.</w:t>
      </w:r>
    </w:p>
    <w:p w:rsidR="00251192" w:rsidRPr="00045156" w:rsidRDefault="00251192" w:rsidP="00251192">
      <w:pPr>
        <w:pStyle w:val="BodyText"/>
        <w:rPr>
          <w:lang w:val="en-GB"/>
        </w:rPr>
      </w:pPr>
      <w:r w:rsidRPr="00045156">
        <w:rPr>
          <w:lang w:val="en-GB"/>
        </w:rPr>
        <w:t>Métis are a distinct people descended from early nineteenth century marriages among Indigenous peoples in the western prairies and migrants from, mainly, Scotland and France. They have a common heritage and language (</w:t>
      </w:r>
      <w:proofErr w:type="spellStart"/>
      <w:r w:rsidRPr="00045156">
        <w:rPr>
          <w:lang w:val="en-GB"/>
        </w:rPr>
        <w:t>Michif</w:t>
      </w:r>
      <w:proofErr w:type="spellEnd"/>
      <w:r w:rsidRPr="00045156">
        <w:rPr>
          <w:lang w:val="en-GB"/>
        </w:rPr>
        <w:t xml:space="preserve">), and now live in all parts of Canada. Métis were never subject to the </w:t>
      </w:r>
      <w:r w:rsidR="0027451E" w:rsidRPr="00106D82">
        <w:rPr>
          <w:lang w:val="en-GB"/>
        </w:rPr>
        <w:t>Indian Act</w:t>
      </w:r>
      <w:r w:rsidRPr="00045156">
        <w:rPr>
          <w:lang w:val="en-GB"/>
        </w:rPr>
        <w:t xml:space="preserve"> and have had on the whole the least intimate collective relationship with the Crown and governments in right of the Crown. The peak </w:t>
      </w:r>
      <w:r>
        <w:rPr>
          <w:lang w:val="en-GB"/>
        </w:rPr>
        <w:t>organis</w:t>
      </w:r>
      <w:r w:rsidRPr="00045156">
        <w:rPr>
          <w:lang w:val="en-GB"/>
        </w:rPr>
        <w:t xml:space="preserve">ation representing Métis is called the Métis National Council. </w:t>
      </w:r>
    </w:p>
    <w:p w:rsidR="00251192" w:rsidRPr="00045156" w:rsidRDefault="00251192" w:rsidP="00251192">
      <w:pPr>
        <w:pStyle w:val="BodyText"/>
        <w:rPr>
          <w:lang w:val="en-GB"/>
        </w:rPr>
      </w:pPr>
      <w:r w:rsidRPr="00045156">
        <w:rPr>
          <w:lang w:val="en-GB"/>
        </w:rPr>
        <w:t xml:space="preserve">There is also a fourth </w:t>
      </w:r>
      <w:r>
        <w:rPr>
          <w:lang w:val="en-GB"/>
        </w:rPr>
        <w:t>national representative organis</w:t>
      </w:r>
      <w:r w:rsidRPr="00045156">
        <w:rPr>
          <w:lang w:val="en-GB"/>
        </w:rPr>
        <w:t xml:space="preserve">ation, the Congress of Aboriginal Peoples, which aims to represent Off-Reserve, Non-Status and Status Indians, Southern Inuit and Métis Aboriginal Peoples living in urban, rural remote and isolated areas throughout Canada. </w:t>
      </w:r>
    </w:p>
    <w:p w:rsidR="00251192" w:rsidRPr="00045156" w:rsidRDefault="00251192" w:rsidP="00ED2360">
      <w:pPr>
        <w:pStyle w:val="BodyText"/>
        <w:rPr>
          <w:lang w:val="en-GB"/>
        </w:rPr>
      </w:pPr>
      <w:r w:rsidRPr="00045156">
        <w:rPr>
          <w:lang w:val="en-GB"/>
        </w:rPr>
        <w:t>Although each constitutional group, women and men, is represented by a Canada-wide advocacy organi</w:t>
      </w:r>
      <w:r>
        <w:rPr>
          <w:lang w:val="en-GB"/>
        </w:rPr>
        <w:t>s</w:t>
      </w:r>
      <w:r w:rsidRPr="00045156">
        <w:rPr>
          <w:lang w:val="en-GB"/>
        </w:rPr>
        <w:t>ation, there are in addition two Canada-wide women</w:t>
      </w:r>
      <w:r w:rsidR="00B1382E">
        <w:rPr>
          <w:lang w:val="en-GB"/>
        </w:rPr>
        <w:t>’</w:t>
      </w:r>
      <w:r>
        <w:rPr>
          <w:lang w:val="en-GB"/>
        </w:rPr>
        <w:t xml:space="preserve">s </w:t>
      </w:r>
      <w:r>
        <w:rPr>
          <w:lang w:val="en-GB"/>
        </w:rPr>
        <w:lastRenderedPageBreak/>
        <w:t>organis</w:t>
      </w:r>
      <w:r w:rsidRPr="00045156">
        <w:rPr>
          <w:lang w:val="en-GB"/>
        </w:rPr>
        <w:t>ations, the Native Women</w:t>
      </w:r>
      <w:r w:rsidR="00B1382E">
        <w:rPr>
          <w:lang w:val="en-GB"/>
        </w:rPr>
        <w:t>’</w:t>
      </w:r>
      <w:r w:rsidRPr="00045156">
        <w:rPr>
          <w:lang w:val="en-GB"/>
        </w:rPr>
        <w:t>s Associ</w:t>
      </w:r>
      <w:r>
        <w:rPr>
          <w:lang w:val="en-GB"/>
        </w:rPr>
        <w:t xml:space="preserve">ation of Canada and </w:t>
      </w:r>
      <w:proofErr w:type="spellStart"/>
      <w:r>
        <w:rPr>
          <w:lang w:val="en-GB"/>
        </w:rPr>
        <w:t>Pauktuutit</w:t>
      </w:r>
      <w:proofErr w:type="spellEnd"/>
      <w:r>
        <w:rPr>
          <w:lang w:val="en-GB"/>
        </w:rPr>
        <w:t xml:space="preserve"> —</w:t>
      </w:r>
      <w:r w:rsidRPr="00045156">
        <w:rPr>
          <w:lang w:val="en-GB"/>
        </w:rPr>
        <w:t xml:space="preserve"> the Inuit Women</w:t>
      </w:r>
      <w:r w:rsidR="00B1382E">
        <w:rPr>
          <w:lang w:val="en-GB"/>
        </w:rPr>
        <w:t>’</w:t>
      </w:r>
      <w:r w:rsidRPr="00045156">
        <w:rPr>
          <w:lang w:val="en-GB"/>
        </w:rPr>
        <w:t xml:space="preserve">s Association. </w:t>
      </w:r>
    </w:p>
    <w:p w:rsidR="00251192" w:rsidRPr="00045156" w:rsidRDefault="00251192" w:rsidP="00251192">
      <w:pPr>
        <w:pStyle w:val="BodyText"/>
        <w:rPr>
          <w:lang w:val="en-GB"/>
        </w:rPr>
      </w:pPr>
      <w:r w:rsidRPr="00045156">
        <w:rPr>
          <w:lang w:val="en-GB"/>
        </w:rPr>
        <w:t xml:space="preserve">Although there is some representative overlap, in practice each </w:t>
      </w:r>
      <w:r>
        <w:rPr>
          <w:lang w:val="en-GB"/>
        </w:rPr>
        <w:t>organisation</w:t>
      </w:r>
      <w:r w:rsidRPr="00045156">
        <w:rPr>
          <w:lang w:val="en-GB"/>
        </w:rPr>
        <w:t xml:space="preserve"> has a clear constituency with some competition for funding but minimal competition for members, who are free to select the </w:t>
      </w:r>
      <w:r>
        <w:rPr>
          <w:lang w:val="en-GB"/>
        </w:rPr>
        <w:t>organisation</w:t>
      </w:r>
      <w:r w:rsidRPr="00045156">
        <w:rPr>
          <w:lang w:val="en-GB"/>
        </w:rPr>
        <w:t xml:space="preserve"> with which they affiliate.</w:t>
      </w:r>
    </w:p>
    <w:p w:rsidR="00251192" w:rsidRPr="00045156" w:rsidRDefault="00251192" w:rsidP="00251192">
      <w:pPr>
        <w:pStyle w:val="Heading3"/>
        <w:rPr>
          <w:lang w:val="en-GB"/>
        </w:rPr>
      </w:pPr>
      <w:r w:rsidRPr="00045156">
        <w:rPr>
          <w:lang w:val="en-GB"/>
        </w:rPr>
        <w:t>Treaties</w:t>
      </w:r>
      <w:r>
        <w:rPr>
          <w:lang w:val="en-GB"/>
        </w:rPr>
        <w:t>, s</w:t>
      </w:r>
      <w:r w:rsidRPr="00045156">
        <w:rPr>
          <w:lang w:val="en-GB"/>
        </w:rPr>
        <w:t>t</w:t>
      </w:r>
      <w:r>
        <w:rPr>
          <w:lang w:val="en-GB"/>
        </w:rPr>
        <w:t xml:space="preserve">atus under the Indian Act, and </w:t>
      </w:r>
      <w:proofErr w:type="spellStart"/>
      <w:r>
        <w:rPr>
          <w:lang w:val="en-GB"/>
        </w:rPr>
        <w:t>e</w:t>
      </w:r>
      <w:r w:rsidRPr="00045156">
        <w:rPr>
          <w:lang w:val="en-GB"/>
        </w:rPr>
        <w:t>valuability</w:t>
      </w:r>
      <w:proofErr w:type="spellEnd"/>
    </w:p>
    <w:p w:rsidR="00251192" w:rsidRPr="00045156" w:rsidRDefault="00251192" w:rsidP="00251192">
      <w:pPr>
        <w:pStyle w:val="BodyText"/>
        <w:rPr>
          <w:lang w:val="en-GB"/>
        </w:rPr>
      </w:pPr>
      <w:r w:rsidRPr="00045156">
        <w:rPr>
          <w:lang w:val="en-GB"/>
        </w:rPr>
        <w:t xml:space="preserve">Three periods of treaty-making in Canada, and a mid-twentieth century hiatus, have created substantial variety in the relationships between Indigenous peoples and the Crown. The first treaties were negotiated by peoples living in the eastern part of Canada with British and French authorities before the formation of Canada in 1867. In the eyes of the Indigenous signatories, these were </w:t>
      </w:r>
      <w:r w:rsidR="00B1382E">
        <w:rPr>
          <w:lang w:val="en-GB"/>
        </w:rPr>
        <w:t>‘</w:t>
      </w:r>
      <w:r w:rsidRPr="00045156">
        <w:rPr>
          <w:lang w:val="en-GB"/>
        </w:rPr>
        <w:t>peace and friendship</w:t>
      </w:r>
      <w:r w:rsidR="00B1382E">
        <w:rPr>
          <w:lang w:val="en-GB"/>
        </w:rPr>
        <w:t>’</w:t>
      </w:r>
      <w:r>
        <w:rPr>
          <w:lang w:val="en-GB"/>
        </w:rPr>
        <w:t xml:space="preserve"> </w:t>
      </w:r>
      <w:r w:rsidRPr="00045156">
        <w:rPr>
          <w:lang w:val="en-GB"/>
        </w:rPr>
        <w:t xml:space="preserve">treaties, a means of avoiding conflict and establishing diplomatic relations. After Confederation in 1867, the Dominion government (now referred to as the federal government) began negotiating the so-called </w:t>
      </w:r>
      <w:r w:rsidR="00B1382E">
        <w:rPr>
          <w:lang w:val="en-GB"/>
        </w:rPr>
        <w:t>‘</w:t>
      </w:r>
      <w:r w:rsidRPr="00045156">
        <w:rPr>
          <w:lang w:val="en-GB"/>
        </w:rPr>
        <w:t>numbered</w:t>
      </w:r>
      <w:r w:rsidR="00B1382E">
        <w:rPr>
          <w:lang w:val="en-GB"/>
        </w:rPr>
        <w:t>’</w:t>
      </w:r>
      <w:r w:rsidRPr="00045156">
        <w:rPr>
          <w:lang w:val="en-GB"/>
        </w:rPr>
        <w:t xml:space="preserve"> treaties (numbered 1 through 11) to secure control of Indigenous territory for settlement and development of the new country of Canada. Given the timing and the violent </w:t>
      </w:r>
      <w:r w:rsidR="00B1382E">
        <w:rPr>
          <w:lang w:val="en-GB"/>
        </w:rPr>
        <w:t>‘</w:t>
      </w:r>
      <w:r w:rsidRPr="00045156">
        <w:rPr>
          <w:lang w:val="en-GB"/>
        </w:rPr>
        <w:t>Indian wars</w:t>
      </w:r>
      <w:r w:rsidR="00B1382E">
        <w:rPr>
          <w:lang w:val="en-GB"/>
        </w:rPr>
        <w:t>’</w:t>
      </w:r>
      <w:r>
        <w:rPr>
          <w:lang w:val="en-GB"/>
        </w:rPr>
        <w:t xml:space="preserve"> </w:t>
      </w:r>
      <w:r w:rsidRPr="00045156">
        <w:rPr>
          <w:lang w:val="en-GB"/>
        </w:rPr>
        <w:t>that had been waged and continued to be waged in the United States during the nineteenth century, it is fair to say that Canadian treaty-making was orderly and</w:t>
      </w:r>
      <w:r w:rsidR="00472E76">
        <w:rPr>
          <w:lang w:val="en-GB"/>
        </w:rPr>
        <w:t>,</w:t>
      </w:r>
      <w:r w:rsidRPr="00045156">
        <w:rPr>
          <w:lang w:val="en-GB"/>
        </w:rPr>
        <w:t xml:space="preserve"> while certainly coercive, relatively non-violent. This has resulted in treaties that are held to be legitimate by the Indigenous parties, even while they have objected to the Crown</w:t>
      </w:r>
      <w:r w:rsidR="00B1382E">
        <w:rPr>
          <w:lang w:val="en-GB"/>
        </w:rPr>
        <w:t>’</w:t>
      </w:r>
      <w:r w:rsidRPr="00045156">
        <w:rPr>
          <w:lang w:val="en-GB"/>
        </w:rPr>
        <w:t>s failure to live up to the provisions. Treaty-making paused after 1923, when the weight of numbers of settlers and the successful agricultural settlement of the prairies obviated the need for it. When treaty-making was halted, a good portion of Canada remained subject to uncertain jurisdiction, though this fact was not acknowledged by Canadian governments until a key Supreme Court of Canada decision in 1972.</w:t>
      </w:r>
      <w:r w:rsidRPr="00B1382E">
        <w:rPr>
          <w:rStyle w:val="FootnoteReference"/>
        </w:rPr>
        <w:footnoteReference w:id="5"/>
      </w:r>
      <w:r w:rsidRPr="00045156">
        <w:rPr>
          <w:lang w:val="en-GB"/>
        </w:rPr>
        <w:t xml:space="preserve"> Negotiation concerning Indigenous land rights resumed again with the advent of comprehensive claims negotiations after 1975. Since then, </w:t>
      </w:r>
      <w:r w:rsidR="000B6B03">
        <w:rPr>
          <w:lang w:val="en-GB"/>
        </w:rPr>
        <w:t xml:space="preserve">16 </w:t>
      </w:r>
      <w:r w:rsidRPr="00045156">
        <w:rPr>
          <w:lang w:val="en-GB"/>
        </w:rPr>
        <w:t>of these claims agreements, known as modern treaties, have been negotiated.</w:t>
      </w:r>
      <w:r w:rsidRPr="00B1382E">
        <w:rPr>
          <w:rStyle w:val="FootnoteReference"/>
        </w:rPr>
        <w:footnoteReference w:id="6"/>
      </w:r>
    </w:p>
    <w:p w:rsidR="00251192" w:rsidRPr="00045156" w:rsidRDefault="00251192" w:rsidP="00251192">
      <w:pPr>
        <w:pStyle w:val="BodyText"/>
        <w:rPr>
          <w:lang w:val="en-GB"/>
        </w:rPr>
      </w:pPr>
      <w:r w:rsidRPr="00045156">
        <w:rPr>
          <w:lang w:val="en-GB"/>
        </w:rPr>
        <w:t xml:space="preserve">For the Indigenous parties, the treaties are fundamental constitutional documents, framing all other aspects of their collective and individual relationships with Canadian society. Successive Canadian governments have respected the treaties </w:t>
      </w:r>
      <w:r w:rsidRPr="00045156">
        <w:rPr>
          <w:lang w:val="en-GB"/>
        </w:rPr>
        <w:lastRenderedPageBreak/>
        <w:t>unevenly, to say the least, and at intervals have attempted to substitute policy discretion for treaty obligation. This has led to legal action (as in the current law suit launched by the Inuit of Nunavut against the federal government for failure to comply with the terms of the 1992 Nunavut Agreement). In 1991, the</w:t>
      </w:r>
      <w:r>
        <w:rPr>
          <w:lang w:val="en-GB"/>
        </w:rPr>
        <w:t xml:space="preserve"> </w:t>
      </w:r>
      <w:r w:rsidRPr="00045156">
        <w:rPr>
          <w:lang w:val="en-GB"/>
        </w:rPr>
        <w:t>Indian Specific Claims Commission was established, replaced in 2008 by the Specific Claims Tribunal. Each body was empowered to review cases brought by Indigenous parties to treaties concerning non-compliance or mismanagement of federal treaty responsibilities.</w:t>
      </w:r>
      <w:r w:rsidRPr="00B1382E">
        <w:rPr>
          <w:rStyle w:val="FootnoteReference"/>
        </w:rPr>
        <w:footnoteReference w:id="7"/>
      </w:r>
    </w:p>
    <w:p w:rsidR="00251192" w:rsidRPr="00045156" w:rsidRDefault="00251192" w:rsidP="00251192">
      <w:pPr>
        <w:pStyle w:val="BodyText"/>
        <w:rPr>
          <w:b/>
          <w:sz w:val="28"/>
          <w:szCs w:val="28"/>
          <w:lang w:val="en-GB"/>
        </w:rPr>
      </w:pPr>
      <w:r w:rsidRPr="00045156">
        <w:rPr>
          <w:lang w:val="en-GB"/>
        </w:rPr>
        <w:t>For the pre-Confederation treaties and the numbered treaties, however, a key determinant of whether and what federal services will be provided is status under the Indian Act. All such federal programs are subject to internal audit and program evaluation. The modern treaties remove Indian Act jurisdiction, affirm Indigenous control of specified lands, and establish jurisdictions and service delivery responsibilities. They create positive obligations on the part of Canadian governments in right of the Crown, and on the Indigenous authorities who are parties to the treaty. Specific provisions vary substantially, too much so for a summary to suffice in a paper of this length. It is pertinent, though, that federal compliance with the terms of the modern treaties has been reviewed by the Office of the Auditor-General of Canada.</w:t>
      </w:r>
      <w:r w:rsidRPr="00045156">
        <w:rPr>
          <w:b/>
          <w:sz w:val="28"/>
          <w:szCs w:val="28"/>
          <w:lang w:val="en-GB"/>
        </w:rPr>
        <w:t xml:space="preserve"> </w:t>
      </w:r>
    </w:p>
    <w:p w:rsidR="00251192" w:rsidRPr="00045156" w:rsidRDefault="0095163F" w:rsidP="00251192">
      <w:pPr>
        <w:pStyle w:val="Heading2"/>
        <w:rPr>
          <w:lang w:val="en-GB"/>
        </w:rPr>
      </w:pPr>
      <w:r>
        <w:rPr>
          <w:lang w:val="en-GB"/>
        </w:rPr>
        <w:t>11</w:t>
      </w:r>
      <w:r w:rsidR="00251192">
        <w:rPr>
          <w:lang w:val="en-GB"/>
        </w:rPr>
        <w:t>.3</w:t>
      </w:r>
      <w:r w:rsidR="00251192">
        <w:rPr>
          <w:lang w:val="en-GB"/>
        </w:rPr>
        <w:tab/>
        <w:t>Social and economic conditions of Indigenous p</w:t>
      </w:r>
      <w:r w:rsidR="00251192" w:rsidRPr="00045156">
        <w:rPr>
          <w:lang w:val="en-GB"/>
        </w:rPr>
        <w:t>eoples</w:t>
      </w:r>
    </w:p>
    <w:p w:rsidR="00251192" w:rsidRPr="00045156" w:rsidRDefault="00251192" w:rsidP="00251192">
      <w:pPr>
        <w:pStyle w:val="BodyText"/>
        <w:rPr>
          <w:lang w:val="en-GB"/>
        </w:rPr>
      </w:pPr>
      <w:r w:rsidRPr="00045156">
        <w:rPr>
          <w:lang w:val="en-GB"/>
        </w:rPr>
        <w:t>On the whole, social, economic and health conditions for Indigenous people in Canada are worse than those for the general population, although some measures show recent improvement. There is also a substantial gap among Indigenous groups. The bullet points below provide a snapshot; please refer to the tables in Appendix A for details and references.</w:t>
      </w:r>
    </w:p>
    <w:p w:rsidR="00251192" w:rsidRPr="00045156" w:rsidRDefault="00251192" w:rsidP="00251192">
      <w:pPr>
        <w:pStyle w:val="ListBullet"/>
        <w:rPr>
          <w:lang w:val="en-GB"/>
        </w:rPr>
      </w:pPr>
      <w:r w:rsidRPr="00A3097B">
        <w:rPr>
          <w:lang w:val="en-GB"/>
        </w:rPr>
        <w:t>Life expectancy is lower for all groups of Indigenous people, but much worse for Inuit.</w:t>
      </w:r>
      <w:r w:rsidRPr="00045156">
        <w:rPr>
          <w:lang w:val="en-GB"/>
        </w:rPr>
        <w:t xml:space="preserve"> For the general population in Canada, life expectancy at birth in 2017 was projected at 78.7 years for men and 83.3 years for women. The projected 2017 life expectancy figures for First Nations are 73.3 years for men and 78.4 for women. For Métis, these figures are 74.1 for men and 79.7 for women, while for Inuit, the figures are 63.9 for men and 72.9 for women.</w:t>
      </w:r>
    </w:p>
    <w:p w:rsidR="00251192" w:rsidRDefault="00251192" w:rsidP="00251192">
      <w:pPr>
        <w:pStyle w:val="ListBullet"/>
        <w:rPr>
          <w:lang w:val="en-GB"/>
        </w:rPr>
      </w:pPr>
      <w:r w:rsidRPr="00A3097B">
        <w:rPr>
          <w:lang w:val="en-GB"/>
        </w:rPr>
        <w:t xml:space="preserve">Suicide is a scourge, especially among young people. </w:t>
      </w:r>
      <w:r w:rsidRPr="00045156">
        <w:rPr>
          <w:lang w:val="en-GB"/>
        </w:rPr>
        <w:t xml:space="preserve">Suicide is approximately three times more prevalent among the general Indigenous population than among </w:t>
      </w:r>
      <w:r w:rsidRPr="00045156">
        <w:rPr>
          <w:lang w:val="en-GB"/>
        </w:rPr>
        <w:lastRenderedPageBreak/>
        <w:t xml:space="preserve">the general non-Indigenous population. Among Indigenous groups, Inuit and First Nations communities are most affected. Suicide rates are </w:t>
      </w:r>
      <w:r w:rsidR="00472E76">
        <w:rPr>
          <w:lang w:val="en-GB"/>
        </w:rPr>
        <w:t>five</w:t>
      </w:r>
      <w:r w:rsidRPr="00045156">
        <w:rPr>
          <w:lang w:val="en-GB"/>
        </w:rPr>
        <w:t xml:space="preserve"> to </w:t>
      </w:r>
      <w:r w:rsidR="00472E76">
        <w:rPr>
          <w:lang w:val="en-GB"/>
        </w:rPr>
        <w:t>seven</w:t>
      </w:r>
      <w:r w:rsidRPr="00045156">
        <w:rPr>
          <w:lang w:val="en-GB"/>
        </w:rPr>
        <w:t xml:space="preserve"> times higher for First Nations youth than for non-Indigenous youth. In its recent report, Health Canada compared First Nations and Canadian suicide rates </w:t>
      </w:r>
      <w:r w:rsidR="000B6B03">
        <w:rPr>
          <w:lang w:val="en-GB"/>
        </w:rPr>
        <w:t xml:space="preserve">from </w:t>
      </w:r>
      <w:r w:rsidRPr="00045156">
        <w:rPr>
          <w:lang w:val="en-GB"/>
        </w:rPr>
        <w:t>1989</w:t>
      </w:r>
      <w:r w:rsidR="00B1382E">
        <w:rPr>
          <w:lang w:val="en-GB"/>
        </w:rPr>
        <w:t>–</w:t>
      </w:r>
      <w:r w:rsidRPr="00045156">
        <w:rPr>
          <w:lang w:val="en-GB"/>
        </w:rPr>
        <w:t>1993 for ages 0</w:t>
      </w:r>
      <w:r w:rsidR="00B1382E">
        <w:rPr>
          <w:lang w:val="en-GB"/>
        </w:rPr>
        <w:t>–</w:t>
      </w:r>
      <w:r w:rsidRPr="00045156">
        <w:rPr>
          <w:lang w:val="en-GB"/>
        </w:rPr>
        <w:t xml:space="preserve">14 </w:t>
      </w:r>
      <w:r w:rsidR="000B6B03">
        <w:rPr>
          <w:lang w:val="en-GB"/>
        </w:rPr>
        <w:t xml:space="preserve">years </w:t>
      </w:r>
      <w:r w:rsidRPr="00045156">
        <w:rPr>
          <w:lang w:val="en-GB"/>
        </w:rPr>
        <w:t>and 15</w:t>
      </w:r>
      <w:r w:rsidR="00B1382E">
        <w:rPr>
          <w:lang w:val="en-GB"/>
        </w:rPr>
        <w:t>–</w:t>
      </w:r>
      <w:r w:rsidRPr="00045156">
        <w:rPr>
          <w:lang w:val="en-GB"/>
        </w:rPr>
        <w:t xml:space="preserve">24 years and found that the suicide rate for young First Nations men </w:t>
      </w:r>
      <w:r w:rsidR="000B6B03">
        <w:rPr>
          <w:lang w:val="en-GB"/>
        </w:rPr>
        <w:t xml:space="preserve">was </w:t>
      </w:r>
      <w:r w:rsidRPr="00045156">
        <w:rPr>
          <w:lang w:val="en-GB"/>
        </w:rPr>
        <w:t xml:space="preserve">extremely high. The suicide among First Nations men </w:t>
      </w:r>
      <w:r w:rsidR="00472E76">
        <w:rPr>
          <w:lang w:val="en-GB"/>
        </w:rPr>
        <w:t xml:space="preserve">aged </w:t>
      </w:r>
      <w:r w:rsidRPr="00045156">
        <w:rPr>
          <w:lang w:val="en-GB"/>
        </w:rPr>
        <w:t>15</w:t>
      </w:r>
      <w:r w:rsidR="00B1382E">
        <w:rPr>
          <w:lang w:val="en-GB"/>
        </w:rPr>
        <w:t>–</w:t>
      </w:r>
      <w:r w:rsidRPr="00045156">
        <w:rPr>
          <w:lang w:val="en-GB"/>
        </w:rPr>
        <w:t xml:space="preserve">24 years was 126 per 100,000, compared to 24 per 100,000 for Canadian men of the same age group. The rate for young First Nations women was 35 per 100,000, while it </w:t>
      </w:r>
      <w:r w:rsidR="000B6B03">
        <w:rPr>
          <w:lang w:val="en-GB"/>
        </w:rPr>
        <w:t xml:space="preserve">was </w:t>
      </w:r>
      <w:r w:rsidRPr="00045156">
        <w:rPr>
          <w:lang w:val="en-GB"/>
        </w:rPr>
        <w:t>only 5 per 100,000 for Canadian women. Suicide rates among Inuit are among the highest in the world, currently about 11 times the national average. Overwhelmingly, the people who commit suicide are young men.</w:t>
      </w:r>
      <w:r w:rsidRPr="00B1382E">
        <w:rPr>
          <w:rStyle w:val="FootnoteReference"/>
        </w:rPr>
        <w:footnoteReference w:id="8"/>
      </w:r>
    </w:p>
    <w:p w:rsidR="00251192" w:rsidRPr="00472E76" w:rsidRDefault="00472E76" w:rsidP="00472E76">
      <w:pPr>
        <w:pStyle w:val="ListBullet"/>
        <w:numPr>
          <w:ilvl w:val="0"/>
          <w:numId w:val="0"/>
        </w:numPr>
        <w:ind w:left="340"/>
        <w:rPr>
          <w:lang w:val="en-GB"/>
        </w:rPr>
      </w:pPr>
      <w:r w:rsidRPr="00472E76">
        <w:rPr>
          <w:lang w:val="en-GB"/>
        </w:rPr>
        <w:t>Although data are incomplete and there may be variance due to reporting practices, it appears that the suicide rates among Indigenous people (and the general Canadian population) are getting worse. In 1988, the overall suicide rate for Indigenous people was 40.4 per 100,000 compared with an average Canadian national rate over the 1970–1980 period of 14.1 per 100,0000.</w:t>
      </w:r>
    </w:p>
    <w:p w:rsidR="00251192" w:rsidRPr="00045156" w:rsidRDefault="00251192" w:rsidP="00251192">
      <w:pPr>
        <w:pStyle w:val="ListBullet"/>
        <w:rPr>
          <w:lang w:val="en-GB"/>
        </w:rPr>
      </w:pPr>
      <w:r w:rsidRPr="00A3097B">
        <w:rPr>
          <w:lang w:val="en-GB"/>
        </w:rPr>
        <w:t>Other forms of violence affect Indigenous people disproportionately.</w:t>
      </w:r>
      <w:r w:rsidRPr="00045156">
        <w:rPr>
          <w:lang w:val="en-GB"/>
        </w:rPr>
        <w:t xml:space="preserve"> In 2009, about 37</w:t>
      </w:r>
      <w:r>
        <w:rPr>
          <w:lang w:val="en-GB"/>
        </w:rPr>
        <w:t xml:space="preserve"> per cent</w:t>
      </w:r>
      <w:r w:rsidRPr="00045156">
        <w:rPr>
          <w:lang w:val="en-GB"/>
        </w:rPr>
        <w:t xml:space="preserve"> of Indigenous people aged 15 and over living in the provinces reported having been a victim of at least one offence. In comparison, 26</w:t>
      </w:r>
      <w:r>
        <w:rPr>
          <w:lang w:val="en-GB"/>
        </w:rPr>
        <w:t xml:space="preserve"> per cent</w:t>
      </w:r>
      <w:r w:rsidRPr="00045156">
        <w:rPr>
          <w:lang w:val="en-GB"/>
        </w:rPr>
        <w:t xml:space="preserve"> of non-Indigenous people reported having been victimi</w:t>
      </w:r>
      <w:r w:rsidR="00B1382E">
        <w:rPr>
          <w:lang w:val="en-GB"/>
        </w:rPr>
        <w:t>s</w:t>
      </w:r>
      <w:r w:rsidRPr="00045156">
        <w:rPr>
          <w:lang w:val="en-GB"/>
        </w:rPr>
        <w:t>ed over the same period. Indigenous people are also more likely than non-Indigenous people to be the victim of non-spousal violence (12</w:t>
      </w:r>
      <w:r>
        <w:rPr>
          <w:lang w:val="en-GB"/>
        </w:rPr>
        <w:t xml:space="preserve"> per cent</w:t>
      </w:r>
      <w:r w:rsidRPr="00045156">
        <w:rPr>
          <w:lang w:val="en-GB"/>
        </w:rPr>
        <w:t xml:space="preserve"> compared to 5</w:t>
      </w:r>
      <w:r>
        <w:rPr>
          <w:lang w:val="en-GB"/>
        </w:rPr>
        <w:t xml:space="preserve"> per cent</w:t>
      </w:r>
      <w:r w:rsidRPr="00045156">
        <w:rPr>
          <w:lang w:val="en-GB"/>
        </w:rPr>
        <w:t>). Indigenous people were much more likely to report being a victim of spousal violence</w:t>
      </w:r>
      <w:r w:rsidR="00BE6988">
        <w:rPr>
          <w:lang w:val="en-GB"/>
        </w:rPr>
        <w:t>:</w:t>
      </w:r>
      <w:r w:rsidRPr="00045156">
        <w:rPr>
          <w:lang w:val="en-GB"/>
        </w:rPr>
        <w:t xml:space="preserve"> 10</w:t>
      </w:r>
      <w:r>
        <w:rPr>
          <w:lang w:val="en-GB"/>
        </w:rPr>
        <w:t xml:space="preserve"> per cent</w:t>
      </w:r>
      <w:r w:rsidRPr="00045156">
        <w:rPr>
          <w:lang w:val="en-GB"/>
        </w:rPr>
        <w:t xml:space="preserve"> for Indigenous people compared to 6</w:t>
      </w:r>
      <w:r>
        <w:rPr>
          <w:lang w:val="en-GB"/>
        </w:rPr>
        <w:t xml:space="preserve"> per cent</w:t>
      </w:r>
      <w:r w:rsidRPr="00045156">
        <w:rPr>
          <w:lang w:val="en-GB"/>
        </w:rPr>
        <w:t xml:space="preserve"> for non-Indigenous people.</w:t>
      </w:r>
    </w:p>
    <w:p w:rsidR="00251192" w:rsidRPr="00045156" w:rsidRDefault="00251192" w:rsidP="00251192">
      <w:pPr>
        <w:pStyle w:val="ListBullet"/>
        <w:rPr>
          <w:i/>
          <w:lang w:val="en-GB"/>
        </w:rPr>
      </w:pPr>
      <w:r w:rsidRPr="00A3097B">
        <w:rPr>
          <w:lang w:val="en-GB"/>
        </w:rPr>
        <w:t>There are pronounced regional differences.</w:t>
      </w:r>
      <w:r w:rsidRPr="00BE6988">
        <w:rPr>
          <w:lang w:val="en-GB"/>
        </w:rPr>
        <w:t xml:space="preserve"> </w:t>
      </w:r>
      <w:r>
        <w:rPr>
          <w:lang w:val="en-GB"/>
        </w:rPr>
        <w:t>For example, in 2000</w:t>
      </w:r>
      <w:r w:rsidR="00BE6988">
        <w:rPr>
          <w:lang w:val="en-GB"/>
        </w:rPr>
        <w:t>-</w:t>
      </w:r>
      <w:r w:rsidRPr="00045156">
        <w:rPr>
          <w:lang w:val="en-GB"/>
        </w:rPr>
        <w:t xml:space="preserve">01, northern Indigenous people were more likely than southern Indigenous people to be obese, to smoke daily and to have infrequent physical activity but they were less likely to report a number of chronic health conditions. </w:t>
      </w:r>
    </w:p>
    <w:p w:rsidR="00251192" w:rsidRPr="00091644" w:rsidRDefault="00251192" w:rsidP="00251192">
      <w:pPr>
        <w:pStyle w:val="ListBullet"/>
        <w:rPr>
          <w:lang w:val="en-GB"/>
        </w:rPr>
      </w:pPr>
      <w:r w:rsidRPr="00A3097B">
        <w:rPr>
          <w:lang w:val="en-GB"/>
        </w:rPr>
        <w:t>School attendance and educational attainment is improving for some groups.</w:t>
      </w:r>
      <w:r w:rsidRPr="00045156">
        <w:rPr>
          <w:lang w:val="en-GB"/>
        </w:rPr>
        <w:t xml:space="preserve"> In the early </w:t>
      </w:r>
      <w:proofErr w:type="spellStart"/>
      <w:r w:rsidRPr="00045156">
        <w:rPr>
          <w:lang w:val="en-GB"/>
        </w:rPr>
        <w:t>1960s</w:t>
      </w:r>
      <w:proofErr w:type="spellEnd"/>
      <w:r w:rsidRPr="00045156">
        <w:rPr>
          <w:lang w:val="en-GB"/>
        </w:rPr>
        <w:t>, only 4</w:t>
      </w:r>
      <w:r>
        <w:rPr>
          <w:lang w:val="en-GB"/>
        </w:rPr>
        <w:t xml:space="preserve"> per cent</w:t>
      </w:r>
      <w:r w:rsidRPr="00045156">
        <w:rPr>
          <w:lang w:val="en-GB"/>
        </w:rPr>
        <w:t xml:space="preserve"> of </w:t>
      </w:r>
      <w:r w:rsidR="000B6B03">
        <w:rPr>
          <w:lang w:val="en-GB"/>
        </w:rPr>
        <w:t xml:space="preserve">on-reserve </w:t>
      </w:r>
      <w:r w:rsidRPr="00045156">
        <w:rPr>
          <w:lang w:val="en-GB"/>
        </w:rPr>
        <w:t xml:space="preserve">Indian students remained in school through Grade 12. By </w:t>
      </w:r>
      <w:r w:rsidR="00BE6988">
        <w:rPr>
          <w:lang w:val="en-GB"/>
        </w:rPr>
        <w:t xml:space="preserve">the </w:t>
      </w:r>
      <w:proofErr w:type="spellStart"/>
      <w:r w:rsidRPr="00045156">
        <w:rPr>
          <w:lang w:val="en-GB"/>
        </w:rPr>
        <w:t>1990s</w:t>
      </w:r>
      <w:proofErr w:type="spellEnd"/>
      <w:r w:rsidRPr="00045156">
        <w:rPr>
          <w:lang w:val="en-GB"/>
        </w:rPr>
        <w:t>, the proportion of on-reserve children who remain</w:t>
      </w:r>
      <w:r w:rsidR="00BE6988">
        <w:rPr>
          <w:lang w:val="en-GB"/>
        </w:rPr>
        <w:t>ed</w:t>
      </w:r>
      <w:r w:rsidRPr="00045156">
        <w:rPr>
          <w:lang w:val="en-GB"/>
        </w:rPr>
        <w:t xml:space="preserve"> in school ha</w:t>
      </w:r>
      <w:r w:rsidR="00BE6988">
        <w:rPr>
          <w:lang w:val="en-GB"/>
        </w:rPr>
        <w:t>d</w:t>
      </w:r>
      <w:r w:rsidRPr="00045156">
        <w:rPr>
          <w:lang w:val="en-GB"/>
        </w:rPr>
        <w:t xml:space="preserve"> increased to close to 54</w:t>
      </w:r>
      <w:r>
        <w:rPr>
          <w:lang w:val="en-GB"/>
        </w:rPr>
        <w:t xml:space="preserve"> per cent</w:t>
      </w:r>
      <w:r w:rsidRPr="00045156">
        <w:rPr>
          <w:lang w:val="en-GB"/>
        </w:rPr>
        <w:t>. In 1986, about 26</w:t>
      </w:r>
      <w:r>
        <w:rPr>
          <w:lang w:val="en-GB"/>
        </w:rPr>
        <w:t xml:space="preserve"> per cent</w:t>
      </w:r>
      <w:r w:rsidRPr="00045156">
        <w:rPr>
          <w:lang w:val="en-GB"/>
        </w:rPr>
        <w:t xml:space="preserve"> of the off-reserve Aboriginal people had less than Grade 12, compared to 18</w:t>
      </w:r>
      <w:r>
        <w:rPr>
          <w:lang w:val="en-GB"/>
        </w:rPr>
        <w:t xml:space="preserve"> per cent</w:t>
      </w:r>
      <w:r w:rsidRPr="00045156">
        <w:rPr>
          <w:lang w:val="en-GB"/>
        </w:rPr>
        <w:t xml:space="preserve"> of non-Aboriginal people. For the on-reserve population, this was 44.7</w:t>
      </w:r>
      <w:r>
        <w:rPr>
          <w:lang w:val="en-GB"/>
        </w:rPr>
        <w:t xml:space="preserve"> per cent</w:t>
      </w:r>
      <w:r w:rsidRPr="00045156">
        <w:rPr>
          <w:lang w:val="en-GB"/>
        </w:rPr>
        <w:t xml:space="preserve">. For the same period, </w:t>
      </w:r>
      <w:r w:rsidRPr="00724E6F">
        <w:rPr>
          <w:lang w:val="en-GB"/>
        </w:rPr>
        <w:t xml:space="preserve">the </w:t>
      </w:r>
      <w:r w:rsidR="00D7445E" w:rsidRPr="00724E6F">
        <w:rPr>
          <w:lang w:val="en-GB"/>
        </w:rPr>
        <w:t>proportion</w:t>
      </w:r>
      <w:r w:rsidRPr="00045156">
        <w:rPr>
          <w:lang w:val="en-GB"/>
        </w:rPr>
        <w:t xml:space="preserve"> of the general population with a university degree ranged </w:t>
      </w:r>
      <w:r w:rsidR="00BE6988">
        <w:rPr>
          <w:lang w:val="en-GB"/>
        </w:rPr>
        <w:t xml:space="preserve">from </w:t>
      </w:r>
      <w:r w:rsidRPr="00045156">
        <w:rPr>
          <w:lang w:val="en-GB"/>
        </w:rPr>
        <w:t>6</w:t>
      </w:r>
      <w:r>
        <w:rPr>
          <w:lang w:val="en-GB"/>
        </w:rPr>
        <w:t xml:space="preserve"> per cent</w:t>
      </w:r>
      <w:r w:rsidRPr="00045156">
        <w:rPr>
          <w:lang w:val="en-GB"/>
        </w:rPr>
        <w:t xml:space="preserve"> to 11</w:t>
      </w:r>
      <w:r>
        <w:rPr>
          <w:lang w:val="en-GB"/>
        </w:rPr>
        <w:t xml:space="preserve"> per cent</w:t>
      </w:r>
      <w:r w:rsidRPr="00045156">
        <w:rPr>
          <w:lang w:val="en-GB"/>
        </w:rPr>
        <w:t xml:space="preserve"> in urban areas</w:t>
      </w:r>
      <w:r w:rsidR="00BE6988">
        <w:rPr>
          <w:lang w:val="en-GB"/>
        </w:rPr>
        <w:t>,</w:t>
      </w:r>
      <w:r w:rsidRPr="00045156">
        <w:rPr>
          <w:lang w:val="en-GB"/>
        </w:rPr>
        <w:t xml:space="preserve"> while for </w:t>
      </w:r>
      <w:r w:rsidRPr="00045156">
        <w:rPr>
          <w:lang w:val="en-GB"/>
        </w:rPr>
        <w:lastRenderedPageBreak/>
        <w:t>Aboriginal people the proportion was less than 3</w:t>
      </w:r>
      <w:r w:rsidR="002851D1">
        <w:rPr>
          <w:lang w:val="en-GB"/>
        </w:rPr>
        <w:t> </w:t>
      </w:r>
      <w:r>
        <w:rPr>
          <w:lang w:val="en-GB"/>
        </w:rPr>
        <w:t>per</w:t>
      </w:r>
      <w:r w:rsidR="002851D1">
        <w:rPr>
          <w:lang w:val="en-GB"/>
        </w:rPr>
        <w:t> </w:t>
      </w:r>
      <w:r>
        <w:rPr>
          <w:lang w:val="en-GB"/>
        </w:rPr>
        <w:t>cent</w:t>
      </w:r>
      <w:r w:rsidRPr="00045156">
        <w:rPr>
          <w:lang w:val="en-GB"/>
        </w:rPr>
        <w:t>. In 1986, only 20</w:t>
      </w:r>
      <w:r>
        <w:rPr>
          <w:lang w:val="en-GB"/>
        </w:rPr>
        <w:t xml:space="preserve"> per cent</w:t>
      </w:r>
      <w:r w:rsidR="00CD05F3">
        <w:rPr>
          <w:lang w:val="en-GB"/>
        </w:rPr>
        <w:t xml:space="preserve"> of Inuit </w:t>
      </w:r>
      <w:r w:rsidRPr="00045156">
        <w:rPr>
          <w:lang w:val="en-GB"/>
        </w:rPr>
        <w:t>ad completed secondary school and 54</w:t>
      </w:r>
      <w:r>
        <w:rPr>
          <w:lang w:val="en-GB"/>
        </w:rPr>
        <w:t xml:space="preserve"> per cent</w:t>
      </w:r>
      <w:r w:rsidRPr="00045156">
        <w:rPr>
          <w:lang w:val="en-GB"/>
        </w:rPr>
        <w:t xml:space="preserve"> had less than Grade 9 </w:t>
      </w:r>
      <w:r w:rsidRPr="00091644">
        <w:rPr>
          <w:lang w:val="en-GB"/>
        </w:rPr>
        <w:t>educatio</w:t>
      </w:r>
      <w:r w:rsidR="0027451E" w:rsidRPr="00091644">
        <w:rPr>
          <w:lang w:val="en-GB"/>
        </w:rPr>
        <w:t>n.</w:t>
      </w:r>
    </w:p>
    <w:p w:rsidR="00251192" w:rsidRPr="00045156" w:rsidRDefault="00251192" w:rsidP="00251192">
      <w:pPr>
        <w:pStyle w:val="ListBullet"/>
        <w:rPr>
          <w:lang w:val="en-GB"/>
        </w:rPr>
      </w:pPr>
      <w:r w:rsidRPr="00A3097B">
        <w:rPr>
          <w:lang w:val="en-GB"/>
        </w:rPr>
        <w:t xml:space="preserve">Labour force participation and employment is lower for all groups of Indigenous people, but the gap is narrowing. </w:t>
      </w:r>
      <w:r w:rsidRPr="00045156">
        <w:rPr>
          <w:lang w:val="en-GB"/>
        </w:rPr>
        <w:t>For Indigenous people as a whole, labour force participation increased from 57</w:t>
      </w:r>
      <w:r>
        <w:rPr>
          <w:lang w:val="en-GB"/>
        </w:rPr>
        <w:t xml:space="preserve"> per cent</w:t>
      </w:r>
      <w:r w:rsidRPr="00045156">
        <w:rPr>
          <w:lang w:val="en-GB"/>
        </w:rPr>
        <w:t xml:space="preserve"> in 1991 to 63</w:t>
      </w:r>
      <w:r>
        <w:rPr>
          <w:lang w:val="en-GB"/>
        </w:rPr>
        <w:t xml:space="preserve"> per cent</w:t>
      </w:r>
      <w:r w:rsidRPr="00045156">
        <w:rPr>
          <w:lang w:val="en-GB"/>
        </w:rPr>
        <w:t xml:space="preserve"> in 2006, while for the labour force as a whole participation declined over this period by about 1 point. There was a more striking change in unemployment rates. For all Indigenous groups, the unemployment rate was 24</w:t>
      </w:r>
      <w:r>
        <w:rPr>
          <w:lang w:val="en-GB"/>
        </w:rPr>
        <w:t xml:space="preserve"> per cent</w:t>
      </w:r>
      <w:r w:rsidRPr="00045156">
        <w:rPr>
          <w:lang w:val="en-GB"/>
        </w:rPr>
        <w:t xml:space="preserve"> in 1991, dropping to 14</w:t>
      </w:r>
      <w:r>
        <w:rPr>
          <w:lang w:val="en-GB"/>
        </w:rPr>
        <w:t xml:space="preserve"> per cent</w:t>
      </w:r>
      <w:r w:rsidRPr="00045156">
        <w:rPr>
          <w:lang w:val="en-GB"/>
        </w:rPr>
        <w:t xml:space="preserve"> in 2006; for all Canadians in the labour force, the rate declined from 10</w:t>
      </w:r>
      <w:r>
        <w:rPr>
          <w:lang w:val="en-GB"/>
        </w:rPr>
        <w:t xml:space="preserve"> per cent</w:t>
      </w:r>
      <w:r w:rsidRPr="00045156">
        <w:rPr>
          <w:lang w:val="en-GB"/>
        </w:rPr>
        <w:t xml:space="preserve"> to 6</w:t>
      </w:r>
      <w:r>
        <w:rPr>
          <w:lang w:val="en-GB"/>
        </w:rPr>
        <w:t xml:space="preserve"> per cent</w:t>
      </w:r>
      <w:r w:rsidRPr="00045156">
        <w:rPr>
          <w:lang w:val="en-GB"/>
        </w:rPr>
        <w:t xml:space="preserve"> during the same period. The gap in employment income, however, increased slightly, from $10</w:t>
      </w:r>
      <w:r w:rsidR="00724E6F">
        <w:rPr>
          <w:lang w:val="en-GB"/>
        </w:rPr>
        <w:t> </w:t>
      </w:r>
      <w:r w:rsidRPr="00045156">
        <w:rPr>
          <w:lang w:val="en-GB"/>
        </w:rPr>
        <w:t>070 in 2001 to $11</w:t>
      </w:r>
      <w:r w:rsidR="00724E6F">
        <w:rPr>
          <w:lang w:val="en-GB"/>
        </w:rPr>
        <w:t> </w:t>
      </w:r>
      <w:r w:rsidRPr="00045156">
        <w:rPr>
          <w:lang w:val="en-GB"/>
        </w:rPr>
        <w:t>563 in 2006.</w:t>
      </w:r>
    </w:p>
    <w:p w:rsidR="00251192" w:rsidRPr="00045156" w:rsidRDefault="0095163F" w:rsidP="00251192">
      <w:pPr>
        <w:pStyle w:val="Heading2"/>
        <w:rPr>
          <w:lang w:val="en-GB"/>
        </w:rPr>
      </w:pPr>
      <w:r>
        <w:rPr>
          <w:lang w:val="en-GB"/>
        </w:rPr>
        <w:t>11</w:t>
      </w:r>
      <w:r w:rsidR="00251192">
        <w:rPr>
          <w:lang w:val="en-GB"/>
        </w:rPr>
        <w:t>.4</w:t>
      </w:r>
      <w:r w:rsidR="00251192">
        <w:rPr>
          <w:lang w:val="en-GB"/>
        </w:rPr>
        <w:tab/>
        <w:t>The end of high p</w:t>
      </w:r>
      <w:r w:rsidR="00251192" w:rsidRPr="00045156">
        <w:rPr>
          <w:lang w:val="en-GB"/>
        </w:rPr>
        <w:t xml:space="preserve">olitics, </w:t>
      </w:r>
      <w:r w:rsidR="00251192">
        <w:rPr>
          <w:lang w:val="en-GB"/>
        </w:rPr>
        <w:t>e</w:t>
      </w:r>
      <w:r w:rsidR="00251192" w:rsidRPr="00045156">
        <w:rPr>
          <w:lang w:val="en-GB"/>
        </w:rPr>
        <w:t xml:space="preserve">valuation and </w:t>
      </w:r>
      <w:r w:rsidR="00251192">
        <w:rPr>
          <w:lang w:val="en-GB"/>
        </w:rPr>
        <w:t>the neo-liberal t</w:t>
      </w:r>
      <w:r w:rsidR="00251192" w:rsidRPr="00045156">
        <w:rPr>
          <w:lang w:val="en-GB"/>
        </w:rPr>
        <w:t>urn</w:t>
      </w:r>
    </w:p>
    <w:p w:rsidR="00251192" w:rsidRPr="00045156" w:rsidRDefault="00251192" w:rsidP="00251192">
      <w:pPr>
        <w:pStyle w:val="BodyText"/>
        <w:rPr>
          <w:lang w:val="en-GB"/>
        </w:rPr>
      </w:pPr>
      <w:r w:rsidRPr="00045156">
        <w:rPr>
          <w:lang w:val="en-GB"/>
        </w:rPr>
        <w:t xml:space="preserve">The broad and nearly global ideological change referred to as </w:t>
      </w:r>
      <w:r w:rsidR="00B1382E">
        <w:rPr>
          <w:lang w:val="en-GB"/>
        </w:rPr>
        <w:t>‘</w:t>
      </w:r>
      <w:r w:rsidRPr="00045156">
        <w:rPr>
          <w:lang w:val="en-GB"/>
        </w:rPr>
        <w:t>the neo-liberal turn</w:t>
      </w:r>
      <w:r w:rsidR="00B1382E">
        <w:rPr>
          <w:lang w:val="en-GB"/>
        </w:rPr>
        <w:t>’</w:t>
      </w:r>
      <w:r w:rsidRPr="00045156">
        <w:rPr>
          <w:lang w:val="en-GB"/>
        </w:rPr>
        <w:t xml:space="preserve"> has had important consequences in Canada for governance, and thus for policy and program evaluation, in Indigenous affairs as in many other areas. Most obviously, the shift in governance practices changed the manner in whi</w:t>
      </w:r>
      <w:r>
        <w:rPr>
          <w:lang w:val="en-GB"/>
        </w:rPr>
        <w:t xml:space="preserve">ch services were delivered and </w:t>
      </w:r>
      <w:r w:rsidRPr="00045156">
        <w:rPr>
          <w:lang w:val="en-GB"/>
        </w:rPr>
        <w:t>legitimi</w:t>
      </w:r>
      <w:r w:rsidR="00B1382E">
        <w:rPr>
          <w:lang w:val="en-GB"/>
        </w:rPr>
        <w:t>s</w:t>
      </w:r>
      <w:r w:rsidRPr="00045156">
        <w:rPr>
          <w:lang w:val="en-GB"/>
        </w:rPr>
        <w:t>ed new practices associated with accountability for the expenditure of public funds.</w:t>
      </w:r>
      <w:r w:rsidRPr="00B1382E">
        <w:rPr>
          <w:rStyle w:val="FootnoteReference"/>
        </w:rPr>
        <w:footnoteReference w:id="9"/>
      </w:r>
      <w:r w:rsidRPr="00045156">
        <w:rPr>
          <w:lang w:val="en-GB"/>
        </w:rPr>
        <w:t xml:space="preserve"> </w:t>
      </w:r>
    </w:p>
    <w:p w:rsidR="00251192" w:rsidRPr="00045156" w:rsidRDefault="00251192" w:rsidP="00251192">
      <w:pPr>
        <w:pStyle w:val="BodyText"/>
        <w:rPr>
          <w:lang w:val="en-GB"/>
        </w:rPr>
      </w:pPr>
      <w:r w:rsidRPr="00045156">
        <w:rPr>
          <w:lang w:val="en-GB"/>
        </w:rPr>
        <w:t>In Canada</w:t>
      </w:r>
      <w:r w:rsidR="00BE6988">
        <w:rPr>
          <w:lang w:val="en-GB"/>
        </w:rPr>
        <w:t>,</w:t>
      </w:r>
      <w:r w:rsidRPr="00045156">
        <w:rPr>
          <w:lang w:val="en-GB"/>
        </w:rPr>
        <w:t xml:space="preserve"> as in Australia and New Zealand, the years immediately after the Second World War brought many changes to relations between Indigenous peoples and the rest of their societies. There were revisions to the Indian Act (1951 and 1985), decoupling of the federal franchise from Indian status (1960), </w:t>
      </w:r>
      <w:r w:rsidR="000B6B03">
        <w:rPr>
          <w:lang w:val="en-GB"/>
        </w:rPr>
        <w:t xml:space="preserve">the </w:t>
      </w:r>
      <w:r w:rsidRPr="00045156">
        <w:rPr>
          <w:lang w:val="en-GB"/>
        </w:rPr>
        <w:t>decisive defeat of the assimilationist perspective on Aboriginal</w:t>
      </w:r>
      <w:r w:rsidR="00BE6988">
        <w:rPr>
          <w:lang w:val="en-GB"/>
        </w:rPr>
        <w:t>–</w:t>
      </w:r>
      <w:r w:rsidRPr="00045156">
        <w:rPr>
          <w:lang w:val="en-GB"/>
        </w:rPr>
        <w:t xml:space="preserve">Canada relations expressed in the White Paper of 1969, evolutions in jurisprudence and policy mandating the comprehensive claims negotiation process (beginning in 1973), gradual efforts to redress Crown treaty violations through the specific claims process (1982 and subsequently), constitutional recognition of </w:t>
      </w:r>
      <w:r w:rsidR="00B1382E">
        <w:rPr>
          <w:lang w:val="en-GB"/>
        </w:rPr>
        <w:t>‘</w:t>
      </w:r>
      <w:r w:rsidRPr="00045156">
        <w:rPr>
          <w:lang w:val="en-GB"/>
        </w:rPr>
        <w:t>existing aboriginal and treaty rights</w:t>
      </w:r>
      <w:r w:rsidR="00B1382E">
        <w:rPr>
          <w:lang w:val="en-GB"/>
        </w:rPr>
        <w:t>’</w:t>
      </w:r>
      <w:r>
        <w:rPr>
          <w:lang w:val="en-GB"/>
        </w:rPr>
        <w:t xml:space="preserve"> </w:t>
      </w:r>
      <w:r w:rsidRPr="00045156">
        <w:rPr>
          <w:lang w:val="en-GB"/>
        </w:rPr>
        <w:t xml:space="preserve">(1982), federal recognition of the inherent right of self-government (1995), and numerous changes to policy and legislation mitigating some effects of the Indian </w:t>
      </w:r>
      <w:r w:rsidRPr="00045156">
        <w:rPr>
          <w:lang w:val="en-GB"/>
        </w:rPr>
        <w:lastRenderedPageBreak/>
        <w:t>Act, including processes for exit from the jurisdiction of the Act.</w:t>
      </w:r>
      <w:r w:rsidRPr="00B1382E">
        <w:rPr>
          <w:rStyle w:val="FootnoteReference"/>
        </w:rPr>
        <w:footnoteReference w:id="10"/>
      </w:r>
      <w:r w:rsidRPr="00045156">
        <w:rPr>
          <w:lang w:val="en-GB"/>
        </w:rPr>
        <w:t xml:space="preserve"> These changes amounted to a revolution in Indigenous</w:t>
      </w:r>
      <w:r w:rsidR="00BE6988">
        <w:rPr>
          <w:lang w:val="en-GB"/>
        </w:rPr>
        <w:t>–</w:t>
      </w:r>
      <w:r w:rsidRPr="00045156">
        <w:rPr>
          <w:lang w:val="en-GB"/>
        </w:rPr>
        <w:t xml:space="preserve">Canada relations. They represent major achievements of the multifaceted Indigenous movement that began to be </w:t>
      </w:r>
      <w:r>
        <w:rPr>
          <w:lang w:val="en-GB"/>
        </w:rPr>
        <w:t>organise</w:t>
      </w:r>
      <w:r w:rsidRPr="00045156">
        <w:rPr>
          <w:lang w:val="en-GB"/>
        </w:rPr>
        <w:t xml:space="preserve">d after the Second World War. This movement faced many barriers, but it also found popular support in changes in elite and public opinion in Canada growing out of the global revulsion against race-based policies and ethnic discrimination following the horrors of the </w:t>
      </w:r>
      <w:r w:rsidR="00BE6988">
        <w:rPr>
          <w:lang w:val="en-GB"/>
        </w:rPr>
        <w:t>w</w:t>
      </w:r>
      <w:r w:rsidRPr="00045156">
        <w:rPr>
          <w:lang w:val="en-GB"/>
        </w:rPr>
        <w:t>ar.</w:t>
      </w:r>
    </w:p>
    <w:p w:rsidR="00251192" w:rsidRPr="00045156" w:rsidRDefault="00251192" w:rsidP="00251192">
      <w:pPr>
        <w:pStyle w:val="BodyText"/>
        <w:rPr>
          <w:lang w:val="en-GB"/>
        </w:rPr>
      </w:pPr>
      <w:r w:rsidRPr="00045156">
        <w:rPr>
          <w:lang w:val="en-GB"/>
        </w:rPr>
        <w:t>The period between the mid-</w:t>
      </w:r>
      <w:proofErr w:type="spellStart"/>
      <w:r w:rsidRPr="00045156">
        <w:rPr>
          <w:lang w:val="en-GB"/>
        </w:rPr>
        <w:t>1970s</w:t>
      </w:r>
      <w:proofErr w:type="spellEnd"/>
      <w:r w:rsidRPr="00045156">
        <w:rPr>
          <w:lang w:val="en-GB"/>
        </w:rPr>
        <w:t xml:space="preserve"> and early </w:t>
      </w:r>
      <w:proofErr w:type="spellStart"/>
      <w:r w:rsidRPr="00045156">
        <w:rPr>
          <w:lang w:val="en-GB"/>
        </w:rPr>
        <w:t>1990s</w:t>
      </w:r>
      <w:proofErr w:type="spellEnd"/>
      <w:r w:rsidRPr="00045156">
        <w:rPr>
          <w:lang w:val="en-GB"/>
        </w:rPr>
        <w:t xml:space="preserve"> has been called the period of </w:t>
      </w:r>
      <w:r w:rsidR="00B1382E">
        <w:rPr>
          <w:lang w:val="en-GB"/>
        </w:rPr>
        <w:t>‘</w:t>
      </w:r>
      <w:r w:rsidRPr="00045156">
        <w:rPr>
          <w:lang w:val="en-GB"/>
        </w:rPr>
        <w:t>high politics</w:t>
      </w:r>
      <w:r w:rsidR="00B1382E">
        <w:rPr>
          <w:lang w:val="en-GB"/>
        </w:rPr>
        <w:t>’</w:t>
      </w:r>
      <w:r>
        <w:rPr>
          <w:lang w:val="en-GB"/>
        </w:rPr>
        <w:t xml:space="preserve"> </w:t>
      </w:r>
      <w:r w:rsidRPr="00045156">
        <w:rPr>
          <w:lang w:val="en-GB"/>
        </w:rPr>
        <w:t>in Indigenous affairs in Canada</w:t>
      </w:r>
      <w:r w:rsidR="00BE6988">
        <w:rPr>
          <w:lang w:val="en-GB"/>
        </w:rPr>
        <w:t xml:space="preserve"> (Abele and Graham 1989)</w:t>
      </w:r>
      <w:r w:rsidRPr="00045156">
        <w:rPr>
          <w:lang w:val="en-GB"/>
        </w:rPr>
        <w:t xml:space="preserve">. These years were marked by a shift in federal policy that </w:t>
      </w:r>
      <w:r>
        <w:rPr>
          <w:lang w:val="en-GB"/>
        </w:rPr>
        <w:t>recognised</w:t>
      </w:r>
      <w:r w:rsidRPr="00045156">
        <w:rPr>
          <w:lang w:val="en-GB"/>
        </w:rPr>
        <w:t xml:space="preserve"> Indigenous land rights and a role for Indigenous advocacy </w:t>
      </w:r>
      <w:r>
        <w:rPr>
          <w:lang w:val="en-GB"/>
        </w:rPr>
        <w:t>organisation</w:t>
      </w:r>
      <w:r w:rsidRPr="00045156">
        <w:rPr>
          <w:lang w:val="en-GB"/>
        </w:rPr>
        <w:t xml:space="preserve">s. For several years, these peak </w:t>
      </w:r>
      <w:r>
        <w:rPr>
          <w:lang w:val="en-GB"/>
        </w:rPr>
        <w:t>organisation</w:t>
      </w:r>
      <w:r w:rsidRPr="00045156">
        <w:rPr>
          <w:lang w:val="en-GB"/>
        </w:rPr>
        <w:t>s were involved with federal and provincial executive authorities in high</w:t>
      </w:r>
      <w:r w:rsidR="00BE6988">
        <w:rPr>
          <w:lang w:val="en-GB"/>
        </w:rPr>
        <w:t>-</w:t>
      </w:r>
      <w:r w:rsidRPr="00045156">
        <w:rPr>
          <w:lang w:val="en-GB"/>
        </w:rPr>
        <w:t xml:space="preserve">level constitutional negotiations leading up to the </w:t>
      </w:r>
      <w:proofErr w:type="spellStart"/>
      <w:r w:rsidRPr="00045156">
        <w:rPr>
          <w:lang w:val="en-GB"/>
        </w:rPr>
        <w:t>patriation</w:t>
      </w:r>
      <w:proofErr w:type="spellEnd"/>
      <w:r w:rsidRPr="00045156">
        <w:rPr>
          <w:lang w:val="en-GB"/>
        </w:rPr>
        <w:t xml:space="preserve"> of the Canadian </w:t>
      </w:r>
      <w:r w:rsidR="00470B69">
        <w:rPr>
          <w:lang w:val="en-GB"/>
        </w:rPr>
        <w:t>C</w:t>
      </w:r>
      <w:r w:rsidRPr="00045156">
        <w:rPr>
          <w:lang w:val="en-GB"/>
        </w:rPr>
        <w:t xml:space="preserve">onstitution in 1982. The momentum carried forward for another </w:t>
      </w:r>
      <w:r w:rsidR="00BE6988">
        <w:rPr>
          <w:lang w:val="en-GB"/>
        </w:rPr>
        <w:t xml:space="preserve">10 </w:t>
      </w:r>
      <w:r w:rsidRPr="00045156">
        <w:rPr>
          <w:lang w:val="en-GB"/>
        </w:rPr>
        <w:t>years until finally</w:t>
      </w:r>
      <w:r w:rsidR="00856151">
        <w:rPr>
          <w:lang w:val="en-GB"/>
        </w:rPr>
        <w:t>,</w:t>
      </w:r>
      <w:r w:rsidRPr="00045156">
        <w:rPr>
          <w:lang w:val="en-GB"/>
        </w:rPr>
        <w:t xml:space="preserve"> with the collapse of one last attempt to amend the Constitution Act in 1992, peak negotiations between Indigenous leaders and Canadian politicians ended.</w:t>
      </w:r>
      <w:r w:rsidRPr="00B1382E">
        <w:rPr>
          <w:rStyle w:val="FootnoteReference"/>
        </w:rPr>
        <w:footnoteReference w:id="11"/>
      </w:r>
      <w:r>
        <w:rPr>
          <w:lang w:val="en-GB"/>
        </w:rPr>
        <w:t xml:space="preserve"> The 1992–</w:t>
      </w:r>
      <w:r w:rsidRPr="00045156">
        <w:rPr>
          <w:lang w:val="en-GB"/>
        </w:rPr>
        <w:t>96</w:t>
      </w:r>
      <w:r>
        <w:rPr>
          <w:lang w:val="en-GB"/>
        </w:rPr>
        <w:t xml:space="preserve"> </w:t>
      </w:r>
      <w:r w:rsidRPr="00045156">
        <w:rPr>
          <w:lang w:val="en-GB"/>
        </w:rPr>
        <w:t>Royal Commission on Aboriginal Peoples, a massive policy evaluation initiative, was one consequence of this sequence of events. It will be discussed below.</w:t>
      </w:r>
    </w:p>
    <w:p w:rsidR="00251192" w:rsidRPr="00045156" w:rsidRDefault="00251192" w:rsidP="00251192">
      <w:pPr>
        <w:pStyle w:val="BodyText"/>
        <w:rPr>
          <w:i/>
          <w:iCs/>
          <w:spacing w:val="-11"/>
          <w:lang w:val="en-GB"/>
        </w:rPr>
      </w:pPr>
      <w:r w:rsidRPr="00045156">
        <w:rPr>
          <w:lang w:val="en-GB"/>
        </w:rPr>
        <w:t xml:space="preserve">Below the level of high politics, other changes were underway. Starting in the </w:t>
      </w:r>
      <w:proofErr w:type="spellStart"/>
      <w:r w:rsidRPr="00045156">
        <w:rPr>
          <w:lang w:val="en-GB"/>
        </w:rPr>
        <w:t>1950s</w:t>
      </w:r>
      <w:proofErr w:type="spellEnd"/>
      <w:r w:rsidRPr="00045156">
        <w:rPr>
          <w:lang w:val="en-GB"/>
        </w:rPr>
        <w:t xml:space="preserve">, Indigenous people began moving from the countryside to the cities, leaving reserves and their traditional territories. The result is that now over half the Aboriginal population live in small and large Canadian cities. This demographic </w:t>
      </w:r>
      <w:r w:rsidRPr="00045156">
        <w:rPr>
          <w:lang w:val="en-GB"/>
        </w:rPr>
        <w:lastRenderedPageBreak/>
        <w:t>change began to have pronounced effect just as a major sea change</w:t>
      </w:r>
      <w:r w:rsidR="00592B2D">
        <w:rPr>
          <w:lang w:val="en-GB"/>
        </w:rPr>
        <w:t>,</w:t>
      </w:r>
      <w:r w:rsidRPr="00045156">
        <w:rPr>
          <w:lang w:val="en-GB"/>
        </w:rPr>
        <w:t xml:space="preserve"> </w:t>
      </w:r>
      <w:r w:rsidR="00592B2D" w:rsidRPr="00045156">
        <w:rPr>
          <w:lang w:val="en-GB"/>
        </w:rPr>
        <w:t xml:space="preserve">often referred to as the </w:t>
      </w:r>
      <w:r w:rsidR="00592B2D">
        <w:rPr>
          <w:lang w:val="en-GB"/>
        </w:rPr>
        <w:t>‘</w:t>
      </w:r>
      <w:r w:rsidR="00592B2D" w:rsidRPr="00045156">
        <w:rPr>
          <w:lang w:val="en-GB"/>
        </w:rPr>
        <w:t>neo-liberal turn</w:t>
      </w:r>
      <w:r w:rsidR="00592B2D">
        <w:rPr>
          <w:lang w:val="en-GB"/>
        </w:rPr>
        <w:t xml:space="preserve">’, </w:t>
      </w:r>
      <w:r w:rsidRPr="00045156">
        <w:rPr>
          <w:lang w:val="en-GB"/>
        </w:rPr>
        <w:t>in Canadian politics began.</w:t>
      </w:r>
    </w:p>
    <w:p w:rsidR="00251192" w:rsidRPr="00045156" w:rsidRDefault="00251192" w:rsidP="00251192">
      <w:pPr>
        <w:pStyle w:val="BodyText"/>
        <w:rPr>
          <w:spacing w:val="-4"/>
          <w:lang w:val="en-GB"/>
        </w:rPr>
      </w:pPr>
      <w:r w:rsidRPr="00045156">
        <w:rPr>
          <w:lang w:val="en-GB"/>
        </w:rPr>
        <w:t xml:space="preserve">Although changes in governance began to be talked about in the </w:t>
      </w:r>
      <w:proofErr w:type="spellStart"/>
      <w:r w:rsidRPr="00045156">
        <w:rPr>
          <w:lang w:val="en-GB"/>
        </w:rPr>
        <w:t>1980s</w:t>
      </w:r>
      <w:proofErr w:type="spellEnd"/>
      <w:r w:rsidRPr="00045156">
        <w:rPr>
          <w:lang w:val="en-GB"/>
        </w:rPr>
        <w:t xml:space="preserve">, major neo-liberal changes </w:t>
      </w:r>
      <w:r w:rsidRPr="00045156">
        <w:rPr>
          <w:spacing w:val="-11"/>
          <w:lang w:val="en-GB"/>
        </w:rPr>
        <w:t>began in Canada in 1993 under the Liberal government then led by Jean Chr</w:t>
      </w:r>
      <w:r w:rsidRPr="00045156">
        <w:rPr>
          <w:lang w:val="en-GB"/>
        </w:rPr>
        <w:t>étien. The changes have accelerated and deepened under successive Conservative governments led by Prime Minister Stephen Harper since 2006.</w:t>
      </w:r>
      <w:r w:rsidRPr="00B1382E">
        <w:rPr>
          <w:rStyle w:val="FootnoteReference"/>
        </w:rPr>
        <w:footnoteReference w:id="12"/>
      </w:r>
      <w:r>
        <w:rPr>
          <w:lang w:val="en-GB"/>
        </w:rPr>
        <w:t xml:space="preserve"> </w:t>
      </w:r>
      <w:r w:rsidRPr="00045156">
        <w:rPr>
          <w:lang w:val="en-GB"/>
        </w:rPr>
        <w:t xml:space="preserve">In the early </w:t>
      </w:r>
      <w:proofErr w:type="spellStart"/>
      <w:r w:rsidRPr="00045156">
        <w:rPr>
          <w:lang w:val="en-GB"/>
        </w:rPr>
        <w:t>1990s</w:t>
      </w:r>
      <w:proofErr w:type="spellEnd"/>
      <w:r w:rsidRPr="00045156">
        <w:rPr>
          <w:lang w:val="en-GB"/>
        </w:rPr>
        <w:t xml:space="preserve">, Jean </w:t>
      </w:r>
      <w:r w:rsidRPr="00045156">
        <w:rPr>
          <w:spacing w:val="-11"/>
          <w:lang w:val="en-GB"/>
        </w:rPr>
        <w:t>Chr</w:t>
      </w:r>
      <w:r w:rsidRPr="00045156">
        <w:rPr>
          <w:lang w:val="en-GB"/>
        </w:rPr>
        <w:t xml:space="preserve">étien and his Minister of Finance, Paul Martin, confronted a large public debt and a growing annual deficit, as well as increasingly uneasy international lenders. They developed a coordinated approach that ultimately transformed federal shared-cost programs in the areas of health and education (to limit previously very flexible federal financial commitments) and initiated a </w:t>
      </w:r>
      <w:r w:rsidR="00592B2D">
        <w:rPr>
          <w:spacing w:val="-6"/>
          <w:lang w:val="en-GB"/>
        </w:rPr>
        <w:t>p</w:t>
      </w:r>
      <w:r w:rsidRPr="00045156">
        <w:rPr>
          <w:spacing w:val="-6"/>
          <w:lang w:val="en-GB"/>
        </w:rPr>
        <w:t xml:space="preserve">rogram </w:t>
      </w:r>
      <w:r w:rsidR="00592B2D">
        <w:rPr>
          <w:spacing w:val="-6"/>
          <w:lang w:val="en-GB"/>
        </w:rPr>
        <w:t>r</w:t>
      </w:r>
      <w:r w:rsidRPr="00045156">
        <w:rPr>
          <w:spacing w:val="-6"/>
          <w:lang w:val="en-GB"/>
        </w:rPr>
        <w:t xml:space="preserve">eview that led to the transfer of programs and responsibilities </w:t>
      </w:r>
      <w:r w:rsidRPr="00045156">
        <w:rPr>
          <w:spacing w:val="-4"/>
          <w:lang w:val="en-GB"/>
        </w:rPr>
        <w:t xml:space="preserve">to other orders of government and to non-governmental </w:t>
      </w:r>
      <w:r>
        <w:rPr>
          <w:spacing w:val="-4"/>
          <w:lang w:val="en-GB"/>
        </w:rPr>
        <w:t>organisation</w:t>
      </w:r>
      <w:r w:rsidRPr="00045156">
        <w:rPr>
          <w:spacing w:val="-4"/>
          <w:lang w:val="en-GB"/>
        </w:rPr>
        <w:t>s.</w:t>
      </w:r>
      <w:r w:rsidRPr="00B1382E">
        <w:rPr>
          <w:rStyle w:val="FootnoteReference"/>
        </w:rPr>
        <w:footnoteReference w:id="13"/>
      </w:r>
      <w:r w:rsidRPr="00045156">
        <w:rPr>
          <w:spacing w:val="-4"/>
          <w:lang w:val="en-GB"/>
        </w:rPr>
        <w:t xml:space="preserve"> These changes were accompanied by the introduction of new protocols for public service, more direct contact between public servants and the public, and support for innovation.</w:t>
      </w:r>
      <w:r w:rsidRPr="00B1382E">
        <w:rPr>
          <w:rStyle w:val="FootnoteReference"/>
        </w:rPr>
        <w:footnoteReference w:id="14"/>
      </w:r>
      <w:r w:rsidRPr="00045156">
        <w:rPr>
          <w:spacing w:val="-4"/>
          <w:lang w:val="en-GB"/>
        </w:rPr>
        <w:t xml:space="preserve"> For Indigenous people, the focus on partnership, downloading, and contracting out created an opportunity. They began to form service delivery </w:t>
      </w:r>
      <w:r>
        <w:rPr>
          <w:spacing w:val="-4"/>
          <w:lang w:val="en-GB"/>
        </w:rPr>
        <w:t>organisation</w:t>
      </w:r>
      <w:r w:rsidRPr="00045156">
        <w:rPr>
          <w:spacing w:val="-4"/>
          <w:lang w:val="en-GB"/>
        </w:rPr>
        <w:t xml:space="preserve">s that they were able to design, staff and control, taking over services that had previously been administered by federal departments. </w:t>
      </w:r>
    </w:p>
    <w:p w:rsidR="00251192" w:rsidRPr="00B1382E" w:rsidRDefault="00251192" w:rsidP="00B1382E">
      <w:pPr>
        <w:pStyle w:val="BodyText"/>
        <w:rPr>
          <w:lang w:val="en-GB"/>
        </w:rPr>
      </w:pPr>
      <w:r w:rsidRPr="00B1382E">
        <w:rPr>
          <w:lang w:val="en-GB"/>
        </w:rPr>
        <w:t xml:space="preserve">Over nearly a decade, these organisations developed and grew, gradually creating a service provision sector largely outside of government. Though the organisations were subject to federal control through reporting requirements and evaluations, as they developed both experience and established constituencies, these became somewhat </w:t>
      </w:r>
      <w:proofErr w:type="spellStart"/>
      <w:r w:rsidRPr="00B1382E">
        <w:rPr>
          <w:lang w:val="en-GB"/>
        </w:rPr>
        <w:t>routinised</w:t>
      </w:r>
      <w:proofErr w:type="spellEnd"/>
      <w:r w:rsidRPr="00B1382E">
        <w:rPr>
          <w:lang w:val="en-GB"/>
        </w:rPr>
        <w:t xml:space="preserve">. Some of the organisations developed strong capacities for providing policy advice. Others developed ambitious programs of research and community development. The </w:t>
      </w:r>
      <w:proofErr w:type="spellStart"/>
      <w:r w:rsidRPr="00B1382E">
        <w:rPr>
          <w:lang w:val="en-GB"/>
        </w:rPr>
        <w:t>1990s</w:t>
      </w:r>
      <w:proofErr w:type="spellEnd"/>
      <w:r w:rsidRPr="00B1382E">
        <w:rPr>
          <w:lang w:val="en-GB"/>
        </w:rPr>
        <w:t xml:space="preserve"> Liberal version of the neo-liberal turn in Canada had what many saw as negative effects, such as decreased levels of social </w:t>
      </w:r>
      <w:r w:rsidRPr="00B1382E">
        <w:rPr>
          <w:lang w:val="en-GB"/>
        </w:rPr>
        <w:lastRenderedPageBreak/>
        <w:t>spending and increased fragmentation of the federation. Arguably, it also had some positive consequences in creating the room for the development of a new bureaucratic architecture of improved service provision, by Indigenous people, for Indigenous people.</w:t>
      </w:r>
      <w:r w:rsidRPr="00B1382E">
        <w:rPr>
          <w:rStyle w:val="FootnoteReference"/>
        </w:rPr>
        <w:footnoteReference w:id="15"/>
      </w:r>
      <w:r w:rsidRPr="00B1382E">
        <w:rPr>
          <w:lang w:val="en-GB"/>
        </w:rPr>
        <w:t xml:space="preserve"> </w:t>
      </w:r>
    </w:p>
    <w:p w:rsidR="00251192" w:rsidRPr="00045156" w:rsidRDefault="00251192" w:rsidP="00251192">
      <w:pPr>
        <w:pStyle w:val="BodyText"/>
        <w:rPr>
          <w:lang w:val="en-GB"/>
        </w:rPr>
      </w:pPr>
      <w:r w:rsidRPr="00045156">
        <w:rPr>
          <w:lang w:val="en-GB"/>
        </w:rPr>
        <w:t>Another characteristic of this period has been a shift in federal thinking about social policy away from universal programs of national application and</w:t>
      </w:r>
      <w:r>
        <w:rPr>
          <w:lang w:val="en-GB"/>
        </w:rPr>
        <w:t xml:space="preserve"> </w:t>
      </w:r>
      <w:r w:rsidRPr="00045156">
        <w:rPr>
          <w:lang w:val="en-GB"/>
        </w:rPr>
        <w:t>towards more place-based programming, even for programs of national reach. Although the shift to place-based social policy was to some extent an international trend, much of the impetus for this approach comes from purely Canadian circumstances, such as the sheer size and diversity of the country and the ever-present need to respond to demands from within the province of Quebec for greater provincial discretion (a matter that reached some urgency with the near</w:t>
      </w:r>
      <w:r w:rsidR="007054BE">
        <w:rPr>
          <w:lang w:val="en-GB"/>
        </w:rPr>
        <w:t xml:space="preserve"> </w:t>
      </w:r>
      <w:r w:rsidRPr="00045156">
        <w:rPr>
          <w:lang w:val="en-GB"/>
        </w:rPr>
        <w:t>success of a referendum on separation in 1995). For Indigenous peoples</w:t>
      </w:r>
      <w:r w:rsidR="00B1382E">
        <w:rPr>
          <w:lang w:val="en-GB"/>
        </w:rPr>
        <w:t>’</w:t>
      </w:r>
      <w:r w:rsidRPr="00045156">
        <w:rPr>
          <w:lang w:val="en-GB"/>
        </w:rPr>
        <w:t xml:space="preserve"> programming, the place-based approach had a number of advantages, as it admitted of greater local discretion and control, particularly in such new programs as the Urban Aboriginal Strategy </w:t>
      </w:r>
      <w:r w:rsidR="00B1382E">
        <w:rPr>
          <w:lang w:val="en-GB"/>
        </w:rPr>
        <w:t xml:space="preserve">— </w:t>
      </w:r>
      <w:r w:rsidRPr="00045156">
        <w:rPr>
          <w:lang w:val="en-GB"/>
        </w:rPr>
        <w:t xml:space="preserve">a federal funding program that aimed to increase the range and effectiveness of urban Indigenous </w:t>
      </w:r>
      <w:r>
        <w:rPr>
          <w:lang w:val="en-GB"/>
        </w:rPr>
        <w:t>organisation</w:t>
      </w:r>
      <w:r w:rsidRPr="00045156">
        <w:rPr>
          <w:lang w:val="en-GB"/>
        </w:rPr>
        <w:t>s in addressing problems and opportunities for Indigenous people in Canadian cities.</w:t>
      </w:r>
      <w:r w:rsidRPr="00B1382E">
        <w:rPr>
          <w:rStyle w:val="FootnoteReference"/>
        </w:rPr>
        <w:footnoteReference w:id="16"/>
      </w:r>
      <w:r>
        <w:rPr>
          <w:lang w:val="en-GB"/>
        </w:rPr>
        <w:t xml:space="preserve"> </w:t>
      </w:r>
      <w:r w:rsidRPr="00045156">
        <w:rPr>
          <w:lang w:val="en-GB"/>
        </w:rPr>
        <w:t>The place-based approach also promises, at least, to allow for sensitivity to local circumstances and thereby to open the prospect for more useful evaluations.</w:t>
      </w:r>
    </w:p>
    <w:p w:rsidR="00251192" w:rsidRPr="00045156" w:rsidRDefault="00251192" w:rsidP="00251192">
      <w:pPr>
        <w:pStyle w:val="BodyText"/>
        <w:rPr>
          <w:lang w:val="en-GB"/>
        </w:rPr>
      </w:pPr>
      <w:r w:rsidRPr="00045156">
        <w:rPr>
          <w:lang w:val="en-GB"/>
        </w:rPr>
        <w:t>Although the Urban Aboriginal Strategy has so far survived along with a formal commitment to place-based policy making, much of</w:t>
      </w:r>
      <w:r>
        <w:rPr>
          <w:lang w:val="en-GB"/>
        </w:rPr>
        <w:t xml:space="preserve"> </w:t>
      </w:r>
      <w:r w:rsidRPr="00045156">
        <w:rPr>
          <w:lang w:val="en-GB"/>
        </w:rPr>
        <w:t xml:space="preserve">the new program architecture that I have been describing is in the process of being dismantled by the Conservative government that has been in power since 2006, and in a majority since 2011. It is hard to know how to label this change. Core funding has been eliminated for all of the new </w:t>
      </w:r>
      <w:r>
        <w:rPr>
          <w:lang w:val="en-GB"/>
        </w:rPr>
        <w:t>organisation</w:t>
      </w:r>
      <w:r w:rsidRPr="00045156">
        <w:rPr>
          <w:lang w:val="en-GB"/>
        </w:rPr>
        <w:t xml:space="preserve">s that </w:t>
      </w:r>
      <w:r>
        <w:rPr>
          <w:lang w:val="en-GB"/>
        </w:rPr>
        <w:t>focus</w:t>
      </w:r>
      <w:r w:rsidRPr="00045156">
        <w:rPr>
          <w:lang w:val="en-GB"/>
        </w:rPr>
        <w:t xml:space="preserve">ed on research and analysis, such as the National Aboriginal Health Organization and the national Centre for First Nations Governance, which </w:t>
      </w:r>
      <w:r>
        <w:rPr>
          <w:lang w:val="en-GB"/>
        </w:rPr>
        <w:t>focus</w:t>
      </w:r>
      <w:r w:rsidRPr="00045156">
        <w:rPr>
          <w:lang w:val="en-GB"/>
        </w:rPr>
        <w:t xml:space="preserve">ed on analysis of Indigenous health issues and improving governance in First Nations communities, respectively. At the same time, specific programs built upon collaborative delivery in such areas as employment and health promotion have seen their funding cut. Accountability has become a major theme, embodied in an extremely wide-ranging piece of legislation, the 2006 </w:t>
      </w:r>
      <w:r w:rsidR="0027451E" w:rsidRPr="00ED0CC6">
        <w:rPr>
          <w:lang w:val="en-GB"/>
        </w:rPr>
        <w:t>Federal Accountability Act</w:t>
      </w:r>
      <w:r>
        <w:rPr>
          <w:lang w:val="en-GB"/>
        </w:rPr>
        <w:t>.</w:t>
      </w:r>
      <w:r w:rsidRPr="00045156">
        <w:rPr>
          <w:lang w:val="en-GB"/>
        </w:rPr>
        <w:t xml:space="preserve"> This omnibus law changed many areas of federal activity, including the evaluation and audit functions.</w:t>
      </w:r>
      <w:r w:rsidRPr="00B1382E">
        <w:rPr>
          <w:rStyle w:val="FootnoteReference"/>
        </w:rPr>
        <w:footnoteReference w:id="17"/>
      </w:r>
      <w:r>
        <w:rPr>
          <w:lang w:val="en-GB"/>
        </w:rPr>
        <w:t xml:space="preserve"> </w:t>
      </w:r>
      <w:r w:rsidRPr="00045156">
        <w:rPr>
          <w:lang w:val="en-GB"/>
        </w:rPr>
        <w:t xml:space="preserve">The focus of this Act is on fiscal </w:t>
      </w:r>
      <w:r w:rsidRPr="00045156">
        <w:rPr>
          <w:lang w:val="en-GB"/>
        </w:rPr>
        <w:lastRenderedPageBreak/>
        <w:t>probity, the responsibilities of senior officials, and</w:t>
      </w:r>
      <w:r>
        <w:rPr>
          <w:lang w:val="en-GB"/>
        </w:rPr>
        <w:t xml:space="preserve"> </w:t>
      </w:r>
      <w:r w:rsidRPr="00045156">
        <w:rPr>
          <w:lang w:val="en-GB"/>
        </w:rPr>
        <w:t>internal audit, but it is</w:t>
      </w:r>
      <w:r>
        <w:rPr>
          <w:lang w:val="en-GB"/>
        </w:rPr>
        <w:t xml:space="preserve"> </w:t>
      </w:r>
      <w:r w:rsidRPr="00045156">
        <w:rPr>
          <w:lang w:val="en-GB"/>
        </w:rPr>
        <w:t xml:space="preserve">also accompanied by policy authority to enable </w:t>
      </w:r>
      <w:r w:rsidR="00B1382E">
        <w:rPr>
          <w:lang w:val="en-GB"/>
        </w:rPr>
        <w:t>‘</w:t>
      </w:r>
      <w:r w:rsidRPr="00045156">
        <w:rPr>
          <w:lang w:val="en-GB"/>
        </w:rPr>
        <w:t>the development of best practices and ensuring consistency in discipline across the core public administration, through the Deputy Ministers Advisory Committee on the Management of Compliance</w:t>
      </w:r>
      <w:r w:rsidR="00B1382E">
        <w:rPr>
          <w:lang w:val="en-GB"/>
        </w:rPr>
        <w:t>’</w:t>
      </w:r>
      <w:r w:rsidRPr="00045156">
        <w:rPr>
          <w:lang w:val="en-GB"/>
        </w:rPr>
        <w:t xml:space="preserve">. </w:t>
      </w:r>
    </w:p>
    <w:p w:rsidR="00251192" w:rsidRPr="00045156" w:rsidRDefault="00251192" w:rsidP="00251192">
      <w:pPr>
        <w:pStyle w:val="BodyText"/>
        <w:rPr>
          <w:spacing w:val="-11"/>
          <w:lang w:val="en-GB"/>
        </w:rPr>
      </w:pPr>
      <w:r w:rsidRPr="00045156">
        <w:rPr>
          <w:lang w:val="en-GB"/>
        </w:rPr>
        <w:t xml:space="preserve">As I write, very wide-ranging changes are being implemented in most areas of Canadian public affairs. The changes most pertinent here concern changes to various institutions devoted to collecting evidence and information necessary for policy development (such as abolition of the mandatory long form census) and to diminishing the number and changing the character of </w:t>
      </w:r>
      <w:r w:rsidR="00B1382E">
        <w:rPr>
          <w:lang w:val="en-GB"/>
        </w:rPr>
        <w:t>‘</w:t>
      </w:r>
      <w:r w:rsidRPr="00045156">
        <w:rPr>
          <w:lang w:val="en-GB"/>
        </w:rPr>
        <w:t>third sector</w:t>
      </w:r>
      <w:r w:rsidR="00B1382E">
        <w:rPr>
          <w:lang w:val="en-GB"/>
        </w:rPr>
        <w:t>’</w:t>
      </w:r>
      <w:r w:rsidRPr="00045156">
        <w:rPr>
          <w:lang w:val="en-GB"/>
        </w:rPr>
        <w:t xml:space="preserve"> or </w:t>
      </w:r>
      <w:proofErr w:type="spellStart"/>
      <w:r w:rsidRPr="00045156">
        <w:rPr>
          <w:lang w:val="en-GB"/>
        </w:rPr>
        <w:t>para</w:t>
      </w:r>
      <w:proofErr w:type="spellEnd"/>
      <w:r w:rsidRPr="00045156">
        <w:rPr>
          <w:lang w:val="en-GB"/>
        </w:rPr>
        <w:t xml:space="preserve">-public institutions, mainly but not exclusively through funding cuts. </w:t>
      </w:r>
    </w:p>
    <w:p w:rsidR="00251192" w:rsidRPr="00045156" w:rsidRDefault="00251192" w:rsidP="00251192">
      <w:pPr>
        <w:pStyle w:val="BodyText"/>
        <w:rPr>
          <w:b/>
          <w:lang w:val="en-GB"/>
        </w:rPr>
      </w:pPr>
      <w:r w:rsidRPr="00045156">
        <w:rPr>
          <w:lang w:val="en-GB"/>
        </w:rPr>
        <w:t>The remainder of this paper discusses three kinds of evaluation that have been important in Indigenous administration in Canada:</w:t>
      </w:r>
      <w:r>
        <w:rPr>
          <w:lang w:val="en-GB"/>
        </w:rPr>
        <w:t xml:space="preserve"> </w:t>
      </w:r>
      <w:r w:rsidRPr="00045156">
        <w:rPr>
          <w:lang w:val="en-GB"/>
        </w:rPr>
        <w:t>departmental program evaluations, the value-for-money audits of the Office of the Auditor-General, and large</w:t>
      </w:r>
      <w:r w:rsidR="00470B69">
        <w:rPr>
          <w:lang w:val="en-GB"/>
        </w:rPr>
        <w:t>-</w:t>
      </w:r>
      <w:r w:rsidRPr="00045156">
        <w:rPr>
          <w:lang w:val="en-GB"/>
        </w:rPr>
        <w:t>scale policy evaluations undertaken by task forces and royal commissions. In each case, an example has been chosen for purposes of illustration.</w:t>
      </w:r>
    </w:p>
    <w:p w:rsidR="00251192" w:rsidRPr="00045156" w:rsidRDefault="0095163F" w:rsidP="00251192">
      <w:pPr>
        <w:pStyle w:val="Heading2"/>
        <w:rPr>
          <w:lang w:val="en-GB"/>
        </w:rPr>
      </w:pPr>
      <w:r>
        <w:rPr>
          <w:lang w:val="en-GB"/>
        </w:rPr>
        <w:t>11</w:t>
      </w:r>
      <w:r w:rsidR="00251192">
        <w:rPr>
          <w:lang w:val="en-GB"/>
        </w:rPr>
        <w:t>.5</w:t>
      </w:r>
      <w:r w:rsidR="00251192">
        <w:rPr>
          <w:lang w:val="en-GB"/>
        </w:rPr>
        <w:tab/>
        <w:t>Program e</w:t>
      </w:r>
      <w:r w:rsidR="00251192" w:rsidRPr="00045156">
        <w:rPr>
          <w:lang w:val="en-GB"/>
        </w:rPr>
        <w:t>valuation</w:t>
      </w:r>
    </w:p>
    <w:p w:rsidR="00251192" w:rsidRPr="00045156" w:rsidRDefault="00251192" w:rsidP="00251192">
      <w:pPr>
        <w:pStyle w:val="BodyText"/>
        <w:rPr>
          <w:lang w:val="en-GB"/>
        </w:rPr>
      </w:pPr>
      <w:r w:rsidRPr="00045156">
        <w:rPr>
          <w:lang w:val="en-GB"/>
        </w:rPr>
        <w:t xml:space="preserve">Program evaluation is an integral, mandatory function in all departments of the Canadian federal government. For present purposes, I have chosen to describe the function in the Department of Aboriginal Affairs and Northern Development </w:t>
      </w:r>
      <w:r w:rsidR="00D41848">
        <w:rPr>
          <w:lang w:val="en-GB"/>
        </w:rPr>
        <w:t xml:space="preserve">Canada </w:t>
      </w:r>
      <w:r w:rsidRPr="00045156">
        <w:rPr>
          <w:lang w:val="en-GB"/>
        </w:rPr>
        <w:t>(</w:t>
      </w:r>
      <w:proofErr w:type="spellStart"/>
      <w:r w:rsidRPr="00045156">
        <w:rPr>
          <w:lang w:val="en-GB"/>
        </w:rPr>
        <w:t>AANDC</w:t>
      </w:r>
      <w:proofErr w:type="spellEnd"/>
      <w:r w:rsidRPr="00045156">
        <w:rPr>
          <w:lang w:val="en-GB"/>
        </w:rPr>
        <w:t>). This is far from the only department that has responsib</w:t>
      </w:r>
      <w:r>
        <w:rPr>
          <w:lang w:val="en-GB"/>
        </w:rPr>
        <w:t xml:space="preserve">ilities to Indigenous peoples — </w:t>
      </w:r>
      <w:r w:rsidRPr="00045156">
        <w:rPr>
          <w:lang w:val="en-GB"/>
        </w:rPr>
        <w:t>other important ones include Health, and Natural Resource</w:t>
      </w:r>
      <w:r>
        <w:rPr>
          <w:lang w:val="en-GB"/>
        </w:rPr>
        <w:t>s —</w:t>
      </w:r>
      <w:r w:rsidRPr="00045156">
        <w:rPr>
          <w:lang w:val="en-GB"/>
        </w:rPr>
        <w:t xml:space="preserve"> but </w:t>
      </w:r>
      <w:proofErr w:type="spellStart"/>
      <w:r w:rsidRPr="00045156">
        <w:rPr>
          <w:lang w:val="en-GB"/>
        </w:rPr>
        <w:t>AANDC</w:t>
      </w:r>
      <w:proofErr w:type="spellEnd"/>
      <w:r w:rsidRPr="00045156">
        <w:rPr>
          <w:lang w:val="en-GB"/>
        </w:rPr>
        <w:t xml:space="preserve"> is the only federal department for which Indigenous peoples</w:t>
      </w:r>
      <w:r w:rsidR="00B1382E">
        <w:rPr>
          <w:lang w:val="en-GB"/>
        </w:rPr>
        <w:t>’</w:t>
      </w:r>
      <w:r w:rsidRPr="00045156">
        <w:rPr>
          <w:lang w:val="en-GB"/>
        </w:rPr>
        <w:t xml:space="preserve"> affairs form the main focus of its mandate.</w:t>
      </w:r>
    </w:p>
    <w:p w:rsidR="00251192" w:rsidRPr="00045156" w:rsidRDefault="00251192" w:rsidP="00251192">
      <w:pPr>
        <w:pStyle w:val="BodyText"/>
        <w:rPr>
          <w:shd w:val="clear" w:color="auto" w:fill="FFFFFF"/>
          <w:lang w:val="en-GB"/>
        </w:rPr>
      </w:pPr>
      <w:r w:rsidRPr="00045156">
        <w:rPr>
          <w:shd w:val="clear" w:color="auto" w:fill="FFFFFF"/>
          <w:lang w:val="en-GB"/>
        </w:rPr>
        <w:t xml:space="preserve">The Audit and Evaluation Sector of </w:t>
      </w:r>
      <w:proofErr w:type="spellStart"/>
      <w:r w:rsidR="00D41848">
        <w:rPr>
          <w:shd w:val="clear" w:color="auto" w:fill="FFFFFF"/>
          <w:lang w:val="en-GB"/>
        </w:rPr>
        <w:t>AANDC</w:t>
      </w:r>
      <w:proofErr w:type="spellEnd"/>
      <w:r w:rsidR="00D41848">
        <w:rPr>
          <w:shd w:val="clear" w:color="auto" w:fill="FFFFFF"/>
          <w:lang w:val="en-GB"/>
        </w:rPr>
        <w:t xml:space="preserve"> </w:t>
      </w:r>
      <w:r w:rsidRPr="00045156">
        <w:rPr>
          <w:shd w:val="clear" w:color="auto" w:fill="FFFFFF"/>
          <w:lang w:val="en-GB"/>
        </w:rPr>
        <w:t>conducts audits, evaluations, management practices reviews or audits and other special studies of</w:t>
      </w:r>
      <w:r w:rsidR="00B1382E">
        <w:rPr>
          <w:shd w:val="clear" w:color="auto" w:fill="FFFFFF"/>
          <w:lang w:val="en-GB"/>
        </w:rPr>
        <w:t xml:space="preserve"> </w:t>
      </w:r>
      <w:r w:rsidRPr="00045156">
        <w:rPr>
          <w:shd w:val="clear" w:color="auto" w:fill="FFFFFF"/>
          <w:lang w:val="en-GB"/>
        </w:rPr>
        <w:t>departmental programs and initiatives.</w:t>
      </w:r>
      <w:r w:rsidRPr="00B1382E">
        <w:rPr>
          <w:rStyle w:val="FootnoteReference"/>
        </w:rPr>
        <w:footnoteReference w:id="18"/>
      </w:r>
      <w:r w:rsidRPr="00045156">
        <w:rPr>
          <w:shd w:val="clear" w:color="auto" w:fill="FFFFFF"/>
          <w:lang w:val="en-GB"/>
        </w:rPr>
        <w:t xml:space="preserve"> The Department states that its goals are to ensure the appropriate use of human and financial resources, to ensure that programs and services delivered by</w:t>
      </w:r>
      <w:r w:rsidR="00B1382E">
        <w:rPr>
          <w:shd w:val="clear" w:color="auto" w:fill="FFFFFF"/>
          <w:lang w:val="en-GB"/>
        </w:rPr>
        <w:t xml:space="preserve"> </w:t>
      </w:r>
      <w:proofErr w:type="spellStart"/>
      <w:r w:rsidRPr="00045156">
        <w:rPr>
          <w:shd w:val="clear" w:color="auto" w:fill="FFFFFF"/>
          <w:lang w:val="en-GB"/>
        </w:rPr>
        <w:t>AANDC</w:t>
      </w:r>
      <w:proofErr w:type="spellEnd"/>
      <w:r w:rsidR="00B1382E">
        <w:rPr>
          <w:shd w:val="clear" w:color="auto" w:fill="FFFFFF"/>
          <w:lang w:val="en-GB"/>
        </w:rPr>
        <w:t xml:space="preserve"> </w:t>
      </w:r>
      <w:r w:rsidRPr="00045156">
        <w:rPr>
          <w:shd w:val="clear" w:color="auto" w:fill="FFFFFF"/>
          <w:lang w:val="en-GB"/>
        </w:rPr>
        <w:t xml:space="preserve">are relevant, efficient and effective, and to </w:t>
      </w:r>
      <w:r w:rsidR="00B1382E">
        <w:rPr>
          <w:shd w:val="clear" w:color="auto" w:fill="FFFFFF"/>
          <w:lang w:val="en-GB"/>
        </w:rPr>
        <w:t>‘</w:t>
      </w:r>
      <w:r w:rsidRPr="00045156">
        <w:rPr>
          <w:shd w:val="clear" w:color="auto" w:fill="FFFFFF"/>
          <w:lang w:val="en-GB"/>
        </w:rPr>
        <w:t>provide stakeholders with an evidence-based, neutral assessment of the value for money</w:t>
      </w:r>
      <w:r w:rsidR="00B1382E">
        <w:rPr>
          <w:shd w:val="clear" w:color="auto" w:fill="FFFFFF"/>
          <w:lang w:val="en-GB"/>
        </w:rPr>
        <w:t>’</w:t>
      </w:r>
      <w:r w:rsidRPr="00045156">
        <w:rPr>
          <w:shd w:val="clear" w:color="auto" w:fill="FFFFFF"/>
          <w:lang w:val="en-GB"/>
        </w:rPr>
        <w:t>.</w:t>
      </w:r>
      <w:r>
        <w:rPr>
          <w:shd w:val="clear" w:color="auto" w:fill="FFFFFF"/>
          <w:lang w:val="en-GB"/>
        </w:rPr>
        <w:t xml:space="preserve"> </w:t>
      </w:r>
      <w:r w:rsidRPr="00045156">
        <w:rPr>
          <w:shd w:val="clear" w:color="auto" w:fill="FFFFFF"/>
          <w:lang w:val="en-GB"/>
        </w:rPr>
        <w:t>As many of the Department</w:t>
      </w:r>
      <w:r w:rsidR="00B1382E">
        <w:rPr>
          <w:shd w:val="clear" w:color="auto" w:fill="FFFFFF"/>
          <w:lang w:val="en-GB"/>
        </w:rPr>
        <w:t>’</w:t>
      </w:r>
      <w:r w:rsidRPr="00045156">
        <w:rPr>
          <w:shd w:val="clear" w:color="auto" w:fill="FFFFFF"/>
          <w:lang w:val="en-GB"/>
        </w:rPr>
        <w:t xml:space="preserve">s responsibilities have been devolved to First Nations authorities, evaluations frequently involve service providers and authorities who do their work under various forms of contract to the Department. </w:t>
      </w:r>
    </w:p>
    <w:p w:rsidR="00251192" w:rsidRPr="00045156" w:rsidRDefault="00251192" w:rsidP="00251192">
      <w:pPr>
        <w:pStyle w:val="BodyText"/>
        <w:rPr>
          <w:lang w:val="en-GB"/>
        </w:rPr>
      </w:pPr>
      <w:r w:rsidRPr="00045156">
        <w:rPr>
          <w:lang w:val="en-GB"/>
        </w:rPr>
        <w:lastRenderedPageBreak/>
        <w:t xml:space="preserve">The mandate of </w:t>
      </w:r>
      <w:proofErr w:type="spellStart"/>
      <w:r w:rsidRPr="00045156">
        <w:rPr>
          <w:lang w:val="en-GB"/>
        </w:rPr>
        <w:t>AANDC</w:t>
      </w:r>
      <w:proofErr w:type="spellEnd"/>
      <w:r w:rsidRPr="00045156">
        <w:rPr>
          <w:lang w:val="en-GB"/>
        </w:rPr>
        <w:t xml:space="preserve"> derives from the </w:t>
      </w:r>
      <w:r w:rsidRPr="00D41848">
        <w:rPr>
          <w:lang w:val="en-GB"/>
        </w:rPr>
        <w:t>Canadian Constitution, the Indian Act, the Department of Indian Affairs and Northern Development Act</w:t>
      </w:r>
      <w:r w:rsidRPr="00B1382E">
        <w:rPr>
          <w:rStyle w:val="FootnoteReference"/>
        </w:rPr>
        <w:footnoteReference w:id="19"/>
      </w:r>
      <w:r>
        <w:rPr>
          <w:lang w:val="en-GB"/>
        </w:rPr>
        <w:t>,</w:t>
      </w:r>
      <w:r w:rsidRPr="00045156">
        <w:rPr>
          <w:lang w:val="en-GB"/>
        </w:rPr>
        <w:t xml:space="preserve"> territorial acts, treaties, comprehensive claims and self–government agreements as well as various other statutes affecting Aboriginal people and the North. The mandate for the Department</w:t>
      </w:r>
      <w:r w:rsidR="00B1382E">
        <w:rPr>
          <w:lang w:val="en-GB"/>
        </w:rPr>
        <w:t>’</w:t>
      </w:r>
      <w:r w:rsidRPr="00045156">
        <w:rPr>
          <w:lang w:val="en-GB"/>
        </w:rPr>
        <w:t>s audit and evaluation function, in turn,</w:t>
      </w:r>
      <w:r>
        <w:rPr>
          <w:lang w:val="en-GB"/>
        </w:rPr>
        <w:t xml:space="preserve"> </w:t>
      </w:r>
      <w:r w:rsidRPr="00045156">
        <w:rPr>
          <w:lang w:val="en-GB"/>
        </w:rPr>
        <w:t>is governed by three policies:</w:t>
      </w:r>
      <w:r>
        <w:rPr>
          <w:lang w:val="en-GB"/>
        </w:rPr>
        <w:t xml:space="preserve"> </w:t>
      </w:r>
    </w:p>
    <w:p w:rsidR="00251192" w:rsidRPr="00045156" w:rsidRDefault="00251192" w:rsidP="00251192">
      <w:pPr>
        <w:pStyle w:val="BodyText"/>
        <w:ind w:left="720" w:hanging="720"/>
        <w:rPr>
          <w:lang w:val="en-GB"/>
        </w:rPr>
      </w:pPr>
      <w:r w:rsidRPr="00045156">
        <w:rPr>
          <w:lang w:val="en-GB"/>
        </w:rPr>
        <w:t>(1)</w:t>
      </w:r>
      <w:r>
        <w:rPr>
          <w:lang w:val="en-GB"/>
        </w:rPr>
        <w:tab/>
      </w:r>
      <w:r w:rsidRPr="00045156">
        <w:rPr>
          <w:lang w:val="en-GB"/>
        </w:rPr>
        <w:t xml:space="preserve">The departmental </w:t>
      </w:r>
      <w:r w:rsidR="00470B69">
        <w:rPr>
          <w:lang w:val="en-GB"/>
        </w:rPr>
        <w:t>m</w:t>
      </w:r>
      <w:r w:rsidRPr="00045156">
        <w:rPr>
          <w:lang w:val="en-GB"/>
        </w:rPr>
        <w:t xml:space="preserve">anagement, </w:t>
      </w:r>
      <w:r w:rsidR="00470B69">
        <w:rPr>
          <w:lang w:val="en-GB"/>
        </w:rPr>
        <w:t>r</w:t>
      </w:r>
      <w:r w:rsidRPr="00045156">
        <w:rPr>
          <w:lang w:val="en-GB"/>
        </w:rPr>
        <w:t xml:space="preserve">esources and </w:t>
      </w:r>
      <w:r w:rsidR="00470B69">
        <w:rPr>
          <w:lang w:val="en-GB"/>
        </w:rPr>
        <w:t>r</w:t>
      </w:r>
      <w:r w:rsidRPr="00045156">
        <w:rPr>
          <w:lang w:val="en-GB"/>
        </w:rPr>
        <w:t xml:space="preserve">esults </w:t>
      </w:r>
      <w:r w:rsidR="00470B69">
        <w:rPr>
          <w:lang w:val="en-GB"/>
        </w:rPr>
        <w:t>s</w:t>
      </w:r>
      <w:r w:rsidRPr="00045156">
        <w:rPr>
          <w:lang w:val="en-GB"/>
        </w:rPr>
        <w:t>tructures provide the framework for the systematic collection and analysis of performance information.</w:t>
      </w:r>
    </w:p>
    <w:p w:rsidR="00251192" w:rsidRPr="00045156" w:rsidRDefault="00251192" w:rsidP="00251192">
      <w:pPr>
        <w:pStyle w:val="BodyText"/>
        <w:ind w:left="720" w:hanging="720"/>
        <w:rPr>
          <w:lang w:val="en-GB"/>
        </w:rPr>
      </w:pPr>
      <w:r w:rsidRPr="00045156">
        <w:rPr>
          <w:lang w:val="en-GB"/>
        </w:rPr>
        <w:t>(2)</w:t>
      </w:r>
      <w:r>
        <w:rPr>
          <w:lang w:val="en-GB"/>
        </w:rPr>
        <w:tab/>
      </w:r>
      <w:r w:rsidRPr="00045156">
        <w:rPr>
          <w:lang w:val="en-GB"/>
        </w:rPr>
        <w:t xml:space="preserve">The service-wide </w:t>
      </w:r>
      <w:r w:rsidR="0027451E" w:rsidRPr="00ED0CC6">
        <w:rPr>
          <w:lang w:val="en-GB"/>
        </w:rPr>
        <w:t>Financial Administration Act</w:t>
      </w:r>
      <w:r w:rsidRPr="00D41848">
        <w:rPr>
          <w:lang w:val="en-GB"/>
        </w:rPr>
        <w:t xml:space="preserve"> </w:t>
      </w:r>
      <w:r w:rsidRPr="00045156">
        <w:rPr>
          <w:lang w:val="en-GB"/>
        </w:rPr>
        <w:t>requires that there be an evaluation of all ongoing grants and contributions programs every five years.</w:t>
      </w:r>
    </w:p>
    <w:p w:rsidR="00251192" w:rsidRPr="00045156" w:rsidRDefault="00251192" w:rsidP="00251192">
      <w:pPr>
        <w:pStyle w:val="BodyText"/>
        <w:ind w:left="720" w:hanging="720"/>
        <w:rPr>
          <w:lang w:val="en-GB"/>
        </w:rPr>
      </w:pPr>
      <w:r w:rsidRPr="00045156">
        <w:rPr>
          <w:lang w:val="en-GB"/>
        </w:rPr>
        <w:t>(3)</w:t>
      </w:r>
      <w:r>
        <w:rPr>
          <w:lang w:val="en-GB"/>
        </w:rPr>
        <w:tab/>
      </w:r>
      <w:r w:rsidRPr="00045156">
        <w:rPr>
          <w:lang w:val="en-GB"/>
        </w:rPr>
        <w:t>The Directive on the Evaluation Function</w:t>
      </w:r>
      <w:r>
        <w:rPr>
          <w:lang w:val="en-GB"/>
        </w:rPr>
        <w:t xml:space="preserve"> </w:t>
      </w:r>
      <w:r w:rsidRPr="00045156">
        <w:rPr>
          <w:lang w:val="en-GB"/>
        </w:rPr>
        <w:t>mandates a risk-based approach for determining methodologies, the level of effort, and the appropriate level of resources required to conduct each evaluation.</w:t>
      </w:r>
    </w:p>
    <w:p w:rsidR="00251192" w:rsidRPr="00045156" w:rsidRDefault="00251192" w:rsidP="00251192">
      <w:pPr>
        <w:pStyle w:val="BodyText"/>
        <w:rPr>
          <w:lang w:val="en-GB"/>
        </w:rPr>
      </w:pPr>
      <w:proofErr w:type="spellStart"/>
      <w:r w:rsidRPr="00045156">
        <w:rPr>
          <w:lang w:val="en-GB"/>
        </w:rPr>
        <w:t>AANDC</w:t>
      </w:r>
      <w:proofErr w:type="spellEnd"/>
      <w:r w:rsidRPr="00045156">
        <w:rPr>
          <w:lang w:val="en-GB"/>
        </w:rPr>
        <w:t xml:space="preserve"> is required to develop five-year </w:t>
      </w:r>
      <w:r w:rsidR="00D41848">
        <w:rPr>
          <w:lang w:val="en-GB"/>
        </w:rPr>
        <w:t>e</w:t>
      </w:r>
      <w:r w:rsidRPr="00045156">
        <w:rPr>
          <w:lang w:val="en-GB"/>
        </w:rPr>
        <w:t xml:space="preserve">valuation </w:t>
      </w:r>
      <w:r w:rsidR="00D41848">
        <w:rPr>
          <w:lang w:val="en-GB"/>
        </w:rPr>
        <w:t>p</w:t>
      </w:r>
      <w:r w:rsidRPr="00045156">
        <w:rPr>
          <w:lang w:val="en-GB"/>
        </w:rPr>
        <w:t>lans. E</w:t>
      </w:r>
      <w:r>
        <w:rPr>
          <w:lang w:val="en-GB"/>
        </w:rPr>
        <w:t>ach five-year p</w:t>
      </w:r>
      <w:r w:rsidRPr="00045156">
        <w:rPr>
          <w:lang w:val="en-GB"/>
        </w:rPr>
        <w:t>lan must be updated and approved by the Evaluation, Performance Measurement and Review Committee (</w:t>
      </w:r>
      <w:proofErr w:type="spellStart"/>
      <w:r w:rsidRPr="00045156">
        <w:rPr>
          <w:lang w:val="en-GB"/>
        </w:rPr>
        <w:t>EPMRC</w:t>
      </w:r>
      <w:proofErr w:type="spellEnd"/>
      <w:r w:rsidRPr="00045156">
        <w:rPr>
          <w:lang w:val="en-GB"/>
        </w:rPr>
        <w:t xml:space="preserve">), chaired by the </w:t>
      </w:r>
      <w:r w:rsidR="00470B69">
        <w:rPr>
          <w:lang w:val="en-GB"/>
        </w:rPr>
        <w:t>d</w:t>
      </w:r>
      <w:r w:rsidRPr="00045156">
        <w:rPr>
          <w:lang w:val="en-GB"/>
        </w:rPr>
        <w:t xml:space="preserve">eputy </w:t>
      </w:r>
      <w:r w:rsidR="00470B69">
        <w:rPr>
          <w:lang w:val="en-GB"/>
        </w:rPr>
        <w:t>m</w:t>
      </w:r>
      <w:r w:rsidRPr="00045156">
        <w:rPr>
          <w:lang w:val="en-GB"/>
        </w:rPr>
        <w:t xml:space="preserve">inister. </w:t>
      </w:r>
      <w:r w:rsidRPr="00045156">
        <w:rPr>
          <w:color w:val="000000"/>
          <w:shd w:val="clear" w:color="auto" w:fill="FFFFFF"/>
          <w:lang w:val="en-GB"/>
        </w:rPr>
        <w:t xml:space="preserve">The </w:t>
      </w:r>
      <w:proofErr w:type="spellStart"/>
      <w:r w:rsidRPr="00045156">
        <w:rPr>
          <w:color w:val="000000"/>
          <w:shd w:val="clear" w:color="auto" w:fill="FFFFFF"/>
          <w:lang w:val="en-GB"/>
        </w:rPr>
        <w:t>EPMRC</w:t>
      </w:r>
      <w:proofErr w:type="spellEnd"/>
      <w:r w:rsidRPr="00045156">
        <w:rPr>
          <w:color w:val="000000"/>
          <w:shd w:val="clear" w:color="auto" w:fill="FFFFFF"/>
          <w:lang w:val="en-GB"/>
        </w:rPr>
        <w:t xml:space="preserve"> includes external members to ensure </w:t>
      </w:r>
      <w:r w:rsidR="00B1382E">
        <w:rPr>
          <w:color w:val="000000"/>
          <w:shd w:val="clear" w:color="auto" w:fill="FFFFFF"/>
          <w:lang w:val="en-GB"/>
        </w:rPr>
        <w:t>‘</w:t>
      </w:r>
      <w:r w:rsidRPr="00045156">
        <w:rPr>
          <w:color w:val="000000"/>
          <w:shd w:val="clear" w:color="auto" w:fill="FFFFFF"/>
          <w:lang w:val="en-GB"/>
        </w:rPr>
        <w:t>rigour and objectivity</w:t>
      </w:r>
      <w:r w:rsidR="00B1382E">
        <w:rPr>
          <w:color w:val="000000"/>
          <w:shd w:val="clear" w:color="auto" w:fill="FFFFFF"/>
          <w:lang w:val="en-GB"/>
        </w:rPr>
        <w:t>’</w:t>
      </w:r>
      <w:r>
        <w:rPr>
          <w:color w:val="000000"/>
          <w:shd w:val="clear" w:color="auto" w:fill="FFFFFF"/>
          <w:lang w:val="en-GB"/>
        </w:rPr>
        <w:t xml:space="preserve"> </w:t>
      </w:r>
      <w:r w:rsidRPr="00045156">
        <w:rPr>
          <w:color w:val="000000"/>
          <w:shd w:val="clear" w:color="auto" w:fill="FFFFFF"/>
          <w:lang w:val="en-GB"/>
        </w:rPr>
        <w:t>in the oversight of</w:t>
      </w:r>
      <w:r w:rsidR="00B1382E">
        <w:rPr>
          <w:color w:val="000000"/>
          <w:shd w:val="clear" w:color="auto" w:fill="FFFFFF"/>
          <w:lang w:val="en-GB"/>
        </w:rPr>
        <w:t xml:space="preserve"> </w:t>
      </w:r>
      <w:proofErr w:type="spellStart"/>
      <w:r w:rsidRPr="00045156">
        <w:rPr>
          <w:color w:val="000000"/>
          <w:shd w:val="clear" w:color="auto" w:fill="FFFFFF"/>
          <w:lang w:val="en-GB"/>
        </w:rPr>
        <w:t>AANDC</w:t>
      </w:r>
      <w:proofErr w:type="spellEnd"/>
      <w:r w:rsidR="00B1382E">
        <w:rPr>
          <w:color w:val="000000"/>
          <w:shd w:val="clear" w:color="auto" w:fill="FFFFFF"/>
          <w:lang w:val="en-GB"/>
        </w:rPr>
        <w:t xml:space="preserve"> </w:t>
      </w:r>
      <w:r w:rsidRPr="00045156">
        <w:rPr>
          <w:color w:val="000000"/>
          <w:shd w:val="clear" w:color="auto" w:fill="FFFFFF"/>
          <w:lang w:val="en-GB"/>
        </w:rPr>
        <w:t>audit and evaluation reports.</w:t>
      </w:r>
      <w:r w:rsidRPr="00045156">
        <w:rPr>
          <w:lang w:val="en-GB"/>
        </w:rPr>
        <w:t xml:space="preserve"> Evaluations have been timed not only to fulfil the five-year cycle requirements, but also to provide sufficient time (six months to one year in advance of program continuation) for program managers and </w:t>
      </w:r>
      <w:proofErr w:type="spellStart"/>
      <w:r w:rsidRPr="00045156">
        <w:rPr>
          <w:lang w:val="en-GB"/>
        </w:rPr>
        <w:t>decisionmakers</w:t>
      </w:r>
      <w:proofErr w:type="spellEnd"/>
      <w:r w:rsidRPr="00045156">
        <w:rPr>
          <w:lang w:val="en-GB"/>
        </w:rPr>
        <w:t xml:space="preserve"> to consider evaluation findings for policy or program design renewal. To give an idea of the level of activity:</w:t>
      </w:r>
      <w:r>
        <w:rPr>
          <w:lang w:val="en-GB"/>
        </w:rPr>
        <w:t xml:space="preserve"> </w:t>
      </w:r>
      <w:r w:rsidRPr="00045156">
        <w:rPr>
          <w:lang w:val="en-GB"/>
        </w:rPr>
        <w:t xml:space="preserve">there are </w:t>
      </w:r>
      <w:r w:rsidR="00D41848">
        <w:rPr>
          <w:lang w:val="en-GB"/>
        </w:rPr>
        <w:t xml:space="preserve">48 </w:t>
      </w:r>
      <w:r w:rsidRPr="00045156">
        <w:rPr>
          <w:lang w:val="en-GB"/>
        </w:rPr>
        <w:t>evaluations scheduled to occur between 2012</w:t>
      </w:r>
      <w:r w:rsidR="00D41848">
        <w:rPr>
          <w:lang w:val="en-GB"/>
        </w:rPr>
        <w:t>-</w:t>
      </w:r>
      <w:r w:rsidRPr="00045156">
        <w:rPr>
          <w:lang w:val="en-GB"/>
        </w:rPr>
        <w:t>13 and 2016</w:t>
      </w:r>
      <w:r w:rsidR="00D41848">
        <w:rPr>
          <w:lang w:val="en-GB"/>
        </w:rPr>
        <w:t>-</w:t>
      </w:r>
      <w:r w:rsidRPr="00045156">
        <w:rPr>
          <w:lang w:val="en-GB"/>
        </w:rPr>
        <w:t>17.</w:t>
      </w:r>
    </w:p>
    <w:p w:rsidR="00251192" w:rsidRPr="00045156" w:rsidRDefault="00251192" w:rsidP="00251192">
      <w:pPr>
        <w:pStyle w:val="BodyText"/>
        <w:rPr>
          <w:color w:val="000000"/>
          <w:shd w:val="clear" w:color="auto" w:fill="FFFFFF"/>
          <w:lang w:val="en-GB"/>
        </w:rPr>
      </w:pPr>
      <w:r w:rsidRPr="00045156">
        <w:rPr>
          <w:lang w:val="en-GB"/>
        </w:rPr>
        <w:t>Evaluations are the responsibility of</w:t>
      </w:r>
      <w:r>
        <w:rPr>
          <w:lang w:val="en-GB"/>
        </w:rPr>
        <w:t xml:space="preserve"> </w:t>
      </w:r>
      <w:r w:rsidR="00D41848">
        <w:rPr>
          <w:lang w:val="en-GB"/>
        </w:rPr>
        <w:t xml:space="preserve">the </w:t>
      </w:r>
      <w:r w:rsidRPr="00045156">
        <w:rPr>
          <w:lang w:val="en-GB"/>
        </w:rPr>
        <w:t xml:space="preserve">Evaluation, Performance Measurement and Review Branch. Staff from this office </w:t>
      </w:r>
      <w:r w:rsidRPr="00045156">
        <w:rPr>
          <w:color w:val="000000"/>
          <w:shd w:val="clear" w:color="auto" w:fill="FFFFFF"/>
          <w:lang w:val="en-GB"/>
        </w:rPr>
        <w:t>consult with the program managers in developing terms of reference</w:t>
      </w:r>
      <w:r w:rsidRPr="00045156">
        <w:rPr>
          <w:lang w:val="en-GB"/>
        </w:rPr>
        <w:t xml:space="preserve">, which are approved by the </w:t>
      </w:r>
      <w:r w:rsidRPr="00045156">
        <w:rPr>
          <w:color w:val="000000"/>
          <w:shd w:val="clear" w:color="auto" w:fill="FFFFFF"/>
          <w:lang w:val="en-GB"/>
        </w:rPr>
        <w:t xml:space="preserve">program </w:t>
      </w:r>
      <w:r w:rsidR="00D41848">
        <w:rPr>
          <w:color w:val="000000"/>
          <w:shd w:val="clear" w:color="auto" w:fill="FFFFFF"/>
          <w:lang w:val="en-GB"/>
        </w:rPr>
        <w:t>a</w:t>
      </w:r>
      <w:r w:rsidRPr="00045156">
        <w:rPr>
          <w:color w:val="000000"/>
          <w:shd w:val="clear" w:color="auto" w:fill="FFFFFF"/>
          <w:lang w:val="en-GB"/>
        </w:rPr>
        <w:t xml:space="preserve">ssistant </w:t>
      </w:r>
      <w:r w:rsidR="00D41848">
        <w:rPr>
          <w:color w:val="000000"/>
          <w:shd w:val="clear" w:color="auto" w:fill="FFFFFF"/>
          <w:lang w:val="en-GB"/>
        </w:rPr>
        <w:t>d</w:t>
      </w:r>
      <w:r w:rsidRPr="00045156">
        <w:rPr>
          <w:color w:val="000000"/>
          <w:shd w:val="clear" w:color="auto" w:fill="FFFFFF"/>
          <w:lang w:val="en-GB"/>
        </w:rPr>
        <w:t xml:space="preserve">eputy </w:t>
      </w:r>
      <w:r w:rsidR="00D41848">
        <w:rPr>
          <w:color w:val="000000"/>
          <w:shd w:val="clear" w:color="auto" w:fill="FFFFFF"/>
          <w:lang w:val="en-GB"/>
        </w:rPr>
        <w:t>m</w:t>
      </w:r>
      <w:r w:rsidRPr="00045156">
        <w:rPr>
          <w:color w:val="000000"/>
          <w:shd w:val="clear" w:color="auto" w:fill="FFFFFF"/>
          <w:lang w:val="en-GB"/>
        </w:rPr>
        <w:t xml:space="preserve">inister. All reports related to the evaluation are shared with the designated program contact who has responsibility for ensuring timely consultation with other program officials, including regional staff. There is an iterative process for validation and revision. A management response and action plan based on the recommendations is submitted to the Evaluation Branch for approval. Should the program be unable to accept and/or implement the recommendations, an explanation is provided in the management response and action plan with a justification provided for any alternative course of action. All this information is included in the final report, which once approved by the </w:t>
      </w:r>
      <w:r w:rsidR="00D41848">
        <w:rPr>
          <w:color w:val="000000"/>
          <w:shd w:val="clear" w:color="auto" w:fill="FFFFFF"/>
          <w:lang w:val="en-GB"/>
        </w:rPr>
        <w:t>b</w:t>
      </w:r>
      <w:r w:rsidRPr="00045156">
        <w:rPr>
          <w:color w:val="000000"/>
          <w:shd w:val="clear" w:color="auto" w:fill="FFFFFF"/>
          <w:lang w:val="en-GB"/>
        </w:rPr>
        <w:t xml:space="preserve">ranch will be submitted to </w:t>
      </w:r>
      <w:proofErr w:type="spellStart"/>
      <w:r w:rsidRPr="00045156">
        <w:rPr>
          <w:color w:val="000000"/>
          <w:shd w:val="clear" w:color="auto" w:fill="FFFFFF"/>
          <w:lang w:val="en-GB"/>
        </w:rPr>
        <w:lastRenderedPageBreak/>
        <w:t>AANDC</w:t>
      </w:r>
      <w:r w:rsidR="00B1382E">
        <w:rPr>
          <w:color w:val="000000"/>
          <w:shd w:val="clear" w:color="auto" w:fill="FFFFFF"/>
          <w:lang w:val="en-GB"/>
        </w:rPr>
        <w:t>’</w:t>
      </w:r>
      <w:r w:rsidRPr="00045156">
        <w:rPr>
          <w:color w:val="000000"/>
          <w:shd w:val="clear" w:color="auto" w:fill="FFFFFF"/>
          <w:lang w:val="en-GB"/>
        </w:rPr>
        <w:t>s</w:t>
      </w:r>
      <w:proofErr w:type="spellEnd"/>
      <w:r w:rsidRPr="00045156">
        <w:rPr>
          <w:color w:val="000000"/>
          <w:shd w:val="clear" w:color="auto" w:fill="FFFFFF"/>
          <w:lang w:val="en-GB"/>
        </w:rPr>
        <w:t xml:space="preserve"> Access to Information Privacy Unit and Communications Branch, a necessary step that must pr</w:t>
      </w:r>
      <w:r w:rsidR="00ED0CC6">
        <w:rPr>
          <w:color w:val="000000"/>
          <w:shd w:val="clear" w:color="auto" w:fill="FFFFFF"/>
          <w:lang w:val="en-GB"/>
        </w:rPr>
        <w:t>e</w:t>
      </w:r>
      <w:r w:rsidRPr="00045156">
        <w:rPr>
          <w:color w:val="000000"/>
          <w:shd w:val="clear" w:color="auto" w:fill="FFFFFF"/>
          <w:lang w:val="en-GB"/>
        </w:rPr>
        <w:t>ced</w:t>
      </w:r>
      <w:r w:rsidR="00ED0CC6">
        <w:rPr>
          <w:color w:val="000000"/>
          <w:shd w:val="clear" w:color="auto" w:fill="FFFFFF"/>
          <w:lang w:val="en-GB"/>
        </w:rPr>
        <w:t>e</w:t>
      </w:r>
      <w:r w:rsidRPr="00045156">
        <w:rPr>
          <w:color w:val="000000"/>
          <w:shd w:val="clear" w:color="auto" w:fill="FFFFFF"/>
          <w:lang w:val="en-GB"/>
        </w:rPr>
        <w:t xml:space="preserve"> posting of the material on the departmental website.</w:t>
      </w:r>
    </w:p>
    <w:p w:rsidR="00251192" w:rsidRPr="00045156" w:rsidRDefault="00251192" w:rsidP="00251192">
      <w:pPr>
        <w:pStyle w:val="BodyText"/>
        <w:rPr>
          <w:shd w:val="clear" w:color="auto" w:fill="FFFFFF"/>
          <w:lang w:val="en-GB"/>
        </w:rPr>
      </w:pPr>
      <w:r w:rsidRPr="00045156">
        <w:rPr>
          <w:shd w:val="clear" w:color="auto" w:fill="FFFFFF"/>
          <w:lang w:val="en-GB"/>
        </w:rPr>
        <w:t xml:space="preserve">There are disappointingly few independent academic studies of the evaluation function and its impact on Indigenous communities. A small but interesting literature comments on the uses of evaluation overall; </w:t>
      </w:r>
      <w:r w:rsidR="00D7445E" w:rsidRPr="00724E6F">
        <w:rPr>
          <w:shd w:val="clear" w:color="auto" w:fill="FFFFFF"/>
          <w:lang w:val="en-GB"/>
        </w:rPr>
        <w:t>a selection of this literature appears in the references section included with my report</w:t>
      </w:r>
      <w:r w:rsidRPr="00724E6F">
        <w:rPr>
          <w:shd w:val="clear" w:color="auto" w:fill="FFFFFF"/>
          <w:lang w:val="en-GB"/>
        </w:rPr>
        <w:t>.</w:t>
      </w:r>
      <w:r w:rsidRPr="00045156">
        <w:rPr>
          <w:shd w:val="clear" w:color="auto" w:fill="FFFFFF"/>
          <w:lang w:val="en-GB"/>
        </w:rPr>
        <w:t xml:space="preserve"> There have been two substantial, recent studies of the impact of federal program evaluation in Indigenous communities and my comments here will rely on these.</w:t>
      </w:r>
    </w:p>
    <w:p w:rsidR="00251192" w:rsidRPr="00045156" w:rsidRDefault="00251192" w:rsidP="00251192">
      <w:pPr>
        <w:pStyle w:val="BodyText"/>
        <w:rPr>
          <w:shd w:val="clear" w:color="auto" w:fill="FFFFFF"/>
          <w:lang w:val="en-GB"/>
        </w:rPr>
      </w:pPr>
      <w:r w:rsidRPr="00045156">
        <w:rPr>
          <w:shd w:val="clear" w:color="auto" w:fill="FFFFFF"/>
          <w:lang w:val="en-GB"/>
        </w:rPr>
        <w:t xml:space="preserve">Bradford and </w:t>
      </w:r>
      <w:proofErr w:type="spellStart"/>
      <w:r w:rsidRPr="00045156">
        <w:rPr>
          <w:shd w:val="clear" w:color="auto" w:fill="FFFFFF"/>
          <w:lang w:val="en-GB"/>
        </w:rPr>
        <w:t>Chouinard</w:t>
      </w:r>
      <w:proofErr w:type="spellEnd"/>
      <w:r w:rsidRPr="00045156">
        <w:rPr>
          <w:shd w:val="clear" w:color="auto" w:fill="FFFFFF"/>
          <w:lang w:val="en-GB"/>
        </w:rPr>
        <w:t xml:space="preserve"> examined the role of evaluation in improving the effectiveness of two large federal social policy initiatives, the Urban Aboriginal Strategy and Action for Neighbourhood Change. Each of these programs was understood to be in a sense experimental, and intended to unfold in a way that would permit </w:t>
      </w:r>
      <w:r w:rsidR="00B1382E">
        <w:rPr>
          <w:shd w:val="clear" w:color="auto" w:fill="FFFFFF"/>
          <w:lang w:val="en-GB"/>
        </w:rPr>
        <w:t>‘</w:t>
      </w:r>
      <w:r w:rsidRPr="00045156">
        <w:rPr>
          <w:shd w:val="clear" w:color="auto" w:fill="FFFFFF"/>
          <w:lang w:val="en-GB"/>
        </w:rPr>
        <w:t>learning by doing</w:t>
      </w:r>
      <w:r w:rsidR="00B1382E">
        <w:rPr>
          <w:shd w:val="clear" w:color="auto" w:fill="FFFFFF"/>
          <w:lang w:val="en-GB"/>
        </w:rPr>
        <w:t>’</w:t>
      </w:r>
      <w:r w:rsidRPr="00045156">
        <w:rPr>
          <w:shd w:val="clear" w:color="auto" w:fill="FFFFFF"/>
          <w:lang w:val="en-GB"/>
        </w:rPr>
        <w:t xml:space="preserve"> in the spirit of place-based policy and program development. (Only the Urban Aboriginal Strategy was directed specifically to Indigenous people.) </w:t>
      </w:r>
    </w:p>
    <w:p w:rsidR="00251192" w:rsidRPr="00045156" w:rsidRDefault="00251192" w:rsidP="00251192">
      <w:pPr>
        <w:pStyle w:val="BodyText"/>
        <w:rPr>
          <w:shd w:val="clear" w:color="auto" w:fill="FFFFFF"/>
          <w:lang w:val="en-GB"/>
        </w:rPr>
      </w:pPr>
      <w:r w:rsidRPr="00045156">
        <w:rPr>
          <w:shd w:val="clear" w:color="auto" w:fill="FFFFFF"/>
          <w:lang w:val="en-GB"/>
        </w:rPr>
        <w:t xml:space="preserve">Bradford and </w:t>
      </w:r>
      <w:proofErr w:type="spellStart"/>
      <w:r w:rsidRPr="00045156">
        <w:rPr>
          <w:shd w:val="clear" w:color="auto" w:fill="FFFFFF"/>
          <w:lang w:val="en-GB"/>
        </w:rPr>
        <w:t>Chouinard</w:t>
      </w:r>
      <w:proofErr w:type="spellEnd"/>
      <w:r w:rsidRPr="00045156">
        <w:rPr>
          <w:shd w:val="clear" w:color="auto" w:fill="FFFFFF"/>
          <w:lang w:val="en-GB"/>
        </w:rPr>
        <w:t xml:space="preserve"> endorse the value of evaluation in promoting collaborative learning by doing, but their conclusions from the two case studies emphasi</w:t>
      </w:r>
      <w:r w:rsidR="00B1382E">
        <w:rPr>
          <w:shd w:val="clear" w:color="auto" w:fill="FFFFFF"/>
          <w:lang w:val="en-GB"/>
        </w:rPr>
        <w:t>s</w:t>
      </w:r>
      <w:r w:rsidRPr="00045156">
        <w:rPr>
          <w:shd w:val="clear" w:color="auto" w:fill="FFFFFF"/>
          <w:lang w:val="en-GB"/>
        </w:rPr>
        <w:t>e the difficulties of reali</w:t>
      </w:r>
      <w:r w:rsidR="00B1382E">
        <w:rPr>
          <w:shd w:val="clear" w:color="auto" w:fill="FFFFFF"/>
          <w:lang w:val="en-GB"/>
        </w:rPr>
        <w:t>s</w:t>
      </w:r>
      <w:r w:rsidRPr="00045156">
        <w:rPr>
          <w:shd w:val="clear" w:color="auto" w:fill="FFFFFF"/>
          <w:lang w:val="en-GB"/>
        </w:rPr>
        <w:t xml:space="preserve">ing this goal in the context of a federally funded venture. The authors see a need for evaluation frameworks </w:t>
      </w:r>
      <w:r w:rsidR="00B1382E">
        <w:rPr>
          <w:shd w:val="clear" w:color="auto" w:fill="FFFFFF"/>
          <w:lang w:val="en-GB"/>
        </w:rPr>
        <w:t>‘</w:t>
      </w:r>
      <w:r w:rsidRPr="00045156">
        <w:rPr>
          <w:shd w:val="clear" w:color="auto" w:fill="FFFFFF"/>
          <w:lang w:val="en-GB"/>
        </w:rPr>
        <w:t>that are philosophically consistent with a community development approach and sensitive to the incremental and longer-term nature of comprehensive community regeneration processes</w:t>
      </w:r>
      <w:r w:rsidR="00B1382E">
        <w:rPr>
          <w:shd w:val="clear" w:color="auto" w:fill="FFFFFF"/>
          <w:lang w:val="en-GB"/>
        </w:rPr>
        <w:t>’</w:t>
      </w:r>
      <w:r w:rsidR="00D41848">
        <w:rPr>
          <w:shd w:val="clear" w:color="auto" w:fill="FFFFFF"/>
          <w:lang w:val="en-GB"/>
        </w:rPr>
        <w:t xml:space="preserve"> (</w:t>
      </w:r>
      <w:r w:rsidR="00D41848">
        <w:t xml:space="preserve">Bradford and </w:t>
      </w:r>
      <w:proofErr w:type="spellStart"/>
      <w:r w:rsidR="00D41848">
        <w:t>Chouinard</w:t>
      </w:r>
      <w:proofErr w:type="spellEnd"/>
      <w:r w:rsidR="00D41848">
        <w:t xml:space="preserve"> 20</w:t>
      </w:r>
      <w:r w:rsidR="008D6D24">
        <w:t>10</w:t>
      </w:r>
      <w:r w:rsidR="00D41848">
        <w:t>, p. 69)</w:t>
      </w:r>
      <w:r w:rsidRPr="00045156">
        <w:rPr>
          <w:shd w:val="clear" w:color="auto" w:fill="FFFFFF"/>
          <w:lang w:val="en-GB"/>
        </w:rPr>
        <w:t>. This study displays very effectively the tensions that are inherent in evaluation in many contexts, between the need for control and oversight, on the one hand, and the potential for the project to contribute to community control and empowerment on the other</w:t>
      </w:r>
      <w:r w:rsidR="00D41848">
        <w:rPr>
          <w:shd w:val="clear" w:color="auto" w:fill="FFFFFF"/>
          <w:lang w:val="en-GB"/>
        </w:rPr>
        <w:t xml:space="preserve"> (Bradford and </w:t>
      </w:r>
      <w:proofErr w:type="spellStart"/>
      <w:r w:rsidR="00D41848">
        <w:rPr>
          <w:shd w:val="clear" w:color="auto" w:fill="FFFFFF"/>
          <w:lang w:val="en-GB"/>
        </w:rPr>
        <w:t>Chouinard</w:t>
      </w:r>
      <w:proofErr w:type="spellEnd"/>
      <w:r w:rsidR="008D6D24">
        <w:rPr>
          <w:shd w:val="clear" w:color="auto" w:fill="FFFFFF"/>
          <w:lang w:val="en-GB"/>
        </w:rPr>
        <w:t xml:space="preserve"> 2010</w:t>
      </w:r>
      <w:r w:rsidR="00D41848">
        <w:rPr>
          <w:shd w:val="clear" w:color="auto" w:fill="FFFFFF"/>
          <w:lang w:val="en-GB"/>
        </w:rPr>
        <w:t>, pp. 69–70)</w:t>
      </w:r>
      <w:r w:rsidRPr="00045156">
        <w:rPr>
          <w:shd w:val="clear" w:color="auto" w:fill="FFFFFF"/>
          <w:lang w:val="en-GB"/>
        </w:rPr>
        <w:t>:</w:t>
      </w:r>
      <w:r w:rsidRPr="00B1382E">
        <w:rPr>
          <w:rStyle w:val="FootnoteReference"/>
        </w:rPr>
        <w:footnoteReference w:id="20"/>
      </w:r>
    </w:p>
    <w:p w:rsidR="00251192" w:rsidRPr="00045156" w:rsidRDefault="00251192" w:rsidP="00251192">
      <w:pPr>
        <w:pStyle w:val="Quote"/>
        <w:rPr>
          <w:lang w:val="en-GB"/>
        </w:rPr>
      </w:pPr>
      <w:r w:rsidRPr="00045156">
        <w:rPr>
          <w:lang w:val="en-GB"/>
        </w:rPr>
        <w:t xml:space="preserve">First, evaluation methodologies need to respect the learning ethos of the pilot initiatives and to </w:t>
      </w:r>
      <w:r>
        <w:rPr>
          <w:lang w:val="en-GB"/>
        </w:rPr>
        <w:t>recognise</w:t>
      </w:r>
      <w:r w:rsidRPr="00045156">
        <w:rPr>
          <w:lang w:val="en-GB"/>
        </w:rPr>
        <w:t xml:space="preserve"> increased local actor engagement as a powerful learning opportunity at the program, individual and community levels</w:t>
      </w:r>
      <w:r>
        <w:rPr>
          <w:lang w:val="en-GB"/>
        </w:rPr>
        <w:t xml:space="preserve"> </w:t>
      </w:r>
      <w:r w:rsidR="00B1382E">
        <w:rPr>
          <w:lang w:val="en-GB"/>
        </w:rPr>
        <w:t>…</w:t>
      </w:r>
      <w:r>
        <w:rPr>
          <w:lang w:val="en-GB"/>
        </w:rPr>
        <w:t xml:space="preserve"> </w:t>
      </w:r>
      <w:r w:rsidRPr="00045156">
        <w:rPr>
          <w:lang w:val="en-GB"/>
        </w:rPr>
        <w:t xml:space="preserve">Resources must be allocated for convening the dialogue necessary for resident involvement in interpreting and assessing change. </w:t>
      </w:r>
    </w:p>
    <w:p w:rsidR="00251192" w:rsidRPr="00045156" w:rsidRDefault="00251192" w:rsidP="00251192">
      <w:pPr>
        <w:pStyle w:val="Quote"/>
        <w:rPr>
          <w:lang w:val="en-GB"/>
        </w:rPr>
      </w:pPr>
      <w:r w:rsidRPr="00045156">
        <w:rPr>
          <w:lang w:val="en-GB"/>
        </w:rPr>
        <w:t>Second, strategies are needed to reconcile the government call for tangible, measurable results with the reality of incremental, bottom-up change associated with complex community i</w:t>
      </w:r>
      <w:r>
        <w:rPr>
          <w:lang w:val="en-GB"/>
        </w:rPr>
        <w:t>nitiatives. This tension is par</w:t>
      </w:r>
      <w:r w:rsidRPr="00045156">
        <w:rPr>
          <w:lang w:val="en-GB"/>
        </w:rPr>
        <w:t>ticularly evident in the kind of short-term pilot projects we have examined</w:t>
      </w:r>
      <w:r>
        <w:rPr>
          <w:lang w:val="en-GB"/>
        </w:rPr>
        <w:t xml:space="preserve"> </w:t>
      </w:r>
      <w:r w:rsidR="00B1382E">
        <w:rPr>
          <w:lang w:val="en-GB"/>
        </w:rPr>
        <w:t>…</w:t>
      </w:r>
      <w:r w:rsidRPr="00045156">
        <w:rPr>
          <w:lang w:val="en-GB"/>
        </w:rPr>
        <w:t xml:space="preserve"> Without the time to experience policy effects or concrete impacts of interventions, it becomes exceedingly difficult for governments to measure change or demonstrate progress. Yet, the less tangible, process-oriented </w:t>
      </w:r>
      <w:r w:rsidRPr="00045156">
        <w:rPr>
          <w:lang w:val="en-GB"/>
        </w:rPr>
        <w:lastRenderedPageBreak/>
        <w:t>outcomes seeded by such pilots can build the community</w:t>
      </w:r>
      <w:r w:rsidR="00B1382E">
        <w:rPr>
          <w:lang w:val="en-GB"/>
        </w:rPr>
        <w:t>’</w:t>
      </w:r>
      <w:r w:rsidRPr="00045156">
        <w:rPr>
          <w:lang w:val="en-GB"/>
        </w:rPr>
        <w:t xml:space="preserve">s capacity for change and establish a social context for long-term success. </w:t>
      </w:r>
    </w:p>
    <w:p w:rsidR="00251192" w:rsidRPr="00045156" w:rsidRDefault="00251192" w:rsidP="00251192">
      <w:pPr>
        <w:pStyle w:val="Quote"/>
        <w:rPr>
          <w:lang w:val="en-GB"/>
        </w:rPr>
      </w:pPr>
      <w:r w:rsidRPr="00045156">
        <w:rPr>
          <w:lang w:val="en-GB"/>
        </w:rPr>
        <w:t xml:space="preserve">A further concern arises from the reliance on third-party evaluators to ensure more </w:t>
      </w:r>
      <w:r w:rsidR="00B1382E">
        <w:rPr>
          <w:lang w:val="en-GB"/>
        </w:rPr>
        <w:t>‘</w:t>
      </w:r>
      <w:r w:rsidRPr="00045156">
        <w:rPr>
          <w:lang w:val="en-GB"/>
        </w:rPr>
        <w:t>impartiality in behaviour and process</w:t>
      </w:r>
      <w:r w:rsidR="00B1382E">
        <w:rPr>
          <w:lang w:val="en-GB"/>
        </w:rPr>
        <w:t>’</w:t>
      </w:r>
      <w:r>
        <w:rPr>
          <w:lang w:val="en-GB"/>
        </w:rPr>
        <w:t xml:space="preserve"> </w:t>
      </w:r>
      <w:r w:rsidRPr="00045156">
        <w:rPr>
          <w:lang w:val="en-GB"/>
        </w:rPr>
        <w:t xml:space="preserve">leading to what are considered more </w:t>
      </w:r>
      <w:r w:rsidR="00B1382E">
        <w:rPr>
          <w:lang w:val="en-GB"/>
        </w:rPr>
        <w:t>‘</w:t>
      </w:r>
      <w:r w:rsidRPr="00045156">
        <w:rPr>
          <w:lang w:val="en-GB"/>
        </w:rPr>
        <w:t>valid and objective</w:t>
      </w:r>
      <w:r w:rsidR="00B1382E">
        <w:rPr>
          <w:lang w:val="en-GB"/>
        </w:rPr>
        <w:t>’</w:t>
      </w:r>
      <w:r>
        <w:rPr>
          <w:lang w:val="en-GB"/>
        </w:rPr>
        <w:t xml:space="preserve"> </w:t>
      </w:r>
      <w:r w:rsidRPr="00045156">
        <w:rPr>
          <w:lang w:val="en-GB"/>
        </w:rPr>
        <w:t>findings. While a more traditional evaluator role</w:t>
      </w:r>
      <w:r>
        <w:rPr>
          <w:lang w:val="en-GB"/>
        </w:rPr>
        <w:t xml:space="preserve"> </w:t>
      </w:r>
      <w:r w:rsidR="00B1382E">
        <w:rPr>
          <w:lang w:val="en-GB"/>
        </w:rPr>
        <w:t>…</w:t>
      </w:r>
      <w:r w:rsidRPr="00045156">
        <w:rPr>
          <w:lang w:val="en-GB"/>
        </w:rPr>
        <w:t xml:space="preserve"> may be required in certain instances, it often compromises the goal of an engaged and participatory process. Given the importance of learning and capacity building within the pilot initiatives, there is a need for evaluators to be more directly involved as partners, collabora</w:t>
      </w:r>
      <w:r>
        <w:rPr>
          <w:lang w:val="en-GB"/>
        </w:rPr>
        <w:t>tors, coaches, and educators</w:t>
      </w:r>
      <w:r w:rsidR="00B1382E">
        <w:rPr>
          <w:lang w:val="en-GB"/>
        </w:rPr>
        <w:t> …</w:t>
      </w:r>
    </w:p>
    <w:p w:rsidR="00251192" w:rsidRPr="00045156" w:rsidRDefault="00251192" w:rsidP="00251192">
      <w:pPr>
        <w:pStyle w:val="Quote"/>
        <w:rPr>
          <w:lang w:val="en-GB"/>
        </w:rPr>
      </w:pPr>
      <w:r w:rsidRPr="00045156">
        <w:rPr>
          <w:lang w:val="en-GB"/>
        </w:rPr>
        <w:t xml:space="preserve">Finally, there is a need for evaluation methodologies that are sensitive to variations in pilot project or local program contexts, and responsive to the particular, historically evolved concerns of communities. Both the </w:t>
      </w:r>
      <w:proofErr w:type="spellStart"/>
      <w:r w:rsidRPr="00045156">
        <w:rPr>
          <w:lang w:val="en-GB"/>
        </w:rPr>
        <w:t>UAS</w:t>
      </w:r>
      <w:proofErr w:type="spellEnd"/>
      <w:r w:rsidRPr="00045156">
        <w:rPr>
          <w:lang w:val="en-GB"/>
        </w:rPr>
        <w:t xml:space="preserve"> and ANC aimed for such resident-led, local embedding. Yet such aspirations must be supported by evaluation approaches with strong communication structures, breaking down both departmental and cultural silos to bring stakeholders together in an authentic and ongoing conversation about progress and results. </w:t>
      </w:r>
    </w:p>
    <w:p w:rsidR="00251192" w:rsidRPr="00045156" w:rsidRDefault="00251192" w:rsidP="00251192">
      <w:pPr>
        <w:pStyle w:val="BodyText"/>
        <w:rPr>
          <w:lang w:val="en-GB"/>
        </w:rPr>
      </w:pPr>
      <w:r w:rsidRPr="00045156">
        <w:rPr>
          <w:lang w:val="en-GB"/>
        </w:rPr>
        <w:t xml:space="preserve">Shepherd and </w:t>
      </w:r>
      <w:proofErr w:type="spellStart"/>
      <w:r w:rsidRPr="00045156">
        <w:rPr>
          <w:lang w:val="en-GB"/>
        </w:rPr>
        <w:t>Persad</w:t>
      </w:r>
      <w:proofErr w:type="spellEnd"/>
      <w:r w:rsidRPr="00045156">
        <w:rPr>
          <w:lang w:val="en-GB"/>
        </w:rPr>
        <w:t xml:space="preserve"> </w:t>
      </w:r>
      <w:r w:rsidR="00AE5A5F">
        <w:rPr>
          <w:lang w:val="en-GB"/>
        </w:rPr>
        <w:t xml:space="preserve">(2009) </w:t>
      </w:r>
      <w:r w:rsidRPr="00045156">
        <w:rPr>
          <w:lang w:val="en-GB"/>
        </w:rPr>
        <w:t xml:space="preserve">explore the complexities of evaluating federal place-based programs not in Canadian cities, but in First Nations communities. They identify a range of challenges, from the negative local residue of many decades of colonialism and undemocratic administration to the reality that the programs that are now in place to be evaluated share some of the characteristics of the period of maximum external control. In particular, First Nations face an inherent challenge in assuming control of federal programs: </w:t>
      </w:r>
      <w:r w:rsidR="00B1382E">
        <w:rPr>
          <w:lang w:val="en-GB"/>
        </w:rPr>
        <w:t>‘</w:t>
      </w:r>
      <w:r w:rsidRPr="00045156">
        <w:rPr>
          <w:lang w:val="en-GB"/>
        </w:rPr>
        <w:t>that top-down departmentally driven programs with accompanying terms and conditions have not worked to address persistent local problems, such as making education relevant to local circumstances</w:t>
      </w:r>
      <w:r w:rsidR="00B1382E">
        <w:rPr>
          <w:lang w:val="en-GB"/>
        </w:rPr>
        <w:t>’</w:t>
      </w:r>
      <w:r w:rsidR="00D41848">
        <w:rPr>
          <w:lang w:val="en-GB"/>
        </w:rPr>
        <w:t xml:space="preserve">(Shepherd and </w:t>
      </w:r>
      <w:proofErr w:type="spellStart"/>
      <w:r w:rsidR="00D41848">
        <w:rPr>
          <w:lang w:val="en-GB"/>
        </w:rPr>
        <w:t>Persad</w:t>
      </w:r>
      <w:proofErr w:type="spellEnd"/>
      <w:r w:rsidR="00D41848">
        <w:rPr>
          <w:lang w:val="en-GB"/>
        </w:rPr>
        <w:t xml:space="preserve"> 2009, p. 10).</w:t>
      </w:r>
      <w:r w:rsidRPr="00045156">
        <w:rPr>
          <w:lang w:val="en-GB"/>
        </w:rPr>
        <w:t xml:space="preserve"> Adding these conditions to the multiple demands on small First Nations governments in the context of the reality that unlike any other local governments in Canada they must deal intimately with a large federal bureaucracy radically decreases the chances that evaluations will actually prove to be useful to them. Shepherd and </w:t>
      </w:r>
      <w:proofErr w:type="spellStart"/>
      <w:r w:rsidRPr="00045156">
        <w:rPr>
          <w:lang w:val="en-GB"/>
        </w:rPr>
        <w:t>Persad</w:t>
      </w:r>
      <w:proofErr w:type="spellEnd"/>
      <w:r w:rsidRPr="00045156">
        <w:rPr>
          <w:lang w:val="en-GB"/>
        </w:rPr>
        <w:t xml:space="preserve"> offer a number of ameliorative recommendations. Like Bradford and </w:t>
      </w:r>
      <w:proofErr w:type="spellStart"/>
      <w:r w:rsidRPr="00045156">
        <w:rPr>
          <w:lang w:val="en-GB"/>
        </w:rPr>
        <w:t>Chouinard</w:t>
      </w:r>
      <w:proofErr w:type="spellEnd"/>
      <w:r w:rsidRPr="00045156">
        <w:rPr>
          <w:lang w:val="en-GB"/>
        </w:rPr>
        <w:t>, they stress the importance of affording evaluators time to work with community members so that they can understand the purpose of the evaluation and the extent to which they may influence its progress.</w:t>
      </w:r>
    </w:p>
    <w:p w:rsidR="00251192" w:rsidRPr="00045156" w:rsidRDefault="00251192" w:rsidP="00251192">
      <w:pPr>
        <w:pStyle w:val="BodyText"/>
        <w:rPr>
          <w:lang w:val="en-GB"/>
        </w:rPr>
      </w:pPr>
      <w:r w:rsidRPr="00045156">
        <w:rPr>
          <w:lang w:val="en-GB"/>
        </w:rPr>
        <w:t xml:space="preserve">Though the specific circumstances that they have </w:t>
      </w:r>
      <w:r>
        <w:rPr>
          <w:lang w:val="en-GB"/>
        </w:rPr>
        <w:t>analyse</w:t>
      </w:r>
      <w:r w:rsidRPr="00045156">
        <w:rPr>
          <w:lang w:val="en-GB"/>
        </w:rPr>
        <w:t>d are quite different, the findings of these independent studies converge on a key point: the opportunity presented by evaluations to contribute to community development and community capacity-building, and the difficulty of reconciling this goal with the mandated objectives of program managers to ensure accountability to the central administration.</w:t>
      </w:r>
    </w:p>
    <w:p w:rsidR="00251192" w:rsidRPr="00045156" w:rsidRDefault="0095163F" w:rsidP="00251192">
      <w:pPr>
        <w:pStyle w:val="Heading2"/>
        <w:rPr>
          <w:shd w:val="clear" w:color="auto" w:fill="FFFFFF"/>
          <w:lang w:val="en-GB"/>
        </w:rPr>
      </w:pPr>
      <w:r>
        <w:rPr>
          <w:shd w:val="clear" w:color="auto" w:fill="FFFFFF"/>
          <w:lang w:val="en-GB"/>
        </w:rPr>
        <w:lastRenderedPageBreak/>
        <w:t>11</w:t>
      </w:r>
      <w:r w:rsidR="00251192">
        <w:rPr>
          <w:shd w:val="clear" w:color="auto" w:fill="FFFFFF"/>
          <w:lang w:val="en-GB"/>
        </w:rPr>
        <w:t>.6</w:t>
      </w:r>
      <w:r w:rsidR="00251192">
        <w:rPr>
          <w:shd w:val="clear" w:color="auto" w:fill="FFFFFF"/>
          <w:lang w:val="en-GB"/>
        </w:rPr>
        <w:tab/>
        <w:t>Policy implementation a</w:t>
      </w:r>
      <w:r w:rsidR="00251192" w:rsidRPr="00045156">
        <w:rPr>
          <w:shd w:val="clear" w:color="auto" w:fill="FFFFFF"/>
          <w:lang w:val="en-GB"/>
        </w:rPr>
        <w:t>udits: Office of the Auditor General</w:t>
      </w:r>
    </w:p>
    <w:p w:rsidR="00251192" w:rsidRPr="00045156" w:rsidRDefault="00251192" w:rsidP="00251192">
      <w:pPr>
        <w:pStyle w:val="BodyText"/>
        <w:rPr>
          <w:lang w:val="en-GB"/>
        </w:rPr>
      </w:pPr>
      <w:r w:rsidRPr="00045156">
        <w:rPr>
          <w:color w:val="000000"/>
          <w:shd w:val="clear" w:color="auto" w:fill="FFFFFF"/>
          <w:lang w:val="en-GB"/>
        </w:rPr>
        <w:t>T</w:t>
      </w:r>
      <w:r w:rsidRPr="00045156">
        <w:rPr>
          <w:lang w:val="en-GB"/>
        </w:rPr>
        <w:t>he Office of the Auditor General of Canada (</w:t>
      </w:r>
      <w:proofErr w:type="spellStart"/>
      <w:r w:rsidRPr="00045156">
        <w:rPr>
          <w:lang w:val="en-GB"/>
        </w:rPr>
        <w:t>OAG</w:t>
      </w:r>
      <w:proofErr w:type="spellEnd"/>
      <w:r w:rsidRPr="00045156">
        <w:rPr>
          <w:lang w:val="en-GB"/>
        </w:rPr>
        <w:t xml:space="preserve">) is one of (and the most venerable of) several federally funded, independent bodies that report to Parliament and to the public. Its official mandate is to </w:t>
      </w:r>
      <w:r w:rsidRPr="00724E6F">
        <w:rPr>
          <w:lang w:val="en-GB"/>
        </w:rPr>
        <w:t>prov</w:t>
      </w:r>
      <w:r w:rsidR="00D7445E" w:rsidRPr="00724E6F">
        <w:rPr>
          <w:lang w:val="en-GB"/>
        </w:rPr>
        <w:t>ide ‘the objective, f</w:t>
      </w:r>
      <w:r w:rsidRPr="00045156">
        <w:rPr>
          <w:lang w:val="en-GB"/>
        </w:rPr>
        <w:t xml:space="preserve">act-based information that Parliament needs to </w:t>
      </w:r>
      <w:proofErr w:type="spellStart"/>
      <w:r w:rsidRPr="00045156">
        <w:rPr>
          <w:lang w:val="en-GB"/>
        </w:rPr>
        <w:t>fulfill</w:t>
      </w:r>
      <w:proofErr w:type="spellEnd"/>
      <w:r w:rsidRPr="00045156">
        <w:rPr>
          <w:lang w:val="en-GB"/>
        </w:rPr>
        <w:t xml:space="preserve"> one of its most important roles: holding the federal government accountable for its stewardship of public funds</w:t>
      </w:r>
      <w:r w:rsidR="00B1382E">
        <w:rPr>
          <w:lang w:val="en-GB"/>
        </w:rPr>
        <w:t>’</w:t>
      </w:r>
      <w:r w:rsidRPr="00045156">
        <w:rPr>
          <w:lang w:val="en-GB"/>
        </w:rPr>
        <w:t>.</w:t>
      </w:r>
      <w:r>
        <w:rPr>
          <w:lang w:val="en-GB"/>
        </w:rPr>
        <w:t xml:space="preserve"> </w:t>
      </w:r>
      <w:r w:rsidRPr="00045156">
        <w:rPr>
          <w:lang w:val="en-GB"/>
        </w:rPr>
        <w:t xml:space="preserve">It may comment on </w:t>
      </w:r>
      <w:r w:rsidRPr="00045156">
        <w:rPr>
          <w:i/>
          <w:lang w:val="en-GB"/>
        </w:rPr>
        <w:t>policy implementation</w:t>
      </w:r>
      <w:r w:rsidRPr="00045156">
        <w:rPr>
          <w:lang w:val="en-GB"/>
        </w:rPr>
        <w:t xml:space="preserve">, but does not have the responsibility to comment on the </w:t>
      </w:r>
      <w:r w:rsidRPr="00045156">
        <w:rPr>
          <w:i/>
          <w:lang w:val="en-GB"/>
        </w:rPr>
        <w:t>merits</w:t>
      </w:r>
      <w:r w:rsidRPr="00045156">
        <w:rPr>
          <w:lang w:val="en-GB"/>
        </w:rPr>
        <w:t xml:space="preserve"> of policies. Operating as an adequately staffed independent office of Parliament, </w:t>
      </w:r>
      <w:proofErr w:type="spellStart"/>
      <w:r w:rsidRPr="00045156">
        <w:rPr>
          <w:lang w:val="en-GB"/>
        </w:rPr>
        <w:t>OAG</w:t>
      </w:r>
      <w:proofErr w:type="spellEnd"/>
      <w:r w:rsidRPr="00045156">
        <w:rPr>
          <w:lang w:val="en-GB"/>
        </w:rPr>
        <w:t xml:space="preserve"> produces evaluations that are characteristically thorough and blunt. They are always public and always reviewed by </w:t>
      </w:r>
      <w:r w:rsidR="00D41848">
        <w:rPr>
          <w:lang w:val="en-GB"/>
        </w:rPr>
        <w:t>p</w:t>
      </w:r>
      <w:r w:rsidRPr="00045156">
        <w:rPr>
          <w:lang w:val="en-GB"/>
        </w:rPr>
        <w:t>arliamentary standing committees.</w:t>
      </w:r>
      <w:r w:rsidRPr="00B1382E">
        <w:rPr>
          <w:rStyle w:val="FootnoteReference"/>
        </w:rPr>
        <w:footnoteReference w:id="21"/>
      </w:r>
      <w:r w:rsidRPr="00045156">
        <w:rPr>
          <w:lang w:val="en-GB"/>
        </w:rPr>
        <w:t xml:space="preserve"> </w:t>
      </w:r>
    </w:p>
    <w:p w:rsidR="00251192" w:rsidRPr="00045156" w:rsidRDefault="00251192" w:rsidP="00251192">
      <w:pPr>
        <w:pStyle w:val="BodyText"/>
        <w:rPr>
          <w:lang w:val="en-GB" w:eastAsia="en-US"/>
        </w:rPr>
      </w:pPr>
      <w:r w:rsidRPr="00045156">
        <w:rPr>
          <w:lang w:val="en-GB"/>
        </w:rPr>
        <w:t xml:space="preserve">The ambit of the </w:t>
      </w:r>
      <w:proofErr w:type="spellStart"/>
      <w:r w:rsidRPr="00045156">
        <w:rPr>
          <w:lang w:val="en-GB"/>
        </w:rPr>
        <w:t>OAG</w:t>
      </w:r>
      <w:proofErr w:type="spellEnd"/>
      <w:r w:rsidRPr="00045156">
        <w:rPr>
          <w:lang w:val="en-GB"/>
        </w:rPr>
        <w:t xml:space="preserve"> is wide, including federal departments and agencies, most Crown corporations, other federal </w:t>
      </w:r>
      <w:r>
        <w:rPr>
          <w:lang w:val="en-GB"/>
        </w:rPr>
        <w:t>organisation</w:t>
      </w:r>
      <w:r w:rsidRPr="00045156">
        <w:rPr>
          <w:lang w:val="en-GB"/>
        </w:rPr>
        <w:t>s and similar parts of the territorial governments of Nunavut, the Northwest Territories and Yukon. Since 1995</w:t>
      </w:r>
      <w:r w:rsidR="002C7874">
        <w:rPr>
          <w:lang w:val="en-GB"/>
        </w:rPr>
        <w:t>,</w:t>
      </w:r>
      <w:r w:rsidRPr="00045156">
        <w:rPr>
          <w:lang w:val="en-GB"/>
        </w:rPr>
        <w:t xml:space="preserve"> the </w:t>
      </w:r>
      <w:proofErr w:type="spellStart"/>
      <w:r w:rsidRPr="00045156">
        <w:rPr>
          <w:lang w:val="en-GB"/>
        </w:rPr>
        <w:t>O</w:t>
      </w:r>
      <w:r w:rsidR="00D41848">
        <w:rPr>
          <w:lang w:val="en-GB"/>
        </w:rPr>
        <w:t>AG</w:t>
      </w:r>
      <w:proofErr w:type="spellEnd"/>
      <w:r w:rsidR="00D41848">
        <w:rPr>
          <w:lang w:val="en-GB"/>
        </w:rPr>
        <w:t xml:space="preserve"> </w:t>
      </w:r>
      <w:r w:rsidRPr="00045156">
        <w:rPr>
          <w:lang w:val="en-GB"/>
        </w:rPr>
        <w:t>has had the mandate to monitor environmental and sustainable development performance of these bodies.</w:t>
      </w:r>
    </w:p>
    <w:p w:rsidR="00251192" w:rsidRPr="00045156" w:rsidRDefault="00251192" w:rsidP="00251192">
      <w:pPr>
        <w:pStyle w:val="BodyText"/>
        <w:rPr>
          <w:lang w:val="en-GB"/>
        </w:rPr>
      </w:pPr>
      <w:r w:rsidRPr="00045156">
        <w:rPr>
          <w:shd w:val="clear" w:color="auto" w:fill="FFFFFF"/>
          <w:lang w:val="en-GB"/>
        </w:rPr>
        <w:t xml:space="preserve">The </w:t>
      </w:r>
      <w:proofErr w:type="spellStart"/>
      <w:r w:rsidRPr="00045156">
        <w:rPr>
          <w:shd w:val="clear" w:color="auto" w:fill="FFFFFF"/>
          <w:lang w:val="en-GB"/>
        </w:rPr>
        <w:t>OAG</w:t>
      </w:r>
      <w:proofErr w:type="spellEnd"/>
      <w:r w:rsidRPr="00045156">
        <w:rPr>
          <w:shd w:val="clear" w:color="auto" w:fill="FFFFFF"/>
          <w:lang w:val="en-GB"/>
        </w:rPr>
        <w:t xml:space="preserve"> reports to Parliament on an annual cycle. Audits </w:t>
      </w:r>
      <w:r w:rsidR="00D41848">
        <w:rPr>
          <w:shd w:val="clear" w:color="auto" w:fill="FFFFFF"/>
          <w:lang w:val="en-GB"/>
        </w:rPr>
        <w:t xml:space="preserve">are </w:t>
      </w:r>
      <w:r w:rsidRPr="00045156">
        <w:rPr>
          <w:shd w:val="clear" w:color="auto" w:fill="FFFFFF"/>
          <w:lang w:val="en-GB"/>
        </w:rPr>
        <w:t xml:space="preserve">conducted by teams of staff who typically have access to a reference committee of outside topic experts, as well as sufficient funds to travel as required. Staff in the departments being evaluated provide a written response to a draft report. The </w:t>
      </w:r>
      <w:proofErr w:type="spellStart"/>
      <w:r w:rsidRPr="00045156">
        <w:rPr>
          <w:shd w:val="clear" w:color="auto" w:fill="FFFFFF"/>
          <w:lang w:val="en-GB"/>
        </w:rPr>
        <w:t>OAG</w:t>
      </w:r>
      <w:proofErr w:type="spellEnd"/>
      <w:r w:rsidRPr="00045156">
        <w:rPr>
          <w:shd w:val="clear" w:color="auto" w:fill="FFFFFF"/>
          <w:lang w:val="en-GB"/>
        </w:rPr>
        <w:t xml:space="preserve"> tends to </w:t>
      </w:r>
      <w:r>
        <w:rPr>
          <w:shd w:val="clear" w:color="auto" w:fill="FFFFFF"/>
          <w:lang w:val="en-GB"/>
        </w:rPr>
        <w:t>analyse</w:t>
      </w:r>
      <w:r w:rsidRPr="00045156">
        <w:rPr>
          <w:shd w:val="clear" w:color="auto" w:fill="FFFFFF"/>
          <w:lang w:val="en-GB"/>
        </w:rPr>
        <w:t xml:space="preserve"> public expenditure thematically, rather than program by program. For example, the 2012 Annual Report (due to be released on October 23</w:t>
      </w:r>
      <w:r w:rsidR="006A7E31">
        <w:rPr>
          <w:shd w:val="clear" w:color="auto" w:fill="FFFFFF"/>
          <w:lang w:val="en-GB"/>
        </w:rPr>
        <w:t xml:space="preserve"> 2012</w:t>
      </w:r>
      <w:r w:rsidRPr="00045156">
        <w:rPr>
          <w:shd w:val="clear" w:color="auto" w:fill="FFFFFF"/>
          <w:lang w:val="en-GB"/>
        </w:rPr>
        <w:t xml:space="preserve">) will have seven thematic chapters. </w:t>
      </w:r>
      <w:r w:rsidRPr="00045156">
        <w:rPr>
          <w:lang w:val="en-GB"/>
        </w:rPr>
        <w:t xml:space="preserve">Chapter 2 is entitled </w:t>
      </w:r>
      <w:r w:rsidR="00D41848">
        <w:rPr>
          <w:lang w:val="en-GB"/>
        </w:rPr>
        <w:t>‘</w:t>
      </w:r>
      <w:r w:rsidRPr="00045156">
        <w:rPr>
          <w:lang w:val="en-GB"/>
        </w:rPr>
        <w:t>Grant and Contribution Program Reform</w:t>
      </w:r>
      <w:r w:rsidRPr="002B63FE">
        <w:rPr>
          <w:lang w:val="en-GB"/>
        </w:rPr>
        <w:t>s</w:t>
      </w:r>
      <w:r w:rsidR="00D41848">
        <w:rPr>
          <w:lang w:val="en-GB"/>
        </w:rPr>
        <w:t>’</w:t>
      </w:r>
      <w:r w:rsidRPr="002B63FE">
        <w:rPr>
          <w:lang w:val="en-GB"/>
        </w:rPr>
        <w:t xml:space="preserve">, </w:t>
      </w:r>
      <w:r w:rsidRPr="00045156">
        <w:rPr>
          <w:lang w:val="en-GB"/>
        </w:rPr>
        <w:t xml:space="preserve">and it will deal with </w:t>
      </w:r>
      <w:r w:rsidR="00B1382E">
        <w:rPr>
          <w:lang w:val="en-GB"/>
        </w:rPr>
        <w:t>‘</w:t>
      </w:r>
      <w:r w:rsidRPr="00045156">
        <w:rPr>
          <w:lang w:val="en-GB"/>
        </w:rPr>
        <w:t xml:space="preserve">whether the government has adequately implemented its </w:t>
      </w:r>
      <w:r w:rsidR="00D75298">
        <w:rPr>
          <w:lang w:val="en-GB"/>
        </w:rPr>
        <w:t xml:space="preserve">[2008] </w:t>
      </w:r>
      <w:r w:rsidRPr="00045156">
        <w:rPr>
          <w:lang w:val="en-GB"/>
        </w:rPr>
        <w:t xml:space="preserve">action plan </w:t>
      </w:r>
      <w:r w:rsidR="00D75298">
        <w:rPr>
          <w:lang w:val="en-GB"/>
        </w:rPr>
        <w:t>… to</w:t>
      </w:r>
      <w:r w:rsidRPr="00045156">
        <w:rPr>
          <w:lang w:val="en-GB"/>
        </w:rPr>
        <w:t xml:space="preserve"> streamlin</w:t>
      </w:r>
      <w:r w:rsidR="00D75298">
        <w:rPr>
          <w:lang w:val="en-GB"/>
        </w:rPr>
        <w:t>e</w:t>
      </w:r>
      <w:r w:rsidRPr="00045156">
        <w:rPr>
          <w:lang w:val="en-GB"/>
        </w:rPr>
        <w:t xml:space="preserve"> the administrative and reporting burden on grant and contribution recipients</w:t>
      </w:r>
      <w:r>
        <w:rPr>
          <w:lang w:val="en-GB"/>
        </w:rPr>
        <w:t xml:space="preserve"> </w:t>
      </w:r>
      <w:r w:rsidR="00B1382E">
        <w:rPr>
          <w:lang w:val="en-GB"/>
        </w:rPr>
        <w:t>…</w:t>
      </w:r>
      <w:r>
        <w:rPr>
          <w:lang w:val="en-GB"/>
        </w:rPr>
        <w:t xml:space="preserve"> </w:t>
      </w:r>
      <w:r w:rsidRPr="00045156">
        <w:rPr>
          <w:lang w:val="en-GB"/>
        </w:rPr>
        <w:t xml:space="preserve">[and] the role played by the Treasury Board of Canada Secretariat </w:t>
      </w:r>
      <w:r w:rsidR="00D75298">
        <w:rPr>
          <w:lang w:val="en-GB"/>
        </w:rPr>
        <w:t>… [</w:t>
      </w:r>
      <w:r w:rsidRPr="00045156">
        <w:rPr>
          <w:lang w:val="en-GB"/>
        </w:rPr>
        <w:t>and</w:t>
      </w:r>
      <w:r w:rsidR="00D75298">
        <w:rPr>
          <w:lang w:val="en-GB"/>
        </w:rPr>
        <w:t>]</w:t>
      </w:r>
      <w:r w:rsidRPr="00045156">
        <w:rPr>
          <w:lang w:val="en-GB"/>
        </w:rPr>
        <w:t xml:space="preserve"> </w:t>
      </w:r>
      <w:r w:rsidR="0027451E" w:rsidRPr="00D75298">
        <w:rPr>
          <w:szCs w:val="24"/>
          <w:lang w:val="en-GB"/>
        </w:rPr>
        <w:t>a</w:t>
      </w:r>
      <w:r w:rsidRPr="00045156">
        <w:rPr>
          <w:lang w:val="en-GB"/>
        </w:rPr>
        <w:t>ctivities to implement the reforms in five federal organizations</w:t>
      </w:r>
      <w:r w:rsidR="00B1382E">
        <w:rPr>
          <w:lang w:val="en-GB"/>
        </w:rPr>
        <w:t>’</w:t>
      </w:r>
      <w:r w:rsidR="00D26B27">
        <w:rPr>
          <w:lang w:val="en-GB"/>
        </w:rPr>
        <w:t xml:space="preserve"> (</w:t>
      </w:r>
      <w:proofErr w:type="spellStart"/>
      <w:r w:rsidR="00D26B27">
        <w:rPr>
          <w:lang w:val="en-GB"/>
        </w:rPr>
        <w:t>OAG</w:t>
      </w:r>
      <w:proofErr w:type="spellEnd"/>
      <w:r w:rsidR="00D26B27">
        <w:rPr>
          <w:lang w:val="en-GB"/>
        </w:rPr>
        <w:t xml:space="preserve"> 2012)</w:t>
      </w:r>
      <w:r w:rsidRPr="00045156">
        <w:rPr>
          <w:lang w:val="en-GB"/>
        </w:rPr>
        <w:t xml:space="preserve">. </w:t>
      </w:r>
    </w:p>
    <w:p w:rsidR="00251192" w:rsidRPr="00045156" w:rsidRDefault="00251192" w:rsidP="00251192">
      <w:pPr>
        <w:pStyle w:val="BodyText"/>
        <w:rPr>
          <w:shd w:val="clear" w:color="auto" w:fill="FFFFFF"/>
          <w:lang w:val="en-GB"/>
        </w:rPr>
      </w:pPr>
      <w:r w:rsidRPr="00045156">
        <w:rPr>
          <w:shd w:val="clear" w:color="auto" w:fill="FFFFFF"/>
          <w:lang w:val="en-GB"/>
        </w:rPr>
        <w:t xml:space="preserve">For present purposes, it is important that the </w:t>
      </w:r>
      <w:proofErr w:type="spellStart"/>
      <w:r w:rsidRPr="00045156">
        <w:rPr>
          <w:shd w:val="clear" w:color="auto" w:fill="FFFFFF"/>
          <w:lang w:val="en-GB"/>
        </w:rPr>
        <w:t>OAG</w:t>
      </w:r>
      <w:proofErr w:type="spellEnd"/>
      <w:r w:rsidRPr="00045156">
        <w:rPr>
          <w:shd w:val="clear" w:color="auto" w:fill="FFFFFF"/>
          <w:lang w:val="en-GB"/>
        </w:rPr>
        <w:t xml:space="preserve"> has conducted important assessments of federal compliance with the terms of modern treaties. The reports on these matters have been useful to academic analysis and to Indigenous </w:t>
      </w:r>
      <w:r>
        <w:rPr>
          <w:shd w:val="clear" w:color="auto" w:fill="FFFFFF"/>
          <w:lang w:val="en-GB"/>
        </w:rPr>
        <w:t>organisation</w:t>
      </w:r>
      <w:r w:rsidRPr="00045156">
        <w:rPr>
          <w:shd w:val="clear" w:color="auto" w:fill="FFFFFF"/>
          <w:lang w:val="en-GB"/>
        </w:rPr>
        <w:t>s seeking to improve federal responsiveness to their concerns.</w:t>
      </w:r>
    </w:p>
    <w:p w:rsidR="00251192" w:rsidRPr="00045156" w:rsidRDefault="00251192" w:rsidP="00251192">
      <w:pPr>
        <w:pStyle w:val="BodyText"/>
        <w:rPr>
          <w:rFonts w:ascii="Garamond" w:hAnsi="Garamond"/>
          <w:b/>
          <w:shd w:val="clear" w:color="auto" w:fill="FFFFFF"/>
          <w:lang w:val="en-GB"/>
        </w:rPr>
      </w:pPr>
      <w:r w:rsidRPr="00045156">
        <w:rPr>
          <w:shd w:val="clear" w:color="auto" w:fill="FFFFFF"/>
          <w:lang w:val="en-GB"/>
        </w:rPr>
        <w:lastRenderedPageBreak/>
        <w:t xml:space="preserve">If the audit conducted by the </w:t>
      </w:r>
      <w:proofErr w:type="spellStart"/>
      <w:r w:rsidRPr="00045156">
        <w:rPr>
          <w:shd w:val="clear" w:color="auto" w:fill="FFFFFF"/>
          <w:lang w:val="en-GB"/>
        </w:rPr>
        <w:t>O</w:t>
      </w:r>
      <w:r w:rsidR="00D41848">
        <w:rPr>
          <w:shd w:val="clear" w:color="auto" w:fill="FFFFFF"/>
          <w:lang w:val="en-GB"/>
        </w:rPr>
        <w:t>AG</w:t>
      </w:r>
      <w:proofErr w:type="spellEnd"/>
      <w:r w:rsidR="00D41848">
        <w:rPr>
          <w:shd w:val="clear" w:color="auto" w:fill="FFFFFF"/>
          <w:lang w:val="en-GB"/>
        </w:rPr>
        <w:t xml:space="preserve"> </w:t>
      </w:r>
      <w:r w:rsidRPr="00045156">
        <w:rPr>
          <w:shd w:val="clear" w:color="auto" w:fill="FFFFFF"/>
          <w:lang w:val="en-GB"/>
        </w:rPr>
        <w:t xml:space="preserve">provides cross-cutting analyses that are useful to </w:t>
      </w:r>
      <w:r w:rsidR="00D41848">
        <w:rPr>
          <w:shd w:val="clear" w:color="auto" w:fill="FFFFFF"/>
          <w:lang w:val="en-GB"/>
        </w:rPr>
        <w:t>p</w:t>
      </w:r>
      <w:r w:rsidRPr="00045156">
        <w:rPr>
          <w:shd w:val="clear" w:color="auto" w:fill="FFFFFF"/>
          <w:lang w:val="en-GB"/>
        </w:rPr>
        <w:t xml:space="preserve">arliamentarians and members of the public, they remain focused on dimensions of policy implementation. A final form of evaluation that has proven to be useful in the Canadian context is the form of policy evaluation </w:t>
      </w:r>
      <w:r w:rsidR="00B1382E">
        <w:rPr>
          <w:shd w:val="clear" w:color="auto" w:fill="FFFFFF"/>
          <w:lang w:val="en-GB"/>
        </w:rPr>
        <w:t xml:space="preserve">— </w:t>
      </w:r>
      <w:r w:rsidRPr="00045156">
        <w:rPr>
          <w:shd w:val="clear" w:color="auto" w:fill="FFFFFF"/>
          <w:lang w:val="en-GB"/>
        </w:rPr>
        <w:t>and indeed reconsideration</w:t>
      </w:r>
      <w:r w:rsidR="00B1382E">
        <w:rPr>
          <w:shd w:val="clear" w:color="auto" w:fill="FFFFFF"/>
          <w:lang w:val="en-GB"/>
        </w:rPr>
        <w:t xml:space="preserve"> —</w:t>
      </w:r>
      <w:r w:rsidRPr="00045156">
        <w:rPr>
          <w:shd w:val="clear" w:color="auto" w:fill="FFFFFF"/>
          <w:lang w:val="en-GB"/>
        </w:rPr>
        <w:t xml:space="preserve"> that is the perquisite of a royal commission.</w:t>
      </w:r>
    </w:p>
    <w:p w:rsidR="00251192" w:rsidRPr="00045156" w:rsidRDefault="0095163F" w:rsidP="00251192">
      <w:pPr>
        <w:pStyle w:val="Heading2"/>
        <w:rPr>
          <w:shd w:val="clear" w:color="auto" w:fill="FFFFFF"/>
          <w:lang w:val="en-GB"/>
        </w:rPr>
      </w:pPr>
      <w:r>
        <w:rPr>
          <w:shd w:val="clear" w:color="auto" w:fill="FFFFFF"/>
          <w:lang w:val="en-GB"/>
        </w:rPr>
        <w:t>11</w:t>
      </w:r>
      <w:r w:rsidR="00251192">
        <w:rPr>
          <w:shd w:val="clear" w:color="auto" w:fill="FFFFFF"/>
          <w:lang w:val="en-GB"/>
        </w:rPr>
        <w:t>.7</w:t>
      </w:r>
      <w:r w:rsidR="00251192">
        <w:rPr>
          <w:shd w:val="clear" w:color="auto" w:fill="FFFFFF"/>
          <w:lang w:val="en-GB"/>
        </w:rPr>
        <w:tab/>
        <w:t>Policy e</w:t>
      </w:r>
      <w:r w:rsidR="00251192" w:rsidRPr="00045156">
        <w:rPr>
          <w:shd w:val="clear" w:color="auto" w:fill="FFFFFF"/>
          <w:lang w:val="en-GB"/>
        </w:rPr>
        <w:t>valuation</w:t>
      </w:r>
      <w:r w:rsidR="00251192">
        <w:rPr>
          <w:shd w:val="clear" w:color="auto" w:fill="FFFFFF"/>
          <w:lang w:val="en-GB"/>
        </w:rPr>
        <w:t>: the c</w:t>
      </w:r>
      <w:r w:rsidR="00251192" w:rsidRPr="00045156">
        <w:rPr>
          <w:shd w:val="clear" w:color="auto" w:fill="FFFFFF"/>
          <w:lang w:val="en-GB"/>
        </w:rPr>
        <w:t>ase of the Royal Commission on Aboriginal Peoples</w:t>
      </w:r>
    </w:p>
    <w:p w:rsidR="00251192" w:rsidRPr="00045156" w:rsidRDefault="00251192" w:rsidP="00251192">
      <w:pPr>
        <w:pStyle w:val="BodyText"/>
        <w:rPr>
          <w:shd w:val="clear" w:color="auto" w:fill="FFFFFF"/>
          <w:lang w:val="en-GB"/>
        </w:rPr>
      </w:pPr>
      <w:r w:rsidRPr="00045156">
        <w:rPr>
          <w:shd w:val="clear" w:color="auto" w:fill="FFFFFF"/>
          <w:lang w:val="en-GB"/>
        </w:rPr>
        <w:t xml:space="preserve">Perhaps more than most countries governed in the Westminster tradition, Canada has had resort to commissions of inquiry to resolve knotty and persistent problems of public policy. A series of commissions from the mid-twentieth century have had a significant effect on politics, legislation and national tensions. The (Massey) Commission on National Development in the Arts, Letters and Sciences reported in 1951, making recommendations that led to the establishment of the Canada Council and other longstanding cultural institutions. The Royal Commission on Bilingualism and Biculturalism, reporting in 1967, led to a number of profound changes in Canadian public institutions, including official bilingualism, multiculturalism, and measures to improve the representation of </w:t>
      </w:r>
      <w:proofErr w:type="spellStart"/>
      <w:r w:rsidRPr="00045156">
        <w:rPr>
          <w:shd w:val="clear" w:color="auto" w:fill="FFFFFF"/>
          <w:lang w:val="en-GB"/>
        </w:rPr>
        <w:t>francophones</w:t>
      </w:r>
      <w:proofErr w:type="spellEnd"/>
      <w:r>
        <w:rPr>
          <w:shd w:val="clear" w:color="auto" w:fill="FFFFFF"/>
          <w:lang w:val="en-GB"/>
        </w:rPr>
        <w:t xml:space="preserve"> — </w:t>
      </w:r>
      <w:r w:rsidRPr="00045156">
        <w:rPr>
          <w:shd w:val="clear" w:color="auto" w:fill="FFFFFF"/>
          <w:lang w:val="en-GB"/>
        </w:rPr>
        <w:t xml:space="preserve">and increase </w:t>
      </w:r>
      <w:r>
        <w:rPr>
          <w:shd w:val="clear" w:color="auto" w:fill="FFFFFF"/>
          <w:lang w:val="en-GB"/>
        </w:rPr>
        <w:t>the use of the French language —</w:t>
      </w:r>
      <w:r w:rsidRPr="00045156">
        <w:rPr>
          <w:shd w:val="clear" w:color="auto" w:fill="FFFFFF"/>
          <w:lang w:val="en-GB"/>
        </w:rPr>
        <w:t xml:space="preserve"> in all public institutions. The (Bird) Commission on the Status of Women (1970)</w:t>
      </w:r>
      <w:r>
        <w:rPr>
          <w:shd w:val="clear" w:color="auto" w:fill="FFFFFF"/>
          <w:lang w:val="en-GB"/>
        </w:rPr>
        <w:t xml:space="preserve"> </w:t>
      </w:r>
      <w:r w:rsidRPr="00045156">
        <w:rPr>
          <w:shd w:val="clear" w:color="auto" w:fill="FFFFFF"/>
          <w:lang w:val="en-GB"/>
        </w:rPr>
        <w:t xml:space="preserve">responded </w:t>
      </w:r>
      <w:r w:rsidR="00682C6E">
        <w:rPr>
          <w:shd w:val="clear" w:color="auto" w:fill="FFFFFF"/>
          <w:lang w:val="en-GB"/>
        </w:rPr>
        <w:t xml:space="preserve">to </w:t>
      </w:r>
      <w:r w:rsidRPr="00045156">
        <w:rPr>
          <w:shd w:val="clear" w:color="auto" w:fill="FFFFFF"/>
          <w:lang w:val="en-GB"/>
        </w:rPr>
        <w:t>increasing social pressure to advance women</w:t>
      </w:r>
      <w:r w:rsidR="00B1382E">
        <w:rPr>
          <w:shd w:val="clear" w:color="auto" w:fill="FFFFFF"/>
          <w:lang w:val="en-GB"/>
        </w:rPr>
        <w:t>’</w:t>
      </w:r>
      <w:r w:rsidRPr="00045156">
        <w:rPr>
          <w:shd w:val="clear" w:color="auto" w:fill="FFFFFF"/>
          <w:lang w:val="en-GB"/>
        </w:rPr>
        <w:t>s equality.</w:t>
      </w:r>
    </w:p>
    <w:p w:rsidR="00251192" w:rsidRPr="00B1382E" w:rsidRDefault="00251192" w:rsidP="00251192">
      <w:pPr>
        <w:pStyle w:val="BodyText"/>
        <w:rPr>
          <w:lang w:val="en-GB"/>
        </w:rPr>
      </w:pPr>
      <w:r w:rsidRPr="00045156">
        <w:rPr>
          <w:lang w:val="en-GB"/>
        </w:rPr>
        <w:t>The Royal Commission on Aboriginal Peoples (</w:t>
      </w:r>
      <w:proofErr w:type="spellStart"/>
      <w:r w:rsidRPr="00045156">
        <w:rPr>
          <w:lang w:val="en-GB"/>
        </w:rPr>
        <w:t>RCAP</w:t>
      </w:r>
      <w:proofErr w:type="spellEnd"/>
      <w:r w:rsidRPr="00045156">
        <w:rPr>
          <w:lang w:val="en-GB"/>
        </w:rPr>
        <w:t xml:space="preserve">) can be seen as a policy commission in this long tradition. The </w:t>
      </w:r>
      <w:proofErr w:type="spellStart"/>
      <w:r w:rsidRPr="00045156">
        <w:rPr>
          <w:lang w:val="en-GB"/>
        </w:rPr>
        <w:t>RCAP</w:t>
      </w:r>
      <w:proofErr w:type="spellEnd"/>
      <w:r>
        <w:rPr>
          <w:lang w:val="en-GB"/>
        </w:rPr>
        <w:t xml:space="preserve"> </w:t>
      </w:r>
      <w:r w:rsidRPr="00045156">
        <w:rPr>
          <w:lang w:val="en-GB"/>
        </w:rPr>
        <w:t>was announced in the midst of an acute crisis in Indigenous</w:t>
      </w:r>
      <w:r w:rsidR="00682C6E">
        <w:rPr>
          <w:lang w:val="en-GB"/>
        </w:rPr>
        <w:t>–</w:t>
      </w:r>
      <w:r w:rsidRPr="00045156">
        <w:rPr>
          <w:lang w:val="en-GB"/>
        </w:rPr>
        <w:t xml:space="preserve">Canada relations, following on the collapse of constitutional negotiations and after a dangerous confrontation over Mohawk lands at </w:t>
      </w:r>
      <w:proofErr w:type="spellStart"/>
      <w:r w:rsidRPr="00045156">
        <w:rPr>
          <w:lang w:val="en-GB"/>
        </w:rPr>
        <w:t>Kanesatake</w:t>
      </w:r>
      <w:proofErr w:type="spellEnd"/>
      <w:r w:rsidRPr="00045156">
        <w:rPr>
          <w:lang w:val="en-GB"/>
        </w:rPr>
        <w:t>, near Oka, in summer 1990</w:t>
      </w:r>
      <w:r w:rsidR="00682C6E">
        <w:rPr>
          <w:lang w:val="en-GB"/>
        </w:rPr>
        <w:t xml:space="preserve"> (York and </w:t>
      </w:r>
      <w:proofErr w:type="spellStart"/>
      <w:r w:rsidR="00682C6E">
        <w:rPr>
          <w:lang w:val="en-GB"/>
        </w:rPr>
        <w:t>Pindera</w:t>
      </w:r>
      <w:proofErr w:type="spellEnd"/>
      <w:r w:rsidR="00682C6E">
        <w:rPr>
          <w:lang w:val="en-GB"/>
        </w:rPr>
        <w:t xml:space="preserve"> 1991; Simpson and Ladner 2010)</w:t>
      </w:r>
      <w:r w:rsidRPr="00045156">
        <w:rPr>
          <w:lang w:val="en-GB"/>
        </w:rPr>
        <w:t>.</w:t>
      </w:r>
      <w:r>
        <w:rPr>
          <w:lang w:val="en-GB"/>
        </w:rPr>
        <w:t xml:space="preserve"> </w:t>
      </w:r>
      <w:r w:rsidRPr="00045156">
        <w:rPr>
          <w:lang w:val="en-GB"/>
        </w:rPr>
        <w:t>The Royal Commission was given a very broad mandate to addressed fundamental questions about the relationship between Indigenous peoples and the Crown. Commission staff conducted or comm</w:t>
      </w:r>
      <w:r w:rsidRPr="00B1382E">
        <w:rPr>
          <w:lang w:val="en-GB"/>
        </w:rPr>
        <w:t>issioned research costing nearly $10</w:t>
      </w:r>
      <w:r w:rsidR="002C1FA9">
        <w:rPr>
          <w:lang w:val="en-GB"/>
        </w:rPr>
        <w:t> </w:t>
      </w:r>
      <w:r w:rsidRPr="00B1382E">
        <w:rPr>
          <w:lang w:val="en-GB"/>
        </w:rPr>
        <w:t>million, while hearings were held in 110 Canadian communities. The Commission</w:t>
      </w:r>
      <w:r w:rsidR="00B1382E">
        <w:rPr>
          <w:lang w:val="en-GB"/>
        </w:rPr>
        <w:t>’</w:t>
      </w:r>
      <w:r w:rsidRPr="00B1382E">
        <w:rPr>
          <w:lang w:val="en-GB"/>
        </w:rPr>
        <w:t xml:space="preserve">s five-volume final report, released in </w:t>
      </w:r>
      <w:proofErr w:type="spellStart"/>
      <w:r w:rsidRPr="00B1382E">
        <w:rPr>
          <w:lang w:val="en-GB"/>
        </w:rPr>
        <w:t>1ate</w:t>
      </w:r>
      <w:proofErr w:type="spellEnd"/>
      <w:r w:rsidRPr="00B1382E">
        <w:rPr>
          <w:lang w:val="en-GB"/>
        </w:rPr>
        <w:t xml:space="preserve"> 1996, addressed a wide range of contemporary problems and historic injustices. It offered a reinterpretation of Canadian history that supported a new vision of the future of Canada</w:t>
      </w:r>
      <w:r w:rsidR="00682C6E">
        <w:rPr>
          <w:lang w:val="en-GB"/>
        </w:rPr>
        <w:t>–</w:t>
      </w:r>
      <w:r w:rsidRPr="00B1382E">
        <w:rPr>
          <w:lang w:val="en-GB"/>
        </w:rPr>
        <w:t xml:space="preserve">Aboriginal relations based on </w:t>
      </w:r>
      <w:r w:rsidR="00B1382E">
        <w:rPr>
          <w:lang w:val="en-GB"/>
        </w:rPr>
        <w:t>‘</w:t>
      </w:r>
      <w:r w:rsidRPr="00B1382E">
        <w:rPr>
          <w:lang w:val="en-GB"/>
        </w:rPr>
        <w:t>nation-to-nation</w:t>
      </w:r>
      <w:r w:rsidR="00B1382E">
        <w:rPr>
          <w:lang w:val="en-GB"/>
        </w:rPr>
        <w:t>’</w:t>
      </w:r>
      <w:r w:rsidRPr="00B1382E">
        <w:rPr>
          <w:lang w:val="en-GB"/>
        </w:rPr>
        <w:t xml:space="preserve"> negotiations animated by four principles: mutual recognition</w:t>
      </w:r>
      <w:r w:rsidR="00EF57FC">
        <w:rPr>
          <w:lang w:val="en-GB"/>
        </w:rPr>
        <w:t>,</w:t>
      </w:r>
      <w:r w:rsidRPr="00B1382E">
        <w:rPr>
          <w:lang w:val="en-GB"/>
        </w:rPr>
        <w:t xml:space="preserve"> mutual respect</w:t>
      </w:r>
      <w:r w:rsidR="00EF57FC">
        <w:rPr>
          <w:lang w:val="en-GB"/>
        </w:rPr>
        <w:t>,</w:t>
      </w:r>
      <w:r w:rsidRPr="00B1382E">
        <w:rPr>
          <w:lang w:val="en-GB"/>
        </w:rPr>
        <w:t xml:space="preserve"> sharing</w:t>
      </w:r>
      <w:r w:rsidR="00EF57FC">
        <w:rPr>
          <w:lang w:val="en-GB"/>
        </w:rPr>
        <w:t>,</w:t>
      </w:r>
      <w:r w:rsidRPr="00B1382E">
        <w:rPr>
          <w:lang w:val="en-GB"/>
        </w:rPr>
        <w:t xml:space="preserve"> and mutual responsibility</w:t>
      </w:r>
      <w:r w:rsidR="004A399C">
        <w:rPr>
          <w:lang w:val="en-GB"/>
        </w:rPr>
        <w:t xml:space="preserve"> (</w:t>
      </w:r>
      <w:proofErr w:type="spellStart"/>
      <w:r w:rsidR="004A399C">
        <w:rPr>
          <w:lang w:val="en-GB"/>
        </w:rPr>
        <w:t>RCAP</w:t>
      </w:r>
      <w:proofErr w:type="spellEnd"/>
      <w:r w:rsidR="004A399C">
        <w:rPr>
          <w:lang w:val="en-GB"/>
        </w:rPr>
        <w:t xml:space="preserve"> 1996, vol. 1, </w:t>
      </w:r>
      <w:proofErr w:type="spellStart"/>
      <w:r w:rsidR="004A399C">
        <w:rPr>
          <w:lang w:val="en-GB"/>
        </w:rPr>
        <w:t>ch</w:t>
      </w:r>
      <w:r w:rsidR="006A7E31">
        <w:rPr>
          <w:lang w:val="en-GB"/>
        </w:rPr>
        <w:t>.</w:t>
      </w:r>
      <w:proofErr w:type="spellEnd"/>
      <w:r w:rsidR="006A7E31">
        <w:rPr>
          <w:lang w:val="en-GB"/>
        </w:rPr>
        <w:t xml:space="preserve"> 16)</w:t>
      </w:r>
      <w:r w:rsidRPr="00B1382E">
        <w:rPr>
          <w:lang w:val="en-GB"/>
        </w:rPr>
        <w:t>. Various sections of the Commission</w:t>
      </w:r>
      <w:r w:rsidR="00B1382E">
        <w:rPr>
          <w:lang w:val="en-GB"/>
        </w:rPr>
        <w:t>’</w:t>
      </w:r>
      <w:r w:rsidRPr="00B1382E">
        <w:rPr>
          <w:lang w:val="en-GB"/>
        </w:rPr>
        <w:t xml:space="preserve">s report dealt with matters of federal and provincial responsibility, and proposed reforms to the federation that </w:t>
      </w:r>
      <w:r w:rsidRPr="00B1382E">
        <w:rPr>
          <w:lang w:val="en-GB"/>
        </w:rPr>
        <w:lastRenderedPageBreak/>
        <w:t>would create space for a third order of Indigenous government. Virtually the full range of federal policies affecting Indigenous peoples were examined.</w:t>
      </w:r>
    </w:p>
    <w:p w:rsidR="00251192" w:rsidRPr="00045156" w:rsidRDefault="00251192" w:rsidP="00251192">
      <w:pPr>
        <w:pStyle w:val="BodyText"/>
        <w:rPr>
          <w:lang w:val="en-GB"/>
        </w:rPr>
      </w:pPr>
      <w:r w:rsidRPr="00045156">
        <w:rPr>
          <w:rFonts w:cstheme="minorBidi"/>
          <w:lang w:val="en-GB"/>
        </w:rPr>
        <w:t>T</w:t>
      </w:r>
      <w:r w:rsidRPr="00045156">
        <w:rPr>
          <w:lang w:val="en-GB"/>
        </w:rPr>
        <w:t xml:space="preserve">he federal </w:t>
      </w:r>
      <w:r w:rsidR="00682C6E">
        <w:rPr>
          <w:lang w:val="en-GB"/>
        </w:rPr>
        <w:t>c</w:t>
      </w:r>
      <w:r w:rsidRPr="00045156">
        <w:rPr>
          <w:lang w:val="en-GB"/>
        </w:rPr>
        <w:t xml:space="preserve">abinet responded to the report of the </w:t>
      </w:r>
      <w:proofErr w:type="spellStart"/>
      <w:r w:rsidR="00682C6E">
        <w:rPr>
          <w:lang w:val="en-GB"/>
        </w:rPr>
        <w:t>RCAP</w:t>
      </w:r>
      <w:proofErr w:type="spellEnd"/>
      <w:r w:rsidR="00682C6E">
        <w:rPr>
          <w:lang w:val="en-GB"/>
        </w:rPr>
        <w:t xml:space="preserve"> </w:t>
      </w:r>
      <w:r w:rsidRPr="00045156">
        <w:rPr>
          <w:lang w:val="en-GB"/>
        </w:rPr>
        <w:t xml:space="preserve">within a year, in a policy statement entitled </w:t>
      </w:r>
      <w:r w:rsidRPr="00682C6E">
        <w:rPr>
          <w:i/>
          <w:lang w:val="en-GB"/>
        </w:rPr>
        <w:t>Gathering Strength</w:t>
      </w:r>
      <w:r w:rsidRPr="00045156">
        <w:rPr>
          <w:i/>
          <w:lang w:val="en-GB"/>
        </w:rPr>
        <w:t>.</w:t>
      </w:r>
      <w:r w:rsidRPr="00045156">
        <w:rPr>
          <w:lang w:val="en-GB"/>
        </w:rPr>
        <w:t xml:space="preserve"> Avoiding direct endorsement of the more consequential recommendations related to jurisdiction and political realignment, the policy document picked up on the nation-to-nation paradigm to focus on</w:t>
      </w:r>
      <w:r>
        <w:rPr>
          <w:lang w:val="en-GB"/>
        </w:rPr>
        <w:t xml:space="preserve"> </w:t>
      </w:r>
      <w:r w:rsidR="00B1382E">
        <w:rPr>
          <w:lang w:val="en-GB"/>
        </w:rPr>
        <w:t>‘</w:t>
      </w:r>
      <w:r w:rsidRPr="00045156">
        <w:rPr>
          <w:lang w:val="en-GB"/>
        </w:rPr>
        <w:t>partnership</w:t>
      </w:r>
      <w:r w:rsidR="00B1382E">
        <w:rPr>
          <w:lang w:val="en-GB"/>
        </w:rPr>
        <w:t>’</w:t>
      </w:r>
      <w:r>
        <w:rPr>
          <w:lang w:val="en-GB"/>
        </w:rPr>
        <w:t xml:space="preserve"> </w:t>
      </w:r>
      <w:r w:rsidRPr="00045156">
        <w:rPr>
          <w:lang w:val="en-GB"/>
        </w:rPr>
        <w:t>as a framework for addressing longstanding problems. The Commission</w:t>
      </w:r>
      <w:r w:rsidR="00B1382E">
        <w:rPr>
          <w:lang w:val="en-GB"/>
        </w:rPr>
        <w:t>’</w:t>
      </w:r>
      <w:r w:rsidRPr="00045156">
        <w:rPr>
          <w:lang w:val="en-GB"/>
        </w:rPr>
        <w:t xml:space="preserve">s documentation of past wrongs received a response in the form of a statement of responsibility, while new institutions were mandated that would enable communities to deal with past trauma, and restructure the relationship of Indigenous peoples and nations to the Canadian economy. These included measures directed towards children and youth and institutions to improve labour market performance and access to capital in support of economic self-sufficiency. </w:t>
      </w:r>
      <w:r w:rsidRPr="00682C6E">
        <w:rPr>
          <w:i/>
          <w:iCs/>
          <w:lang w:val="en-GB"/>
        </w:rPr>
        <w:t>Gathering Strength</w:t>
      </w:r>
      <w:r w:rsidRPr="00045156">
        <w:rPr>
          <w:lang w:val="en-GB"/>
        </w:rPr>
        <w:t xml:space="preserve"> provided the policy authority for the creation of new </w:t>
      </w:r>
      <w:r w:rsidR="00B1382E">
        <w:rPr>
          <w:lang w:val="en-GB"/>
        </w:rPr>
        <w:t>‘</w:t>
      </w:r>
      <w:r w:rsidRPr="00045156">
        <w:rPr>
          <w:lang w:val="en-GB"/>
        </w:rPr>
        <w:t>councils</w:t>
      </w:r>
      <w:r w:rsidR="00B1382E">
        <w:rPr>
          <w:lang w:val="en-GB"/>
        </w:rPr>
        <w:t>’</w:t>
      </w:r>
      <w:r>
        <w:rPr>
          <w:lang w:val="en-GB"/>
        </w:rPr>
        <w:t xml:space="preserve"> </w:t>
      </w:r>
      <w:r w:rsidRPr="00045156">
        <w:rPr>
          <w:lang w:val="en-GB"/>
        </w:rPr>
        <w:t>for policy deliberation in a number of specific policy areas concerning health, children</w:t>
      </w:r>
      <w:r w:rsidR="00B1382E">
        <w:rPr>
          <w:lang w:val="en-GB"/>
        </w:rPr>
        <w:t>’</w:t>
      </w:r>
      <w:r w:rsidRPr="00045156">
        <w:rPr>
          <w:lang w:val="en-GB"/>
        </w:rPr>
        <w:t>s programs, and labour market and economic development</w:t>
      </w:r>
      <w:r w:rsidR="00682C6E">
        <w:rPr>
          <w:lang w:val="en-GB"/>
        </w:rPr>
        <w:t xml:space="preserve"> (</w:t>
      </w:r>
      <w:proofErr w:type="spellStart"/>
      <w:r w:rsidR="00682C6E">
        <w:rPr>
          <w:lang w:val="en-GB"/>
        </w:rPr>
        <w:t>Delic</w:t>
      </w:r>
      <w:proofErr w:type="spellEnd"/>
      <w:r w:rsidR="00682C6E">
        <w:rPr>
          <w:lang w:val="en-GB"/>
        </w:rPr>
        <w:t xml:space="preserve"> and Abele 2010)</w:t>
      </w:r>
      <w:r w:rsidRPr="00045156">
        <w:rPr>
          <w:lang w:val="en-GB"/>
        </w:rPr>
        <w:t xml:space="preserve">. In short, </w:t>
      </w:r>
      <w:r w:rsidRPr="00045156">
        <w:rPr>
          <w:i/>
          <w:lang w:val="en-GB"/>
        </w:rPr>
        <w:t>Gathering Strength</w:t>
      </w:r>
      <w:r w:rsidRPr="00045156">
        <w:rPr>
          <w:lang w:val="en-GB"/>
        </w:rPr>
        <w:t xml:space="preserve"> introduced a new governance paradigm in federal programs directed towards Indigenous peoples.</w:t>
      </w:r>
    </w:p>
    <w:p w:rsidR="00251192" w:rsidRPr="00045156" w:rsidRDefault="00251192" w:rsidP="00251192">
      <w:pPr>
        <w:pStyle w:val="BodyText"/>
        <w:rPr>
          <w:shd w:val="clear" w:color="auto" w:fill="FFFFFF"/>
          <w:lang w:val="en-GB"/>
        </w:rPr>
      </w:pPr>
      <w:r w:rsidRPr="00045156">
        <w:rPr>
          <w:shd w:val="clear" w:color="auto" w:fill="FFFFFF"/>
          <w:lang w:val="en-GB"/>
        </w:rPr>
        <w:t>A number of scholars have attempted to assess the impacts of royal commissions in Canadian political life</w:t>
      </w:r>
      <w:r w:rsidR="00682C6E">
        <w:rPr>
          <w:shd w:val="clear" w:color="auto" w:fill="FFFFFF"/>
          <w:lang w:val="en-GB"/>
        </w:rPr>
        <w:t xml:space="preserve"> (</w:t>
      </w:r>
      <w:proofErr w:type="spellStart"/>
      <w:r w:rsidR="00682C6E">
        <w:rPr>
          <w:shd w:val="clear" w:color="auto" w:fill="FFFFFF"/>
          <w:lang w:val="en-GB"/>
        </w:rPr>
        <w:t>Inwood</w:t>
      </w:r>
      <w:proofErr w:type="spellEnd"/>
      <w:r w:rsidR="00682C6E">
        <w:rPr>
          <w:shd w:val="clear" w:color="auto" w:fill="FFFFFF"/>
          <w:lang w:val="en-GB"/>
        </w:rPr>
        <w:t xml:space="preserve"> and Johns; Jenson 1994)</w:t>
      </w:r>
      <w:r>
        <w:rPr>
          <w:shd w:val="clear" w:color="auto" w:fill="FFFFFF"/>
          <w:lang w:val="en-GB"/>
        </w:rPr>
        <w:t>,</w:t>
      </w:r>
      <w:r w:rsidRPr="00045156">
        <w:rPr>
          <w:shd w:val="clear" w:color="auto" w:fill="FFFFFF"/>
          <w:lang w:val="en-GB"/>
        </w:rPr>
        <w:t xml:space="preserve"> and several studies focus exclusively on the Royal Commission on Aboriginal Peoples. Marlene Brant </w:t>
      </w:r>
      <w:proofErr w:type="spellStart"/>
      <w:r w:rsidRPr="00045156">
        <w:rPr>
          <w:shd w:val="clear" w:color="auto" w:fill="FFFFFF"/>
          <w:lang w:val="en-GB"/>
        </w:rPr>
        <w:t>Castellano</w:t>
      </w:r>
      <w:proofErr w:type="spellEnd"/>
      <w:r w:rsidRPr="00045156">
        <w:rPr>
          <w:shd w:val="clear" w:color="auto" w:fill="FFFFFF"/>
          <w:lang w:val="en-GB"/>
        </w:rPr>
        <w:t>, one of the directors of resear</w:t>
      </w:r>
      <w:r w:rsidR="00682C6E">
        <w:rPr>
          <w:shd w:val="clear" w:color="auto" w:fill="FFFFFF"/>
          <w:lang w:val="en-GB"/>
        </w:rPr>
        <w:t xml:space="preserve">ch at the </w:t>
      </w:r>
      <w:r w:rsidR="00A33714">
        <w:rPr>
          <w:shd w:val="clear" w:color="auto" w:fill="FFFFFF"/>
          <w:lang w:val="en-GB"/>
        </w:rPr>
        <w:t>C</w:t>
      </w:r>
      <w:r w:rsidRPr="00045156">
        <w:rPr>
          <w:shd w:val="clear" w:color="auto" w:fill="FFFFFF"/>
          <w:lang w:val="en-GB"/>
        </w:rPr>
        <w:t>ommission, has published explanations of the Commission</w:t>
      </w:r>
      <w:r w:rsidR="00B1382E">
        <w:rPr>
          <w:shd w:val="clear" w:color="auto" w:fill="FFFFFF"/>
          <w:lang w:val="en-GB"/>
        </w:rPr>
        <w:t>’</w:t>
      </w:r>
      <w:r w:rsidRPr="00045156">
        <w:rPr>
          <w:shd w:val="clear" w:color="auto" w:fill="FFFFFF"/>
          <w:lang w:val="en-GB"/>
        </w:rPr>
        <w:t>s approach to traditional knowledge and its efforts to overcome well-established epistemological boundaries</w:t>
      </w:r>
      <w:r w:rsidR="00682C6E">
        <w:rPr>
          <w:shd w:val="clear" w:color="auto" w:fill="FFFFFF"/>
          <w:lang w:val="en-GB"/>
        </w:rPr>
        <w:t xml:space="preserve"> (2002 (2000))</w:t>
      </w:r>
      <w:r w:rsidRPr="00045156">
        <w:rPr>
          <w:shd w:val="clear" w:color="auto" w:fill="FFFFFF"/>
          <w:lang w:val="en-GB"/>
        </w:rPr>
        <w:t>. Other academics who worked on the Commission (including the present author) have sought to interpret its process and to understand its impact. Many others are critical of the Commission for the constitutional vision that it promotes</w:t>
      </w:r>
      <w:r w:rsidR="00682C6E">
        <w:rPr>
          <w:shd w:val="clear" w:color="auto" w:fill="FFFFFF"/>
          <w:lang w:val="en-GB"/>
        </w:rPr>
        <w:t xml:space="preserve"> (</w:t>
      </w:r>
      <w:r w:rsidR="00682C6E" w:rsidRPr="00682C6E">
        <w:rPr>
          <w:shd w:val="clear" w:color="auto" w:fill="FFFFFF"/>
          <w:lang w:val="en-GB"/>
        </w:rPr>
        <w:t>Anderson and Denis 200</w:t>
      </w:r>
      <w:r w:rsidR="00E26D3B">
        <w:rPr>
          <w:shd w:val="clear" w:color="auto" w:fill="FFFFFF"/>
          <w:lang w:val="en-GB"/>
        </w:rPr>
        <w:t>3</w:t>
      </w:r>
      <w:r w:rsidR="00682C6E">
        <w:rPr>
          <w:shd w:val="clear" w:color="auto" w:fill="FFFFFF"/>
          <w:lang w:val="en-GB"/>
        </w:rPr>
        <w:t>; Ladner 2001;</w:t>
      </w:r>
      <w:r w:rsidR="00682C6E" w:rsidRPr="00682C6E">
        <w:rPr>
          <w:shd w:val="clear" w:color="auto" w:fill="FFFFFF"/>
          <w:lang w:val="en-GB"/>
        </w:rPr>
        <w:t xml:space="preserve"> Brant </w:t>
      </w:r>
      <w:proofErr w:type="spellStart"/>
      <w:r w:rsidR="00682C6E" w:rsidRPr="00682C6E">
        <w:rPr>
          <w:shd w:val="clear" w:color="auto" w:fill="FFFFFF"/>
          <w:lang w:val="en-GB"/>
        </w:rPr>
        <w:t>Castellano</w:t>
      </w:r>
      <w:proofErr w:type="spellEnd"/>
      <w:r w:rsidR="00682C6E" w:rsidRPr="00682C6E">
        <w:rPr>
          <w:shd w:val="clear" w:color="auto" w:fill="FFFFFF"/>
          <w:lang w:val="en-GB"/>
        </w:rPr>
        <w:t xml:space="preserve"> 2002 (2000)</w:t>
      </w:r>
      <w:r w:rsidR="00682C6E">
        <w:rPr>
          <w:shd w:val="clear" w:color="auto" w:fill="FFFFFF"/>
          <w:lang w:val="en-GB"/>
        </w:rPr>
        <w:t>)</w:t>
      </w:r>
      <w:r>
        <w:rPr>
          <w:shd w:val="clear" w:color="auto" w:fill="FFFFFF"/>
          <w:lang w:val="en-GB"/>
        </w:rPr>
        <w:t>,</w:t>
      </w:r>
      <w:r w:rsidRPr="00045156">
        <w:rPr>
          <w:shd w:val="clear" w:color="auto" w:fill="FFFFFF"/>
          <w:lang w:val="en-GB"/>
        </w:rPr>
        <w:t xml:space="preserve"> but to my knowledge no scholars have systematically assessed the Commission</w:t>
      </w:r>
      <w:r w:rsidR="00B1382E">
        <w:rPr>
          <w:shd w:val="clear" w:color="auto" w:fill="FFFFFF"/>
          <w:lang w:val="en-GB"/>
        </w:rPr>
        <w:t>’</w:t>
      </w:r>
      <w:r w:rsidRPr="00045156">
        <w:rPr>
          <w:shd w:val="clear" w:color="auto" w:fill="FFFFFF"/>
          <w:lang w:val="en-GB"/>
        </w:rPr>
        <w:t>s immediate and longer term impact. There seem</w:t>
      </w:r>
      <w:r w:rsidR="00682C6E">
        <w:rPr>
          <w:shd w:val="clear" w:color="auto" w:fill="FFFFFF"/>
          <w:lang w:val="en-GB"/>
        </w:rPr>
        <w:t>s</w:t>
      </w:r>
      <w:r w:rsidRPr="00045156">
        <w:rPr>
          <w:shd w:val="clear" w:color="auto" w:fill="FFFFFF"/>
          <w:lang w:val="en-GB"/>
        </w:rPr>
        <w:t xml:space="preserve"> to be a general consensus that it has affected both public policy and the direction of scholarship.</w:t>
      </w:r>
    </w:p>
    <w:p w:rsidR="00251192" w:rsidRPr="00045156" w:rsidRDefault="0095163F" w:rsidP="00251192">
      <w:pPr>
        <w:pStyle w:val="Heading2"/>
        <w:rPr>
          <w:shd w:val="clear" w:color="auto" w:fill="FFFFFF"/>
          <w:lang w:val="en-GB"/>
        </w:rPr>
      </w:pPr>
      <w:r>
        <w:rPr>
          <w:shd w:val="clear" w:color="auto" w:fill="FFFFFF"/>
          <w:lang w:val="en-GB"/>
        </w:rPr>
        <w:t>11</w:t>
      </w:r>
      <w:r w:rsidR="00251192">
        <w:rPr>
          <w:shd w:val="clear" w:color="auto" w:fill="FFFFFF"/>
          <w:lang w:val="en-GB"/>
        </w:rPr>
        <w:t>.8</w:t>
      </w:r>
      <w:r w:rsidR="00251192">
        <w:rPr>
          <w:shd w:val="clear" w:color="auto" w:fill="FFFFFF"/>
          <w:lang w:val="en-GB"/>
        </w:rPr>
        <w:tab/>
        <w:t>In conclusion — and for d</w:t>
      </w:r>
      <w:r w:rsidR="00251192" w:rsidRPr="00045156">
        <w:rPr>
          <w:shd w:val="clear" w:color="auto" w:fill="FFFFFF"/>
          <w:lang w:val="en-GB"/>
        </w:rPr>
        <w:t>iscussion</w:t>
      </w:r>
    </w:p>
    <w:p w:rsidR="00251192" w:rsidRPr="00045156" w:rsidRDefault="00251192" w:rsidP="00251192">
      <w:pPr>
        <w:pStyle w:val="BodyText"/>
        <w:rPr>
          <w:shd w:val="clear" w:color="auto" w:fill="FFFFFF"/>
          <w:lang w:val="en-GB"/>
        </w:rPr>
      </w:pPr>
      <w:r w:rsidRPr="00045156">
        <w:rPr>
          <w:shd w:val="clear" w:color="auto" w:fill="FFFFFF"/>
          <w:lang w:val="en-GB"/>
        </w:rPr>
        <w:t>Canadian experience includes at least three forms of evaluation that have had an importa</w:t>
      </w:r>
      <w:r w:rsidR="00682C6E">
        <w:rPr>
          <w:shd w:val="clear" w:color="auto" w:fill="FFFFFF"/>
          <w:lang w:val="en-GB"/>
        </w:rPr>
        <w:t>nt role in Indigenous–</w:t>
      </w:r>
      <w:r w:rsidRPr="00045156">
        <w:rPr>
          <w:shd w:val="clear" w:color="auto" w:fill="FFFFFF"/>
          <w:lang w:val="en-GB"/>
        </w:rPr>
        <w:t xml:space="preserve">Canada relations. </w:t>
      </w:r>
      <w:r w:rsidRPr="001A60A5">
        <w:rPr>
          <w:shd w:val="clear" w:color="auto" w:fill="FFFFFF"/>
          <w:lang w:val="en-GB"/>
        </w:rPr>
        <w:t>Classi</w:t>
      </w:r>
      <w:r w:rsidR="00D7445E" w:rsidRPr="001A60A5">
        <w:rPr>
          <w:shd w:val="clear" w:color="auto" w:fill="FFFFFF"/>
          <w:lang w:val="en-GB"/>
        </w:rPr>
        <w:t>cal depa</w:t>
      </w:r>
      <w:r w:rsidRPr="001A60A5">
        <w:rPr>
          <w:shd w:val="clear" w:color="auto" w:fill="FFFFFF"/>
          <w:lang w:val="en-GB"/>
        </w:rPr>
        <w:t>rtm</w:t>
      </w:r>
      <w:r w:rsidRPr="00045156">
        <w:rPr>
          <w:shd w:val="clear" w:color="auto" w:fill="FFFFFF"/>
          <w:lang w:val="en-GB"/>
        </w:rPr>
        <w:t xml:space="preserve">ental program evaluations are used extensively. From the departmental perspective, their overriding purpose is to ensure that funds are being effectively and wisely expended in the pursuit of program goals. A persistent view, present strongly in the evaluation </w:t>
      </w:r>
      <w:r w:rsidRPr="00045156">
        <w:rPr>
          <w:shd w:val="clear" w:color="auto" w:fill="FFFFFF"/>
          <w:lang w:val="en-GB"/>
        </w:rPr>
        <w:lastRenderedPageBreak/>
        <w:t>community, is that this purpose is insufficiently ambitious, since evaluations of programs delivered in Indigenous communities, in particular, could and should also contribute to community development and capacity building. In the context of the historical relations between the state and particularly those peoples who have been governed under the Indian Act, meeting both of these goals is a tall order. It would be fair to observe, I believe, that for those who are subject to departmental evaluations, the element of control is paramount.</w:t>
      </w:r>
    </w:p>
    <w:p w:rsidR="00251192" w:rsidRPr="00045156" w:rsidRDefault="00251192" w:rsidP="00251192">
      <w:pPr>
        <w:pStyle w:val="BodyText"/>
        <w:rPr>
          <w:shd w:val="clear" w:color="auto" w:fill="FFFFFF"/>
          <w:lang w:val="en-GB"/>
        </w:rPr>
      </w:pPr>
      <w:r w:rsidRPr="00045156">
        <w:rPr>
          <w:shd w:val="clear" w:color="auto" w:fill="FFFFFF"/>
          <w:lang w:val="en-GB"/>
        </w:rPr>
        <w:t>A second form of evaluation is practi</w:t>
      </w:r>
      <w:r w:rsidR="003E2525">
        <w:rPr>
          <w:shd w:val="clear" w:color="auto" w:fill="FFFFFF"/>
          <w:lang w:val="en-GB"/>
        </w:rPr>
        <w:t>s</w:t>
      </w:r>
      <w:r w:rsidRPr="00045156">
        <w:rPr>
          <w:shd w:val="clear" w:color="auto" w:fill="FFFFFF"/>
          <w:lang w:val="en-GB"/>
        </w:rPr>
        <w:t xml:space="preserve">ed by the Parliamentary Office of the Auditor-General. This office may consider policy implementation only, but it rarely is constrained by particular program guidelines. Instead, the </w:t>
      </w:r>
      <w:proofErr w:type="spellStart"/>
      <w:r w:rsidRPr="00045156">
        <w:rPr>
          <w:shd w:val="clear" w:color="auto" w:fill="FFFFFF"/>
          <w:lang w:val="en-GB"/>
        </w:rPr>
        <w:t>OAG</w:t>
      </w:r>
      <w:proofErr w:type="spellEnd"/>
      <w:r w:rsidRPr="00045156">
        <w:rPr>
          <w:shd w:val="clear" w:color="auto" w:fill="FFFFFF"/>
          <w:lang w:val="en-GB"/>
        </w:rPr>
        <w:t xml:space="preserve"> investigates federal performance in a range of important cross-departmental areas, providing essential evaluations of overall execution and impact. In this way the </w:t>
      </w:r>
      <w:r w:rsidR="002A737E">
        <w:rPr>
          <w:shd w:val="clear" w:color="auto" w:fill="FFFFFF"/>
          <w:lang w:val="en-GB"/>
        </w:rPr>
        <w:t>o</w:t>
      </w:r>
      <w:r w:rsidRPr="00045156">
        <w:rPr>
          <w:shd w:val="clear" w:color="auto" w:fill="FFFFFF"/>
          <w:lang w:val="en-GB"/>
        </w:rPr>
        <w:t>ffice is able to contribute to knowledge about the impact of overall federal actions, even while it audits in the service of probity.</w:t>
      </w:r>
    </w:p>
    <w:p w:rsidR="00251192" w:rsidRPr="00045156" w:rsidRDefault="00251192" w:rsidP="00251192">
      <w:pPr>
        <w:pStyle w:val="BodyText"/>
        <w:rPr>
          <w:shd w:val="clear" w:color="auto" w:fill="FFFFFF"/>
          <w:lang w:val="en-GB"/>
        </w:rPr>
      </w:pPr>
      <w:r w:rsidRPr="00045156">
        <w:rPr>
          <w:shd w:val="clear" w:color="auto" w:fill="FFFFFF"/>
          <w:lang w:val="en-GB"/>
        </w:rPr>
        <w:t xml:space="preserve">Canadians have made great use of a third form of evaluation. Commissions of inquiry have been used at key junctures for wide-ranging policy investigations and reconsiderations. Necessarily, most of the significant commissions of inquiry in Canadian experience have evaluated past practices even while they have worked to forge a new vision for the future. The </w:t>
      </w:r>
      <w:r w:rsidR="002A737E">
        <w:rPr>
          <w:shd w:val="clear" w:color="auto" w:fill="FFFFFF"/>
          <w:lang w:val="en-GB"/>
        </w:rPr>
        <w:t>c</w:t>
      </w:r>
      <w:r w:rsidRPr="00045156">
        <w:rPr>
          <w:shd w:val="clear" w:color="auto" w:fill="FFFFFF"/>
          <w:lang w:val="en-GB"/>
        </w:rPr>
        <w:t>ommissions typically have broad mandates and adequate budgets, enabling them to draw a large number of citizens into the discussion. Commissions, though, are entirely ad hoc;</w:t>
      </w:r>
      <w:r>
        <w:rPr>
          <w:shd w:val="clear" w:color="auto" w:fill="FFFFFF"/>
          <w:lang w:val="en-GB"/>
        </w:rPr>
        <w:t xml:space="preserve"> </w:t>
      </w:r>
      <w:r w:rsidRPr="00045156">
        <w:rPr>
          <w:shd w:val="clear" w:color="auto" w:fill="FFFFFF"/>
          <w:lang w:val="en-GB"/>
        </w:rPr>
        <w:t xml:space="preserve">they appear only when the government perceives a need to remove a difficult issue from </w:t>
      </w:r>
      <w:r w:rsidR="00B1382E">
        <w:rPr>
          <w:shd w:val="clear" w:color="auto" w:fill="FFFFFF"/>
          <w:lang w:val="en-GB"/>
        </w:rPr>
        <w:t>‘</w:t>
      </w:r>
      <w:r w:rsidRPr="00045156">
        <w:rPr>
          <w:shd w:val="clear" w:color="auto" w:fill="FFFFFF"/>
          <w:lang w:val="en-GB"/>
        </w:rPr>
        <w:t>ordinary politics</w:t>
      </w:r>
      <w:r w:rsidR="00B1382E">
        <w:rPr>
          <w:shd w:val="clear" w:color="auto" w:fill="FFFFFF"/>
          <w:lang w:val="en-GB"/>
        </w:rPr>
        <w:t>’</w:t>
      </w:r>
      <w:r w:rsidRPr="00045156">
        <w:rPr>
          <w:shd w:val="clear" w:color="auto" w:fill="FFFFFF"/>
          <w:lang w:val="en-GB"/>
        </w:rPr>
        <w:t>.</w:t>
      </w:r>
      <w:r>
        <w:rPr>
          <w:shd w:val="clear" w:color="auto" w:fill="FFFFFF"/>
          <w:lang w:val="en-GB"/>
        </w:rPr>
        <w:t xml:space="preserve"> </w:t>
      </w:r>
      <w:r w:rsidRPr="00045156">
        <w:rPr>
          <w:shd w:val="clear" w:color="auto" w:fill="FFFFFF"/>
          <w:lang w:val="en-GB"/>
        </w:rPr>
        <w:t>Commission reports, however, are always public and they tend to endure. Longer term impacts may be expected.</w:t>
      </w:r>
    </w:p>
    <w:p w:rsidR="00251192" w:rsidRPr="00045156" w:rsidRDefault="00251192" w:rsidP="00251192">
      <w:pPr>
        <w:pStyle w:val="BodyText"/>
        <w:rPr>
          <w:shd w:val="clear" w:color="auto" w:fill="FFFFFF"/>
          <w:lang w:val="en-GB"/>
        </w:rPr>
      </w:pPr>
      <w:r w:rsidRPr="00045156">
        <w:rPr>
          <w:shd w:val="clear" w:color="auto" w:fill="FFFFFF"/>
          <w:lang w:val="en-GB"/>
        </w:rPr>
        <w:t>Each of these forms of policy and program evaluation would appear to have a different potential for contributing to social jus</w:t>
      </w:r>
      <w:r>
        <w:rPr>
          <w:shd w:val="clear" w:color="auto" w:fill="FFFFFF"/>
          <w:lang w:val="en-GB"/>
        </w:rPr>
        <w:t xml:space="preserve">tice or social reconciliation — </w:t>
      </w:r>
      <w:r w:rsidRPr="00045156">
        <w:rPr>
          <w:shd w:val="clear" w:color="auto" w:fill="FFFFFF"/>
          <w:lang w:val="en-GB"/>
        </w:rPr>
        <w:t xml:space="preserve">notably, the greater the </w:t>
      </w:r>
      <w:r w:rsidR="00183BC7">
        <w:rPr>
          <w:shd w:val="clear" w:color="auto" w:fill="FFFFFF"/>
          <w:lang w:val="en-GB"/>
        </w:rPr>
        <w:t xml:space="preserve">evaluation </w:t>
      </w:r>
      <w:r w:rsidR="006D6F35">
        <w:rPr>
          <w:shd w:val="clear" w:color="auto" w:fill="FFFFFF"/>
          <w:lang w:val="en-GB"/>
        </w:rPr>
        <w:t xml:space="preserve">institution’s </w:t>
      </w:r>
      <w:r w:rsidRPr="00045156">
        <w:rPr>
          <w:shd w:val="clear" w:color="auto" w:fill="FFFFFF"/>
          <w:lang w:val="en-GB"/>
        </w:rPr>
        <w:t>distance from executive power, the more scope for this there would appear to be. In the case of regular departmental evaluations, though, the potential is still there, however constrained by the need for expenditure control and accountability.</w:t>
      </w:r>
    </w:p>
    <w:p w:rsidR="00251192" w:rsidRPr="00045156" w:rsidRDefault="00D60FAC" w:rsidP="00251192">
      <w:pPr>
        <w:pStyle w:val="Heading2"/>
        <w:rPr>
          <w:shd w:val="clear" w:color="auto" w:fill="FFFFFF"/>
          <w:lang w:val="en-GB"/>
        </w:rPr>
      </w:pPr>
      <w:r>
        <w:rPr>
          <w:shd w:val="clear" w:color="auto" w:fill="FFFFFF"/>
          <w:lang w:val="en-GB"/>
        </w:rPr>
        <w:t>References</w:t>
      </w:r>
    </w:p>
    <w:p w:rsidR="00251192" w:rsidRPr="00045156" w:rsidRDefault="00251192" w:rsidP="00251192">
      <w:pPr>
        <w:pStyle w:val="Reference"/>
        <w:rPr>
          <w:lang w:val="en-GB"/>
        </w:rPr>
      </w:pPr>
      <w:r w:rsidRPr="00045156">
        <w:rPr>
          <w:lang w:val="en-GB"/>
        </w:rPr>
        <w:t>Abele, F</w:t>
      </w:r>
      <w:r w:rsidR="007C34B0">
        <w:rPr>
          <w:lang w:val="en-GB"/>
        </w:rPr>
        <w:t xml:space="preserve">. 2004, </w:t>
      </w:r>
      <w:r w:rsidRPr="00045156">
        <w:rPr>
          <w:i/>
          <w:iCs/>
          <w:lang w:val="en-GB"/>
        </w:rPr>
        <w:t>Aboriginal Peoples and a New Social Architecture for Canada</w:t>
      </w:r>
      <w:r w:rsidR="00B1382E">
        <w:rPr>
          <w:i/>
          <w:iCs/>
          <w:lang w:val="en-GB"/>
        </w:rPr>
        <w:t>’</w:t>
      </w:r>
      <w:r w:rsidRPr="00045156">
        <w:rPr>
          <w:i/>
          <w:iCs/>
          <w:lang w:val="en-GB"/>
        </w:rPr>
        <w:t>s 21</w:t>
      </w:r>
      <w:r>
        <w:rPr>
          <w:i/>
          <w:iCs/>
          <w:lang w:val="en-GB"/>
        </w:rPr>
        <w:t>st</w:t>
      </w:r>
      <w:r w:rsidRPr="00045156">
        <w:rPr>
          <w:i/>
          <w:iCs/>
          <w:lang w:val="en-GB"/>
        </w:rPr>
        <w:t xml:space="preserve"> Century</w:t>
      </w:r>
      <w:r w:rsidR="007C34B0">
        <w:rPr>
          <w:iCs/>
          <w:lang w:val="en-GB"/>
        </w:rPr>
        <w:t>,</w:t>
      </w:r>
      <w:r w:rsidRPr="00045156">
        <w:rPr>
          <w:i/>
          <w:iCs/>
          <w:lang w:val="en-GB"/>
        </w:rPr>
        <w:t xml:space="preserve"> </w:t>
      </w:r>
      <w:r w:rsidRPr="00045156">
        <w:rPr>
          <w:lang w:val="en-GB"/>
        </w:rPr>
        <w:t>Canadian Policy Research Networks</w:t>
      </w:r>
      <w:r w:rsidR="007C34B0">
        <w:rPr>
          <w:lang w:val="en-GB"/>
        </w:rPr>
        <w:t xml:space="preserve">, Ottawa, </w:t>
      </w:r>
      <w:r w:rsidRPr="00045156">
        <w:rPr>
          <w:lang w:val="en-GB"/>
        </w:rPr>
        <w:t>http://</w:t>
      </w:r>
      <w:proofErr w:type="spellStart"/>
      <w:r w:rsidRPr="00045156">
        <w:rPr>
          <w:lang w:val="en-GB"/>
        </w:rPr>
        <w:t>www.cprn.com</w:t>
      </w:r>
      <w:proofErr w:type="spellEnd"/>
      <w:r w:rsidRPr="00045156">
        <w:rPr>
          <w:lang w:val="en-GB"/>
        </w:rPr>
        <w:t>/.</w:t>
      </w:r>
    </w:p>
    <w:p w:rsidR="00AF3C56" w:rsidRDefault="00AF3C56" w:rsidP="00251192">
      <w:pPr>
        <w:pStyle w:val="Reference"/>
        <w:rPr>
          <w:spacing w:val="-3"/>
          <w:lang w:val="en-GB"/>
        </w:rPr>
      </w:pPr>
      <w:r w:rsidRPr="00AF3C56">
        <w:rPr>
          <w:spacing w:val="-3"/>
          <w:lang w:val="en-GB"/>
        </w:rPr>
        <w:lastRenderedPageBreak/>
        <w:t>Abele</w:t>
      </w:r>
      <w:r>
        <w:rPr>
          <w:spacing w:val="-3"/>
          <w:lang w:val="en-GB"/>
        </w:rPr>
        <w:t>, F</w:t>
      </w:r>
      <w:r w:rsidRPr="00AF3C56">
        <w:rPr>
          <w:spacing w:val="-3"/>
          <w:lang w:val="en-GB"/>
        </w:rPr>
        <w:t>. 2006</w:t>
      </w:r>
      <w:r w:rsidR="001B5C8E">
        <w:rPr>
          <w:spacing w:val="-3"/>
          <w:lang w:val="en-GB"/>
        </w:rPr>
        <w:t>,</w:t>
      </w:r>
      <w:r w:rsidRPr="00AF3C56">
        <w:rPr>
          <w:spacing w:val="-3"/>
          <w:lang w:val="en-GB"/>
        </w:rPr>
        <w:t xml:space="preserve"> </w:t>
      </w:r>
      <w:r w:rsidR="001B5C8E">
        <w:rPr>
          <w:spacing w:val="-3"/>
          <w:lang w:val="en-GB"/>
        </w:rPr>
        <w:t>‘</w:t>
      </w:r>
      <w:r w:rsidRPr="00AF3C56">
        <w:rPr>
          <w:spacing w:val="-3"/>
          <w:lang w:val="en-GB"/>
        </w:rPr>
        <w:t xml:space="preserve">Between </w:t>
      </w:r>
      <w:r w:rsidR="001B5C8E">
        <w:rPr>
          <w:spacing w:val="-3"/>
          <w:lang w:val="en-GB"/>
        </w:rPr>
        <w:t>r</w:t>
      </w:r>
      <w:r w:rsidRPr="00AF3C56">
        <w:rPr>
          <w:spacing w:val="-3"/>
          <w:lang w:val="en-GB"/>
        </w:rPr>
        <w:t xml:space="preserve">espect and </w:t>
      </w:r>
      <w:r w:rsidR="001B5C8E">
        <w:rPr>
          <w:spacing w:val="-3"/>
          <w:lang w:val="en-GB"/>
        </w:rPr>
        <w:t>c</w:t>
      </w:r>
      <w:r w:rsidRPr="00AF3C56">
        <w:rPr>
          <w:spacing w:val="-3"/>
          <w:lang w:val="en-GB"/>
        </w:rPr>
        <w:t xml:space="preserve">ontrol: </w:t>
      </w:r>
      <w:r w:rsidR="001B5C8E">
        <w:rPr>
          <w:spacing w:val="-3"/>
          <w:lang w:val="en-GB"/>
        </w:rPr>
        <w:t>t</w:t>
      </w:r>
      <w:r w:rsidRPr="00AF3C56">
        <w:rPr>
          <w:spacing w:val="-3"/>
          <w:lang w:val="en-GB"/>
        </w:rPr>
        <w:t xml:space="preserve">raditional </w:t>
      </w:r>
      <w:r w:rsidR="001B5C8E">
        <w:rPr>
          <w:spacing w:val="-3"/>
          <w:lang w:val="en-GB"/>
        </w:rPr>
        <w:t>i</w:t>
      </w:r>
      <w:r w:rsidRPr="00AF3C56">
        <w:rPr>
          <w:spacing w:val="-3"/>
          <w:lang w:val="en-GB"/>
        </w:rPr>
        <w:t xml:space="preserve">ndigenous </w:t>
      </w:r>
      <w:r w:rsidR="001B5C8E">
        <w:rPr>
          <w:spacing w:val="-3"/>
          <w:lang w:val="en-GB"/>
        </w:rPr>
        <w:t>k</w:t>
      </w:r>
      <w:r w:rsidRPr="00AF3C56">
        <w:rPr>
          <w:spacing w:val="-3"/>
          <w:lang w:val="en-GB"/>
        </w:rPr>
        <w:t xml:space="preserve">nowledge in Canadian </w:t>
      </w:r>
      <w:r w:rsidR="001B5C8E">
        <w:rPr>
          <w:spacing w:val="-3"/>
          <w:lang w:val="en-GB"/>
        </w:rPr>
        <w:t>p</w:t>
      </w:r>
      <w:r w:rsidRPr="00AF3C56">
        <w:rPr>
          <w:spacing w:val="-3"/>
          <w:lang w:val="en-GB"/>
        </w:rPr>
        <w:t xml:space="preserve">ublic </w:t>
      </w:r>
      <w:r w:rsidR="001B5C8E">
        <w:rPr>
          <w:spacing w:val="-3"/>
          <w:lang w:val="en-GB"/>
        </w:rPr>
        <w:t>p</w:t>
      </w:r>
      <w:r w:rsidRPr="00AF3C56">
        <w:rPr>
          <w:spacing w:val="-3"/>
          <w:lang w:val="en-GB"/>
        </w:rPr>
        <w:t>olicy</w:t>
      </w:r>
      <w:r w:rsidR="001B5C8E">
        <w:rPr>
          <w:spacing w:val="-3"/>
          <w:lang w:val="en-GB"/>
        </w:rPr>
        <w:t>’,</w:t>
      </w:r>
      <w:r w:rsidRPr="00AF3C56">
        <w:rPr>
          <w:spacing w:val="-3"/>
          <w:lang w:val="en-GB"/>
        </w:rPr>
        <w:t xml:space="preserve"> in </w:t>
      </w:r>
      <w:proofErr w:type="spellStart"/>
      <w:r w:rsidRPr="00AF3C56">
        <w:rPr>
          <w:spacing w:val="-3"/>
          <w:lang w:val="en-GB"/>
        </w:rPr>
        <w:t>Orsini</w:t>
      </w:r>
      <w:proofErr w:type="spellEnd"/>
      <w:r w:rsidR="001B5C8E">
        <w:rPr>
          <w:spacing w:val="-3"/>
          <w:lang w:val="en-GB"/>
        </w:rPr>
        <w:t>, M.</w:t>
      </w:r>
      <w:r w:rsidRPr="00AF3C56">
        <w:rPr>
          <w:spacing w:val="-3"/>
          <w:lang w:val="en-GB"/>
        </w:rPr>
        <w:t xml:space="preserve"> and </w:t>
      </w:r>
      <w:r w:rsidR="001B5C8E">
        <w:rPr>
          <w:spacing w:val="-3"/>
          <w:lang w:val="en-GB"/>
        </w:rPr>
        <w:t>S</w:t>
      </w:r>
      <w:r w:rsidRPr="00AF3C56">
        <w:rPr>
          <w:spacing w:val="-3"/>
          <w:lang w:val="en-GB"/>
        </w:rPr>
        <w:t>mith,</w:t>
      </w:r>
      <w:r w:rsidR="001B5C8E">
        <w:rPr>
          <w:spacing w:val="-3"/>
          <w:lang w:val="en-GB"/>
        </w:rPr>
        <w:t xml:space="preserve"> M.</w:t>
      </w:r>
      <w:r w:rsidRPr="00AF3C56">
        <w:rPr>
          <w:spacing w:val="-3"/>
          <w:lang w:val="en-GB"/>
        </w:rPr>
        <w:t xml:space="preserve"> </w:t>
      </w:r>
      <w:r w:rsidR="001B5C8E">
        <w:rPr>
          <w:spacing w:val="-3"/>
          <w:lang w:val="en-GB"/>
        </w:rPr>
        <w:t>(</w:t>
      </w:r>
      <w:r w:rsidRPr="00AF3C56">
        <w:rPr>
          <w:spacing w:val="-3"/>
          <w:lang w:val="en-GB"/>
        </w:rPr>
        <w:t>eds.</w:t>
      </w:r>
      <w:r w:rsidR="001B5C8E">
        <w:rPr>
          <w:spacing w:val="-3"/>
          <w:lang w:val="en-GB"/>
        </w:rPr>
        <w:t>),</w:t>
      </w:r>
      <w:r w:rsidRPr="00AF3C56">
        <w:rPr>
          <w:spacing w:val="-3"/>
          <w:lang w:val="en-GB"/>
        </w:rPr>
        <w:t xml:space="preserve"> </w:t>
      </w:r>
      <w:r w:rsidRPr="001B5C8E">
        <w:rPr>
          <w:i/>
          <w:spacing w:val="-3"/>
          <w:lang w:val="en-GB"/>
        </w:rPr>
        <w:t>Critical Policy Studies: Contemporary Canadian Approaches</w:t>
      </w:r>
      <w:r w:rsidR="001B5C8E">
        <w:rPr>
          <w:spacing w:val="-3"/>
          <w:lang w:val="en-GB"/>
        </w:rPr>
        <w:t>,</w:t>
      </w:r>
      <w:r w:rsidRPr="00AF3C56">
        <w:rPr>
          <w:spacing w:val="-3"/>
          <w:lang w:val="en-GB"/>
        </w:rPr>
        <w:t xml:space="preserve"> </w:t>
      </w:r>
      <w:proofErr w:type="spellStart"/>
      <w:r w:rsidR="001B5C8E" w:rsidRPr="00AF3C56">
        <w:rPr>
          <w:spacing w:val="-3"/>
          <w:lang w:val="en-GB"/>
        </w:rPr>
        <w:t>UBC</w:t>
      </w:r>
      <w:proofErr w:type="spellEnd"/>
      <w:r w:rsidR="001B5C8E" w:rsidRPr="00AF3C56">
        <w:rPr>
          <w:spacing w:val="-3"/>
          <w:lang w:val="en-GB"/>
        </w:rPr>
        <w:t xml:space="preserve"> Press</w:t>
      </w:r>
      <w:r w:rsidR="001B5C8E">
        <w:rPr>
          <w:spacing w:val="-3"/>
          <w:lang w:val="en-GB"/>
        </w:rPr>
        <w:t>,</w:t>
      </w:r>
      <w:r w:rsidR="001B5C8E" w:rsidRPr="00AF3C56">
        <w:rPr>
          <w:spacing w:val="-3"/>
          <w:lang w:val="en-GB"/>
        </w:rPr>
        <w:t xml:space="preserve"> </w:t>
      </w:r>
      <w:r w:rsidRPr="00AF3C56">
        <w:rPr>
          <w:spacing w:val="-3"/>
          <w:lang w:val="en-GB"/>
        </w:rPr>
        <w:t>Vancouver.</w:t>
      </w:r>
    </w:p>
    <w:p w:rsidR="00251192" w:rsidRDefault="00251192" w:rsidP="00251192">
      <w:pPr>
        <w:pStyle w:val="Reference"/>
        <w:rPr>
          <w:lang w:val="en-GB"/>
        </w:rPr>
      </w:pPr>
      <w:r w:rsidRPr="00045156">
        <w:rPr>
          <w:spacing w:val="-3"/>
          <w:lang w:val="en-GB"/>
        </w:rPr>
        <w:t>Abele, F</w:t>
      </w:r>
      <w:r w:rsidR="007C34B0">
        <w:rPr>
          <w:spacing w:val="-3"/>
          <w:lang w:val="en-GB"/>
        </w:rPr>
        <w:t xml:space="preserve">. 2007, </w:t>
      </w:r>
      <w:r w:rsidRPr="00251192">
        <w:rPr>
          <w:i/>
          <w:spacing w:val="-3"/>
          <w:lang w:val="en-GB"/>
        </w:rPr>
        <w:t>Like An Ill-Fitting Boot:</w:t>
      </w:r>
      <w:r w:rsidRPr="00251192">
        <w:rPr>
          <w:i/>
          <w:lang w:val="en-GB"/>
        </w:rPr>
        <w:t xml:space="preserve"> Government, Governance and Management Systems in the Contemporary Indian Act</w:t>
      </w:r>
      <w:r w:rsidR="007C34B0">
        <w:rPr>
          <w:lang w:val="en-GB"/>
        </w:rPr>
        <w:t>,</w:t>
      </w:r>
      <w:r w:rsidRPr="00045156">
        <w:rPr>
          <w:lang w:val="en-GB"/>
        </w:rPr>
        <w:t xml:space="preserve"> National Centre on First Nations Governance.</w:t>
      </w:r>
    </w:p>
    <w:p w:rsidR="000109D5" w:rsidRDefault="000109D5" w:rsidP="00251192">
      <w:pPr>
        <w:pStyle w:val="Reference"/>
        <w:rPr>
          <w:lang w:val="en-GB"/>
        </w:rPr>
      </w:pPr>
      <w:r w:rsidRPr="00045156">
        <w:rPr>
          <w:shd w:val="clear" w:color="auto" w:fill="FFFFFF"/>
          <w:lang w:val="en-GB"/>
        </w:rPr>
        <w:t>Abele, F</w:t>
      </w:r>
      <w:r>
        <w:rPr>
          <w:shd w:val="clear" w:color="auto" w:fill="FFFFFF"/>
          <w:lang w:val="en-GB"/>
        </w:rPr>
        <w:t>.</w:t>
      </w:r>
      <w:r w:rsidRPr="00045156">
        <w:rPr>
          <w:shd w:val="clear" w:color="auto" w:fill="FFFFFF"/>
          <w:lang w:val="en-GB"/>
        </w:rPr>
        <w:t xml:space="preserve"> and Graham,</w:t>
      </w:r>
      <w:r>
        <w:rPr>
          <w:shd w:val="clear" w:color="auto" w:fill="FFFFFF"/>
          <w:lang w:val="en-GB"/>
        </w:rPr>
        <w:t xml:space="preserve"> K. 1989,</w:t>
      </w:r>
      <w:r w:rsidRPr="00045156">
        <w:rPr>
          <w:shd w:val="clear" w:color="auto" w:fill="FFFFFF"/>
          <w:lang w:val="en-GB"/>
        </w:rPr>
        <w:t xml:space="preserve"> </w:t>
      </w:r>
      <w:r>
        <w:rPr>
          <w:shd w:val="clear" w:color="auto" w:fill="FFFFFF"/>
          <w:lang w:val="en-GB"/>
        </w:rPr>
        <w:t>‘</w:t>
      </w:r>
      <w:r w:rsidRPr="00045156">
        <w:rPr>
          <w:shd w:val="clear" w:color="auto" w:fill="FFFFFF"/>
          <w:lang w:val="en-GB"/>
        </w:rPr>
        <w:t xml:space="preserve">High </w:t>
      </w:r>
      <w:r>
        <w:rPr>
          <w:shd w:val="clear" w:color="auto" w:fill="FFFFFF"/>
          <w:lang w:val="en-GB"/>
        </w:rPr>
        <w:t>p</w:t>
      </w:r>
      <w:r w:rsidRPr="00045156">
        <w:rPr>
          <w:shd w:val="clear" w:color="auto" w:fill="FFFFFF"/>
          <w:lang w:val="en-GB"/>
        </w:rPr>
        <w:t xml:space="preserve">olitics </w:t>
      </w:r>
      <w:r>
        <w:rPr>
          <w:shd w:val="clear" w:color="auto" w:fill="FFFFFF"/>
          <w:lang w:val="en-GB"/>
        </w:rPr>
        <w:t>i</w:t>
      </w:r>
      <w:r w:rsidRPr="00045156">
        <w:rPr>
          <w:shd w:val="clear" w:color="auto" w:fill="FFFFFF"/>
          <w:lang w:val="en-GB"/>
        </w:rPr>
        <w:t xml:space="preserve">s </w:t>
      </w:r>
      <w:r>
        <w:rPr>
          <w:shd w:val="clear" w:color="auto" w:fill="FFFFFF"/>
          <w:lang w:val="en-GB"/>
        </w:rPr>
        <w:t>n</w:t>
      </w:r>
      <w:r w:rsidRPr="00045156">
        <w:rPr>
          <w:shd w:val="clear" w:color="auto" w:fill="FFFFFF"/>
          <w:lang w:val="en-GB"/>
        </w:rPr>
        <w:t xml:space="preserve">ot </w:t>
      </w:r>
      <w:r>
        <w:rPr>
          <w:shd w:val="clear" w:color="auto" w:fill="FFFFFF"/>
          <w:lang w:val="en-GB"/>
        </w:rPr>
        <w:t>e</w:t>
      </w:r>
      <w:r w:rsidRPr="00045156">
        <w:rPr>
          <w:shd w:val="clear" w:color="auto" w:fill="FFFFFF"/>
          <w:lang w:val="en-GB"/>
        </w:rPr>
        <w:t xml:space="preserve">nough: </w:t>
      </w:r>
      <w:r>
        <w:rPr>
          <w:shd w:val="clear" w:color="auto" w:fill="FFFFFF"/>
          <w:lang w:val="en-GB"/>
        </w:rPr>
        <w:t>s</w:t>
      </w:r>
      <w:r w:rsidRPr="00045156">
        <w:rPr>
          <w:shd w:val="clear" w:color="auto" w:fill="FFFFFF"/>
          <w:lang w:val="en-GB"/>
        </w:rPr>
        <w:t xml:space="preserve">ervices for Aboriginal </w:t>
      </w:r>
      <w:r>
        <w:rPr>
          <w:shd w:val="clear" w:color="auto" w:fill="FFFFFF"/>
          <w:lang w:val="en-GB"/>
        </w:rPr>
        <w:t>p</w:t>
      </w:r>
      <w:r w:rsidRPr="00045156">
        <w:rPr>
          <w:shd w:val="clear" w:color="auto" w:fill="FFFFFF"/>
          <w:lang w:val="en-GB"/>
        </w:rPr>
        <w:t>eoples in Alberta and Ontario</w:t>
      </w:r>
      <w:r>
        <w:rPr>
          <w:shd w:val="clear" w:color="auto" w:fill="FFFFFF"/>
          <w:lang w:val="en-GB"/>
        </w:rPr>
        <w:t>’,</w:t>
      </w:r>
      <w:r w:rsidRPr="00045156">
        <w:rPr>
          <w:shd w:val="clear" w:color="auto" w:fill="FFFFFF"/>
          <w:lang w:val="en-GB"/>
        </w:rPr>
        <w:t xml:space="preserve"> </w:t>
      </w:r>
      <w:r w:rsidRPr="00045156">
        <w:rPr>
          <w:lang w:val="en-GB"/>
        </w:rPr>
        <w:t xml:space="preserve">in David Hawkes </w:t>
      </w:r>
      <w:r>
        <w:rPr>
          <w:lang w:val="en-GB"/>
        </w:rPr>
        <w:t>(</w:t>
      </w:r>
      <w:r w:rsidRPr="00045156">
        <w:rPr>
          <w:lang w:val="en-GB"/>
        </w:rPr>
        <w:t>ed.</w:t>
      </w:r>
      <w:r>
        <w:rPr>
          <w:lang w:val="en-GB"/>
        </w:rPr>
        <w:t>),</w:t>
      </w:r>
      <w:r w:rsidRPr="00045156">
        <w:rPr>
          <w:lang w:val="en-GB"/>
        </w:rPr>
        <w:t xml:space="preserve"> </w:t>
      </w:r>
      <w:r w:rsidRPr="00045156">
        <w:rPr>
          <w:i/>
          <w:lang w:val="en-GB"/>
        </w:rPr>
        <w:t>Defining the Responsibilities:</w:t>
      </w:r>
      <w:r>
        <w:rPr>
          <w:i/>
          <w:lang w:val="en-GB"/>
        </w:rPr>
        <w:t xml:space="preserve"> </w:t>
      </w:r>
      <w:r w:rsidRPr="00045156">
        <w:rPr>
          <w:i/>
          <w:lang w:val="en-GB"/>
        </w:rPr>
        <w:t>Federal and Provincial Governments and Aboriginal Peoples</w:t>
      </w:r>
      <w:r>
        <w:rPr>
          <w:lang w:val="en-GB"/>
        </w:rPr>
        <w:t>,</w:t>
      </w:r>
      <w:r w:rsidRPr="00045156">
        <w:rPr>
          <w:u w:val="single"/>
          <w:lang w:val="en-GB"/>
        </w:rPr>
        <w:t xml:space="preserve"> </w:t>
      </w:r>
      <w:r w:rsidRPr="00045156">
        <w:rPr>
          <w:lang w:val="en-GB"/>
        </w:rPr>
        <w:t>Carleton University Press</w:t>
      </w:r>
      <w:r>
        <w:rPr>
          <w:lang w:val="en-GB"/>
        </w:rPr>
        <w:t xml:space="preserve">, </w:t>
      </w:r>
      <w:r w:rsidRPr="00045156">
        <w:rPr>
          <w:lang w:val="en-GB"/>
        </w:rPr>
        <w:t>Ottawa.</w:t>
      </w:r>
    </w:p>
    <w:p w:rsidR="00251192" w:rsidRPr="00045156" w:rsidRDefault="00251192" w:rsidP="00251192">
      <w:pPr>
        <w:pStyle w:val="Reference"/>
        <w:rPr>
          <w:shd w:val="clear" w:color="auto" w:fill="FFFFFF"/>
          <w:lang w:val="en-GB"/>
        </w:rPr>
      </w:pPr>
      <w:r w:rsidRPr="00045156">
        <w:rPr>
          <w:shd w:val="clear" w:color="auto" w:fill="FFFFFF"/>
          <w:lang w:val="en-GB"/>
        </w:rPr>
        <w:t>Aboriginal Healing Foundation</w:t>
      </w:r>
      <w:r w:rsidR="007C34B0">
        <w:rPr>
          <w:shd w:val="clear" w:color="auto" w:fill="FFFFFF"/>
          <w:lang w:val="en-GB"/>
        </w:rPr>
        <w:t xml:space="preserve"> 2003, </w:t>
      </w:r>
      <w:r w:rsidRPr="00045156">
        <w:rPr>
          <w:i/>
          <w:iCs/>
          <w:shd w:val="clear" w:color="auto" w:fill="FFFFFF"/>
          <w:lang w:val="en-GB"/>
        </w:rPr>
        <w:t>An Interim Evaluation Report of Aboriginal Healing Foundation Program Activity</w:t>
      </w:r>
      <w:r w:rsidR="007C34B0">
        <w:rPr>
          <w:shd w:val="clear" w:color="auto" w:fill="FFFFFF"/>
          <w:lang w:val="en-GB"/>
        </w:rPr>
        <w:t>,</w:t>
      </w:r>
      <w:r w:rsidRPr="00045156">
        <w:rPr>
          <w:shd w:val="clear" w:color="auto" w:fill="FFFFFF"/>
          <w:lang w:val="en-GB"/>
        </w:rPr>
        <w:t xml:space="preserve"> </w:t>
      </w:r>
      <w:proofErr w:type="spellStart"/>
      <w:r w:rsidRPr="00045156">
        <w:rPr>
          <w:shd w:val="clear" w:color="auto" w:fill="FFFFFF"/>
          <w:lang w:val="en-GB"/>
        </w:rPr>
        <w:t>Kishk</w:t>
      </w:r>
      <w:proofErr w:type="spellEnd"/>
      <w:r w:rsidRPr="00045156">
        <w:rPr>
          <w:shd w:val="clear" w:color="auto" w:fill="FFFFFF"/>
          <w:lang w:val="en-GB"/>
        </w:rPr>
        <w:t xml:space="preserve"> </w:t>
      </w:r>
      <w:proofErr w:type="spellStart"/>
      <w:r w:rsidRPr="00045156">
        <w:rPr>
          <w:shd w:val="clear" w:color="auto" w:fill="FFFFFF"/>
          <w:lang w:val="en-GB"/>
        </w:rPr>
        <w:t>Anaquot</w:t>
      </w:r>
      <w:proofErr w:type="spellEnd"/>
      <w:r w:rsidRPr="00045156">
        <w:rPr>
          <w:shd w:val="clear" w:color="auto" w:fill="FFFFFF"/>
          <w:lang w:val="en-GB"/>
        </w:rPr>
        <w:t xml:space="preserve"> Health Research, </w:t>
      </w:r>
      <w:r w:rsidR="007C34B0">
        <w:rPr>
          <w:shd w:val="clear" w:color="auto" w:fill="FFFFFF"/>
          <w:lang w:val="en-GB"/>
        </w:rPr>
        <w:t>Ottawa</w:t>
      </w:r>
      <w:r w:rsidRPr="00045156">
        <w:rPr>
          <w:shd w:val="clear" w:color="auto" w:fill="FFFFFF"/>
          <w:lang w:val="en-GB"/>
        </w:rPr>
        <w:t xml:space="preserve">. </w:t>
      </w:r>
    </w:p>
    <w:p w:rsidR="00251192" w:rsidRPr="00045156" w:rsidRDefault="00251192" w:rsidP="00251192">
      <w:pPr>
        <w:pStyle w:val="Reference"/>
        <w:rPr>
          <w:lang w:val="en-GB"/>
        </w:rPr>
      </w:pPr>
      <w:r w:rsidRPr="00045156">
        <w:rPr>
          <w:shd w:val="clear" w:color="auto" w:fill="FFFFFF"/>
          <w:lang w:val="en-GB"/>
        </w:rPr>
        <w:t>Anderson, C</w:t>
      </w:r>
      <w:r w:rsidR="007C34B0">
        <w:rPr>
          <w:shd w:val="clear" w:color="auto" w:fill="FFFFFF"/>
          <w:lang w:val="en-GB"/>
        </w:rPr>
        <w:t>.</w:t>
      </w:r>
      <w:r w:rsidRPr="00045156">
        <w:rPr>
          <w:shd w:val="clear" w:color="auto" w:fill="FFFFFF"/>
          <w:lang w:val="en-GB"/>
        </w:rPr>
        <w:t xml:space="preserve"> and Denis</w:t>
      </w:r>
      <w:r w:rsidR="007C34B0">
        <w:rPr>
          <w:shd w:val="clear" w:color="auto" w:fill="FFFFFF"/>
          <w:lang w:val="en-GB"/>
        </w:rPr>
        <w:t>, C</w:t>
      </w:r>
      <w:r w:rsidRPr="00045156">
        <w:rPr>
          <w:shd w:val="clear" w:color="auto" w:fill="FFFFFF"/>
          <w:lang w:val="en-GB"/>
        </w:rPr>
        <w:t>.</w:t>
      </w:r>
      <w:r w:rsidR="007C34B0">
        <w:rPr>
          <w:shd w:val="clear" w:color="auto" w:fill="FFFFFF"/>
          <w:lang w:val="en-GB"/>
        </w:rPr>
        <w:t xml:space="preserve"> 2003,</w:t>
      </w:r>
      <w:r w:rsidRPr="00045156">
        <w:rPr>
          <w:shd w:val="clear" w:color="auto" w:fill="FFFFFF"/>
          <w:lang w:val="en-GB"/>
        </w:rPr>
        <w:t xml:space="preserve"> </w:t>
      </w:r>
      <w:r w:rsidR="00B1382E">
        <w:rPr>
          <w:shd w:val="clear" w:color="auto" w:fill="FFFFFF"/>
          <w:lang w:val="en-GB"/>
        </w:rPr>
        <w:t>‘</w:t>
      </w:r>
      <w:r w:rsidRPr="00045156">
        <w:rPr>
          <w:lang w:val="en-GB"/>
        </w:rPr>
        <w:t xml:space="preserve">Urban </w:t>
      </w:r>
      <w:r w:rsidR="007C34B0">
        <w:rPr>
          <w:lang w:val="en-GB"/>
        </w:rPr>
        <w:t>n</w:t>
      </w:r>
      <w:r w:rsidRPr="00045156">
        <w:rPr>
          <w:lang w:val="en-GB"/>
        </w:rPr>
        <w:t xml:space="preserve">atives and the </w:t>
      </w:r>
      <w:r w:rsidR="007C34B0">
        <w:rPr>
          <w:lang w:val="en-GB"/>
        </w:rPr>
        <w:t>n</w:t>
      </w:r>
      <w:r w:rsidRPr="00045156">
        <w:rPr>
          <w:lang w:val="en-GB"/>
        </w:rPr>
        <w:t xml:space="preserve">ation: </w:t>
      </w:r>
      <w:r w:rsidR="007C34B0">
        <w:rPr>
          <w:lang w:val="en-GB"/>
        </w:rPr>
        <w:t>b</w:t>
      </w:r>
      <w:r w:rsidRPr="00045156">
        <w:rPr>
          <w:lang w:val="en-GB"/>
        </w:rPr>
        <w:t xml:space="preserve">efore and </w:t>
      </w:r>
      <w:r w:rsidR="007C34B0">
        <w:rPr>
          <w:lang w:val="en-GB"/>
        </w:rPr>
        <w:t>a</w:t>
      </w:r>
      <w:r w:rsidRPr="00045156">
        <w:rPr>
          <w:lang w:val="en-GB"/>
        </w:rPr>
        <w:t>fter the Royal Commission on Aboriginal Peopl</w:t>
      </w:r>
      <w:r w:rsidRPr="002B63FE">
        <w:rPr>
          <w:lang w:val="en-GB"/>
        </w:rPr>
        <w:t>es</w:t>
      </w:r>
      <w:r w:rsidR="00B1382E">
        <w:rPr>
          <w:lang w:val="en-GB"/>
        </w:rPr>
        <w:t>’</w:t>
      </w:r>
      <w:r w:rsidR="007C34B0">
        <w:rPr>
          <w:lang w:val="en-GB"/>
        </w:rPr>
        <w:t>,</w:t>
      </w:r>
      <w:r w:rsidRPr="002B63FE">
        <w:rPr>
          <w:lang w:val="en-GB"/>
        </w:rPr>
        <w:t xml:space="preserve"> </w:t>
      </w:r>
      <w:r w:rsidRPr="002B63FE">
        <w:rPr>
          <w:bCs/>
          <w:i/>
          <w:lang w:val="en-GB"/>
        </w:rPr>
        <w:t>Ca</w:t>
      </w:r>
      <w:r w:rsidRPr="00045156">
        <w:rPr>
          <w:bCs/>
          <w:i/>
          <w:lang w:val="en-GB"/>
        </w:rPr>
        <w:t xml:space="preserve">nadian Review of Sociology/Revue </w:t>
      </w:r>
      <w:proofErr w:type="spellStart"/>
      <w:r w:rsidRPr="00045156">
        <w:rPr>
          <w:bCs/>
          <w:i/>
          <w:lang w:val="en-GB"/>
        </w:rPr>
        <w:t>canadienne</w:t>
      </w:r>
      <w:proofErr w:type="spellEnd"/>
      <w:r w:rsidRPr="00045156">
        <w:rPr>
          <w:bCs/>
          <w:i/>
          <w:lang w:val="en-GB"/>
        </w:rPr>
        <w:t xml:space="preserve"> de </w:t>
      </w:r>
      <w:proofErr w:type="spellStart"/>
      <w:r w:rsidRPr="00045156">
        <w:rPr>
          <w:bCs/>
          <w:i/>
          <w:lang w:val="en-GB"/>
        </w:rPr>
        <w:t>sociologie</w:t>
      </w:r>
      <w:proofErr w:type="spellEnd"/>
      <w:r w:rsidR="007C34B0">
        <w:rPr>
          <w:bCs/>
          <w:lang w:val="en-GB"/>
        </w:rPr>
        <w:t xml:space="preserve">, </w:t>
      </w:r>
      <w:r>
        <w:rPr>
          <w:lang w:val="en-GB"/>
        </w:rPr>
        <w:t>40:4</w:t>
      </w:r>
      <w:r w:rsidR="007C34B0">
        <w:rPr>
          <w:lang w:val="en-GB"/>
        </w:rPr>
        <w:t>, pp.</w:t>
      </w:r>
      <w:r>
        <w:rPr>
          <w:lang w:val="en-GB"/>
        </w:rPr>
        <w:t xml:space="preserve"> 373–</w:t>
      </w:r>
      <w:r w:rsidRPr="00045156">
        <w:rPr>
          <w:lang w:val="en-GB"/>
        </w:rPr>
        <w:t>90.</w:t>
      </w:r>
    </w:p>
    <w:p w:rsidR="00251192" w:rsidRPr="00045156" w:rsidRDefault="00251192" w:rsidP="00251192">
      <w:pPr>
        <w:pStyle w:val="Reference"/>
        <w:rPr>
          <w:shd w:val="clear" w:color="auto" w:fill="FFFFFF"/>
          <w:lang w:val="en-GB"/>
        </w:rPr>
      </w:pPr>
      <w:r w:rsidRPr="00045156">
        <w:rPr>
          <w:shd w:val="clear" w:color="auto" w:fill="FFFFFF"/>
          <w:lang w:val="en-GB"/>
        </w:rPr>
        <w:t>Belanger, Yale D.</w:t>
      </w:r>
      <w:r w:rsidR="00F544B6">
        <w:rPr>
          <w:shd w:val="clear" w:color="auto" w:fill="FFFFFF"/>
          <w:lang w:val="en-GB"/>
        </w:rPr>
        <w:t xml:space="preserve"> </w:t>
      </w:r>
      <w:r w:rsidR="007C34B0">
        <w:rPr>
          <w:shd w:val="clear" w:color="auto" w:fill="FFFFFF"/>
          <w:lang w:val="en-GB"/>
        </w:rPr>
        <w:t>2012,</w:t>
      </w:r>
      <w:r w:rsidRPr="00045156">
        <w:rPr>
          <w:shd w:val="clear" w:color="auto" w:fill="FFFFFF"/>
          <w:lang w:val="en-GB"/>
        </w:rPr>
        <w:t xml:space="preserve"> </w:t>
      </w:r>
      <w:r w:rsidR="00B1382E">
        <w:rPr>
          <w:shd w:val="clear" w:color="auto" w:fill="FFFFFF"/>
          <w:lang w:val="en-GB"/>
        </w:rPr>
        <w:t>‘</w:t>
      </w:r>
      <w:r w:rsidRPr="00045156">
        <w:rPr>
          <w:shd w:val="clear" w:color="auto" w:fill="FFFFFF"/>
          <w:lang w:val="en-GB"/>
        </w:rPr>
        <w:t xml:space="preserve">Housing and Aboriginal People in </w:t>
      </w:r>
      <w:r w:rsidR="007C34B0">
        <w:rPr>
          <w:shd w:val="clear" w:color="auto" w:fill="FFFFFF"/>
          <w:lang w:val="en-GB"/>
        </w:rPr>
        <w:t>u</w:t>
      </w:r>
      <w:r w:rsidRPr="00045156">
        <w:rPr>
          <w:shd w:val="clear" w:color="auto" w:fill="FFFFFF"/>
          <w:lang w:val="en-GB"/>
        </w:rPr>
        <w:t xml:space="preserve">rban </w:t>
      </w:r>
      <w:r w:rsidR="007C34B0">
        <w:rPr>
          <w:shd w:val="clear" w:color="auto" w:fill="FFFFFF"/>
          <w:lang w:val="en-GB"/>
        </w:rPr>
        <w:t>c</w:t>
      </w:r>
      <w:r w:rsidRPr="00045156">
        <w:rPr>
          <w:shd w:val="clear" w:color="auto" w:fill="FFFFFF"/>
          <w:lang w:val="en-GB"/>
        </w:rPr>
        <w:t>en</w:t>
      </w:r>
      <w:r>
        <w:rPr>
          <w:shd w:val="clear" w:color="auto" w:fill="FFFFFF"/>
          <w:lang w:val="en-GB"/>
        </w:rPr>
        <w:t xml:space="preserve">tres: </w:t>
      </w:r>
      <w:r w:rsidR="007C34B0">
        <w:rPr>
          <w:shd w:val="clear" w:color="auto" w:fill="FFFFFF"/>
          <w:lang w:val="en-GB"/>
        </w:rPr>
        <w:t>a</w:t>
      </w:r>
      <w:r>
        <w:rPr>
          <w:shd w:val="clear" w:color="auto" w:fill="FFFFFF"/>
          <w:lang w:val="en-GB"/>
        </w:rPr>
        <w:t xml:space="preserve"> </w:t>
      </w:r>
      <w:r w:rsidR="007C34B0">
        <w:rPr>
          <w:shd w:val="clear" w:color="auto" w:fill="FFFFFF"/>
          <w:lang w:val="en-GB"/>
        </w:rPr>
        <w:t>q</w:t>
      </w:r>
      <w:r>
        <w:rPr>
          <w:shd w:val="clear" w:color="auto" w:fill="FFFFFF"/>
          <w:lang w:val="en-GB"/>
        </w:rPr>
        <w:t xml:space="preserve">uantitative </w:t>
      </w:r>
      <w:r w:rsidR="007C34B0">
        <w:rPr>
          <w:shd w:val="clear" w:color="auto" w:fill="FFFFFF"/>
          <w:lang w:val="en-GB"/>
        </w:rPr>
        <w:t>e</w:t>
      </w:r>
      <w:r>
        <w:rPr>
          <w:shd w:val="clear" w:color="auto" w:fill="FFFFFF"/>
          <w:lang w:val="en-GB"/>
        </w:rPr>
        <w:t>valuation</w:t>
      </w:r>
      <w:r w:rsidR="00B1382E">
        <w:rPr>
          <w:shd w:val="clear" w:color="auto" w:fill="FFFFFF"/>
          <w:lang w:val="en-GB"/>
        </w:rPr>
        <w:t>’</w:t>
      </w:r>
      <w:r>
        <w:rPr>
          <w:shd w:val="clear" w:color="auto" w:fill="FFFFFF"/>
          <w:lang w:val="en-GB"/>
        </w:rPr>
        <w:t xml:space="preserve">, </w:t>
      </w:r>
      <w:r w:rsidRPr="00045156">
        <w:rPr>
          <w:i/>
          <w:iCs/>
          <w:shd w:val="clear" w:color="auto" w:fill="FFFFFF"/>
          <w:lang w:val="en-GB"/>
        </w:rPr>
        <w:t>Aboriginal Policy Studies</w:t>
      </w:r>
      <w:r w:rsidR="002E28C5">
        <w:rPr>
          <w:iCs/>
          <w:shd w:val="clear" w:color="auto" w:fill="FFFFFF"/>
          <w:lang w:val="en-GB"/>
        </w:rPr>
        <w:t>,</w:t>
      </w:r>
      <w:r w:rsidRPr="00045156">
        <w:rPr>
          <w:shd w:val="clear" w:color="auto" w:fill="FFFFFF"/>
          <w:lang w:val="en-GB"/>
        </w:rPr>
        <w:t> </w:t>
      </w:r>
      <w:r>
        <w:rPr>
          <w:shd w:val="clear" w:color="auto" w:fill="FFFFFF"/>
          <w:lang w:val="en-GB"/>
        </w:rPr>
        <w:t>2.1</w:t>
      </w:r>
      <w:r w:rsidR="00F544B6">
        <w:rPr>
          <w:shd w:val="clear" w:color="auto" w:fill="FFFFFF"/>
          <w:lang w:val="en-GB"/>
        </w:rPr>
        <w:t>, pp.</w:t>
      </w:r>
      <w:r>
        <w:rPr>
          <w:shd w:val="clear" w:color="auto" w:fill="FFFFFF"/>
          <w:lang w:val="en-GB"/>
        </w:rPr>
        <w:t xml:space="preserve"> 4–</w:t>
      </w:r>
      <w:r w:rsidRPr="00045156">
        <w:rPr>
          <w:shd w:val="clear" w:color="auto" w:fill="FFFFFF"/>
          <w:lang w:val="en-GB"/>
        </w:rPr>
        <w:t xml:space="preserve">25. </w:t>
      </w:r>
    </w:p>
    <w:p w:rsidR="006942AD" w:rsidRPr="006942AD" w:rsidRDefault="006942AD" w:rsidP="006942AD">
      <w:pPr>
        <w:pStyle w:val="Reference"/>
        <w:rPr>
          <w:shd w:val="clear" w:color="auto" w:fill="FFFFFF"/>
          <w:lang w:val="en-GB"/>
        </w:rPr>
      </w:pPr>
      <w:r w:rsidRPr="006942AD">
        <w:rPr>
          <w:shd w:val="clear" w:color="auto" w:fill="FFFFFF"/>
          <w:lang w:val="en-GB"/>
        </w:rPr>
        <w:t>Bradford, N</w:t>
      </w:r>
      <w:r>
        <w:rPr>
          <w:shd w:val="clear" w:color="auto" w:fill="FFFFFF"/>
          <w:lang w:val="en-GB"/>
        </w:rPr>
        <w:t>.</w:t>
      </w:r>
      <w:r w:rsidRPr="006942AD">
        <w:rPr>
          <w:shd w:val="clear" w:color="auto" w:fill="FFFFFF"/>
          <w:lang w:val="en-GB"/>
        </w:rPr>
        <w:t xml:space="preserve"> and </w:t>
      </w:r>
      <w:proofErr w:type="spellStart"/>
      <w:r w:rsidRPr="006942AD">
        <w:rPr>
          <w:shd w:val="clear" w:color="auto" w:fill="FFFFFF"/>
          <w:lang w:val="en-GB"/>
        </w:rPr>
        <w:t>Chouinard</w:t>
      </w:r>
      <w:proofErr w:type="spellEnd"/>
      <w:r>
        <w:rPr>
          <w:shd w:val="clear" w:color="auto" w:fill="FFFFFF"/>
          <w:lang w:val="en-GB"/>
        </w:rPr>
        <w:t xml:space="preserve">. </w:t>
      </w:r>
      <w:proofErr w:type="spellStart"/>
      <w:r>
        <w:rPr>
          <w:shd w:val="clear" w:color="auto" w:fill="FFFFFF"/>
          <w:lang w:val="en-GB"/>
        </w:rPr>
        <w:t>J.A</w:t>
      </w:r>
      <w:proofErr w:type="spellEnd"/>
      <w:r w:rsidRPr="006942AD">
        <w:rPr>
          <w:shd w:val="clear" w:color="auto" w:fill="FFFFFF"/>
          <w:lang w:val="en-GB"/>
        </w:rPr>
        <w:t xml:space="preserve">. 2010. </w:t>
      </w:r>
      <w:r>
        <w:rPr>
          <w:shd w:val="clear" w:color="auto" w:fill="FFFFFF"/>
          <w:lang w:val="en-GB"/>
        </w:rPr>
        <w:t>‘</w:t>
      </w:r>
      <w:r w:rsidRPr="006942AD">
        <w:rPr>
          <w:shd w:val="clear" w:color="auto" w:fill="FFFFFF"/>
          <w:lang w:val="en-GB"/>
        </w:rPr>
        <w:t>Learning through Evaluation? Reflections on Two Federal Community Building Initiatives</w:t>
      </w:r>
      <w:r>
        <w:rPr>
          <w:shd w:val="clear" w:color="auto" w:fill="FFFFFF"/>
          <w:lang w:val="en-GB"/>
        </w:rPr>
        <w:t>’</w:t>
      </w:r>
      <w:r w:rsidRPr="006942AD">
        <w:rPr>
          <w:shd w:val="clear" w:color="auto" w:fill="FFFFFF"/>
          <w:lang w:val="en-GB"/>
        </w:rPr>
        <w:t xml:space="preserve"> </w:t>
      </w:r>
      <w:r w:rsidRPr="006942AD">
        <w:rPr>
          <w:i/>
          <w:shd w:val="clear" w:color="auto" w:fill="FFFFFF"/>
          <w:lang w:val="en-GB"/>
        </w:rPr>
        <w:t>Canadian Journal of Program Evaluation</w:t>
      </w:r>
      <w:r>
        <w:rPr>
          <w:i/>
          <w:shd w:val="clear" w:color="auto" w:fill="FFFFFF"/>
          <w:lang w:val="en-GB"/>
        </w:rPr>
        <w:t>,</w:t>
      </w:r>
      <w:r w:rsidRPr="006942AD">
        <w:rPr>
          <w:shd w:val="clear" w:color="auto" w:fill="FFFFFF"/>
          <w:lang w:val="en-GB"/>
        </w:rPr>
        <w:t xml:space="preserve"> </w:t>
      </w:r>
      <w:r>
        <w:rPr>
          <w:shd w:val="clear" w:color="auto" w:fill="FFFFFF"/>
          <w:lang w:val="en-GB"/>
        </w:rPr>
        <w:t xml:space="preserve">vol. </w:t>
      </w:r>
      <w:r w:rsidRPr="006942AD">
        <w:rPr>
          <w:shd w:val="clear" w:color="auto" w:fill="FFFFFF"/>
          <w:lang w:val="en-GB"/>
        </w:rPr>
        <w:t>24, no. 1</w:t>
      </w:r>
      <w:r>
        <w:rPr>
          <w:shd w:val="clear" w:color="auto" w:fill="FFFFFF"/>
          <w:lang w:val="en-GB"/>
        </w:rPr>
        <w:t>, pp.</w:t>
      </w:r>
      <w:r w:rsidRPr="006942AD">
        <w:rPr>
          <w:shd w:val="clear" w:color="auto" w:fill="FFFFFF"/>
          <w:lang w:val="en-GB"/>
        </w:rPr>
        <w:t xml:space="preserve"> 55</w:t>
      </w:r>
      <w:r>
        <w:rPr>
          <w:shd w:val="clear" w:color="auto" w:fill="FFFFFF"/>
          <w:lang w:val="en-GB"/>
        </w:rPr>
        <w:t>–</w:t>
      </w:r>
      <w:r w:rsidRPr="006942AD">
        <w:rPr>
          <w:shd w:val="clear" w:color="auto" w:fill="FFFFFF"/>
          <w:lang w:val="en-GB"/>
        </w:rPr>
        <w:t>77.</w:t>
      </w:r>
    </w:p>
    <w:p w:rsidR="00251192" w:rsidRPr="00045156" w:rsidRDefault="00251192" w:rsidP="00251192">
      <w:pPr>
        <w:pStyle w:val="Reference"/>
        <w:rPr>
          <w:shd w:val="clear" w:color="auto" w:fill="FFFFFF"/>
          <w:lang w:val="en-GB"/>
        </w:rPr>
      </w:pPr>
      <w:r w:rsidRPr="00045156">
        <w:rPr>
          <w:shd w:val="clear" w:color="auto" w:fill="FFFFFF"/>
          <w:lang w:val="en-GB"/>
        </w:rPr>
        <w:t xml:space="preserve">Brant </w:t>
      </w:r>
      <w:proofErr w:type="spellStart"/>
      <w:r w:rsidRPr="00045156">
        <w:rPr>
          <w:shd w:val="clear" w:color="auto" w:fill="FFFFFF"/>
          <w:lang w:val="en-GB"/>
        </w:rPr>
        <w:t>Castellano</w:t>
      </w:r>
      <w:proofErr w:type="spellEnd"/>
      <w:r w:rsidRPr="00045156">
        <w:rPr>
          <w:shd w:val="clear" w:color="auto" w:fill="FFFFFF"/>
          <w:lang w:val="en-GB"/>
        </w:rPr>
        <w:t>, M</w:t>
      </w:r>
      <w:r w:rsidR="00F544B6">
        <w:rPr>
          <w:shd w:val="clear" w:color="auto" w:fill="FFFFFF"/>
          <w:lang w:val="en-GB"/>
        </w:rPr>
        <w:t xml:space="preserve">. </w:t>
      </w:r>
      <w:r w:rsidR="008C03F0">
        <w:rPr>
          <w:shd w:val="clear" w:color="auto" w:fill="FFFFFF"/>
          <w:lang w:val="en-GB"/>
        </w:rPr>
        <w:t xml:space="preserve">2000 (2002), </w:t>
      </w:r>
      <w:r w:rsidR="00B1382E">
        <w:rPr>
          <w:shd w:val="clear" w:color="auto" w:fill="FFFFFF"/>
          <w:lang w:val="en-GB"/>
        </w:rPr>
        <w:t>‘</w:t>
      </w:r>
      <w:r w:rsidRPr="00045156">
        <w:rPr>
          <w:shd w:val="clear" w:color="auto" w:fill="FFFFFF"/>
          <w:lang w:val="en-GB"/>
        </w:rPr>
        <w:t xml:space="preserve">Updating Aboriginal </w:t>
      </w:r>
      <w:r w:rsidR="00F544B6">
        <w:rPr>
          <w:shd w:val="clear" w:color="auto" w:fill="FFFFFF"/>
          <w:lang w:val="en-GB"/>
        </w:rPr>
        <w:t>t</w:t>
      </w:r>
      <w:r w:rsidRPr="00045156">
        <w:rPr>
          <w:shd w:val="clear" w:color="auto" w:fill="FFFFFF"/>
          <w:lang w:val="en-GB"/>
        </w:rPr>
        <w:t xml:space="preserve">raditional </w:t>
      </w:r>
      <w:r w:rsidR="00F544B6">
        <w:rPr>
          <w:shd w:val="clear" w:color="auto" w:fill="FFFFFF"/>
          <w:lang w:val="en-GB"/>
        </w:rPr>
        <w:t>k</w:t>
      </w:r>
      <w:r w:rsidRPr="00045156">
        <w:rPr>
          <w:shd w:val="clear" w:color="auto" w:fill="FFFFFF"/>
          <w:lang w:val="en-GB"/>
        </w:rPr>
        <w:t>nowledge</w:t>
      </w:r>
      <w:r w:rsidR="00B1382E">
        <w:rPr>
          <w:shd w:val="clear" w:color="auto" w:fill="FFFFFF"/>
          <w:lang w:val="en-GB"/>
        </w:rPr>
        <w:t>’</w:t>
      </w:r>
      <w:r w:rsidR="00F544B6">
        <w:rPr>
          <w:shd w:val="clear" w:color="auto" w:fill="FFFFFF"/>
          <w:lang w:val="en-GB"/>
        </w:rPr>
        <w:t>,</w:t>
      </w:r>
      <w:r>
        <w:rPr>
          <w:shd w:val="clear" w:color="auto" w:fill="FFFFFF"/>
          <w:lang w:val="en-GB"/>
        </w:rPr>
        <w:t xml:space="preserve"> </w:t>
      </w:r>
      <w:r w:rsidRPr="00045156">
        <w:rPr>
          <w:shd w:val="clear" w:color="auto" w:fill="FFFFFF"/>
          <w:lang w:val="en-GB"/>
        </w:rPr>
        <w:t>in Hall</w:t>
      </w:r>
      <w:r w:rsidR="00F544B6">
        <w:rPr>
          <w:shd w:val="clear" w:color="auto" w:fill="FFFFFF"/>
          <w:lang w:val="en-GB"/>
        </w:rPr>
        <w:t>, B.</w:t>
      </w:r>
      <w:r w:rsidRPr="00045156">
        <w:rPr>
          <w:shd w:val="clear" w:color="auto" w:fill="FFFFFF"/>
          <w:lang w:val="en-GB"/>
        </w:rPr>
        <w:t xml:space="preserve">, </w:t>
      </w:r>
      <w:proofErr w:type="spellStart"/>
      <w:r w:rsidRPr="00045156">
        <w:rPr>
          <w:shd w:val="clear" w:color="auto" w:fill="FFFFFF"/>
          <w:lang w:val="en-GB"/>
        </w:rPr>
        <w:t>Sefa</w:t>
      </w:r>
      <w:proofErr w:type="spellEnd"/>
      <w:r w:rsidRPr="00045156">
        <w:rPr>
          <w:shd w:val="clear" w:color="auto" w:fill="FFFFFF"/>
          <w:lang w:val="en-GB"/>
        </w:rPr>
        <w:t xml:space="preserve"> Dei</w:t>
      </w:r>
      <w:r w:rsidR="00F544B6">
        <w:rPr>
          <w:shd w:val="clear" w:color="auto" w:fill="FFFFFF"/>
          <w:lang w:val="en-GB"/>
        </w:rPr>
        <w:t>, J. and</w:t>
      </w:r>
      <w:r w:rsidRPr="00045156">
        <w:rPr>
          <w:shd w:val="clear" w:color="auto" w:fill="FFFFFF"/>
          <w:lang w:val="en-GB"/>
        </w:rPr>
        <w:t xml:space="preserve"> Golden Rosenberg</w:t>
      </w:r>
      <w:r w:rsidR="00F544B6">
        <w:rPr>
          <w:shd w:val="clear" w:color="auto" w:fill="FFFFFF"/>
          <w:lang w:val="en-GB"/>
        </w:rPr>
        <w:t>, D. (</w:t>
      </w:r>
      <w:proofErr w:type="spellStart"/>
      <w:r w:rsidRPr="00045156">
        <w:rPr>
          <w:shd w:val="clear" w:color="auto" w:fill="FFFFFF"/>
          <w:lang w:val="en-GB"/>
        </w:rPr>
        <w:t>eds</w:t>
      </w:r>
      <w:proofErr w:type="spellEnd"/>
      <w:r w:rsidR="00F544B6">
        <w:rPr>
          <w:shd w:val="clear" w:color="auto" w:fill="FFFFFF"/>
          <w:lang w:val="en-GB"/>
        </w:rPr>
        <w:t>),</w:t>
      </w:r>
      <w:r w:rsidRPr="00045156">
        <w:rPr>
          <w:shd w:val="clear" w:color="auto" w:fill="FFFFFF"/>
          <w:lang w:val="en-GB"/>
        </w:rPr>
        <w:t xml:space="preserve"> </w:t>
      </w:r>
      <w:r w:rsidRPr="00045156">
        <w:rPr>
          <w:i/>
          <w:shd w:val="clear" w:color="auto" w:fill="FFFFFF"/>
          <w:lang w:val="en-GB"/>
        </w:rPr>
        <w:t>Indigenous Knowledge in Global Contexts: Multiple Readings of Our World</w:t>
      </w:r>
      <w:r w:rsidR="00F544B6">
        <w:rPr>
          <w:shd w:val="clear" w:color="auto" w:fill="FFFFFF"/>
          <w:lang w:val="en-GB"/>
        </w:rPr>
        <w:t>,</w:t>
      </w:r>
      <w:r w:rsidRPr="00045156">
        <w:rPr>
          <w:i/>
          <w:shd w:val="clear" w:color="auto" w:fill="FFFFFF"/>
          <w:lang w:val="en-GB"/>
        </w:rPr>
        <w:t xml:space="preserve"> </w:t>
      </w:r>
      <w:r w:rsidRPr="00045156">
        <w:rPr>
          <w:shd w:val="clear" w:color="auto" w:fill="FFFFFF"/>
          <w:lang w:val="en-GB"/>
        </w:rPr>
        <w:t>University of Toronto Press,</w:t>
      </w:r>
      <w:r w:rsidR="00F544B6">
        <w:rPr>
          <w:shd w:val="clear" w:color="auto" w:fill="FFFFFF"/>
          <w:lang w:val="en-GB"/>
        </w:rPr>
        <w:t xml:space="preserve"> Toronto</w:t>
      </w:r>
      <w:r w:rsidRPr="00045156">
        <w:rPr>
          <w:shd w:val="clear" w:color="auto" w:fill="FFFFFF"/>
          <w:lang w:val="en-GB"/>
        </w:rPr>
        <w:t>.</w:t>
      </w:r>
    </w:p>
    <w:p w:rsidR="00251192" w:rsidRPr="00045156" w:rsidRDefault="00251192" w:rsidP="00251192">
      <w:pPr>
        <w:pStyle w:val="Reference"/>
        <w:rPr>
          <w:shd w:val="clear" w:color="auto" w:fill="FFFFFF"/>
          <w:lang w:val="en-GB"/>
        </w:rPr>
      </w:pPr>
      <w:r w:rsidRPr="00045156">
        <w:rPr>
          <w:shd w:val="clear" w:color="auto" w:fill="FFFFFF"/>
          <w:lang w:val="en-GB"/>
        </w:rPr>
        <w:t xml:space="preserve">Cherubini, L. </w:t>
      </w:r>
      <w:r w:rsidR="00EE2956">
        <w:rPr>
          <w:shd w:val="clear" w:color="auto" w:fill="FFFFFF"/>
          <w:lang w:val="en-GB"/>
        </w:rPr>
        <w:t xml:space="preserve">2012, </w:t>
      </w:r>
      <w:r w:rsidR="00B1382E">
        <w:rPr>
          <w:shd w:val="clear" w:color="auto" w:fill="FFFFFF"/>
          <w:lang w:val="en-GB"/>
        </w:rPr>
        <w:t>‘</w:t>
      </w:r>
      <w:r w:rsidRPr="00045156">
        <w:rPr>
          <w:shd w:val="clear" w:color="auto" w:fill="FFFFFF"/>
          <w:lang w:val="en-GB"/>
        </w:rPr>
        <w:t xml:space="preserve">Post-secondary Aboriginal </w:t>
      </w:r>
      <w:r w:rsidR="00EE2956">
        <w:rPr>
          <w:shd w:val="clear" w:color="auto" w:fill="FFFFFF"/>
          <w:lang w:val="en-GB"/>
        </w:rPr>
        <w:t>e</w:t>
      </w:r>
      <w:r w:rsidRPr="00045156">
        <w:rPr>
          <w:shd w:val="clear" w:color="auto" w:fill="FFFFFF"/>
          <w:lang w:val="en-GB"/>
        </w:rPr>
        <w:t xml:space="preserve">ducational </w:t>
      </w:r>
      <w:r w:rsidR="00EE2956">
        <w:rPr>
          <w:shd w:val="clear" w:color="auto" w:fill="FFFFFF"/>
          <w:lang w:val="en-GB"/>
        </w:rPr>
        <w:t>p</w:t>
      </w:r>
      <w:r w:rsidRPr="00045156">
        <w:rPr>
          <w:shd w:val="clear" w:color="auto" w:fill="FFFFFF"/>
          <w:lang w:val="en-GB"/>
        </w:rPr>
        <w:t xml:space="preserve">olicy in Ontario: </w:t>
      </w:r>
      <w:r w:rsidR="00EE2956">
        <w:rPr>
          <w:shd w:val="clear" w:color="auto" w:fill="FFFFFF"/>
          <w:lang w:val="en-GB"/>
        </w:rPr>
        <w:t>p</w:t>
      </w:r>
      <w:r w:rsidRPr="00045156">
        <w:rPr>
          <w:shd w:val="clear" w:color="auto" w:fill="FFFFFF"/>
          <w:lang w:val="en-GB"/>
        </w:rPr>
        <w:t xml:space="preserve">olicy and </w:t>
      </w:r>
      <w:r w:rsidR="00EE2956">
        <w:rPr>
          <w:shd w:val="clear" w:color="auto" w:fill="FFFFFF"/>
          <w:lang w:val="en-GB"/>
        </w:rPr>
        <w:t>p</w:t>
      </w:r>
      <w:r w:rsidRPr="00045156">
        <w:rPr>
          <w:shd w:val="clear" w:color="auto" w:fill="FFFFFF"/>
          <w:lang w:val="en-GB"/>
        </w:rPr>
        <w:t xml:space="preserve">ractical </w:t>
      </w:r>
      <w:r w:rsidR="00EE2956">
        <w:rPr>
          <w:shd w:val="clear" w:color="auto" w:fill="FFFFFF"/>
          <w:lang w:val="en-GB"/>
        </w:rPr>
        <w:t>i</w:t>
      </w:r>
      <w:r w:rsidRPr="00045156">
        <w:rPr>
          <w:shd w:val="clear" w:color="auto" w:fill="FFFFFF"/>
          <w:lang w:val="en-GB"/>
        </w:rPr>
        <w:t>mplications</w:t>
      </w:r>
      <w:r w:rsidR="00B1382E">
        <w:rPr>
          <w:shd w:val="clear" w:color="auto" w:fill="FFFFFF"/>
          <w:lang w:val="en-GB"/>
        </w:rPr>
        <w:t>’</w:t>
      </w:r>
      <w:r w:rsidR="00AA03B0">
        <w:rPr>
          <w:shd w:val="clear" w:color="auto" w:fill="FFFFFF"/>
          <w:lang w:val="en-GB"/>
        </w:rPr>
        <w:t>,</w:t>
      </w:r>
      <w:r>
        <w:rPr>
          <w:shd w:val="clear" w:color="auto" w:fill="FFFFFF"/>
          <w:lang w:val="en-GB"/>
        </w:rPr>
        <w:t xml:space="preserve"> </w:t>
      </w:r>
      <w:r w:rsidRPr="00045156">
        <w:rPr>
          <w:i/>
          <w:iCs/>
          <w:shd w:val="clear" w:color="auto" w:fill="FFFFFF"/>
          <w:lang w:val="en-GB"/>
        </w:rPr>
        <w:t>Aboriginal Policy Studies</w:t>
      </w:r>
      <w:r w:rsidR="00AA03B0">
        <w:rPr>
          <w:iCs/>
          <w:shd w:val="clear" w:color="auto" w:fill="FFFFFF"/>
          <w:lang w:val="en-GB"/>
        </w:rPr>
        <w:t>,</w:t>
      </w:r>
      <w:r w:rsidRPr="00045156">
        <w:rPr>
          <w:shd w:val="clear" w:color="auto" w:fill="FFFFFF"/>
          <w:lang w:val="en-GB"/>
        </w:rPr>
        <w:t> </w:t>
      </w:r>
      <w:r>
        <w:rPr>
          <w:shd w:val="clear" w:color="auto" w:fill="FFFFFF"/>
          <w:lang w:val="en-GB"/>
        </w:rPr>
        <w:t>2.1</w:t>
      </w:r>
      <w:r w:rsidR="00EE2956">
        <w:rPr>
          <w:shd w:val="clear" w:color="auto" w:fill="FFFFFF"/>
          <w:lang w:val="en-GB"/>
        </w:rPr>
        <w:t>,</w:t>
      </w:r>
      <w:r>
        <w:rPr>
          <w:shd w:val="clear" w:color="auto" w:fill="FFFFFF"/>
          <w:lang w:val="en-GB"/>
        </w:rPr>
        <w:t xml:space="preserve"> </w:t>
      </w:r>
      <w:r w:rsidR="00EE2956">
        <w:rPr>
          <w:shd w:val="clear" w:color="auto" w:fill="FFFFFF"/>
          <w:lang w:val="en-GB"/>
        </w:rPr>
        <w:t xml:space="preserve">pp. </w:t>
      </w:r>
      <w:r>
        <w:rPr>
          <w:shd w:val="clear" w:color="auto" w:fill="FFFFFF"/>
          <w:lang w:val="en-GB"/>
        </w:rPr>
        <w:t>42–</w:t>
      </w:r>
      <w:r w:rsidRPr="00045156">
        <w:rPr>
          <w:shd w:val="clear" w:color="auto" w:fill="FFFFFF"/>
          <w:lang w:val="en-GB"/>
        </w:rPr>
        <w:t xml:space="preserve">55. </w:t>
      </w:r>
    </w:p>
    <w:p w:rsidR="00251192" w:rsidRPr="00045156" w:rsidRDefault="00251192" w:rsidP="00251192">
      <w:pPr>
        <w:pStyle w:val="Reference"/>
        <w:rPr>
          <w:shd w:val="clear" w:color="auto" w:fill="FFFFFF"/>
          <w:lang w:val="en-GB"/>
        </w:rPr>
      </w:pPr>
      <w:proofErr w:type="spellStart"/>
      <w:r w:rsidRPr="00045156">
        <w:rPr>
          <w:shd w:val="clear" w:color="auto" w:fill="FFFFFF"/>
          <w:lang w:val="en-GB"/>
        </w:rPr>
        <w:t>Chouinard</w:t>
      </w:r>
      <w:proofErr w:type="spellEnd"/>
      <w:r w:rsidRPr="00045156">
        <w:rPr>
          <w:shd w:val="clear" w:color="auto" w:fill="FFFFFF"/>
          <w:lang w:val="en-GB"/>
        </w:rPr>
        <w:t>, Jill A. and Cousins</w:t>
      </w:r>
      <w:r w:rsidR="00715882">
        <w:rPr>
          <w:shd w:val="clear" w:color="auto" w:fill="FFFFFF"/>
          <w:lang w:val="en-GB"/>
        </w:rPr>
        <w:t>, Bradley J</w:t>
      </w:r>
      <w:r w:rsidRPr="00045156">
        <w:rPr>
          <w:shd w:val="clear" w:color="auto" w:fill="FFFFFF"/>
          <w:lang w:val="en-GB"/>
        </w:rPr>
        <w:t xml:space="preserve">. </w:t>
      </w:r>
      <w:r w:rsidR="00715882">
        <w:rPr>
          <w:shd w:val="clear" w:color="auto" w:fill="FFFFFF"/>
          <w:lang w:val="en-GB"/>
        </w:rPr>
        <w:t xml:space="preserve">2007, </w:t>
      </w:r>
      <w:r w:rsidR="00B1382E">
        <w:rPr>
          <w:shd w:val="clear" w:color="auto" w:fill="FFFFFF"/>
          <w:lang w:val="en-GB"/>
        </w:rPr>
        <w:t>‘</w:t>
      </w:r>
      <w:r w:rsidRPr="00045156">
        <w:rPr>
          <w:shd w:val="clear" w:color="auto" w:fill="FFFFFF"/>
          <w:lang w:val="en-GB"/>
        </w:rPr>
        <w:t xml:space="preserve">Culturally </w:t>
      </w:r>
      <w:r w:rsidR="00715882">
        <w:rPr>
          <w:shd w:val="clear" w:color="auto" w:fill="FFFFFF"/>
          <w:lang w:val="en-GB"/>
        </w:rPr>
        <w:t>c</w:t>
      </w:r>
      <w:r w:rsidRPr="00045156">
        <w:rPr>
          <w:shd w:val="clear" w:color="auto" w:fill="FFFFFF"/>
          <w:lang w:val="en-GB"/>
        </w:rPr>
        <w:t xml:space="preserve">ompetent </w:t>
      </w:r>
      <w:r w:rsidR="00715882">
        <w:rPr>
          <w:shd w:val="clear" w:color="auto" w:fill="FFFFFF"/>
          <w:lang w:val="en-GB"/>
        </w:rPr>
        <w:t>e</w:t>
      </w:r>
      <w:r w:rsidRPr="00045156">
        <w:rPr>
          <w:shd w:val="clear" w:color="auto" w:fill="FFFFFF"/>
          <w:lang w:val="en-GB"/>
        </w:rPr>
        <w:t xml:space="preserve">valuation for Aboriginal </w:t>
      </w:r>
      <w:r w:rsidR="00715882">
        <w:rPr>
          <w:shd w:val="clear" w:color="auto" w:fill="FFFFFF"/>
          <w:lang w:val="en-GB"/>
        </w:rPr>
        <w:t>c</w:t>
      </w:r>
      <w:r w:rsidRPr="00045156">
        <w:rPr>
          <w:shd w:val="clear" w:color="auto" w:fill="FFFFFF"/>
          <w:lang w:val="en-GB"/>
        </w:rPr>
        <w:t xml:space="preserve">ommunities: </w:t>
      </w:r>
      <w:r w:rsidR="00715882">
        <w:rPr>
          <w:shd w:val="clear" w:color="auto" w:fill="FFFFFF"/>
          <w:lang w:val="en-GB"/>
        </w:rPr>
        <w:t>a</w:t>
      </w:r>
      <w:r w:rsidRPr="00045156">
        <w:rPr>
          <w:shd w:val="clear" w:color="auto" w:fill="FFFFFF"/>
          <w:lang w:val="en-GB"/>
        </w:rPr>
        <w:t xml:space="preserve"> </w:t>
      </w:r>
      <w:r w:rsidR="00715882">
        <w:rPr>
          <w:shd w:val="clear" w:color="auto" w:fill="FFFFFF"/>
          <w:lang w:val="en-GB"/>
        </w:rPr>
        <w:t>r</w:t>
      </w:r>
      <w:r w:rsidRPr="00045156">
        <w:rPr>
          <w:shd w:val="clear" w:color="auto" w:fill="FFFFFF"/>
          <w:lang w:val="en-GB"/>
        </w:rPr>
        <w:t xml:space="preserve">eview of the </w:t>
      </w:r>
      <w:r w:rsidR="00715882">
        <w:rPr>
          <w:shd w:val="clear" w:color="auto" w:fill="FFFFFF"/>
          <w:lang w:val="en-GB"/>
        </w:rPr>
        <w:t>e</w:t>
      </w:r>
      <w:r w:rsidRPr="00045156">
        <w:rPr>
          <w:shd w:val="clear" w:color="auto" w:fill="FFFFFF"/>
          <w:lang w:val="en-GB"/>
        </w:rPr>
        <w:t xml:space="preserve">mpirical </w:t>
      </w:r>
      <w:r w:rsidR="00715882">
        <w:rPr>
          <w:shd w:val="clear" w:color="auto" w:fill="FFFFFF"/>
          <w:lang w:val="en-GB"/>
        </w:rPr>
        <w:t>l</w:t>
      </w:r>
      <w:r w:rsidRPr="00045156">
        <w:rPr>
          <w:shd w:val="clear" w:color="auto" w:fill="FFFFFF"/>
          <w:lang w:val="en-GB"/>
        </w:rPr>
        <w:t>iterature</w:t>
      </w:r>
      <w:r w:rsidR="00B1382E">
        <w:rPr>
          <w:shd w:val="clear" w:color="auto" w:fill="FFFFFF"/>
          <w:lang w:val="en-GB"/>
        </w:rPr>
        <w:t>’</w:t>
      </w:r>
      <w:r w:rsidR="00715882">
        <w:rPr>
          <w:shd w:val="clear" w:color="auto" w:fill="FFFFFF"/>
          <w:lang w:val="en-GB"/>
        </w:rPr>
        <w:t>,</w:t>
      </w:r>
      <w:r>
        <w:rPr>
          <w:shd w:val="clear" w:color="auto" w:fill="FFFFFF"/>
          <w:lang w:val="en-GB"/>
        </w:rPr>
        <w:t xml:space="preserve"> </w:t>
      </w:r>
      <w:r w:rsidRPr="00045156">
        <w:rPr>
          <w:i/>
          <w:iCs/>
          <w:shd w:val="clear" w:color="auto" w:fill="FFFFFF"/>
          <w:lang w:val="en-GB"/>
        </w:rPr>
        <w:t xml:space="preserve">Journal of </w:t>
      </w:r>
      <w:proofErr w:type="spellStart"/>
      <w:r w:rsidRPr="00045156">
        <w:rPr>
          <w:i/>
          <w:iCs/>
          <w:shd w:val="clear" w:color="auto" w:fill="FFFFFF"/>
          <w:lang w:val="en-GB"/>
        </w:rPr>
        <w:t>MultiDisciplinary</w:t>
      </w:r>
      <w:proofErr w:type="spellEnd"/>
      <w:r w:rsidRPr="00045156">
        <w:rPr>
          <w:i/>
          <w:iCs/>
          <w:shd w:val="clear" w:color="auto" w:fill="FFFFFF"/>
          <w:lang w:val="en-GB"/>
        </w:rPr>
        <w:t xml:space="preserve"> Evaluation</w:t>
      </w:r>
      <w:r w:rsidR="00715882">
        <w:rPr>
          <w:iCs/>
          <w:shd w:val="clear" w:color="auto" w:fill="FFFFFF"/>
          <w:lang w:val="en-GB"/>
        </w:rPr>
        <w:t>,</w:t>
      </w:r>
      <w:r w:rsidRPr="00045156">
        <w:rPr>
          <w:shd w:val="clear" w:color="auto" w:fill="FFFFFF"/>
          <w:lang w:val="en-GB"/>
        </w:rPr>
        <w:t> </w:t>
      </w:r>
      <w:r>
        <w:rPr>
          <w:shd w:val="clear" w:color="auto" w:fill="FFFFFF"/>
          <w:lang w:val="en-GB"/>
        </w:rPr>
        <w:t>4.8</w:t>
      </w:r>
      <w:r w:rsidR="00715882">
        <w:rPr>
          <w:shd w:val="clear" w:color="auto" w:fill="FFFFFF"/>
          <w:lang w:val="en-GB"/>
        </w:rPr>
        <w:t>, pp.</w:t>
      </w:r>
      <w:r>
        <w:rPr>
          <w:shd w:val="clear" w:color="auto" w:fill="FFFFFF"/>
          <w:lang w:val="en-GB"/>
        </w:rPr>
        <w:t xml:space="preserve"> 40–</w:t>
      </w:r>
      <w:r w:rsidRPr="00045156">
        <w:rPr>
          <w:shd w:val="clear" w:color="auto" w:fill="FFFFFF"/>
          <w:lang w:val="en-GB"/>
        </w:rPr>
        <w:t>57.</w:t>
      </w:r>
    </w:p>
    <w:p w:rsidR="00B64686" w:rsidRPr="00EA4936" w:rsidRDefault="00B64686" w:rsidP="00EA4936">
      <w:pPr>
        <w:pStyle w:val="Reference"/>
        <w:rPr>
          <w:shd w:val="clear" w:color="auto" w:fill="FFFFFF"/>
          <w:lang w:val="en-GB"/>
        </w:rPr>
      </w:pPr>
      <w:proofErr w:type="spellStart"/>
      <w:r w:rsidRPr="00EA4936">
        <w:rPr>
          <w:shd w:val="clear" w:color="auto" w:fill="FFFFFF"/>
          <w:lang w:val="en-GB"/>
        </w:rPr>
        <w:t>Delic</w:t>
      </w:r>
      <w:proofErr w:type="spellEnd"/>
      <w:r w:rsidRPr="00EA4936">
        <w:rPr>
          <w:shd w:val="clear" w:color="auto" w:fill="FFFFFF"/>
          <w:lang w:val="en-GB"/>
        </w:rPr>
        <w:t>, S. and Abele</w:t>
      </w:r>
      <w:r w:rsidR="00AA03B0" w:rsidRPr="00EA4936">
        <w:rPr>
          <w:shd w:val="clear" w:color="auto" w:fill="FFFFFF"/>
          <w:lang w:val="en-GB"/>
        </w:rPr>
        <w:t>,</w:t>
      </w:r>
      <w:r w:rsidRPr="00EA4936">
        <w:rPr>
          <w:shd w:val="clear" w:color="auto" w:fill="FFFFFF"/>
          <w:lang w:val="en-GB"/>
        </w:rPr>
        <w:t xml:space="preserve"> F. 2010, ‘Aboriginal workers and the recession’, i</w:t>
      </w:r>
      <w:r w:rsidR="00800389" w:rsidRPr="00EA4936">
        <w:rPr>
          <w:shd w:val="clear" w:color="auto" w:fill="FFFFFF"/>
          <w:lang w:val="en-GB"/>
        </w:rPr>
        <w:t xml:space="preserve">n </w:t>
      </w:r>
      <w:proofErr w:type="spellStart"/>
      <w:r w:rsidR="00800389" w:rsidRPr="00EA4936">
        <w:rPr>
          <w:shd w:val="clear" w:color="auto" w:fill="FFFFFF"/>
          <w:lang w:val="en-GB"/>
        </w:rPr>
        <w:t>Doern</w:t>
      </w:r>
      <w:proofErr w:type="spellEnd"/>
      <w:r w:rsidR="00800389" w:rsidRPr="00EA4936">
        <w:rPr>
          <w:shd w:val="clear" w:color="auto" w:fill="FFFFFF"/>
          <w:lang w:val="en-GB"/>
        </w:rPr>
        <w:t xml:space="preserve">, G. Bruce and </w:t>
      </w:r>
      <w:proofErr w:type="spellStart"/>
      <w:r w:rsidR="00800389" w:rsidRPr="00EA4936">
        <w:rPr>
          <w:shd w:val="clear" w:color="auto" w:fill="FFFFFF"/>
          <w:lang w:val="en-GB"/>
        </w:rPr>
        <w:t>Stoney</w:t>
      </w:r>
      <w:proofErr w:type="spellEnd"/>
      <w:r w:rsidR="00800389" w:rsidRPr="00EA4936">
        <w:rPr>
          <w:shd w:val="clear" w:color="auto" w:fill="FFFFFF"/>
          <w:lang w:val="en-GB"/>
        </w:rPr>
        <w:t>, C.</w:t>
      </w:r>
      <w:r w:rsidRPr="00EA4936">
        <w:rPr>
          <w:shd w:val="clear" w:color="auto" w:fill="FFFFFF"/>
          <w:lang w:val="en-GB"/>
        </w:rPr>
        <w:t xml:space="preserve"> (</w:t>
      </w:r>
      <w:proofErr w:type="spellStart"/>
      <w:r w:rsidRPr="00EA4936">
        <w:rPr>
          <w:shd w:val="clear" w:color="auto" w:fill="FFFFFF"/>
          <w:lang w:val="en-GB"/>
        </w:rPr>
        <w:t>eds</w:t>
      </w:r>
      <w:proofErr w:type="spellEnd"/>
      <w:r w:rsidRPr="00EA4936">
        <w:rPr>
          <w:shd w:val="clear" w:color="auto" w:fill="FFFFFF"/>
          <w:lang w:val="en-GB"/>
        </w:rPr>
        <w:t xml:space="preserve">), </w:t>
      </w:r>
      <w:r w:rsidRPr="00EA4936">
        <w:rPr>
          <w:i/>
          <w:shd w:val="clear" w:color="auto" w:fill="FFFFFF"/>
          <w:lang w:val="en-GB"/>
        </w:rPr>
        <w:t>How Ottawa Spends 2009-2010</w:t>
      </w:r>
      <w:r w:rsidRPr="00EA4936">
        <w:rPr>
          <w:shd w:val="clear" w:color="auto" w:fill="FFFFFF"/>
          <w:lang w:val="en-GB"/>
        </w:rPr>
        <w:t xml:space="preserve">, Oxford University Press, Toronto, p. 163. </w:t>
      </w:r>
    </w:p>
    <w:p w:rsidR="00251192" w:rsidRPr="00045156" w:rsidRDefault="00251192" w:rsidP="00251192">
      <w:pPr>
        <w:pStyle w:val="Reference"/>
        <w:rPr>
          <w:shd w:val="clear" w:color="auto" w:fill="FFFFFF"/>
          <w:lang w:val="en-GB"/>
        </w:rPr>
      </w:pPr>
      <w:proofErr w:type="spellStart"/>
      <w:r w:rsidRPr="00045156">
        <w:rPr>
          <w:shd w:val="clear" w:color="auto" w:fill="FFFFFF"/>
          <w:lang w:val="en-GB"/>
        </w:rPr>
        <w:t>Glor</w:t>
      </w:r>
      <w:proofErr w:type="spellEnd"/>
      <w:r w:rsidRPr="00045156">
        <w:rPr>
          <w:shd w:val="clear" w:color="auto" w:fill="FFFFFF"/>
          <w:lang w:val="en-GB"/>
        </w:rPr>
        <w:t xml:space="preserve">, Eleanor D. </w:t>
      </w:r>
      <w:r w:rsidR="00715882">
        <w:rPr>
          <w:shd w:val="clear" w:color="auto" w:fill="FFFFFF"/>
          <w:lang w:val="en-GB"/>
        </w:rPr>
        <w:t xml:space="preserve">1987, </w:t>
      </w:r>
      <w:r w:rsidR="00B1382E">
        <w:rPr>
          <w:shd w:val="clear" w:color="auto" w:fill="FFFFFF"/>
          <w:lang w:val="en-GB"/>
        </w:rPr>
        <w:t>‘</w:t>
      </w:r>
      <w:r w:rsidRPr="00045156">
        <w:rPr>
          <w:shd w:val="clear" w:color="auto" w:fill="FFFFFF"/>
          <w:lang w:val="en-GB"/>
        </w:rPr>
        <w:t xml:space="preserve">Impacts of a </w:t>
      </w:r>
      <w:r w:rsidR="00715882">
        <w:rPr>
          <w:shd w:val="clear" w:color="auto" w:fill="FFFFFF"/>
          <w:lang w:val="en-GB"/>
        </w:rPr>
        <w:t>p</w:t>
      </w:r>
      <w:r w:rsidRPr="00045156">
        <w:rPr>
          <w:shd w:val="clear" w:color="auto" w:fill="FFFFFF"/>
          <w:lang w:val="en-GB"/>
        </w:rPr>
        <w:t xml:space="preserve">renatal </w:t>
      </w:r>
      <w:r w:rsidR="00715882">
        <w:rPr>
          <w:shd w:val="clear" w:color="auto" w:fill="FFFFFF"/>
          <w:lang w:val="en-GB"/>
        </w:rPr>
        <w:t>p</w:t>
      </w:r>
      <w:r w:rsidRPr="00045156">
        <w:rPr>
          <w:shd w:val="clear" w:color="auto" w:fill="FFFFFF"/>
          <w:lang w:val="en-GB"/>
        </w:rPr>
        <w:t xml:space="preserve">rogram for </w:t>
      </w:r>
      <w:r w:rsidR="00715882">
        <w:rPr>
          <w:shd w:val="clear" w:color="auto" w:fill="FFFFFF"/>
          <w:lang w:val="en-GB"/>
        </w:rPr>
        <w:t>n</w:t>
      </w:r>
      <w:r w:rsidRPr="00045156">
        <w:rPr>
          <w:shd w:val="clear" w:color="auto" w:fill="FFFFFF"/>
          <w:lang w:val="en-GB"/>
        </w:rPr>
        <w:t xml:space="preserve">ative </w:t>
      </w:r>
      <w:r w:rsidR="00715882">
        <w:rPr>
          <w:shd w:val="clear" w:color="auto" w:fill="FFFFFF"/>
          <w:lang w:val="en-GB"/>
        </w:rPr>
        <w:t>w</w:t>
      </w:r>
      <w:r w:rsidRPr="00045156">
        <w:rPr>
          <w:shd w:val="clear" w:color="auto" w:fill="FFFFFF"/>
          <w:lang w:val="en-GB"/>
        </w:rPr>
        <w:t>omen</w:t>
      </w:r>
      <w:r w:rsidR="00B1382E">
        <w:rPr>
          <w:shd w:val="clear" w:color="auto" w:fill="FFFFFF"/>
          <w:lang w:val="en-GB"/>
        </w:rPr>
        <w:t>’</w:t>
      </w:r>
      <w:r w:rsidR="00715882">
        <w:rPr>
          <w:shd w:val="clear" w:color="auto" w:fill="FFFFFF"/>
          <w:lang w:val="en-GB"/>
        </w:rPr>
        <w:t>,</w:t>
      </w:r>
      <w:r>
        <w:rPr>
          <w:shd w:val="clear" w:color="auto" w:fill="FFFFFF"/>
          <w:lang w:val="en-GB"/>
        </w:rPr>
        <w:t xml:space="preserve"> </w:t>
      </w:r>
      <w:r w:rsidRPr="00045156">
        <w:rPr>
          <w:i/>
          <w:iCs/>
          <w:shd w:val="clear" w:color="auto" w:fill="FFFFFF"/>
          <w:lang w:val="en-GB"/>
        </w:rPr>
        <w:t>Canadian Journal of Public Health</w:t>
      </w:r>
      <w:r w:rsidR="00715882">
        <w:rPr>
          <w:iCs/>
          <w:shd w:val="clear" w:color="auto" w:fill="FFFFFF"/>
          <w:lang w:val="en-GB"/>
        </w:rPr>
        <w:t>,</w:t>
      </w:r>
      <w:r w:rsidRPr="00045156">
        <w:rPr>
          <w:shd w:val="clear" w:color="auto" w:fill="FFFFFF"/>
          <w:lang w:val="en-GB"/>
        </w:rPr>
        <w:t> 78.1</w:t>
      </w:r>
      <w:r w:rsidR="00715882">
        <w:rPr>
          <w:shd w:val="clear" w:color="auto" w:fill="FFFFFF"/>
          <w:lang w:val="en-GB"/>
        </w:rPr>
        <w:t>, pp.</w:t>
      </w:r>
      <w:r w:rsidRPr="00045156">
        <w:rPr>
          <w:shd w:val="clear" w:color="auto" w:fill="FFFFFF"/>
          <w:lang w:val="en-GB"/>
        </w:rPr>
        <w:t xml:space="preserve"> 249</w:t>
      </w:r>
      <w:r w:rsidR="00B1382E">
        <w:rPr>
          <w:shd w:val="clear" w:color="auto" w:fill="FFFFFF"/>
          <w:lang w:val="en-GB"/>
        </w:rPr>
        <w:t>–</w:t>
      </w:r>
      <w:r w:rsidRPr="00045156">
        <w:rPr>
          <w:shd w:val="clear" w:color="auto" w:fill="FFFFFF"/>
          <w:lang w:val="en-GB"/>
        </w:rPr>
        <w:t>54.</w:t>
      </w:r>
    </w:p>
    <w:p w:rsidR="00EF57FC" w:rsidRDefault="00EF57FC" w:rsidP="00251192">
      <w:pPr>
        <w:pStyle w:val="Reference"/>
        <w:rPr>
          <w:shd w:val="clear" w:color="auto" w:fill="FFFFFF"/>
          <w:lang w:val="en-GB"/>
        </w:rPr>
      </w:pPr>
      <w:r>
        <w:rPr>
          <w:shd w:val="clear" w:color="auto" w:fill="FFFFFF"/>
          <w:lang w:val="en-GB"/>
        </w:rPr>
        <w:t xml:space="preserve">Health Canada 1998, </w:t>
      </w:r>
      <w:r w:rsidR="0027451E" w:rsidRPr="00EA4936">
        <w:rPr>
          <w:i/>
          <w:shd w:val="clear" w:color="auto" w:fill="FFFFFF"/>
          <w:lang w:val="en-GB"/>
        </w:rPr>
        <w:t>Community Action Resources for Inuit, Métis and First Nations: Evaluation</w:t>
      </w:r>
      <w:r>
        <w:rPr>
          <w:shd w:val="clear" w:color="auto" w:fill="FFFFFF"/>
          <w:lang w:val="en-GB"/>
        </w:rPr>
        <w:t xml:space="preserve">, rep. Ottawa. </w:t>
      </w:r>
    </w:p>
    <w:p w:rsidR="00251192" w:rsidRPr="00045156" w:rsidRDefault="00251192" w:rsidP="00251192">
      <w:pPr>
        <w:pStyle w:val="Reference"/>
        <w:rPr>
          <w:shd w:val="clear" w:color="auto" w:fill="FFFFFF"/>
          <w:lang w:val="en-GB"/>
        </w:rPr>
      </w:pPr>
      <w:r w:rsidRPr="00045156">
        <w:rPr>
          <w:shd w:val="clear" w:color="auto" w:fill="FFFFFF"/>
          <w:lang w:val="en-GB"/>
        </w:rPr>
        <w:lastRenderedPageBreak/>
        <w:t xml:space="preserve">Hicks, J. </w:t>
      </w:r>
      <w:r w:rsidR="00715882">
        <w:rPr>
          <w:shd w:val="clear" w:color="auto" w:fill="FFFFFF"/>
          <w:lang w:val="en-GB"/>
        </w:rPr>
        <w:t xml:space="preserve">2009, </w:t>
      </w:r>
      <w:r w:rsidR="00B1382E">
        <w:rPr>
          <w:shd w:val="clear" w:color="auto" w:fill="FFFFFF"/>
          <w:lang w:val="en-GB"/>
        </w:rPr>
        <w:t>‘</w:t>
      </w:r>
      <w:r w:rsidRPr="00045156">
        <w:rPr>
          <w:shd w:val="clear" w:color="auto" w:fill="FFFFFF"/>
          <w:lang w:val="en-GB"/>
        </w:rPr>
        <w:t xml:space="preserve">Towards </w:t>
      </w:r>
      <w:r w:rsidR="00715882">
        <w:rPr>
          <w:shd w:val="clear" w:color="auto" w:fill="FFFFFF"/>
          <w:lang w:val="en-GB"/>
        </w:rPr>
        <w:t>m</w:t>
      </w:r>
      <w:r w:rsidRPr="00045156">
        <w:rPr>
          <w:shd w:val="clear" w:color="auto" w:fill="FFFFFF"/>
          <w:lang w:val="en-GB"/>
        </w:rPr>
        <w:t xml:space="preserve">ore </w:t>
      </w:r>
      <w:r w:rsidR="00715882">
        <w:rPr>
          <w:shd w:val="clear" w:color="auto" w:fill="FFFFFF"/>
          <w:lang w:val="en-GB"/>
        </w:rPr>
        <w:t>e</w:t>
      </w:r>
      <w:r w:rsidRPr="00045156">
        <w:rPr>
          <w:shd w:val="clear" w:color="auto" w:fill="FFFFFF"/>
          <w:lang w:val="en-GB"/>
        </w:rPr>
        <w:t xml:space="preserve">ffective, </w:t>
      </w:r>
      <w:r w:rsidR="00715882">
        <w:rPr>
          <w:shd w:val="clear" w:color="auto" w:fill="FFFFFF"/>
          <w:lang w:val="en-GB"/>
        </w:rPr>
        <w:t>e</w:t>
      </w:r>
      <w:r w:rsidRPr="00045156">
        <w:rPr>
          <w:shd w:val="clear" w:color="auto" w:fill="FFFFFF"/>
          <w:lang w:val="en-GB"/>
        </w:rPr>
        <w:t>vidence-</w:t>
      </w:r>
      <w:r w:rsidR="00715882">
        <w:rPr>
          <w:shd w:val="clear" w:color="auto" w:fill="FFFFFF"/>
          <w:lang w:val="en-GB"/>
        </w:rPr>
        <w:t>b</w:t>
      </w:r>
      <w:r w:rsidRPr="00045156">
        <w:rPr>
          <w:shd w:val="clear" w:color="auto" w:fill="FFFFFF"/>
          <w:lang w:val="en-GB"/>
        </w:rPr>
        <w:t xml:space="preserve">ased </w:t>
      </w:r>
      <w:r w:rsidR="00715882">
        <w:rPr>
          <w:shd w:val="clear" w:color="auto" w:fill="FFFFFF"/>
          <w:lang w:val="en-GB"/>
        </w:rPr>
        <w:t>s</w:t>
      </w:r>
      <w:r w:rsidRPr="00045156">
        <w:rPr>
          <w:shd w:val="clear" w:color="auto" w:fill="FFFFFF"/>
          <w:lang w:val="en-GB"/>
        </w:rPr>
        <w:t xml:space="preserve">uicide </w:t>
      </w:r>
      <w:r w:rsidR="00715882">
        <w:rPr>
          <w:shd w:val="clear" w:color="auto" w:fill="FFFFFF"/>
          <w:lang w:val="en-GB"/>
        </w:rPr>
        <w:t>p</w:t>
      </w:r>
      <w:r w:rsidRPr="00045156">
        <w:rPr>
          <w:shd w:val="clear" w:color="auto" w:fill="FFFFFF"/>
          <w:lang w:val="en-GB"/>
        </w:rPr>
        <w:t>revention in Nunavut</w:t>
      </w:r>
      <w:r w:rsidR="00B1382E">
        <w:rPr>
          <w:shd w:val="clear" w:color="auto" w:fill="FFFFFF"/>
          <w:lang w:val="en-GB"/>
        </w:rPr>
        <w:t>’</w:t>
      </w:r>
      <w:r w:rsidR="00715882">
        <w:rPr>
          <w:shd w:val="clear" w:color="auto" w:fill="FFFFFF"/>
          <w:lang w:val="en-GB"/>
        </w:rPr>
        <w:t>,</w:t>
      </w:r>
      <w:r>
        <w:rPr>
          <w:shd w:val="clear" w:color="auto" w:fill="FFFFFF"/>
          <w:lang w:val="en-GB"/>
        </w:rPr>
        <w:t xml:space="preserve"> </w:t>
      </w:r>
      <w:r w:rsidRPr="00045156">
        <w:rPr>
          <w:shd w:val="clear" w:color="auto" w:fill="FFFFFF"/>
          <w:lang w:val="en-GB"/>
        </w:rPr>
        <w:t>in Abele</w:t>
      </w:r>
      <w:r w:rsidR="00715882">
        <w:rPr>
          <w:shd w:val="clear" w:color="auto" w:fill="FFFFFF"/>
          <w:lang w:val="en-GB"/>
        </w:rPr>
        <w:t xml:space="preserve"> F.</w:t>
      </w:r>
      <w:r w:rsidRPr="00045156">
        <w:rPr>
          <w:shd w:val="clear" w:color="auto" w:fill="FFFFFF"/>
          <w:lang w:val="en-GB"/>
        </w:rPr>
        <w:t xml:space="preserve">, </w:t>
      </w:r>
      <w:proofErr w:type="spellStart"/>
      <w:r w:rsidRPr="00045156">
        <w:rPr>
          <w:shd w:val="clear" w:color="auto" w:fill="FFFFFF"/>
          <w:lang w:val="en-GB"/>
        </w:rPr>
        <w:t>Courchene</w:t>
      </w:r>
      <w:proofErr w:type="spellEnd"/>
      <w:r w:rsidRPr="00045156">
        <w:rPr>
          <w:shd w:val="clear" w:color="auto" w:fill="FFFFFF"/>
          <w:lang w:val="en-GB"/>
        </w:rPr>
        <w:t xml:space="preserve">, </w:t>
      </w:r>
      <w:r w:rsidR="00801793">
        <w:rPr>
          <w:shd w:val="clear" w:color="auto" w:fill="FFFFFF"/>
          <w:lang w:val="en-GB"/>
        </w:rPr>
        <w:t xml:space="preserve">Thomas J., </w:t>
      </w:r>
      <w:proofErr w:type="spellStart"/>
      <w:r w:rsidRPr="00045156">
        <w:rPr>
          <w:shd w:val="clear" w:color="auto" w:fill="FFFFFF"/>
          <w:lang w:val="en-GB"/>
        </w:rPr>
        <w:t>Seidle</w:t>
      </w:r>
      <w:proofErr w:type="spellEnd"/>
      <w:r w:rsidR="00801793">
        <w:rPr>
          <w:shd w:val="clear" w:color="auto" w:fill="FFFFFF"/>
          <w:lang w:val="en-GB"/>
        </w:rPr>
        <w:t>, F.</w:t>
      </w:r>
      <w:r w:rsidR="00AA03B0">
        <w:rPr>
          <w:shd w:val="clear" w:color="auto" w:fill="FFFFFF"/>
          <w:lang w:val="en-GB"/>
        </w:rPr>
        <w:t xml:space="preserve"> Leslie</w:t>
      </w:r>
      <w:r w:rsidRPr="00045156">
        <w:rPr>
          <w:shd w:val="clear" w:color="auto" w:fill="FFFFFF"/>
          <w:lang w:val="en-GB"/>
        </w:rPr>
        <w:t xml:space="preserve"> and St-</w:t>
      </w:r>
      <w:proofErr w:type="spellStart"/>
      <w:r w:rsidRPr="00045156">
        <w:rPr>
          <w:shd w:val="clear" w:color="auto" w:fill="FFFFFF"/>
          <w:lang w:val="en-GB"/>
        </w:rPr>
        <w:t>Hilaire</w:t>
      </w:r>
      <w:proofErr w:type="spellEnd"/>
      <w:r w:rsidRPr="00045156">
        <w:rPr>
          <w:shd w:val="clear" w:color="auto" w:fill="FFFFFF"/>
          <w:lang w:val="en-GB"/>
        </w:rPr>
        <w:t xml:space="preserve">, </w:t>
      </w:r>
      <w:r w:rsidR="00801793">
        <w:rPr>
          <w:shd w:val="clear" w:color="auto" w:fill="FFFFFF"/>
          <w:lang w:val="en-GB"/>
        </w:rPr>
        <w:t>F. (</w:t>
      </w:r>
      <w:proofErr w:type="spellStart"/>
      <w:r w:rsidRPr="00045156">
        <w:rPr>
          <w:shd w:val="clear" w:color="auto" w:fill="FFFFFF"/>
          <w:lang w:val="en-GB"/>
        </w:rPr>
        <w:t>eds</w:t>
      </w:r>
      <w:proofErr w:type="spellEnd"/>
      <w:r w:rsidR="00801793">
        <w:rPr>
          <w:shd w:val="clear" w:color="auto" w:fill="FFFFFF"/>
          <w:lang w:val="en-GB"/>
        </w:rPr>
        <w:t>),</w:t>
      </w:r>
      <w:r w:rsidRPr="00045156">
        <w:rPr>
          <w:shd w:val="clear" w:color="auto" w:fill="FFFFFF"/>
          <w:lang w:val="en-GB"/>
        </w:rPr>
        <w:t xml:space="preserve"> </w:t>
      </w:r>
      <w:r w:rsidRPr="00045156">
        <w:rPr>
          <w:i/>
          <w:shd w:val="clear" w:color="auto" w:fill="FFFFFF"/>
          <w:lang w:val="en-GB"/>
        </w:rPr>
        <w:t>Northern Exposure: Peoples, Powers and Prospects in Canada</w:t>
      </w:r>
      <w:r w:rsidR="00B1382E">
        <w:rPr>
          <w:i/>
          <w:shd w:val="clear" w:color="auto" w:fill="FFFFFF"/>
          <w:lang w:val="en-GB"/>
        </w:rPr>
        <w:t>’</w:t>
      </w:r>
      <w:r w:rsidRPr="00045156">
        <w:rPr>
          <w:i/>
          <w:shd w:val="clear" w:color="auto" w:fill="FFFFFF"/>
          <w:lang w:val="en-GB"/>
        </w:rPr>
        <w:t>s North</w:t>
      </w:r>
      <w:r w:rsidR="00801793">
        <w:rPr>
          <w:shd w:val="clear" w:color="auto" w:fill="FFFFFF"/>
          <w:lang w:val="en-GB"/>
        </w:rPr>
        <w:t>,</w:t>
      </w:r>
      <w:r w:rsidRPr="00045156">
        <w:rPr>
          <w:shd w:val="clear" w:color="auto" w:fill="FFFFFF"/>
          <w:lang w:val="en-GB"/>
        </w:rPr>
        <w:t xml:space="preserve"> Institute for Research on Public Policy, </w:t>
      </w:r>
      <w:r w:rsidR="00801793">
        <w:rPr>
          <w:shd w:val="clear" w:color="auto" w:fill="FFFFFF"/>
          <w:lang w:val="en-GB"/>
        </w:rPr>
        <w:t>Montreal</w:t>
      </w:r>
      <w:r w:rsidRPr="00045156">
        <w:rPr>
          <w:shd w:val="clear" w:color="auto" w:fill="FFFFFF"/>
          <w:lang w:val="en-GB"/>
        </w:rPr>
        <w:t>.</w:t>
      </w:r>
    </w:p>
    <w:p w:rsidR="00EF57FC" w:rsidRDefault="00EF57FC" w:rsidP="00251192">
      <w:pPr>
        <w:pStyle w:val="Reference"/>
        <w:rPr>
          <w:shd w:val="clear" w:color="auto" w:fill="FFFFFF"/>
          <w:lang w:val="en-GB"/>
        </w:rPr>
      </w:pPr>
      <w:r>
        <w:rPr>
          <w:shd w:val="clear" w:color="auto" w:fill="FFFFFF"/>
          <w:lang w:val="en-GB"/>
        </w:rPr>
        <w:t xml:space="preserve">Indian and Northern Affairs 2008, </w:t>
      </w:r>
      <w:r w:rsidRPr="00045156">
        <w:rPr>
          <w:i/>
          <w:iCs/>
          <w:shd w:val="clear" w:color="auto" w:fill="FFFFFF"/>
          <w:lang w:val="en-GB"/>
        </w:rPr>
        <w:t>Evaluation of the 1996 On-Reserve Housing Policy</w:t>
      </w:r>
      <w:r>
        <w:rPr>
          <w:shd w:val="clear" w:color="auto" w:fill="FFFFFF"/>
          <w:lang w:val="en-GB"/>
        </w:rPr>
        <w:t>,</w:t>
      </w:r>
      <w:r w:rsidRPr="00045156">
        <w:rPr>
          <w:shd w:val="clear" w:color="auto" w:fill="FFFFFF"/>
          <w:lang w:val="en-GB"/>
        </w:rPr>
        <w:t xml:space="preserve"> </w:t>
      </w:r>
      <w:proofErr w:type="spellStart"/>
      <w:r w:rsidRPr="00045156">
        <w:rPr>
          <w:shd w:val="clear" w:color="auto" w:fill="FFFFFF"/>
          <w:lang w:val="en-GB"/>
        </w:rPr>
        <w:t>CIDM</w:t>
      </w:r>
      <w:proofErr w:type="spellEnd"/>
      <w:r w:rsidRPr="00045156">
        <w:rPr>
          <w:shd w:val="clear" w:color="auto" w:fill="FFFFFF"/>
          <w:lang w:val="en-GB"/>
        </w:rPr>
        <w:t xml:space="preserve"> # 1304024</w:t>
      </w:r>
      <w:r>
        <w:rPr>
          <w:shd w:val="clear" w:color="auto" w:fill="FFFFFF"/>
          <w:lang w:val="en-GB"/>
        </w:rPr>
        <w:t xml:space="preserve">, Ottawa. </w:t>
      </w:r>
    </w:p>
    <w:p w:rsidR="00251192" w:rsidRPr="00045156" w:rsidRDefault="00251192" w:rsidP="00251192">
      <w:pPr>
        <w:pStyle w:val="Reference"/>
        <w:rPr>
          <w:lang w:val="en-GB"/>
        </w:rPr>
      </w:pPr>
      <w:proofErr w:type="spellStart"/>
      <w:r w:rsidRPr="00045156">
        <w:rPr>
          <w:shd w:val="clear" w:color="auto" w:fill="FFFFFF"/>
          <w:lang w:val="en-GB"/>
        </w:rPr>
        <w:t>Inwood</w:t>
      </w:r>
      <w:proofErr w:type="spellEnd"/>
      <w:r w:rsidRPr="00045156">
        <w:rPr>
          <w:shd w:val="clear" w:color="auto" w:fill="FFFFFF"/>
          <w:lang w:val="en-GB"/>
        </w:rPr>
        <w:t>, G</w:t>
      </w:r>
      <w:r w:rsidR="00801793">
        <w:rPr>
          <w:shd w:val="clear" w:color="auto" w:fill="FFFFFF"/>
          <w:lang w:val="en-GB"/>
        </w:rPr>
        <w:t>.</w:t>
      </w:r>
      <w:r w:rsidRPr="00045156">
        <w:rPr>
          <w:shd w:val="clear" w:color="auto" w:fill="FFFFFF"/>
          <w:lang w:val="en-GB"/>
        </w:rPr>
        <w:t xml:space="preserve"> and Johns</w:t>
      </w:r>
      <w:r w:rsidR="00801793">
        <w:rPr>
          <w:shd w:val="clear" w:color="auto" w:fill="FFFFFF"/>
          <w:lang w:val="en-GB"/>
        </w:rPr>
        <w:t xml:space="preserve"> C.</w:t>
      </w:r>
      <w:r w:rsidRPr="00045156">
        <w:rPr>
          <w:shd w:val="clear" w:color="auto" w:fill="FFFFFF"/>
          <w:lang w:val="en-GB"/>
        </w:rPr>
        <w:t xml:space="preserve"> </w:t>
      </w:r>
      <w:r w:rsidR="00801793">
        <w:rPr>
          <w:shd w:val="clear" w:color="auto" w:fill="FFFFFF"/>
          <w:lang w:val="en-GB"/>
        </w:rPr>
        <w:t>(</w:t>
      </w:r>
      <w:proofErr w:type="spellStart"/>
      <w:r w:rsidRPr="00045156">
        <w:rPr>
          <w:shd w:val="clear" w:color="auto" w:fill="FFFFFF"/>
          <w:lang w:val="en-GB"/>
        </w:rPr>
        <w:t>eds</w:t>
      </w:r>
      <w:proofErr w:type="spellEnd"/>
      <w:r w:rsidR="00801793">
        <w:rPr>
          <w:shd w:val="clear" w:color="auto" w:fill="FFFFFF"/>
          <w:lang w:val="en-GB"/>
        </w:rPr>
        <w:t>),</w:t>
      </w:r>
      <w:r w:rsidRPr="00045156">
        <w:rPr>
          <w:shd w:val="clear" w:color="auto" w:fill="FFFFFF"/>
          <w:lang w:val="en-GB"/>
        </w:rPr>
        <w:t xml:space="preserve"> </w:t>
      </w:r>
      <w:r w:rsidRPr="00045156">
        <w:rPr>
          <w:i/>
          <w:lang w:val="en-GB"/>
        </w:rPr>
        <w:t>Commissions of Inquiry and Policy Change: A Comparative Analysis</w:t>
      </w:r>
      <w:r w:rsidR="00801793">
        <w:rPr>
          <w:lang w:val="en-GB"/>
        </w:rPr>
        <w:t>,</w:t>
      </w:r>
      <w:r w:rsidRPr="00045156">
        <w:rPr>
          <w:lang w:val="en-GB"/>
        </w:rPr>
        <w:t xml:space="preserve"> under review at University of Toronto Press.</w:t>
      </w:r>
    </w:p>
    <w:p w:rsidR="00251192" w:rsidRDefault="00251192" w:rsidP="00251192">
      <w:pPr>
        <w:pStyle w:val="Reference"/>
        <w:rPr>
          <w:rFonts w:eastAsia="Calibri"/>
          <w:lang w:val="en-GB"/>
        </w:rPr>
      </w:pPr>
      <w:r w:rsidRPr="00045156">
        <w:rPr>
          <w:lang w:val="en-GB"/>
        </w:rPr>
        <w:t xml:space="preserve">Jenson, J. </w:t>
      </w:r>
      <w:r w:rsidR="00801793">
        <w:rPr>
          <w:lang w:val="en-GB"/>
        </w:rPr>
        <w:t xml:space="preserve">1994, </w:t>
      </w:r>
      <w:r w:rsidR="00B1382E">
        <w:rPr>
          <w:rFonts w:eastAsia="Calibri"/>
          <w:lang w:val="en-GB"/>
        </w:rPr>
        <w:t>‘</w:t>
      </w:r>
      <w:r w:rsidRPr="00045156">
        <w:rPr>
          <w:rFonts w:eastAsia="Calibri"/>
          <w:lang w:val="en-GB"/>
        </w:rPr>
        <w:t xml:space="preserve">Commissioning </w:t>
      </w:r>
      <w:r w:rsidR="00801793">
        <w:rPr>
          <w:rFonts w:eastAsia="Calibri"/>
          <w:lang w:val="en-GB"/>
        </w:rPr>
        <w:t>i</w:t>
      </w:r>
      <w:r w:rsidRPr="00045156">
        <w:rPr>
          <w:rFonts w:eastAsia="Calibri"/>
          <w:lang w:val="en-GB"/>
        </w:rPr>
        <w:t xml:space="preserve">deas: </w:t>
      </w:r>
      <w:r w:rsidR="00801793">
        <w:rPr>
          <w:rFonts w:eastAsia="Calibri"/>
          <w:lang w:val="en-GB"/>
        </w:rPr>
        <w:t>r</w:t>
      </w:r>
      <w:r w:rsidRPr="00045156">
        <w:rPr>
          <w:rFonts w:eastAsia="Calibri"/>
          <w:lang w:val="en-GB"/>
        </w:rPr>
        <w:t xml:space="preserve">epresentation and </w:t>
      </w:r>
      <w:r w:rsidR="00801793">
        <w:rPr>
          <w:rFonts w:eastAsia="Calibri"/>
          <w:lang w:val="en-GB"/>
        </w:rPr>
        <w:t>r</w:t>
      </w:r>
      <w:r w:rsidRPr="00045156">
        <w:rPr>
          <w:rFonts w:eastAsia="Calibri"/>
          <w:lang w:val="en-GB"/>
        </w:rPr>
        <w:t xml:space="preserve">oyal </w:t>
      </w:r>
      <w:r w:rsidR="00801793">
        <w:rPr>
          <w:rFonts w:eastAsia="Calibri"/>
          <w:lang w:val="en-GB"/>
        </w:rPr>
        <w:t>c</w:t>
      </w:r>
      <w:r w:rsidRPr="00045156">
        <w:rPr>
          <w:rFonts w:eastAsia="Calibri"/>
          <w:lang w:val="en-GB"/>
        </w:rPr>
        <w:t>ommissions</w:t>
      </w:r>
      <w:r w:rsidR="00B1382E">
        <w:rPr>
          <w:rFonts w:eastAsia="Calibri"/>
          <w:lang w:val="en-GB"/>
        </w:rPr>
        <w:t>’</w:t>
      </w:r>
      <w:r w:rsidR="00801793">
        <w:rPr>
          <w:rFonts w:eastAsia="Calibri"/>
          <w:lang w:val="en-GB"/>
        </w:rPr>
        <w:t>,</w:t>
      </w:r>
      <w:r>
        <w:rPr>
          <w:rFonts w:eastAsia="Calibri"/>
          <w:lang w:val="en-GB"/>
        </w:rPr>
        <w:t xml:space="preserve"> </w:t>
      </w:r>
      <w:r w:rsidRPr="00045156">
        <w:rPr>
          <w:rFonts w:eastAsia="Calibri"/>
          <w:lang w:val="en-GB"/>
        </w:rPr>
        <w:t xml:space="preserve">in Phillips, </w:t>
      </w:r>
      <w:r w:rsidR="00801793">
        <w:rPr>
          <w:rFonts w:eastAsia="Calibri"/>
          <w:lang w:val="en-GB"/>
        </w:rPr>
        <w:t>Susan D. (</w:t>
      </w:r>
      <w:r w:rsidRPr="00045156">
        <w:rPr>
          <w:rFonts w:eastAsia="Calibri"/>
          <w:lang w:val="en-GB"/>
        </w:rPr>
        <w:t>ed.</w:t>
      </w:r>
      <w:r w:rsidR="00801793">
        <w:rPr>
          <w:rFonts w:eastAsia="Calibri"/>
          <w:lang w:val="en-GB"/>
        </w:rPr>
        <w:t>),</w:t>
      </w:r>
      <w:r w:rsidRPr="00045156">
        <w:rPr>
          <w:rFonts w:eastAsia="Calibri"/>
          <w:lang w:val="en-GB"/>
        </w:rPr>
        <w:t xml:space="preserve"> </w:t>
      </w:r>
      <w:r w:rsidRPr="00045156">
        <w:rPr>
          <w:rFonts w:eastAsia="Calibri"/>
          <w:i/>
          <w:lang w:val="en-GB"/>
        </w:rPr>
        <w:t>How Ottawa Spends 1994</w:t>
      </w:r>
      <w:r w:rsidR="00B1382E">
        <w:rPr>
          <w:rFonts w:eastAsia="Calibri"/>
          <w:i/>
          <w:lang w:val="en-GB"/>
        </w:rPr>
        <w:t>–</w:t>
      </w:r>
      <w:r w:rsidRPr="00045156">
        <w:rPr>
          <w:rFonts w:eastAsia="Calibri"/>
          <w:i/>
          <w:lang w:val="en-GB"/>
        </w:rPr>
        <w:t>5: Making Change</w:t>
      </w:r>
      <w:r w:rsidR="00801793">
        <w:rPr>
          <w:rFonts w:eastAsia="Calibri"/>
          <w:lang w:val="en-GB"/>
        </w:rPr>
        <w:t>,</w:t>
      </w:r>
      <w:r w:rsidRPr="00045156">
        <w:rPr>
          <w:rFonts w:eastAsia="Calibri"/>
          <w:lang w:val="en-GB"/>
        </w:rPr>
        <w:t xml:space="preserve"> Carleton University Press</w:t>
      </w:r>
      <w:r w:rsidRPr="00045156">
        <w:rPr>
          <w:lang w:val="en-GB"/>
        </w:rPr>
        <w:t xml:space="preserve">, </w:t>
      </w:r>
      <w:r w:rsidR="00801793">
        <w:rPr>
          <w:lang w:val="en-GB"/>
        </w:rPr>
        <w:t>Ottawa</w:t>
      </w:r>
      <w:r w:rsidRPr="00045156">
        <w:rPr>
          <w:rFonts w:eastAsia="Calibri"/>
          <w:lang w:val="en-GB"/>
        </w:rPr>
        <w:t>.</w:t>
      </w:r>
    </w:p>
    <w:p w:rsidR="00715882" w:rsidRPr="00045156" w:rsidRDefault="00715882" w:rsidP="00251192">
      <w:pPr>
        <w:pStyle w:val="Reference"/>
        <w:rPr>
          <w:rFonts w:eastAsia="Calibri"/>
          <w:lang w:val="en-GB"/>
        </w:rPr>
      </w:pPr>
      <w:r w:rsidRPr="00045156">
        <w:rPr>
          <w:shd w:val="clear" w:color="auto" w:fill="FFFFFF"/>
          <w:lang w:val="en-GB"/>
        </w:rPr>
        <w:t xml:space="preserve">Johnston, Andrea </w:t>
      </w:r>
      <w:proofErr w:type="spellStart"/>
      <w:r w:rsidRPr="00045156">
        <w:rPr>
          <w:shd w:val="clear" w:color="auto" w:fill="FFFFFF"/>
          <w:lang w:val="en-GB"/>
        </w:rPr>
        <w:t>L.K</w:t>
      </w:r>
      <w:proofErr w:type="spellEnd"/>
      <w:r w:rsidRPr="00045156">
        <w:rPr>
          <w:shd w:val="clear" w:color="auto" w:fill="FFFFFF"/>
          <w:lang w:val="en-GB"/>
        </w:rPr>
        <w:t xml:space="preserve">. </w:t>
      </w:r>
      <w:r>
        <w:rPr>
          <w:shd w:val="clear" w:color="auto" w:fill="FFFFFF"/>
          <w:lang w:val="en-GB"/>
        </w:rPr>
        <w:t>2008, ‘</w:t>
      </w:r>
      <w:r w:rsidRPr="00045156">
        <w:rPr>
          <w:shd w:val="clear" w:color="auto" w:fill="FFFFFF"/>
          <w:lang w:val="en-GB"/>
        </w:rPr>
        <w:t xml:space="preserve">Using </w:t>
      </w:r>
      <w:r>
        <w:rPr>
          <w:shd w:val="clear" w:color="auto" w:fill="FFFFFF"/>
          <w:lang w:val="en-GB"/>
        </w:rPr>
        <w:t>t</w:t>
      </w:r>
      <w:r w:rsidRPr="00045156">
        <w:rPr>
          <w:shd w:val="clear" w:color="auto" w:fill="FFFFFF"/>
          <w:lang w:val="en-GB"/>
        </w:rPr>
        <w:t xml:space="preserve">echnology to </w:t>
      </w:r>
      <w:r>
        <w:rPr>
          <w:shd w:val="clear" w:color="auto" w:fill="FFFFFF"/>
          <w:lang w:val="en-GB"/>
        </w:rPr>
        <w:t>e</w:t>
      </w:r>
      <w:r w:rsidRPr="00045156">
        <w:rPr>
          <w:shd w:val="clear" w:color="auto" w:fill="FFFFFF"/>
          <w:lang w:val="en-GB"/>
        </w:rPr>
        <w:t xml:space="preserve">nhance Aboriginal </w:t>
      </w:r>
      <w:r>
        <w:rPr>
          <w:shd w:val="clear" w:color="auto" w:fill="FFFFFF"/>
          <w:lang w:val="en-GB"/>
        </w:rPr>
        <w:t>e</w:t>
      </w:r>
      <w:r w:rsidRPr="00045156">
        <w:rPr>
          <w:shd w:val="clear" w:color="auto" w:fill="FFFFFF"/>
          <w:lang w:val="en-GB"/>
        </w:rPr>
        <w:t>valuations</w:t>
      </w:r>
      <w:r>
        <w:rPr>
          <w:shd w:val="clear" w:color="auto" w:fill="FFFFFF"/>
          <w:lang w:val="en-GB"/>
        </w:rPr>
        <w:t xml:space="preserve">’, </w:t>
      </w:r>
      <w:r w:rsidRPr="00045156">
        <w:rPr>
          <w:i/>
          <w:iCs/>
          <w:shd w:val="clear" w:color="auto" w:fill="FFFFFF"/>
          <w:lang w:val="en-GB"/>
        </w:rPr>
        <w:t>Canadian Journal of Program</w:t>
      </w:r>
      <w:r>
        <w:rPr>
          <w:i/>
          <w:iCs/>
          <w:shd w:val="clear" w:color="auto" w:fill="FFFFFF"/>
          <w:lang w:val="en-GB"/>
        </w:rPr>
        <w:t xml:space="preserve"> </w:t>
      </w:r>
      <w:r w:rsidRPr="00045156">
        <w:rPr>
          <w:i/>
          <w:iCs/>
          <w:shd w:val="clear" w:color="auto" w:fill="FFFFFF"/>
          <w:lang w:val="en-GB"/>
        </w:rPr>
        <w:t>Evaluation</w:t>
      </w:r>
      <w:r>
        <w:rPr>
          <w:iCs/>
          <w:shd w:val="clear" w:color="auto" w:fill="FFFFFF"/>
          <w:lang w:val="en-GB"/>
        </w:rPr>
        <w:t>,</w:t>
      </w:r>
      <w:r w:rsidRPr="00045156">
        <w:rPr>
          <w:shd w:val="clear" w:color="auto" w:fill="FFFFFF"/>
          <w:lang w:val="en-GB"/>
        </w:rPr>
        <w:t> </w:t>
      </w:r>
      <w:r>
        <w:rPr>
          <w:shd w:val="clear" w:color="auto" w:fill="FFFFFF"/>
          <w:lang w:val="en-GB"/>
        </w:rPr>
        <w:t>23.2, pp. 51–</w:t>
      </w:r>
      <w:r w:rsidRPr="00045156">
        <w:rPr>
          <w:shd w:val="clear" w:color="auto" w:fill="FFFFFF"/>
          <w:lang w:val="en-GB"/>
        </w:rPr>
        <w:t>72</w:t>
      </w:r>
      <w:r>
        <w:rPr>
          <w:shd w:val="clear" w:color="auto" w:fill="FFFFFF"/>
          <w:lang w:val="en-GB"/>
        </w:rPr>
        <w:t>.</w:t>
      </w:r>
    </w:p>
    <w:p w:rsidR="00251192" w:rsidRPr="00045156" w:rsidRDefault="0027451E" w:rsidP="00251192">
      <w:pPr>
        <w:pStyle w:val="Reference"/>
        <w:rPr>
          <w:shd w:val="clear" w:color="auto" w:fill="FFFFFF"/>
          <w:lang w:val="en-GB"/>
        </w:rPr>
      </w:pPr>
      <w:r w:rsidRPr="00CE5AD7">
        <w:rPr>
          <w:shd w:val="clear" w:color="auto" w:fill="FFFFFF"/>
          <w:lang w:val="en-GB"/>
        </w:rPr>
        <w:t>Kenny, C</w:t>
      </w:r>
      <w:r w:rsidR="00251192" w:rsidRPr="00800389">
        <w:rPr>
          <w:shd w:val="clear" w:color="auto" w:fill="FFFFFF"/>
          <w:lang w:val="en-GB"/>
        </w:rPr>
        <w:t>.</w:t>
      </w:r>
      <w:r w:rsidR="00800389">
        <w:rPr>
          <w:shd w:val="clear" w:color="auto" w:fill="FFFFFF"/>
          <w:lang w:val="en-GB"/>
        </w:rPr>
        <w:t xml:space="preserve"> 2004, </w:t>
      </w:r>
      <w:r w:rsidR="00251192" w:rsidRPr="00045156">
        <w:rPr>
          <w:i/>
          <w:iCs/>
          <w:shd w:val="clear" w:color="auto" w:fill="FFFFFF"/>
          <w:lang w:val="en-GB"/>
        </w:rPr>
        <w:t>A Holistic Framework for Aboriginal Policy Research</w:t>
      </w:r>
      <w:r w:rsidR="00800389">
        <w:rPr>
          <w:shd w:val="clear" w:color="auto" w:fill="FFFFFF"/>
          <w:lang w:val="en-GB"/>
        </w:rPr>
        <w:t>,</w:t>
      </w:r>
      <w:r w:rsidR="00251192" w:rsidRPr="00045156">
        <w:rPr>
          <w:shd w:val="clear" w:color="auto" w:fill="FFFFFF"/>
          <w:lang w:val="en-GB"/>
        </w:rPr>
        <w:t xml:space="preserve"> </w:t>
      </w:r>
      <w:r w:rsidR="00800389">
        <w:rPr>
          <w:shd w:val="clear" w:color="auto" w:fill="FFFFFF"/>
          <w:lang w:val="en-GB"/>
        </w:rPr>
        <w:t>w</w:t>
      </w:r>
      <w:r w:rsidR="00251192" w:rsidRPr="00045156">
        <w:rPr>
          <w:shd w:val="clear" w:color="auto" w:fill="FFFFFF"/>
          <w:lang w:val="en-GB"/>
        </w:rPr>
        <w:t>orking paper</w:t>
      </w:r>
      <w:r w:rsidR="00800389">
        <w:rPr>
          <w:shd w:val="clear" w:color="auto" w:fill="FFFFFF"/>
          <w:lang w:val="en-GB"/>
        </w:rPr>
        <w:t>,</w:t>
      </w:r>
      <w:r w:rsidR="00251192" w:rsidRPr="00045156">
        <w:rPr>
          <w:shd w:val="clear" w:color="auto" w:fill="FFFFFF"/>
          <w:lang w:val="en-GB"/>
        </w:rPr>
        <w:t xml:space="preserve"> Status of Women Canada, </w:t>
      </w:r>
      <w:r w:rsidR="008E5C20">
        <w:rPr>
          <w:shd w:val="clear" w:color="auto" w:fill="FFFFFF"/>
          <w:lang w:val="en-GB"/>
        </w:rPr>
        <w:t>Otta</w:t>
      </w:r>
      <w:r w:rsidR="00800389">
        <w:rPr>
          <w:shd w:val="clear" w:color="auto" w:fill="FFFFFF"/>
          <w:lang w:val="en-GB"/>
        </w:rPr>
        <w:t>wa</w:t>
      </w:r>
      <w:r w:rsidR="00251192" w:rsidRPr="00045156">
        <w:rPr>
          <w:shd w:val="clear" w:color="auto" w:fill="FFFFFF"/>
          <w:lang w:val="en-GB"/>
        </w:rPr>
        <w:t xml:space="preserve">. </w:t>
      </w:r>
    </w:p>
    <w:p w:rsidR="00251192" w:rsidRPr="00045156" w:rsidRDefault="00800389" w:rsidP="00251192">
      <w:pPr>
        <w:pStyle w:val="Reference"/>
        <w:rPr>
          <w:shd w:val="clear" w:color="auto" w:fill="FFFFFF"/>
          <w:lang w:val="en-GB"/>
        </w:rPr>
      </w:pPr>
      <w:r>
        <w:rPr>
          <w:shd w:val="clear" w:color="auto" w:fill="FFFFFF"/>
          <w:lang w:val="en-GB"/>
        </w:rPr>
        <w:t>Ladner, K</w:t>
      </w:r>
      <w:r w:rsidR="00251192" w:rsidRPr="00045156">
        <w:rPr>
          <w:shd w:val="clear" w:color="auto" w:fill="FFFFFF"/>
          <w:lang w:val="en-GB"/>
        </w:rPr>
        <w:t xml:space="preserve">. </w:t>
      </w:r>
      <w:r>
        <w:rPr>
          <w:shd w:val="clear" w:color="auto" w:fill="FFFFFF"/>
          <w:lang w:val="en-GB"/>
        </w:rPr>
        <w:t xml:space="preserve">2001, </w:t>
      </w:r>
      <w:r w:rsidR="00B1382E">
        <w:rPr>
          <w:shd w:val="clear" w:color="auto" w:fill="FFFFFF"/>
          <w:lang w:val="en-GB"/>
        </w:rPr>
        <w:t>‘</w:t>
      </w:r>
      <w:r w:rsidR="00251192" w:rsidRPr="00045156">
        <w:rPr>
          <w:shd w:val="clear" w:color="auto" w:fill="FFFFFF"/>
          <w:lang w:val="en-GB"/>
        </w:rPr>
        <w:t xml:space="preserve">Visions of </w:t>
      </w:r>
      <w:proofErr w:type="spellStart"/>
      <w:r>
        <w:rPr>
          <w:shd w:val="clear" w:color="auto" w:fill="FFFFFF"/>
          <w:lang w:val="en-GB"/>
        </w:rPr>
        <w:t>n</w:t>
      </w:r>
      <w:r w:rsidR="00251192" w:rsidRPr="00045156">
        <w:rPr>
          <w:shd w:val="clear" w:color="auto" w:fill="FFFFFF"/>
          <w:lang w:val="en-GB"/>
        </w:rPr>
        <w:t>eocolonialism</w:t>
      </w:r>
      <w:proofErr w:type="spellEnd"/>
      <w:r w:rsidR="00251192" w:rsidRPr="00045156">
        <w:rPr>
          <w:shd w:val="clear" w:color="auto" w:fill="FFFFFF"/>
          <w:lang w:val="en-GB"/>
        </w:rPr>
        <w:t xml:space="preserve">? Renewing the </w:t>
      </w:r>
      <w:r>
        <w:rPr>
          <w:shd w:val="clear" w:color="auto" w:fill="FFFFFF"/>
          <w:lang w:val="en-GB"/>
        </w:rPr>
        <w:t>r</w:t>
      </w:r>
      <w:r w:rsidR="00251192" w:rsidRPr="00045156">
        <w:rPr>
          <w:shd w:val="clear" w:color="auto" w:fill="FFFFFF"/>
          <w:lang w:val="en-GB"/>
        </w:rPr>
        <w:t xml:space="preserve">elationship with Aboriginal </w:t>
      </w:r>
      <w:r>
        <w:rPr>
          <w:shd w:val="clear" w:color="auto" w:fill="FFFFFF"/>
          <w:lang w:val="en-GB"/>
        </w:rPr>
        <w:t>p</w:t>
      </w:r>
      <w:r w:rsidR="00251192" w:rsidRPr="00045156">
        <w:rPr>
          <w:shd w:val="clear" w:color="auto" w:fill="FFFFFF"/>
          <w:lang w:val="en-GB"/>
        </w:rPr>
        <w:t>eoples</w:t>
      </w:r>
      <w:r w:rsidR="00B1382E">
        <w:rPr>
          <w:shd w:val="clear" w:color="auto" w:fill="FFFFFF"/>
          <w:lang w:val="en-GB"/>
        </w:rPr>
        <w:t>’</w:t>
      </w:r>
      <w:r>
        <w:rPr>
          <w:shd w:val="clear" w:color="auto" w:fill="FFFFFF"/>
          <w:lang w:val="en-GB"/>
        </w:rPr>
        <w:t>,</w:t>
      </w:r>
      <w:r w:rsidR="00251192">
        <w:rPr>
          <w:shd w:val="clear" w:color="auto" w:fill="FFFFFF"/>
          <w:lang w:val="en-GB"/>
        </w:rPr>
        <w:t xml:space="preserve"> </w:t>
      </w:r>
      <w:r w:rsidR="00251192" w:rsidRPr="00045156">
        <w:rPr>
          <w:i/>
          <w:shd w:val="clear" w:color="auto" w:fill="FFFFFF"/>
          <w:lang w:val="en-GB"/>
        </w:rPr>
        <w:t>Canadian Journal of Native Studies</w:t>
      </w:r>
      <w:r>
        <w:rPr>
          <w:shd w:val="clear" w:color="auto" w:fill="FFFFFF"/>
          <w:lang w:val="en-GB"/>
        </w:rPr>
        <w:t>,</w:t>
      </w:r>
      <w:r w:rsidR="00251192">
        <w:rPr>
          <w:shd w:val="clear" w:color="auto" w:fill="FFFFFF"/>
          <w:lang w:val="en-GB"/>
        </w:rPr>
        <w:t xml:space="preserve"> 21</w:t>
      </w:r>
      <w:r w:rsidR="00AA03B0">
        <w:rPr>
          <w:shd w:val="clear" w:color="auto" w:fill="FFFFFF"/>
          <w:lang w:val="en-GB"/>
        </w:rPr>
        <w:t>,</w:t>
      </w:r>
      <w:r w:rsidR="00251192">
        <w:rPr>
          <w:shd w:val="clear" w:color="auto" w:fill="FFFFFF"/>
          <w:lang w:val="en-GB"/>
        </w:rPr>
        <w:t xml:space="preserve"> </w:t>
      </w:r>
      <w:r>
        <w:rPr>
          <w:shd w:val="clear" w:color="auto" w:fill="FFFFFF"/>
          <w:lang w:val="en-GB"/>
        </w:rPr>
        <w:t>pp.</w:t>
      </w:r>
      <w:r w:rsidR="00251192">
        <w:rPr>
          <w:shd w:val="clear" w:color="auto" w:fill="FFFFFF"/>
          <w:lang w:val="en-GB"/>
        </w:rPr>
        <w:t xml:space="preserve"> 105–</w:t>
      </w:r>
      <w:r w:rsidR="00251192" w:rsidRPr="00045156">
        <w:rPr>
          <w:shd w:val="clear" w:color="auto" w:fill="FFFFFF"/>
          <w:lang w:val="en-GB"/>
        </w:rPr>
        <w:t xml:space="preserve">35. </w:t>
      </w:r>
    </w:p>
    <w:p w:rsidR="00251192" w:rsidRPr="00045156" w:rsidRDefault="00251192" w:rsidP="00251192">
      <w:pPr>
        <w:pStyle w:val="Reference"/>
        <w:rPr>
          <w:shd w:val="clear" w:color="auto" w:fill="FFFFFF"/>
          <w:lang w:val="en-GB"/>
        </w:rPr>
      </w:pPr>
      <w:r w:rsidRPr="00045156">
        <w:rPr>
          <w:shd w:val="clear" w:color="auto" w:fill="FFFFFF"/>
          <w:lang w:val="en-GB"/>
        </w:rPr>
        <w:t>Lane, P</w:t>
      </w:r>
      <w:r w:rsidR="00800389">
        <w:rPr>
          <w:shd w:val="clear" w:color="auto" w:fill="FFFFFF"/>
          <w:lang w:val="en-GB"/>
        </w:rPr>
        <w:t>.</w:t>
      </w:r>
      <w:r w:rsidRPr="00045156">
        <w:rPr>
          <w:shd w:val="clear" w:color="auto" w:fill="FFFFFF"/>
          <w:lang w:val="en-GB"/>
        </w:rPr>
        <w:t xml:space="preserve"> Jr., Bopp, </w:t>
      </w:r>
      <w:r w:rsidR="00800389">
        <w:rPr>
          <w:shd w:val="clear" w:color="auto" w:fill="FFFFFF"/>
          <w:lang w:val="en-GB"/>
        </w:rPr>
        <w:t xml:space="preserve">M., </w:t>
      </w:r>
      <w:r w:rsidRPr="00045156">
        <w:rPr>
          <w:shd w:val="clear" w:color="auto" w:fill="FFFFFF"/>
          <w:lang w:val="en-GB"/>
        </w:rPr>
        <w:t xml:space="preserve">Bopp, </w:t>
      </w:r>
      <w:r w:rsidR="00800389">
        <w:rPr>
          <w:shd w:val="clear" w:color="auto" w:fill="FFFFFF"/>
          <w:lang w:val="en-GB"/>
        </w:rPr>
        <w:t xml:space="preserve">J. </w:t>
      </w:r>
      <w:r w:rsidRPr="00045156">
        <w:rPr>
          <w:shd w:val="clear" w:color="auto" w:fill="FFFFFF"/>
          <w:lang w:val="en-GB"/>
        </w:rPr>
        <w:t>and Julian Norris</w:t>
      </w:r>
      <w:r w:rsidR="00800389">
        <w:rPr>
          <w:shd w:val="clear" w:color="auto" w:fill="FFFFFF"/>
          <w:lang w:val="en-GB"/>
        </w:rPr>
        <w:t>, J</w:t>
      </w:r>
      <w:r w:rsidRPr="00045156">
        <w:rPr>
          <w:shd w:val="clear" w:color="auto" w:fill="FFFFFF"/>
          <w:lang w:val="en-GB"/>
        </w:rPr>
        <w:t>.</w:t>
      </w:r>
      <w:r w:rsidR="00800389">
        <w:rPr>
          <w:shd w:val="clear" w:color="auto" w:fill="FFFFFF"/>
          <w:lang w:val="en-GB"/>
        </w:rPr>
        <w:t xml:space="preserve"> 2002,</w:t>
      </w:r>
      <w:r w:rsidRPr="00045156">
        <w:rPr>
          <w:shd w:val="clear" w:color="auto" w:fill="FFFFFF"/>
          <w:lang w:val="en-GB"/>
        </w:rPr>
        <w:t> </w:t>
      </w:r>
      <w:r w:rsidRPr="00045156">
        <w:rPr>
          <w:i/>
          <w:iCs/>
          <w:shd w:val="clear" w:color="auto" w:fill="FFFFFF"/>
          <w:lang w:val="en-GB"/>
        </w:rPr>
        <w:t>Mapping the Healing Journey</w:t>
      </w:r>
      <w:r w:rsidR="00800389">
        <w:rPr>
          <w:shd w:val="clear" w:color="auto" w:fill="FFFFFF"/>
          <w:lang w:val="en-GB"/>
        </w:rPr>
        <w:t>,</w:t>
      </w:r>
      <w:r w:rsidRPr="00045156">
        <w:rPr>
          <w:shd w:val="clear" w:color="auto" w:fill="FFFFFF"/>
          <w:lang w:val="en-GB"/>
        </w:rPr>
        <w:t xml:space="preserve"> </w:t>
      </w:r>
      <w:r w:rsidR="00800389">
        <w:rPr>
          <w:shd w:val="clear" w:color="auto" w:fill="FFFFFF"/>
          <w:lang w:val="en-GB"/>
        </w:rPr>
        <w:t>r</w:t>
      </w:r>
      <w:r w:rsidRPr="00045156">
        <w:rPr>
          <w:shd w:val="clear" w:color="auto" w:fill="FFFFFF"/>
          <w:lang w:val="en-GB"/>
        </w:rPr>
        <w:t xml:space="preserve">ep. no. </w:t>
      </w:r>
      <w:proofErr w:type="spellStart"/>
      <w:r w:rsidRPr="00045156">
        <w:rPr>
          <w:shd w:val="clear" w:color="auto" w:fill="FFFFFF"/>
          <w:lang w:val="en-GB"/>
        </w:rPr>
        <w:t>APC</w:t>
      </w:r>
      <w:proofErr w:type="spellEnd"/>
      <w:r w:rsidRPr="00045156">
        <w:rPr>
          <w:shd w:val="clear" w:color="auto" w:fill="FFFFFF"/>
          <w:lang w:val="en-GB"/>
        </w:rPr>
        <w:t xml:space="preserve"> 21 CA.</w:t>
      </w:r>
      <w:r w:rsidR="00800389">
        <w:rPr>
          <w:shd w:val="clear" w:color="auto" w:fill="FFFFFF"/>
          <w:lang w:val="en-GB"/>
        </w:rPr>
        <w:t>,</w:t>
      </w:r>
      <w:r w:rsidRPr="00045156">
        <w:rPr>
          <w:shd w:val="clear" w:color="auto" w:fill="FFFFFF"/>
          <w:lang w:val="en-GB"/>
        </w:rPr>
        <w:t xml:space="preserve"> Aboriginal Corrections Policy Unit, </w:t>
      </w:r>
      <w:r w:rsidR="00800389">
        <w:rPr>
          <w:shd w:val="clear" w:color="auto" w:fill="FFFFFF"/>
          <w:lang w:val="en-GB"/>
        </w:rPr>
        <w:t>Ottawa</w:t>
      </w:r>
      <w:r w:rsidRPr="00045156">
        <w:rPr>
          <w:shd w:val="clear" w:color="auto" w:fill="FFFFFF"/>
          <w:lang w:val="en-GB"/>
        </w:rPr>
        <w:t xml:space="preserve">. </w:t>
      </w:r>
    </w:p>
    <w:p w:rsidR="00251192" w:rsidRPr="00045156" w:rsidRDefault="00251192" w:rsidP="00251192">
      <w:pPr>
        <w:pStyle w:val="Reference"/>
        <w:rPr>
          <w:shd w:val="clear" w:color="auto" w:fill="FFFFFF"/>
          <w:lang w:val="en-GB"/>
        </w:rPr>
      </w:pPr>
      <w:r w:rsidRPr="00045156">
        <w:rPr>
          <w:shd w:val="clear" w:color="auto" w:fill="FFFFFF"/>
          <w:lang w:val="en-GB"/>
        </w:rPr>
        <w:t xml:space="preserve">Lavoie, </w:t>
      </w:r>
      <w:proofErr w:type="spellStart"/>
      <w:r w:rsidRPr="00045156">
        <w:rPr>
          <w:shd w:val="clear" w:color="auto" w:fill="FFFFFF"/>
          <w:lang w:val="en-GB"/>
        </w:rPr>
        <w:t>Josée</w:t>
      </w:r>
      <w:proofErr w:type="spellEnd"/>
      <w:r w:rsidRPr="00045156">
        <w:rPr>
          <w:shd w:val="clear" w:color="auto" w:fill="FFFFFF"/>
          <w:lang w:val="en-GB"/>
        </w:rPr>
        <w:t xml:space="preserve"> G., Forget, </w:t>
      </w:r>
      <w:r w:rsidR="00800389">
        <w:rPr>
          <w:shd w:val="clear" w:color="auto" w:fill="FFFFFF"/>
          <w:lang w:val="en-GB"/>
        </w:rPr>
        <w:t xml:space="preserve">E. </w:t>
      </w:r>
      <w:r w:rsidRPr="00045156">
        <w:rPr>
          <w:shd w:val="clear" w:color="auto" w:fill="FFFFFF"/>
          <w:lang w:val="en-GB"/>
        </w:rPr>
        <w:t>and O</w:t>
      </w:r>
      <w:r w:rsidR="00B1382E">
        <w:rPr>
          <w:shd w:val="clear" w:color="auto" w:fill="FFFFFF"/>
          <w:lang w:val="en-GB"/>
        </w:rPr>
        <w:t>’</w:t>
      </w:r>
      <w:r w:rsidRPr="00045156">
        <w:rPr>
          <w:shd w:val="clear" w:color="auto" w:fill="FFFFFF"/>
          <w:lang w:val="en-GB"/>
        </w:rPr>
        <w:t>Neil</w:t>
      </w:r>
      <w:r w:rsidR="00800389">
        <w:rPr>
          <w:shd w:val="clear" w:color="auto" w:fill="FFFFFF"/>
          <w:lang w:val="en-GB"/>
        </w:rPr>
        <w:t>, J.D</w:t>
      </w:r>
      <w:r w:rsidRPr="00045156">
        <w:rPr>
          <w:shd w:val="clear" w:color="auto" w:fill="FFFFFF"/>
          <w:lang w:val="en-GB"/>
        </w:rPr>
        <w:t>.</w:t>
      </w:r>
      <w:r w:rsidR="00800389">
        <w:rPr>
          <w:shd w:val="clear" w:color="auto" w:fill="FFFFFF"/>
          <w:lang w:val="en-GB"/>
        </w:rPr>
        <w:t xml:space="preserve"> 2007,</w:t>
      </w:r>
      <w:r w:rsidRPr="00045156">
        <w:rPr>
          <w:shd w:val="clear" w:color="auto" w:fill="FFFFFF"/>
          <w:lang w:val="en-GB"/>
        </w:rPr>
        <w:t xml:space="preserve"> </w:t>
      </w:r>
      <w:r w:rsidR="00B1382E">
        <w:rPr>
          <w:shd w:val="clear" w:color="auto" w:fill="FFFFFF"/>
          <w:lang w:val="en-GB"/>
        </w:rPr>
        <w:t>‘</w:t>
      </w:r>
      <w:r w:rsidRPr="00045156">
        <w:rPr>
          <w:shd w:val="clear" w:color="auto" w:fill="FFFFFF"/>
          <w:lang w:val="en-GB"/>
        </w:rPr>
        <w:t xml:space="preserve">Why </w:t>
      </w:r>
      <w:r w:rsidR="00800389">
        <w:rPr>
          <w:shd w:val="clear" w:color="auto" w:fill="FFFFFF"/>
          <w:lang w:val="en-GB"/>
        </w:rPr>
        <w:t>e</w:t>
      </w:r>
      <w:r w:rsidRPr="00045156">
        <w:rPr>
          <w:shd w:val="clear" w:color="auto" w:fill="FFFFFF"/>
          <w:lang w:val="en-GB"/>
        </w:rPr>
        <w:t xml:space="preserve">quity in </w:t>
      </w:r>
      <w:r w:rsidR="00800389">
        <w:rPr>
          <w:shd w:val="clear" w:color="auto" w:fill="FFFFFF"/>
          <w:lang w:val="en-GB"/>
        </w:rPr>
        <w:t>f</w:t>
      </w:r>
      <w:r w:rsidRPr="00045156">
        <w:rPr>
          <w:shd w:val="clear" w:color="auto" w:fill="FFFFFF"/>
          <w:lang w:val="en-GB"/>
        </w:rPr>
        <w:t xml:space="preserve">inancing First Nations </w:t>
      </w:r>
      <w:r w:rsidR="00800389">
        <w:rPr>
          <w:shd w:val="clear" w:color="auto" w:fill="FFFFFF"/>
          <w:lang w:val="en-GB"/>
        </w:rPr>
        <w:t>o</w:t>
      </w:r>
      <w:r w:rsidRPr="00045156">
        <w:rPr>
          <w:shd w:val="clear" w:color="auto" w:fill="FFFFFF"/>
          <w:lang w:val="en-GB"/>
        </w:rPr>
        <w:t xml:space="preserve">n-reserve </w:t>
      </w:r>
      <w:r w:rsidR="00800389">
        <w:rPr>
          <w:shd w:val="clear" w:color="auto" w:fill="FFFFFF"/>
          <w:lang w:val="en-GB"/>
        </w:rPr>
        <w:t>h</w:t>
      </w:r>
      <w:r w:rsidRPr="00045156">
        <w:rPr>
          <w:shd w:val="clear" w:color="auto" w:fill="FFFFFF"/>
          <w:lang w:val="en-GB"/>
        </w:rPr>
        <w:t xml:space="preserve">ealth </w:t>
      </w:r>
      <w:r w:rsidR="00800389">
        <w:rPr>
          <w:shd w:val="clear" w:color="auto" w:fill="FFFFFF"/>
          <w:lang w:val="en-GB"/>
        </w:rPr>
        <w:t>s</w:t>
      </w:r>
      <w:r w:rsidRPr="00045156">
        <w:rPr>
          <w:shd w:val="clear" w:color="auto" w:fill="FFFFFF"/>
          <w:lang w:val="en-GB"/>
        </w:rPr>
        <w:t xml:space="preserve">ervices </w:t>
      </w:r>
      <w:r w:rsidR="00800389">
        <w:rPr>
          <w:shd w:val="clear" w:color="auto" w:fill="FFFFFF"/>
          <w:lang w:val="en-GB"/>
        </w:rPr>
        <w:t>m</w:t>
      </w:r>
      <w:r w:rsidRPr="00045156">
        <w:rPr>
          <w:shd w:val="clear" w:color="auto" w:fill="FFFFFF"/>
          <w:lang w:val="en-GB"/>
        </w:rPr>
        <w:t xml:space="preserve">atters: </w:t>
      </w:r>
      <w:r w:rsidR="00800389">
        <w:rPr>
          <w:shd w:val="clear" w:color="auto" w:fill="FFFFFF"/>
          <w:lang w:val="en-GB"/>
        </w:rPr>
        <w:t>f</w:t>
      </w:r>
      <w:r w:rsidRPr="00045156">
        <w:rPr>
          <w:shd w:val="clear" w:color="auto" w:fill="FFFFFF"/>
          <w:lang w:val="en-GB"/>
        </w:rPr>
        <w:t>indings from the 2005 National Evaluation of the Health Transfer Policy</w:t>
      </w:r>
      <w:r w:rsidR="00B1382E">
        <w:rPr>
          <w:shd w:val="clear" w:color="auto" w:fill="FFFFFF"/>
          <w:lang w:val="en-GB"/>
        </w:rPr>
        <w:t>’</w:t>
      </w:r>
      <w:r w:rsidR="00800389">
        <w:rPr>
          <w:shd w:val="clear" w:color="auto" w:fill="FFFFFF"/>
          <w:lang w:val="en-GB"/>
        </w:rPr>
        <w:t>,</w:t>
      </w:r>
      <w:r>
        <w:rPr>
          <w:shd w:val="clear" w:color="auto" w:fill="FFFFFF"/>
          <w:lang w:val="en-GB"/>
        </w:rPr>
        <w:t xml:space="preserve"> </w:t>
      </w:r>
      <w:r w:rsidRPr="00045156">
        <w:rPr>
          <w:i/>
          <w:iCs/>
          <w:shd w:val="clear" w:color="auto" w:fill="FFFFFF"/>
          <w:lang w:val="en-GB"/>
        </w:rPr>
        <w:t>Health Policy</w:t>
      </w:r>
      <w:r w:rsidR="00800389">
        <w:rPr>
          <w:iCs/>
          <w:shd w:val="clear" w:color="auto" w:fill="FFFFFF"/>
          <w:lang w:val="en-GB"/>
        </w:rPr>
        <w:t>,</w:t>
      </w:r>
      <w:r w:rsidRPr="00045156">
        <w:rPr>
          <w:shd w:val="clear" w:color="auto" w:fill="FFFFFF"/>
          <w:lang w:val="en-GB"/>
        </w:rPr>
        <w:t> </w:t>
      </w:r>
      <w:r>
        <w:rPr>
          <w:shd w:val="clear" w:color="auto" w:fill="FFFFFF"/>
          <w:lang w:val="en-GB"/>
        </w:rPr>
        <w:t>2.4</w:t>
      </w:r>
      <w:r w:rsidR="00800389">
        <w:rPr>
          <w:shd w:val="clear" w:color="auto" w:fill="FFFFFF"/>
          <w:lang w:val="en-GB"/>
        </w:rPr>
        <w:t>, pp.</w:t>
      </w:r>
      <w:r>
        <w:rPr>
          <w:shd w:val="clear" w:color="auto" w:fill="FFFFFF"/>
          <w:lang w:val="en-GB"/>
        </w:rPr>
        <w:t xml:space="preserve"> 79–</w:t>
      </w:r>
      <w:r w:rsidRPr="00045156">
        <w:rPr>
          <w:shd w:val="clear" w:color="auto" w:fill="FFFFFF"/>
          <w:lang w:val="en-GB"/>
        </w:rPr>
        <w:t xml:space="preserve">96. </w:t>
      </w:r>
    </w:p>
    <w:p w:rsidR="00251192" w:rsidRPr="00045156" w:rsidRDefault="00251192" w:rsidP="00251192">
      <w:pPr>
        <w:pStyle w:val="Reference"/>
        <w:rPr>
          <w:lang w:val="en-GB"/>
        </w:rPr>
      </w:pPr>
      <w:r w:rsidRPr="00045156">
        <w:rPr>
          <w:noProof/>
          <w:lang w:val="en-GB"/>
        </w:rPr>
        <w:t xml:space="preserve">Malloy, J. </w:t>
      </w:r>
      <w:r w:rsidR="00800389">
        <w:rPr>
          <w:noProof/>
          <w:lang w:val="en-GB"/>
        </w:rPr>
        <w:t xml:space="preserve">2004, </w:t>
      </w:r>
      <w:r w:rsidR="00B1382E">
        <w:rPr>
          <w:noProof/>
          <w:lang w:val="en-GB"/>
        </w:rPr>
        <w:t>‘</w:t>
      </w:r>
      <w:r w:rsidRPr="00045156">
        <w:rPr>
          <w:lang w:val="en-GB"/>
        </w:rPr>
        <w:t>An auditor</w:t>
      </w:r>
      <w:r w:rsidR="00B1382E">
        <w:rPr>
          <w:lang w:val="en-GB"/>
        </w:rPr>
        <w:t>’</w:t>
      </w:r>
      <w:r w:rsidRPr="00045156">
        <w:rPr>
          <w:lang w:val="en-GB"/>
        </w:rPr>
        <w:t>s best friend? Standing committees on public accounts</w:t>
      </w:r>
      <w:r w:rsidR="00B1382E">
        <w:rPr>
          <w:lang w:val="en-GB"/>
        </w:rPr>
        <w:t>’</w:t>
      </w:r>
      <w:r w:rsidR="00800389">
        <w:rPr>
          <w:lang w:val="en-GB"/>
        </w:rPr>
        <w:t>,</w:t>
      </w:r>
      <w:r>
        <w:rPr>
          <w:lang w:val="en-GB"/>
        </w:rPr>
        <w:t xml:space="preserve"> </w:t>
      </w:r>
      <w:r w:rsidRPr="00045156">
        <w:rPr>
          <w:i/>
          <w:lang w:val="en-GB"/>
        </w:rPr>
        <w:t>Canadian Public Administration</w:t>
      </w:r>
      <w:r w:rsidR="00800389">
        <w:rPr>
          <w:lang w:val="en-GB"/>
        </w:rPr>
        <w:t>,</w:t>
      </w:r>
      <w:r>
        <w:rPr>
          <w:lang w:val="en-GB"/>
        </w:rPr>
        <w:t xml:space="preserve"> 47:2</w:t>
      </w:r>
      <w:r w:rsidR="00800389">
        <w:rPr>
          <w:lang w:val="en-GB"/>
        </w:rPr>
        <w:t>,</w:t>
      </w:r>
      <w:r>
        <w:rPr>
          <w:lang w:val="en-GB"/>
        </w:rPr>
        <w:t xml:space="preserve"> </w:t>
      </w:r>
      <w:r w:rsidR="00800389">
        <w:rPr>
          <w:lang w:val="en-GB"/>
        </w:rPr>
        <w:t xml:space="preserve">pp. </w:t>
      </w:r>
      <w:r>
        <w:rPr>
          <w:lang w:val="en-GB"/>
        </w:rPr>
        <w:t>165–</w:t>
      </w:r>
      <w:r w:rsidRPr="00045156">
        <w:rPr>
          <w:lang w:val="en-GB"/>
        </w:rPr>
        <w:t>83.</w:t>
      </w:r>
    </w:p>
    <w:p w:rsidR="00251192" w:rsidRPr="00045156" w:rsidRDefault="00251192" w:rsidP="00251192">
      <w:pPr>
        <w:pStyle w:val="Reference"/>
        <w:rPr>
          <w:shd w:val="clear" w:color="auto" w:fill="FFFFFF"/>
          <w:lang w:val="en-GB"/>
        </w:rPr>
      </w:pPr>
      <w:proofErr w:type="spellStart"/>
      <w:r w:rsidRPr="00045156">
        <w:rPr>
          <w:shd w:val="clear" w:color="auto" w:fill="FFFFFF"/>
          <w:lang w:val="en-GB"/>
        </w:rPr>
        <w:t>Matsuba</w:t>
      </w:r>
      <w:proofErr w:type="spellEnd"/>
      <w:r w:rsidRPr="00045156">
        <w:rPr>
          <w:shd w:val="clear" w:color="auto" w:fill="FFFFFF"/>
          <w:lang w:val="en-GB"/>
        </w:rPr>
        <w:t xml:space="preserve">, M. Kyle, Elder, </w:t>
      </w:r>
      <w:r w:rsidR="00365D21">
        <w:rPr>
          <w:shd w:val="clear" w:color="auto" w:fill="FFFFFF"/>
          <w:lang w:val="en-GB"/>
        </w:rPr>
        <w:t xml:space="preserve">Gavin J., </w:t>
      </w:r>
      <w:proofErr w:type="spellStart"/>
      <w:r w:rsidRPr="00045156">
        <w:rPr>
          <w:shd w:val="clear" w:color="auto" w:fill="FFFFFF"/>
          <w:lang w:val="en-GB"/>
        </w:rPr>
        <w:t>Petrucci</w:t>
      </w:r>
      <w:proofErr w:type="spellEnd"/>
      <w:r w:rsidRPr="00045156">
        <w:rPr>
          <w:shd w:val="clear" w:color="auto" w:fill="FFFFFF"/>
          <w:lang w:val="en-GB"/>
        </w:rPr>
        <w:t xml:space="preserve">, </w:t>
      </w:r>
      <w:r w:rsidR="00365D21">
        <w:rPr>
          <w:shd w:val="clear" w:color="auto" w:fill="FFFFFF"/>
          <w:lang w:val="en-GB"/>
        </w:rPr>
        <w:t xml:space="preserve">F. </w:t>
      </w:r>
      <w:r w:rsidRPr="00045156">
        <w:rPr>
          <w:shd w:val="clear" w:color="auto" w:fill="FFFFFF"/>
          <w:lang w:val="en-GB"/>
        </w:rPr>
        <w:t xml:space="preserve">and </w:t>
      </w:r>
      <w:proofErr w:type="spellStart"/>
      <w:r w:rsidRPr="00045156">
        <w:rPr>
          <w:shd w:val="clear" w:color="auto" w:fill="FFFFFF"/>
          <w:lang w:val="en-GB"/>
        </w:rPr>
        <w:t>Marleau</w:t>
      </w:r>
      <w:proofErr w:type="spellEnd"/>
      <w:r w:rsidR="00365D21">
        <w:rPr>
          <w:shd w:val="clear" w:color="auto" w:fill="FFFFFF"/>
          <w:lang w:val="en-GB"/>
        </w:rPr>
        <w:t>, T</w:t>
      </w:r>
      <w:r w:rsidRPr="00045156">
        <w:rPr>
          <w:shd w:val="clear" w:color="auto" w:fill="FFFFFF"/>
          <w:lang w:val="en-GB"/>
        </w:rPr>
        <w:t xml:space="preserve">. </w:t>
      </w:r>
      <w:r w:rsidR="00365D21">
        <w:rPr>
          <w:shd w:val="clear" w:color="auto" w:fill="FFFFFF"/>
          <w:lang w:val="en-GB"/>
        </w:rPr>
        <w:t xml:space="preserve">2008, </w:t>
      </w:r>
      <w:r w:rsidR="00B1382E">
        <w:rPr>
          <w:shd w:val="clear" w:color="auto" w:fill="FFFFFF"/>
          <w:lang w:val="en-GB"/>
        </w:rPr>
        <w:t>‘</w:t>
      </w:r>
      <w:r w:rsidRPr="00045156">
        <w:rPr>
          <w:shd w:val="clear" w:color="auto" w:fill="FFFFFF"/>
          <w:lang w:val="en-GB"/>
        </w:rPr>
        <w:t xml:space="preserve">Employment </w:t>
      </w:r>
      <w:r w:rsidR="00365D21">
        <w:rPr>
          <w:shd w:val="clear" w:color="auto" w:fill="FFFFFF"/>
          <w:lang w:val="en-GB"/>
        </w:rPr>
        <w:t>t</w:t>
      </w:r>
      <w:r w:rsidRPr="00045156">
        <w:rPr>
          <w:shd w:val="clear" w:color="auto" w:fill="FFFFFF"/>
          <w:lang w:val="en-GB"/>
        </w:rPr>
        <w:t xml:space="preserve">raining for </w:t>
      </w:r>
      <w:r w:rsidR="00365D21">
        <w:rPr>
          <w:shd w:val="clear" w:color="auto" w:fill="FFFFFF"/>
          <w:lang w:val="en-GB"/>
        </w:rPr>
        <w:t>a</w:t>
      </w:r>
      <w:r w:rsidRPr="00045156">
        <w:rPr>
          <w:shd w:val="clear" w:color="auto" w:fill="FFFFFF"/>
          <w:lang w:val="en-GB"/>
        </w:rPr>
        <w:t xml:space="preserve">t-risk </w:t>
      </w:r>
      <w:r w:rsidR="00365D21">
        <w:rPr>
          <w:shd w:val="clear" w:color="auto" w:fill="FFFFFF"/>
          <w:lang w:val="en-GB"/>
        </w:rPr>
        <w:t>y</w:t>
      </w:r>
      <w:r w:rsidRPr="00045156">
        <w:rPr>
          <w:shd w:val="clear" w:color="auto" w:fill="FFFFFF"/>
          <w:lang w:val="en-GB"/>
        </w:rPr>
        <w:t xml:space="preserve">outh: </w:t>
      </w:r>
      <w:r w:rsidR="00365D21">
        <w:rPr>
          <w:shd w:val="clear" w:color="auto" w:fill="FFFFFF"/>
          <w:lang w:val="en-GB"/>
        </w:rPr>
        <w:t>a</w:t>
      </w:r>
      <w:r w:rsidRPr="00045156">
        <w:rPr>
          <w:shd w:val="clear" w:color="auto" w:fill="FFFFFF"/>
          <w:lang w:val="en-GB"/>
        </w:rPr>
        <w:t xml:space="preserve"> </w:t>
      </w:r>
      <w:r w:rsidR="00365D21">
        <w:rPr>
          <w:shd w:val="clear" w:color="auto" w:fill="FFFFFF"/>
          <w:lang w:val="en-GB"/>
        </w:rPr>
        <w:t>p</w:t>
      </w:r>
      <w:r w:rsidRPr="00045156">
        <w:rPr>
          <w:shd w:val="clear" w:color="auto" w:fill="FFFFFF"/>
          <w:lang w:val="en-GB"/>
        </w:rPr>
        <w:t xml:space="preserve">rogram </w:t>
      </w:r>
      <w:r w:rsidR="00365D21">
        <w:rPr>
          <w:shd w:val="clear" w:color="auto" w:fill="FFFFFF"/>
          <w:lang w:val="en-GB"/>
        </w:rPr>
        <w:t>e</w:t>
      </w:r>
      <w:r w:rsidRPr="00045156">
        <w:rPr>
          <w:shd w:val="clear" w:color="auto" w:fill="FFFFFF"/>
          <w:lang w:val="en-GB"/>
        </w:rPr>
        <w:t xml:space="preserve">valuation </w:t>
      </w:r>
      <w:r w:rsidR="00365D21">
        <w:rPr>
          <w:shd w:val="clear" w:color="auto" w:fill="FFFFFF"/>
          <w:lang w:val="en-GB"/>
        </w:rPr>
        <w:t>f</w:t>
      </w:r>
      <w:r w:rsidRPr="00045156">
        <w:rPr>
          <w:shd w:val="clear" w:color="auto" w:fill="FFFFFF"/>
          <w:lang w:val="en-GB"/>
        </w:rPr>
        <w:t xml:space="preserve">ocusing on </w:t>
      </w:r>
      <w:r w:rsidR="00365D21">
        <w:rPr>
          <w:shd w:val="clear" w:color="auto" w:fill="FFFFFF"/>
          <w:lang w:val="en-GB"/>
        </w:rPr>
        <w:t>c</w:t>
      </w:r>
      <w:r w:rsidRPr="00045156">
        <w:rPr>
          <w:shd w:val="clear" w:color="auto" w:fill="FFFFFF"/>
          <w:lang w:val="en-GB"/>
        </w:rPr>
        <w:t xml:space="preserve">hanges in </w:t>
      </w:r>
      <w:r w:rsidR="00365D21">
        <w:rPr>
          <w:shd w:val="clear" w:color="auto" w:fill="FFFFFF"/>
          <w:lang w:val="en-GB"/>
        </w:rPr>
        <w:t>p</w:t>
      </w:r>
      <w:r w:rsidRPr="00045156">
        <w:rPr>
          <w:shd w:val="clear" w:color="auto" w:fill="FFFFFF"/>
          <w:lang w:val="en-GB"/>
        </w:rPr>
        <w:t xml:space="preserve">sychological </w:t>
      </w:r>
      <w:r w:rsidR="00365D21">
        <w:rPr>
          <w:shd w:val="clear" w:color="auto" w:fill="FFFFFF"/>
          <w:lang w:val="en-GB"/>
        </w:rPr>
        <w:t>w</w:t>
      </w:r>
      <w:r w:rsidRPr="00045156">
        <w:rPr>
          <w:shd w:val="clear" w:color="auto" w:fill="FFFFFF"/>
          <w:lang w:val="en-GB"/>
        </w:rPr>
        <w:t>ell-being</w:t>
      </w:r>
      <w:r w:rsidR="00B1382E">
        <w:rPr>
          <w:shd w:val="clear" w:color="auto" w:fill="FFFFFF"/>
          <w:lang w:val="en-GB"/>
        </w:rPr>
        <w:t>’</w:t>
      </w:r>
      <w:r w:rsidR="00365D21">
        <w:rPr>
          <w:shd w:val="clear" w:color="auto" w:fill="FFFFFF"/>
          <w:lang w:val="en-GB"/>
        </w:rPr>
        <w:t>,</w:t>
      </w:r>
      <w:r>
        <w:rPr>
          <w:shd w:val="clear" w:color="auto" w:fill="FFFFFF"/>
          <w:lang w:val="en-GB"/>
        </w:rPr>
        <w:t xml:space="preserve"> </w:t>
      </w:r>
      <w:r w:rsidRPr="00045156">
        <w:rPr>
          <w:i/>
          <w:iCs/>
          <w:shd w:val="clear" w:color="auto" w:fill="FFFFFF"/>
          <w:lang w:val="en-GB"/>
        </w:rPr>
        <w:t>Child &amp; Youth Care Forum</w:t>
      </w:r>
      <w:r w:rsidR="00365D21">
        <w:rPr>
          <w:iCs/>
          <w:shd w:val="clear" w:color="auto" w:fill="FFFFFF"/>
          <w:lang w:val="en-GB"/>
        </w:rPr>
        <w:t>,</w:t>
      </w:r>
      <w:r w:rsidRPr="00045156">
        <w:rPr>
          <w:shd w:val="clear" w:color="auto" w:fill="FFFFFF"/>
          <w:lang w:val="en-GB"/>
        </w:rPr>
        <w:t> </w:t>
      </w:r>
      <w:r>
        <w:rPr>
          <w:shd w:val="clear" w:color="auto" w:fill="FFFFFF"/>
          <w:lang w:val="en-GB"/>
        </w:rPr>
        <w:t>37.1</w:t>
      </w:r>
      <w:r w:rsidR="00AA03B0">
        <w:rPr>
          <w:shd w:val="clear" w:color="auto" w:fill="FFFFFF"/>
          <w:lang w:val="en-GB"/>
        </w:rPr>
        <w:t>,</w:t>
      </w:r>
      <w:r>
        <w:rPr>
          <w:shd w:val="clear" w:color="auto" w:fill="FFFFFF"/>
          <w:lang w:val="en-GB"/>
        </w:rPr>
        <w:t xml:space="preserve"> </w:t>
      </w:r>
      <w:r w:rsidR="00365D21">
        <w:rPr>
          <w:shd w:val="clear" w:color="auto" w:fill="FFFFFF"/>
          <w:lang w:val="en-GB"/>
        </w:rPr>
        <w:t xml:space="preserve">pp. </w:t>
      </w:r>
      <w:r>
        <w:rPr>
          <w:shd w:val="clear" w:color="auto" w:fill="FFFFFF"/>
          <w:lang w:val="en-GB"/>
        </w:rPr>
        <w:t>15–</w:t>
      </w:r>
      <w:r w:rsidRPr="00045156">
        <w:rPr>
          <w:shd w:val="clear" w:color="auto" w:fill="FFFFFF"/>
          <w:lang w:val="en-GB"/>
        </w:rPr>
        <w:t xml:space="preserve">26. </w:t>
      </w:r>
    </w:p>
    <w:p w:rsidR="00CE5AD7" w:rsidRPr="00045156" w:rsidRDefault="00CE5AD7" w:rsidP="00CE5AD7">
      <w:pPr>
        <w:pStyle w:val="Reference"/>
        <w:rPr>
          <w:shd w:val="clear" w:color="auto" w:fill="FFFFFF"/>
          <w:lang w:val="en-GB"/>
        </w:rPr>
      </w:pPr>
      <w:r w:rsidRPr="00045156">
        <w:rPr>
          <w:shd w:val="clear" w:color="auto" w:fill="FFFFFF"/>
          <w:lang w:val="en-GB"/>
        </w:rPr>
        <w:t>McKenzie, B.</w:t>
      </w:r>
      <w:r>
        <w:rPr>
          <w:shd w:val="clear" w:color="auto" w:fill="FFFFFF"/>
          <w:lang w:val="en-GB"/>
        </w:rPr>
        <w:t xml:space="preserve"> 1997,</w:t>
      </w:r>
      <w:r w:rsidRPr="00045156">
        <w:rPr>
          <w:shd w:val="clear" w:color="auto" w:fill="FFFFFF"/>
          <w:lang w:val="en-GB"/>
        </w:rPr>
        <w:t xml:space="preserve"> </w:t>
      </w:r>
      <w:r>
        <w:rPr>
          <w:shd w:val="clear" w:color="auto" w:fill="FFFFFF"/>
          <w:lang w:val="en-GB"/>
        </w:rPr>
        <w:t>‘</w:t>
      </w:r>
      <w:r w:rsidRPr="00045156">
        <w:rPr>
          <w:shd w:val="clear" w:color="auto" w:fill="FFFFFF"/>
          <w:lang w:val="en-GB"/>
        </w:rPr>
        <w:t xml:space="preserve">Developing First Nations </w:t>
      </w:r>
      <w:r>
        <w:rPr>
          <w:shd w:val="clear" w:color="auto" w:fill="FFFFFF"/>
          <w:lang w:val="en-GB"/>
        </w:rPr>
        <w:t>c</w:t>
      </w:r>
      <w:r w:rsidRPr="00045156">
        <w:rPr>
          <w:shd w:val="clear" w:color="auto" w:fill="FFFFFF"/>
          <w:lang w:val="en-GB"/>
        </w:rPr>
        <w:t xml:space="preserve">hild </w:t>
      </w:r>
      <w:r>
        <w:rPr>
          <w:shd w:val="clear" w:color="auto" w:fill="FFFFFF"/>
          <w:lang w:val="en-GB"/>
        </w:rPr>
        <w:t>w</w:t>
      </w:r>
      <w:r w:rsidRPr="00045156">
        <w:rPr>
          <w:shd w:val="clear" w:color="auto" w:fill="FFFFFF"/>
          <w:lang w:val="en-GB"/>
        </w:rPr>
        <w:t xml:space="preserve">elfare </w:t>
      </w:r>
      <w:r>
        <w:rPr>
          <w:shd w:val="clear" w:color="auto" w:fill="FFFFFF"/>
          <w:lang w:val="en-GB"/>
        </w:rPr>
        <w:t>s</w:t>
      </w:r>
      <w:r w:rsidRPr="00045156">
        <w:rPr>
          <w:shd w:val="clear" w:color="auto" w:fill="FFFFFF"/>
          <w:lang w:val="en-GB"/>
        </w:rPr>
        <w:t xml:space="preserve">tandards: </w:t>
      </w:r>
      <w:r>
        <w:rPr>
          <w:shd w:val="clear" w:color="auto" w:fill="FFFFFF"/>
          <w:lang w:val="en-GB"/>
        </w:rPr>
        <w:t>u</w:t>
      </w:r>
      <w:r w:rsidRPr="00045156">
        <w:rPr>
          <w:shd w:val="clear" w:color="auto" w:fill="FFFFFF"/>
          <w:lang w:val="en-GB"/>
        </w:rPr>
        <w:t xml:space="preserve">sing </w:t>
      </w:r>
      <w:r>
        <w:rPr>
          <w:shd w:val="clear" w:color="auto" w:fill="FFFFFF"/>
          <w:lang w:val="en-GB"/>
        </w:rPr>
        <w:t>e</w:t>
      </w:r>
      <w:r w:rsidRPr="00045156">
        <w:rPr>
          <w:shd w:val="clear" w:color="auto" w:fill="FFFFFF"/>
          <w:lang w:val="en-GB"/>
        </w:rPr>
        <w:t xml:space="preserve">valuation </w:t>
      </w:r>
      <w:r>
        <w:rPr>
          <w:shd w:val="clear" w:color="auto" w:fill="FFFFFF"/>
          <w:lang w:val="en-GB"/>
        </w:rPr>
        <w:t>r</w:t>
      </w:r>
      <w:r w:rsidRPr="00045156">
        <w:rPr>
          <w:shd w:val="clear" w:color="auto" w:fill="FFFFFF"/>
          <w:lang w:val="en-GB"/>
        </w:rPr>
        <w:t xml:space="preserve">esearch within a </w:t>
      </w:r>
      <w:r>
        <w:rPr>
          <w:shd w:val="clear" w:color="auto" w:fill="FFFFFF"/>
          <w:lang w:val="en-GB"/>
        </w:rPr>
        <w:t>p</w:t>
      </w:r>
      <w:r w:rsidRPr="00045156">
        <w:rPr>
          <w:shd w:val="clear" w:color="auto" w:fill="FFFFFF"/>
          <w:lang w:val="en-GB"/>
        </w:rPr>
        <w:t xml:space="preserve">articipatory </w:t>
      </w:r>
      <w:r>
        <w:rPr>
          <w:shd w:val="clear" w:color="auto" w:fill="FFFFFF"/>
          <w:lang w:val="en-GB"/>
        </w:rPr>
        <w:t>f</w:t>
      </w:r>
      <w:r w:rsidRPr="00045156">
        <w:rPr>
          <w:shd w:val="clear" w:color="auto" w:fill="FFFFFF"/>
          <w:lang w:val="en-GB"/>
        </w:rPr>
        <w:t>ramework</w:t>
      </w:r>
      <w:r>
        <w:rPr>
          <w:shd w:val="clear" w:color="auto" w:fill="FFFFFF"/>
          <w:lang w:val="en-GB"/>
        </w:rPr>
        <w:t xml:space="preserve">’, </w:t>
      </w:r>
      <w:r w:rsidRPr="00045156">
        <w:rPr>
          <w:i/>
          <w:iCs/>
          <w:shd w:val="clear" w:color="auto" w:fill="FFFFFF"/>
          <w:lang w:val="en-GB"/>
        </w:rPr>
        <w:t>The Canadian Journal of Program Evaluation</w:t>
      </w:r>
      <w:r>
        <w:rPr>
          <w:iCs/>
          <w:shd w:val="clear" w:color="auto" w:fill="FFFFFF"/>
          <w:lang w:val="en-GB"/>
        </w:rPr>
        <w:t>,</w:t>
      </w:r>
      <w:r w:rsidRPr="00045156">
        <w:rPr>
          <w:i/>
          <w:iCs/>
          <w:shd w:val="clear" w:color="auto" w:fill="FFFFFF"/>
          <w:lang w:val="en-GB"/>
        </w:rPr>
        <w:t xml:space="preserve"> </w:t>
      </w:r>
      <w:r>
        <w:rPr>
          <w:shd w:val="clear" w:color="auto" w:fill="FFFFFF"/>
          <w:lang w:val="en-GB"/>
        </w:rPr>
        <w:t>12.1, pp. 133–</w:t>
      </w:r>
      <w:r w:rsidRPr="00045156">
        <w:rPr>
          <w:shd w:val="clear" w:color="auto" w:fill="FFFFFF"/>
          <w:lang w:val="en-GB"/>
        </w:rPr>
        <w:t xml:space="preserve">48. </w:t>
      </w:r>
    </w:p>
    <w:p w:rsidR="00251192" w:rsidRPr="00045156" w:rsidRDefault="00251192" w:rsidP="00251192">
      <w:pPr>
        <w:pStyle w:val="Reference"/>
        <w:rPr>
          <w:shd w:val="clear" w:color="auto" w:fill="FFFFFF"/>
          <w:lang w:val="en-GB"/>
        </w:rPr>
      </w:pPr>
      <w:r w:rsidRPr="00045156">
        <w:rPr>
          <w:shd w:val="clear" w:color="auto" w:fill="FFFFFF"/>
          <w:lang w:val="en-GB"/>
        </w:rPr>
        <w:t>Murray, N</w:t>
      </w:r>
      <w:r w:rsidR="00365D21">
        <w:rPr>
          <w:shd w:val="clear" w:color="auto" w:fill="FFFFFF"/>
          <w:lang w:val="en-GB"/>
        </w:rPr>
        <w:t>.</w:t>
      </w:r>
      <w:r w:rsidRPr="00045156">
        <w:rPr>
          <w:shd w:val="clear" w:color="auto" w:fill="FFFFFF"/>
          <w:lang w:val="en-GB"/>
        </w:rPr>
        <w:t xml:space="preserve"> and Murray</w:t>
      </w:r>
      <w:r w:rsidR="00365D21">
        <w:rPr>
          <w:shd w:val="clear" w:color="auto" w:fill="FFFFFF"/>
          <w:lang w:val="en-GB"/>
        </w:rPr>
        <w:t>, D</w:t>
      </w:r>
      <w:r w:rsidRPr="00045156">
        <w:rPr>
          <w:shd w:val="clear" w:color="auto" w:fill="FFFFFF"/>
          <w:lang w:val="en-GB"/>
        </w:rPr>
        <w:t>.</w:t>
      </w:r>
      <w:r w:rsidR="00365D21">
        <w:rPr>
          <w:shd w:val="clear" w:color="auto" w:fill="FFFFFF"/>
          <w:lang w:val="en-GB"/>
        </w:rPr>
        <w:t xml:space="preserve"> 2010,</w:t>
      </w:r>
      <w:r w:rsidRPr="00045156">
        <w:rPr>
          <w:shd w:val="clear" w:color="auto" w:fill="FFFFFF"/>
          <w:lang w:val="en-GB"/>
        </w:rPr>
        <w:t> </w:t>
      </w:r>
      <w:r w:rsidRPr="00045156">
        <w:rPr>
          <w:i/>
          <w:iCs/>
          <w:shd w:val="clear" w:color="auto" w:fill="FFFFFF"/>
          <w:lang w:val="en-GB"/>
        </w:rPr>
        <w:t>Improving Health Outcomes for Aboriginal People: A Year in Review</w:t>
      </w:r>
      <w:r w:rsidR="00365D21">
        <w:rPr>
          <w:shd w:val="clear" w:color="auto" w:fill="FFFFFF"/>
          <w:lang w:val="en-GB"/>
        </w:rPr>
        <w:t>,</w:t>
      </w:r>
      <w:r w:rsidRPr="00045156">
        <w:rPr>
          <w:shd w:val="clear" w:color="auto" w:fill="FFFFFF"/>
          <w:lang w:val="en-GB"/>
        </w:rPr>
        <w:t xml:space="preserve"> Fraser Health, </w:t>
      </w:r>
      <w:r w:rsidR="00365D21">
        <w:rPr>
          <w:shd w:val="clear" w:color="auto" w:fill="FFFFFF"/>
          <w:lang w:val="en-GB"/>
        </w:rPr>
        <w:t>rep. Surrey</w:t>
      </w:r>
      <w:r w:rsidRPr="00045156">
        <w:rPr>
          <w:shd w:val="clear" w:color="auto" w:fill="FFFFFF"/>
          <w:lang w:val="en-GB"/>
        </w:rPr>
        <w:t>.</w:t>
      </w:r>
    </w:p>
    <w:p w:rsidR="00251192" w:rsidRDefault="00251192" w:rsidP="00251192">
      <w:pPr>
        <w:pStyle w:val="Reference"/>
        <w:rPr>
          <w:shd w:val="clear" w:color="auto" w:fill="FFFFFF"/>
          <w:lang w:val="en-GB"/>
        </w:rPr>
      </w:pPr>
      <w:proofErr w:type="spellStart"/>
      <w:r w:rsidRPr="00045156">
        <w:rPr>
          <w:shd w:val="clear" w:color="auto" w:fill="FFFFFF"/>
          <w:lang w:val="en-GB"/>
        </w:rPr>
        <w:t>Neu</w:t>
      </w:r>
      <w:proofErr w:type="spellEnd"/>
      <w:r w:rsidRPr="00045156">
        <w:rPr>
          <w:shd w:val="clear" w:color="auto" w:fill="FFFFFF"/>
          <w:lang w:val="en-GB"/>
        </w:rPr>
        <w:t xml:space="preserve">, D. </w:t>
      </w:r>
      <w:r w:rsidR="00365D21">
        <w:rPr>
          <w:shd w:val="clear" w:color="auto" w:fill="FFFFFF"/>
          <w:lang w:val="en-GB"/>
        </w:rPr>
        <w:t xml:space="preserve">2000, </w:t>
      </w:r>
      <w:r w:rsidR="00B1382E">
        <w:rPr>
          <w:shd w:val="clear" w:color="auto" w:fill="FFFFFF"/>
          <w:lang w:val="en-GB"/>
        </w:rPr>
        <w:t>‘</w:t>
      </w:r>
      <w:r w:rsidRPr="00045156">
        <w:rPr>
          <w:shd w:val="clear" w:color="auto" w:fill="FFFFFF"/>
          <w:lang w:val="en-GB"/>
        </w:rPr>
        <w:t xml:space="preserve">Accounting and </w:t>
      </w:r>
      <w:r w:rsidR="00365D21">
        <w:rPr>
          <w:shd w:val="clear" w:color="auto" w:fill="FFFFFF"/>
          <w:lang w:val="en-GB"/>
        </w:rPr>
        <w:t>a</w:t>
      </w:r>
      <w:r w:rsidRPr="00045156">
        <w:rPr>
          <w:shd w:val="clear" w:color="auto" w:fill="FFFFFF"/>
          <w:lang w:val="en-GB"/>
        </w:rPr>
        <w:t xml:space="preserve">ccountability </w:t>
      </w:r>
      <w:r w:rsidR="00365D21">
        <w:rPr>
          <w:shd w:val="clear" w:color="auto" w:fill="FFFFFF"/>
          <w:lang w:val="en-GB"/>
        </w:rPr>
        <w:t>r</w:t>
      </w:r>
      <w:r w:rsidRPr="00045156">
        <w:rPr>
          <w:shd w:val="clear" w:color="auto" w:fill="FFFFFF"/>
          <w:lang w:val="en-GB"/>
        </w:rPr>
        <w:t xml:space="preserve">elations: </w:t>
      </w:r>
      <w:r w:rsidR="00365D21">
        <w:rPr>
          <w:shd w:val="clear" w:color="auto" w:fill="FFFFFF"/>
          <w:lang w:val="en-GB"/>
        </w:rPr>
        <w:t>c</w:t>
      </w:r>
      <w:r w:rsidRPr="00045156">
        <w:rPr>
          <w:shd w:val="clear" w:color="auto" w:fill="FFFFFF"/>
          <w:lang w:val="en-GB"/>
        </w:rPr>
        <w:t xml:space="preserve">olonization, </w:t>
      </w:r>
      <w:r w:rsidR="00365D21">
        <w:rPr>
          <w:shd w:val="clear" w:color="auto" w:fill="FFFFFF"/>
          <w:lang w:val="en-GB"/>
        </w:rPr>
        <w:t>g</w:t>
      </w:r>
      <w:r w:rsidRPr="00045156">
        <w:rPr>
          <w:shd w:val="clear" w:color="auto" w:fill="FFFFFF"/>
          <w:lang w:val="en-GB"/>
        </w:rPr>
        <w:t>enocide and Canada</w:t>
      </w:r>
      <w:r w:rsidR="00B1382E">
        <w:rPr>
          <w:shd w:val="clear" w:color="auto" w:fill="FFFFFF"/>
          <w:lang w:val="en-GB"/>
        </w:rPr>
        <w:t>’</w:t>
      </w:r>
      <w:r w:rsidRPr="00045156">
        <w:rPr>
          <w:shd w:val="clear" w:color="auto" w:fill="FFFFFF"/>
          <w:lang w:val="en-GB"/>
        </w:rPr>
        <w:t>s First Nations</w:t>
      </w:r>
      <w:r w:rsidR="00B1382E">
        <w:rPr>
          <w:shd w:val="clear" w:color="auto" w:fill="FFFFFF"/>
          <w:lang w:val="en-GB"/>
        </w:rPr>
        <w:t>’</w:t>
      </w:r>
      <w:r w:rsidR="00365D21">
        <w:rPr>
          <w:shd w:val="clear" w:color="auto" w:fill="FFFFFF"/>
          <w:lang w:val="en-GB"/>
        </w:rPr>
        <w:t>,</w:t>
      </w:r>
      <w:r>
        <w:rPr>
          <w:shd w:val="clear" w:color="auto" w:fill="FFFFFF"/>
          <w:lang w:val="en-GB"/>
        </w:rPr>
        <w:t xml:space="preserve"> </w:t>
      </w:r>
      <w:r w:rsidRPr="00045156">
        <w:rPr>
          <w:i/>
          <w:iCs/>
          <w:shd w:val="clear" w:color="auto" w:fill="FFFFFF"/>
          <w:lang w:val="en-GB"/>
        </w:rPr>
        <w:t>Accounting, Auditing &amp; Accountability Journal</w:t>
      </w:r>
      <w:r w:rsidR="00365D21">
        <w:rPr>
          <w:iCs/>
          <w:shd w:val="clear" w:color="auto" w:fill="FFFFFF"/>
          <w:lang w:val="en-GB"/>
        </w:rPr>
        <w:t>,</w:t>
      </w:r>
      <w:r w:rsidRPr="00045156">
        <w:rPr>
          <w:shd w:val="clear" w:color="auto" w:fill="FFFFFF"/>
          <w:lang w:val="en-GB"/>
        </w:rPr>
        <w:t> </w:t>
      </w:r>
      <w:r>
        <w:rPr>
          <w:shd w:val="clear" w:color="auto" w:fill="FFFFFF"/>
          <w:lang w:val="en-GB"/>
        </w:rPr>
        <w:t>13.3</w:t>
      </w:r>
      <w:r w:rsidR="00365D21">
        <w:rPr>
          <w:shd w:val="clear" w:color="auto" w:fill="FFFFFF"/>
          <w:lang w:val="en-GB"/>
        </w:rPr>
        <w:t>, pp.</w:t>
      </w:r>
      <w:r>
        <w:rPr>
          <w:shd w:val="clear" w:color="auto" w:fill="FFFFFF"/>
          <w:lang w:val="en-GB"/>
        </w:rPr>
        <w:t xml:space="preserve"> 268–</w:t>
      </w:r>
      <w:r w:rsidRPr="00045156">
        <w:rPr>
          <w:shd w:val="clear" w:color="auto" w:fill="FFFFFF"/>
          <w:lang w:val="en-GB"/>
        </w:rPr>
        <w:t xml:space="preserve">88. </w:t>
      </w:r>
    </w:p>
    <w:p w:rsidR="00D26B27" w:rsidRPr="00D26B27" w:rsidRDefault="00D26B27" w:rsidP="00D26B27">
      <w:pPr>
        <w:pStyle w:val="Reference"/>
        <w:rPr>
          <w:shd w:val="clear" w:color="auto" w:fill="FFFFFF"/>
          <w:lang w:val="en-GB"/>
        </w:rPr>
      </w:pPr>
      <w:proofErr w:type="spellStart"/>
      <w:r>
        <w:rPr>
          <w:shd w:val="clear" w:color="auto" w:fill="FFFFFF"/>
          <w:lang w:val="en-GB"/>
        </w:rPr>
        <w:lastRenderedPageBreak/>
        <w:t>OAG</w:t>
      </w:r>
      <w:proofErr w:type="spellEnd"/>
      <w:r>
        <w:rPr>
          <w:shd w:val="clear" w:color="auto" w:fill="FFFFFF"/>
          <w:lang w:val="en-GB"/>
        </w:rPr>
        <w:t xml:space="preserve"> (Office of the Auditor General of Canada) 2012, </w:t>
      </w:r>
      <w:r w:rsidRPr="00D26B27">
        <w:rPr>
          <w:i/>
          <w:shd w:val="clear" w:color="auto" w:fill="FFFFFF"/>
          <w:lang w:val="en-GB"/>
        </w:rPr>
        <w:t>Report of the Auditor General of Canada to the House of Commons</w:t>
      </w:r>
      <w:r>
        <w:rPr>
          <w:shd w:val="clear" w:color="auto" w:fill="FFFFFF"/>
          <w:lang w:val="en-GB"/>
        </w:rPr>
        <w:t>, Ottawa.</w:t>
      </w:r>
    </w:p>
    <w:p w:rsidR="00EF57FC" w:rsidRPr="00045156" w:rsidRDefault="00EF57FC" w:rsidP="00251192">
      <w:pPr>
        <w:pStyle w:val="Reference"/>
        <w:rPr>
          <w:shd w:val="clear" w:color="auto" w:fill="FFFFFF"/>
          <w:lang w:val="en-GB"/>
        </w:rPr>
      </w:pPr>
      <w:r>
        <w:rPr>
          <w:shd w:val="clear" w:color="auto" w:fill="FFFFFF"/>
          <w:lang w:val="en-GB"/>
        </w:rPr>
        <w:t xml:space="preserve">Public Safety Canada 2010, </w:t>
      </w:r>
      <w:r w:rsidR="0027451E" w:rsidRPr="00DB163C">
        <w:rPr>
          <w:i/>
          <w:shd w:val="clear" w:color="auto" w:fill="FFFFFF"/>
          <w:lang w:val="en-GB"/>
        </w:rPr>
        <w:t>2009–2010 Evaluation of the First Nations Policing Program</w:t>
      </w:r>
      <w:r>
        <w:rPr>
          <w:shd w:val="clear" w:color="auto" w:fill="FFFFFF"/>
          <w:lang w:val="en-GB"/>
        </w:rPr>
        <w:t xml:space="preserve">, rep. Ottawa. </w:t>
      </w:r>
    </w:p>
    <w:p w:rsidR="00251192" w:rsidRPr="00045156" w:rsidRDefault="00251192" w:rsidP="00251192">
      <w:pPr>
        <w:pStyle w:val="Reference"/>
        <w:rPr>
          <w:shd w:val="clear" w:color="auto" w:fill="FFFFFF"/>
          <w:lang w:val="en-GB"/>
        </w:rPr>
      </w:pPr>
      <w:proofErr w:type="spellStart"/>
      <w:r w:rsidRPr="00045156">
        <w:rPr>
          <w:shd w:val="clear" w:color="auto" w:fill="FFFFFF"/>
          <w:lang w:val="en-GB"/>
        </w:rPr>
        <w:t>Quantz</w:t>
      </w:r>
      <w:proofErr w:type="spellEnd"/>
      <w:r w:rsidRPr="00045156">
        <w:rPr>
          <w:shd w:val="clear" w:color="auto" w:fill="FFFFFF"/>
          <w:lang w:val="en-GB"/>
        </w:rPr>
        <w:t>, D. and Thurston</w:t>
      </w:r>
      <w:r w:rsidR="00365D21">
        <w:rPr>
          <w:shd w:val="clear" w:color="auto" w:fill="FFFFFF"/>
          <w:lang w:val="en-GB"/>
        </w:rPr>
        <w:t>, W</w:t>
      </w:r>
      <w:r w:rsidRPr="00045156">
        <w:rPr>
          <w:shd w:val="clear" w:color="auto" w:fill="FFFFFF"/>
          <w:lang w:val="en-GB"/>
        </w:rPr>
        <w:t xml:space="preserve">. </w:t>
      </w:r>
      <w:r w:rsidR="00365D21">
        <w:rPr>
          <w:shd w:val="clear" w:color="auto" w:fill="FFFFFF"/>
          <w:lang w:val="en-GB"/>
        </w:rPr>
        <w:t xml:space="preserve">2006, </w:t>
      </w:r>
      <w:r w:rsidR="00B1382E">
        <w:rPr>
          <w:shd w:val="clear" w:color="auto" w:fill="FFFFFF"/>
          <w:lang w:val="en-GB"/>
        </w:rPr>
        <w:t>‘</w:t>
      </w:r>
      <w:r w:rsidRPr="00045156">
        <w:rPr>
          <w:shd w:val="clear" w:color="auto" w:fill="FFFFFF"/>
          <w:lang w:val="en-GB"/>
        </w:rPr>
        <w:t xml:space="preserve">Representation </w:t>
      </w:r>
      <w:r w:rsidR="00365D21">
        <w:rPr>
          <w:shd w:val="clear" w:color="auto" w:fill="FFFFFF"/>
          <w:lang w:val="en-GB"/>
        </w:rPr>
        <w:t>s</w:t>
      </w:r>
      <w:r w:rsidRPr="00045156">
        <w:rPr>
          <w:shd w:val="clear" w:color="auto" w:fill="FFFFFF"/>
          <w:lang w:val="en-GB"/>
        </w:rPr>
        <w:t xml:space="preserve">trategies in </w:t>
      </w:r>
      <w:r w:rsidR="00365D21">
        <w:rPr>
          <w:shd w:val="clear" w:color="auto" w:fill="FFFFFF"/>
          <w:lang w:val="en-GB"/>
        </w:rPr>
        <w:t>p</w:t>
      </w:r>
      <w:r w:rsidRPr="00045156">
        <w:rPr>
          <w:shd w:val="clear" w:color="auto" w:fill="FFFFFF"/>
          <w:lang w:val="en-GB"/>
        </w:rPr>
        <w:t xml:space="preserve">ublic </w:t>
      </w:r>
      <w:r w:rsidR="00365D21">
        <w:rPr>
          <w:shd w:val="clear" w:color="auto" w:fill="FFFFFF"/>
          <w:lang w:val="en-GB"/>
        </w:rPr>
        <w:t>p</w:t>
      </w:r>
      <w:r w:rsidRPr="00045156">
        <w:rPr>
          <w:shd w:val="clear" w:color="auto" w:fill="FFFFFF"/>
          <w:lang w:val="en-GB"/>
        </w:rPr>
        <w:t xml:space="preserve">articipation in </w:t>
      </w:r>
      <w:r w:rsidR="00365D21">
        <w:rPr>
          <w:shd w:val="clear" w:color="auto" w:fill="FFFFFF"/>
          <w:lang w:val="en-GB"/>
        </w:rPr>
        <w:t>h</w:t>
      </w:r>
      <w:r w:rsidRPr="00045156">
        <w:rPr>
          <w:shd w:val="clear" w:color="auto" w:fill="FFFFFF"/>
          <w:lang w:val="en-GB"/>
        </w:rPr>
        <w:t xml:space="preserve">ealth </w:t>
      </w:r>
      <w:r w:rsidR="00365D21">
        <w:rPr>
          <w:shd w:val="clear" w:color="auto" w:fill="FFFFFF"/>
          <w:lang w:val="en-GB"/>
        </w:rPr>
        <w:t>p</w:t>
      </w:r>
      <w:r w:rsidRPr="00045156">
        <w:rPr>
          <w:shd w:val="clear" w:color="auto" w:fill="FFFFFF"/>
          <w:lang w:val="en-GB"/>
        </w:rPr>
        <w:t xml:space="preserve">olicy: </w:t>
      </w:r>
      <w:r w:rsidR="00365D21">
        <w:rPr>
          <w:shd w:val="clear" w:color="auto" w:fill="FFFFFF"/>
          <w:lang w:val="en-GB"/>
        </w:rPr>
        <w:t>t</w:t>
      </w:r>
      <w:r w:rsidRPr="00045156">
        <w:rPr>
          <w:shd w:val="clear" w:color="auto" w:fill="FFFFFF"/>
          <w:lang w:val="en-GB"/>
        </w:rPr>
        <w:t>he Aboriginal Community Health Council</w:t>
      </w:r>
      <w:r w:rsidR="00B1382E">
        <w:rPr>
          <w:shd w:val="clear" w:color="auto" w:fill="FFFFFF"/>
          <w:lang w:val="en-GB"/>
        </w:rPr>
        <w:t>’</w:t>
      </w:r>
      <w:r w:rsidR="00365D21">
        <w:rPr>
          <w:shd w:val="clear" w:color="auto" w:fill="FFFFFF"/>
          <w:lang w:val="en-GB"/>
        </w:rPr>
        <w:t>,</w:t>
      </w:r>
      <w:r>
        <w:rPr>
          <w:shd w:val="clear" w:color="auto" w:fill="FFFFFF"/>
          <w:lang w:val="en-GB"/>
        </w:rPr>
        <w:t xml:space="preserve"> </w:t>
      </w:r>
      <w:r w:rsidRPr="00045156">
        <w:rPr>
          <w:i/>
          <w:iCs/>
          <w:shd w:val="clear" w:color="auto" w:fill="FFFFFF"/>
          <w:lang w:val="en-GB"/>
        </w:rPr>
        <w:t>Health Policy</w:t>
      </w:r>
      <w:r w:rsidR="00365D21">
        <w:rPr>
          <w:iCs/>
          <w:shd w:val="clear" w:color="auto" w:fill="FFFFFF"/>
          <w:lang w:val="en-GB"/>
        </w:rPr>
        <w:t>,</w:t>
      </w:r>
      <w:r w:rsidRPr="00045156">
        <w:rPr>
          <w:shd w:val="clear" w:color="auto" w:fill="FFFFFF"/>
          <w:lang w:val="en-GB"/>
        </w:rPr>
        <w:t> </w:t>
      </w:r>
      <w:r>
        <w:rPr>
          <w:shd w:val="clear" w:color="auto" w:fill="FFFFFF"/>
          <w:lang w:val="en-GB"/>
        </w:rPr>
        <w:t>75.3</w:t>
      </w:r>
      <w:r w:rsidR="00365D21">
        <w:rPr>
          <w:shd w:val="clear" w:color="auto" w:fill="FFFFFF"/>
          <w:lang w:val="en-GB"/>
        </w:rPr>
        <w:t>, pp.</w:t>
      </w:r>
      <w:r>
        <w:rPr>
          <w:shd w:val="clear" w:color="auto" w:fill="FFFFFF"/>
          <w:lang w:val="en-GB"/>
        </w:rPr>
        <w:t xml:space="preserve"> 243–</w:t>
      </w:r>
      <w:r w:rsidRPr="00045156">
        <w:rPr>
          <w:shd w:val="clear" w:color="auto" w:fill="FFFFFF"/>
          <w:lang w:val="en-GB"/>
        </w:rPr>
        <w:t xml:space="preserve">50. </w:t>
      </w:r>
    </w:p>
    <w:p w:rsidR="00251192" w:rsidRPr="00045156" w:rsidRDefault="00251192" w:rsidP="00251192">
      <w:pPr>
        <w:pStyle w:val="Reference"/>
        <w:rPr>
          <w:shd w:val="clear" w:color="auto" w:fill="FFFFFF"/>
          <w:lang w:val="en-GB"/>
        </w:rPr>
      </w:pPr>
      <w:proofErr w:type="spellStart"/>
      <w:r w:rsidRPr="00045156">
        <w:rPr>
          <w:shd w:val="clear" w:color="auto" w:fill="FFFFFF"/>
          <w:lang w:val="en-GB"/>
        </w:rPr>
        <w:t>Raham</w:t>
      </w:r>
      <w:proofErr w:type="spellEnd"/>
      <w:r w:rsidRPr="00045156">
        <w:rPr>
          <w:shd w:val="clear" w:color="auto" w:fill="FFFFFF"/>
          <w:lang w:val="en-GB"/>
        </w:rPr>
        <w:t>, H.</w:t>
      </w:r>
      <w:r w:rsidR="00365D21">
        <w:rPr>
          <w:shd w:val="clear" w:color="auto" w:fill="FFFFFF"/>
          <w:lang w:val="en-GB"/>
        </w:rPr>
        <w:t xml:space="preserve"> 2010,</w:t>
      </w:r>
      <w:r w:rsidRPr="00045156">
        <w:rPr>
          <w:shd w:val="clear" w:color="auto" w:fill="FFFFFF"/>
          <w:lang w:val="en-GB"/>
        </w:rPr>
        <w:t> </w:t>
      </w:r>
      <w:r w:rsidR="009C5C2E">
        <w:rPr>
          <w:shd w:val="clear" w:color="auto" w:fill="FFFFFF"/>
          <w:lang w:val="en-GB"/>
        </w:rPr>
        <w:t>‘</w:t>
      </w:r>
      <w:r w:rsidR="0027451E" w:rsidRPr="00670D14">
        <w:rPr>
          <w:iCs/>
          <w:shd w:val="clear" w:color="auto" w:fill="FFFFFF"/>
          <w:lang w:val="en-GB"/>
        </w:rPr>
        <w:t xml:space="preserve">Policy </w:t>
      </w:r>
      <w:r w:rsidR="009C5C2E">
        <w:rPr>
          <w:iCs/>
          <w:shd w:val="clear" w:color="auto" w:fill="FFFFFF"/>
          <w:lang w:val="en-GB"/>
        </w:rPr>
        <w:t>l</w:t>
      </w:r>
      <w:r w:rsidR="0027451E" w:rsidRPr="00670D14">
        <w:rPr>
          <w:iCs/>
          <w:shd w:val="clear" w:color="auto" w:fill="FFFFFF"/>
          <w:lang w:val="en-GB"/>
        </w:rPr>
        <w:t xml:space="preserve">evers for </w:t>
      </w:r>
      <w:r w:rsidR="009C5C2E">
        <w:rPr>
          <w:iCs/>
          <w:shd w:val="clear" w:color="auto" w:fill="FFFFFF"/>
          <w:lang w:val="en-GB"/>
        </w:rPr>
        <w:t>i</w:t>
      </w:r>
      <w:r w:rsidR="0027451E" w:rsidRPr="00670D14">
        <w:rPr>
          <w:iCs/>
          <w:shd w:val="clear" w:color="auto" w:fill="FFFFFF"/>
          <w:lang w:val="en-GB"/>
        </w:rPr>
        <w:t xml:space="preserve">mproving </w:t>
      </w:r>
      <w:r w:rsidR="009C5C2E">
        <w:rPr>
          <w:iCs/>
          <w:shd w:val="clear" w:color="auto" w:fill="FFFFFF"/>
          <w:lang w:val="en-GB"/>
        </w:rPr>
        <w:t>o</w:t>
      </w:r>
      <w:r w:rsidR="0027451E" w:rsidRPr="00670D14">
        <w:rPr>
          <w:iCs/>
          <w:shd w:val="clear" w:color="auto" w:fill="FFFFFF"/>
          <w:lang w:val="en-GB"/>
        </w:rPr>
        <w:t xml:space="preserve">utcomes for </w:t>
      </w:r>
      <w:r w:rsidR="009C5C2E">
        <w:rPr>
          <w:iCs/>
          <w:shd w:val="clear" w:color="auto" w:fill="FFFFFF"/>
          <w:lang w:val="en-GB"/>
        </w:rPr>
        <w:t>o</w:t>
      </w:r>
      <w:r w:rsidR="0027451E" w:rsidRPr="00670D14">
        <w:rPr>
          <w:iCs/>
          <w:shd w:val="clear" w:color="auto" w:fill="FFFFFF"/>
          <w:lang w:val="en-GB"/>
        </w:rPr>
        <w:t>ff-</w:t>
      </w:r>
      <w:r w:rsidR="009C5C2E">
        <w:rPr>
          <w:iCs/>
          <w:shd w:val="clear" w:color="auto" w:fill="FFFFFF"/>
          <w:lang w:val="en-GB"/>
        </w:rPr>
        <w:t>r</w:t>
      </w:r>
      <w:r w:rsidR="0027451E" w:rsidRPr="00670D14">
        <w:rPr>
          <w:iCs/>
          <w:shd w:val="clear" w:color="auto" w:fill="FFFFFF"/>
          <w:lang w:val="en-GB"/>
        </w:rPr>
        <w:t xml:space="preserve">eserve </w:t>
      </w:r>
      <w:r w:rsidR="009C5C2E">
        <w:rPr>
          <w:iCs/>
          <w:shd w:val="clear" w:color="auto" w:fill="FFFFFF"/>
          <w:lang w:val="en-GB"/>
        </w:rPr>
        <w:t>s</w:t>
      </w:r>
      <w:r w:rsidR="0027451E" w:rsidRPr="00670D14">
        <w:rPr>
          <w:iCs/>
          <w:shd w:val="clear" w:color="auto" w:fill="FFFFFF"/>
          <w:lang w:val="en-GB"/>
        </w:rPr>
        <w:t>tudents</w:t>
      </w:r>
      <w:r w:rsidR="00365D21">
        <w:rPr>
          <w:shd w:val="clear" w:color="auto" w:fill="FFFFFF"/>
          <w:lang w:val="en-GB"/>
        </w:rPr>
        <w:t>,</w:t>
      </w:r>
      <w:r w:rsidRPr="00045156">
        <w:rPr>
          <w:shd w:val="clear" w:color="auto" w:fill="FFFFFF"/>
          <w:lang w:val="en-GB"/>
        </w:rPr>
        <w:t xml:space="preserve"> </w:t>
      </w:r>
      <w:r w:rsidR="00365D21">
        <w:rPr>
          <w:shd w:val="clear" w:color="auto" w:fill="FFFFFF"/>
          <w:lang w:val="en-GB"/>
        </w:rPr>
        <w:t>w</w:t>
      </w:r>
      <w:r w:rsidRPr="00045156">
        <w:rPr>
          <w:shd w:val="clear" w:color="auto" w:fill="FFFFFF"/>
          <w:lang w:val="en-GB"/>
        </w:rPr>
        <w:t>orking paper</w:t>
      </w:r>
      <w:r w:rsidR="009C5C2E">
        <w:rPr>
          <w:shd w:val="clear" w:color="auto" w:fill="FFFFFF"/>
          <w:lang w:val="en-GB"/>
        </w:rPr>
        <w:t>,</w:t>
      </w:r>
      <w:r w:rsidRPr="00045156">
        <w:rPr>
          <w:shd w:val="clear" w:color="auto" w:fill="FFFFFF"/>
          <w:lang w:val="en-GB"/>
        </w:rPr>
        <w:t xml:space="preserve"> </w:t>
      </w:r>
      <w:r w:rsidR="0027451E" w:rsidRPr="00670D14">
        <w:rPr>
          <w:i/>
          <w:shd w:val="clear" w:color="auto" w:fill="FFFFFF"/>
          <w:lang w:val="en-GB"/>
        </w:rPr>
        <w:t>Colloquium on Improving the Educational Outcomes of Aboriginal People Living Off-Reserve</w:t>
      </w:r>
      <w:r w:rsidRPr="00045156">
        <w:rPr>
          <w:shd w:val="clear" w:color="auto" w:fill="FFFFFF"/>
          <w:lang w:val="en-GB"/>
        </w:rPr>
        <w:t xml:space="preserve">, </w:t>
      </w:r>
      <w:r w:rsidR="009C5C2E">
        <w:rPr>
          <w:shd w:val="clear" w:color="auto" w:fill="FFFFFF"/>
          <w:lang w:val="en-GB"/>
        </w:rPr>
        <w:t>Kelowna</w:t>
      </w:r>
      <w:r w:rsidRPr="00045156">
        <w:rPr>
          <w:shd w:val="clear" w:color="auto" w:fill="FFFFFF"/>
          <w:lang w:val="en-GB"/>
        </w:rPr>
        <w:t>.</w:t>
      </w:r>
    </w:p>
    <w:p w:rsidR="006A7E31" w:rsidRDefault="006A7E31" w:rsidP="00251192">
      <w:pPr>
        <w:pStyle w:val="Reference"/>
        <w:rPr>
          <w:shd w:val="clear" w:color="auto" w:fill="FFFFFF"/>
          <w:lang w:val="en-GB"/>
        </w:rPr>
      </w:pPr>
      <w:proofErr w:type="spellStart"/>
      <w:r>
        <w:rPr>
          <w:shd w:val="clear" w:color="auto" w:fill="FFFFFF"/>
          <w:lang w:val="en-GB"/>
        </w:rPr>
        <w:t>RCAP</w:t>
      </w:r>
      <w:proofErr w:type="spellEnd"/>
      <w:r>
        <w:rPr>
          <w:shd w:val="clear" w:color="auto" w:fill="FFFFFF"/>
          <w:lang w:val="en-GB"/>
        </w:rPr>
        <w:t xml:space="preserve"> 1996, </w:t>
      </w:r>
      <w:r w:rsidRPr="00670D14">
        <w:rPr>
          <w:i/>
          <w:shd w:val="clear" w:color="auto" w:fill="FFFFFF"/>
          <w:lang w:val="en-GB"/>
        </w:rPr>
        <w:t>Report of the Royal Commission on Aboriginal Peoples</w:t>
      </w:r>
      <w:r>
        <w:rPr>
          <w:shd w:val="clear" w:color="auto" w:fill="FFFFFF"/>
          <w:lang w:val="en-GB"/>
        </w:rPr>
        <w:t xml:space="preserve">, </w:t>
      </w:r>
      <w:proofErr w:type="spellStart"/>
      <w:r>
        <w:rPr>
          <w:shd w:val="clear" w:color="auto" w:fill="FFFFFF"/>
          <w:lang w:val="en-GB"/>
        </w:rPr>
        <w:t>vols</w:t>
      </w:r>
      <w:proofErr w:type="spellEnd"/>
      <w:r>
        <w:rPr>
          <w:shd w:val="clear" w:color="auto" w:fill="FFFFFF"/>
          <w:lang w:val="en-GB"/>
        </w:rPr>
        <w:t xml:space="preserve"> 1–5, Canada Communication Group, Ottawa. </w:t>
      </w:r>
    </w:p>
    <w:p w:rsidR="00251192" w:rsidRPr="00045156" w:rsidRDefault="00251192" w:rsidP="00251192">
      <w:pPr>
        <w:pStyle w:val="Reference"/>
        <w:rPr>
          <w:shd w:val="clear" w:color="auto" w:fill="FFFFFF"/>
          <w:lang w:val="en-GB"/>
        </w:rPr>
      </w:pPr>
      <w:r w:rsidRPr="00045156">
        <w:rPr>
          <w:shd w:val="clear" w:color="auto" w:fill="FFFFFF"/>
          <w:lang w:val="en-GB"/>
        </w:rPr>
        <w:t xml:space="preserve">Richmond, </w:t>
      </w:r>
      <w:proofErr w:type="spellStart"/>
      <w:r w:rsidRPr="00045156">
        <w:rPr>
          <w:shd w:val="clear" w:color="auto" w:fill="FFFFFF"/>
          <w:lang w:val="en-GB"/>
        </w:rPr>
        <w:t>Chantelle</w:t>
      </w:r>
      <w:proofErr w:type="spellEnd"/>
      <w:r w:rsidRPr="00045156">
        <w:rPr>
          <w:shd w:val="clear" w:color="auto" w:fill="FFFFFF"/>
          <w:lang w:val="en-GB"/>
        </w:rPr>
        <w:t xml:space="preserve"> A.M. and Ross</w:t>
      </w:r>
      <w:r w:rsidR="009C5C2E">
        <w:rPr>
          <w:shd w:val="clear" w:color="auto" w:fill="FFFFFF"/>
          <w:lang w:val="en-GB"/>
        </w:rPr>
        <w:t xml:space="preserve">, </w:t>
      </w:r>
      <w:proofErr w:type="spellStart"/>
      <w:r w:rsidR="009C5C2E">
        <w:rPr>
          <w:shd w:val="clear" w:color="auto" w:fill="FFFFFF"/>
          <w:lang w:val="en-GB"/>
        </w:rPr>
        <w:t>N</w:t>
      </w:r>
      <w:r w:rsidR="00670D14">
        <w:rPr>
          <w:shd w:val="clear" w:color="auto" w:fill="FFFFFF"/>
          <w:lang w:val="en-GB"/>
        </w:rPr>
        <w:t>.</w:t>
      </w:r>
      <w:r w:rsidR="009C5C2E">
        <w:rPr>
          <w:shd w:val="clear" w:color="auto" w:fill="FFFFFF"/>
          <w:lang w:val="en-GB"/>
        </w:rPr>
        <w:t>A</w:t>
      </w:r>
      <w:proofErr w:type="spellEnd"/>
      <w:r w:rsidRPr="00045156">
        <w:rPr>
          <w:shd w:val="clear" w:color="auto" w:fill="FFFFFF"/>
          <w:lang w:val="en-GB"/>
        </w:rPr>
        <w:t xml:space="preserve">. </w:t>
      </w:r>
      <w:r w:rsidR="009C5C2E">
        <w:rPr>
          <w:shd w:val="clear" w:color="auto" w:fill="FFFFFF"/>
          <w:lang w:val="en-GB"/>
        </w:rPr>
        <w:t xml:space="preserve">2008, </w:t>
      </w:r>
      <w:r w:rsidR="00B1382E">
        <w:rPr>
          <w:shd w:val="clear" w:color="auto" w:fill="FFFFFF"/>
          <w:lang w:val="en-GB"/>
        </w:rPr>
        <w:t>‘</w:t>
      </w:r>
      <w:r w:rsidRPr="00045156">
        <w:rPr>
          <w:shd w:val="clear" w:color="auto" w:fill="FFFFFF"/>
          <w:lang w:val="en-GB"/>
        </w:rPr>
        <w:t xml:space="preserve">Social </w:t>
      </w:r>
      <w:r w:rsidR="009C5C2E">
        <w:rPr>
          <w:shd w:val="clear" w:color="auto" w:fill="FFFFFF"/>
          <w:lang w:val="en-GB"/>
        </w:rPr>
        <w:t>s</w:t>
      </w:r>
      <w:r w:rsidRPr="00045156">
        <w:rPr>
          <w:shd w:val="clear" w:color="auto" w:fill="FFFFFF"/>
          <w:lang w:val="en-GB"/>
        </w:rPr>
        <w:t xml:space="preserve">upport, </w:t>
      </w:r>
      <w:r w:rsidR="009C5C2E">
        <w:rPr>
          <w:shd w:val="clear" w:color="auto" w:fill="FFFFFF"/>
          <w:lang w:val="en-GB"/>
        </w:rPr>
        <w:t>m</w:t>
      </w:r>
      <w:r w:rsidRPr="00045156">
        <w:rPr>
          <w:shd w:val="clear" w:color="auto" w:fill="FFFFFF"/>
          <w:lang w:val="en-GB"/>
        </w:rPr>
        <w:t xml:space="preserve">aterial </w:t>
      </w:r>
      <w:r w:rsidR="009C5C2E">
        <w:rPr>
          <w:shd w:val="clear" w:color="auto" w:fill="FFFFFF"/>
          <w:lang w:val="en-GB"/>
        </w:rPr>
        <w:t>c</w:t>
      </w:r>
      <w:r w:rsidRPr="00045156">
        <w:rPr>
          <w:shd w:val="clear" w:color="auto" w:fill="FFFFFF"/>
          <w:lang w:val="en-GB"/>
        </w:rPr>
        <w:t xml:space="preserve">ircumstance and </w:t>
      </w:r>
      <w:r w:rsidR="009C5C2E">
        <w:rPr>
          <w:shd w:val="clear" w:color="auto" w:fill="FFFFFF"/>
          <w:lang w:val="en-GB"/>
        </w:rPr>
        <w:t>h</w:t>
      </w:r>
      <w:r w:rsidRPr="00045156">
        <w:rPr>
          <w:shd w:val="clear" w:color="auto" w:fill="FFFFFF"/>
          <w:lang w:val="en-GB"/>
        </w:rPr>
        <w:t xml:space="preserve">ealth </w:t>
      </w:r>
      <w:r w:rsidR="009C5C2E">
        <w:rPr>
          <w:shd w:val="clear" w:color="auto" w:fill="FFFFFF"/>
          <w:lang w:val="en-GB"/>
        </w:rPr>
        <w:t>b</w:t>
      </w:r>
      <w:r w:rsidRPr="00045156">
        <w:rPr>
          <w:shd w:val="clear" w:color="auto" w:fill="FFFFFF"/>
          <w:lang w:val="en-GB"/>
        </w:rPr>
        <w:t xml:space="preserve">ehaviour: </w:t>
      </w:r>
      <w:r w:rsidR="009C5C2E">
        <w:rPr>
          <w:shd w:val="clear" w:color="auto" w:fill="FFFFFF"/>
          <w:lang w:val="en-GB"/>
        </w:rPr>
        <w:t>i</w:t>
      </w:r>
      <w:r w:rsidRPr="00045156">
        <w:rPr>
          <w:shd w:val="clear" w:color="auto" w:fill="FFFFFF"/>
          <w:lang w:val="en-GB"/>
        </w:rPr>
        <w:t xml:space="preserve">nfluences on </w:t>
      </w:r>
      <w:r w:rsidR="009C5C2E">
        <w:rPr>
          <w:shd w:val="clear" w:color="auto" w:fill="FFFFFF"/>
          <w:lang w:val="en-GB"/>
        </w:rPr>
        <w:t>h</w:t>
      </w:r>
      <w:r w:rsidRPr="00045156">
        <w:rPr>
          <w:shd w:val="clear" w:color="auto" w:fill="FFFFFF"/>
          <w:lang w:val="en-GB"/>
        </w:rPr>
        <w:t xml:space="preserve">ealth in First Nation and Inuit </w:t>
      </w:r>
      <w:r w:rsidR="009C5C2E">
        <w:rPr>
          <w:shd w:val="clear" w:color="auto" w:fill="FFFFFF"/>
          <w:lang w:val="en-GB"/>
        </w:rPr>
        <w:t>c</w:t>
      </w:r>
      <w:r w:rsidRPr="00045156">
        <w:rPr>
          <w:shd w:val="clear" w:color="auto" w:fill="FFFFFF"/>
          <w:lang w:val="en-GB"/>
        </w:rPr>
        <w:t>ommunities of Canada</w:t>
      </w:r>
      <w:r w:rsidR="00B1382E">
        <w:rPr>
          <w:shd w:val="clear" w:color="auto" w:fill="FFFFFF"/>
          <w:lang w:val="en-GB"/>
        </w:rPr>
        <w:t>’</w:t>
      </w:r>
      <w:r w:rsidR="009C5C2E">
        <w:rPr>
          <w:shd w:val="clear" w:color="auto" w:fill="FFFFFF"/>
          <w:lang w:val="en-GB"/>
        </w:rPr>
        <w:t>,</w:t>
      </w:r>
      <w:r>
        <w:rPr>
          <w:shd w:val="clear" w:color="auto" w:fill="FFFFFF"/>
          <w:lang w:val="en-GB"/>
        </w:rPr>
        <w:t xml:space="preserve"> </w:t>
      </w:r>
      <w:r w:rsidRPr="00045156">
        <w:rPr>
          <w:i/>
          <w:iCs/>
          <w:shd w:val="clear" w:color="auto" w:fill="FFFFFF"/>
          <w:lang w:val="en-GB"/>
        </w:rPr>
        <w:t>Social Science &amp; Medicine</w:t>
      </w:r>
      <w:r w:rsidR="009C5C2E">
        <w:rPr>
          <w:iCs/>
          <w:shd w:val="clear" w:color="auto" w:fill="FFFFFF"/>
          <w:lang w:val="en-GB"/>
        </w:rPr>
        <w:t>,</w:t>
      </w:r>
      <w:r w:rsidRPr="00045156">
        <w:rPr>
          <w:shd w:val="clear" w:color="auto" w:fill="FFFFFF"/>
          <w:lang w:val="en-GB"/>
        </w:rPr>
        <w:t> </w:t>
      </w:r>
      <w:r>
        <w:rPr>
          <w:shd w:val="clear" w:color="auto" w:fill="FFFFFF"/>
          <w:lang w:val="en-GB"/>
        </w:rPr>
        <w:t>67.9</w:t>
      </w:r>
      <w:r w:rsidR="009C5C2E">
        <w:rPr>
          <w:shd w:val="clear" w:color="auto" w:fill="FFFFFF"/>
          <w:lang w:val="en-GB"/>
        </w:rPr>
        <w:t>, pp.</w:t>
      </w:r>
      <w:r>
        <w:rPr>
          <w:shd w:val="clear" w:color="auto" w:fill="FFFFFF"/>
          <w:lang w:val="en-GB"/>
        </w:rPr>
        <w:t xml:space="preserve"> 1423–</w:t>
      </w:r>
      <w:r w:rsidRPr="00045156">
        <w:rPr>
          <w:shd w:val="clear" w:color="auto" w:fill="FFFFFF"/>
          <w:lang w:val="en-GB"/>
        </w:rPr>
        <w:t xml:space="preserve">33. </w:t>
      </w:r>
    </w:p>
    <w:p w:rsidR="00251192" w:rsidRPr="00045156" w:rsidRDefault="00251192" w:rsidP="00251192">
      <w:pPr>
        <w:pStyle w:val="Reference"/>
        <w:rPr>
          <w:shd w:val="clear" w:color="auto" w:fill="FFFFFF"/>
          <w:lang w:val="en-GB"/>
        </w:rPr>
      </w:pPr>
      <w:r w:rsidRPr="00045156">
        <w:rPr>
          <w:shd w:val="clear" w:color="auto" w:fill="FFFFFF"/>
          <w:lang w:val="en-GB"/>
        </w:rPr>
        <w:t>Shepherd, R</w:t>
      </w:r>
      <w:r w:rsidR="009C5C2E">
        <w:rPr>
          <w:shd w:val="clear" w:color="auto" w:fill="FFFFFF"/>
          <w:lang w:val="en-GB"/>
        </w:rPr>
        <w:t>.</w:t>
      </w:r>
      <w:r w:rsidRPr="00045156">
        <w:rPr>
          <w:shd w:val="clear" w:color="auto" w:fill="FFFFFF"/>
          <w:lang w:val="en-GB"/>
        </w:rPr>
        <w:t xml:space="preserve"> and </w:t>
      </w:r>
      <w:proofErr w:type="spellStart"/>
      <w:r w:rsidRPr="00045156">
        <w:rPr>
          <w:shd w:val="clear" w:color="auto" w:fill="FFFFFF"/>
          <w:lang w:val="en-GB"/>
        </w:rPr>
        <w:t>Persad</w:t>
      </w:r>
      <w:proofErr w:type="spellEnd"/>
      <w:r w:rsidR="009C5C2E">
        <w:rPr>
          <w:shd w:val="clear" w:color="auto" w:fill="FFFFFF"/>
          <w:lang w:val="en-GB"/>
        </w:rPr>
        <w:t>, K</w:t>
      </w:r>
      <w:r w:rsidRPr="00045156">
        <w:rPr>
          <w:shd w:val="clear" w:color="auto" w:fill="FFFFFF"/>
          <w:lang w:val="en-GB"/>
        </w:rPr>
        <w:t>.</w:t>
      </w:r>
      <w:r>
        <w:rPr>
          <w:shd w:val="clear" w:color="auto" w:fill="FFFFFF"/>
          <w:lang w:val="en-GB"/>
        </w:rPr>
        <w:t xml:space="preserve"> </w:t>
      </w:r>
      <w:r w:rsidR="009C5C2E">
        <w:rPr>
          <w:shd w:val="clear" w:color="auto" w:fill="FFFFFF"/>
          <w:lang w:val="en-GB"/>
        </w:rPr>
        <w:t>20</w:t>
      </w:r>
      <w:r w:rsidR="002C7874">
        <w:rPr>
          <w:shd w:val="clear" w:color="auto" w:fill="FFFFFF"/>
          <w:lang w:val="en-GB"/>
        </w:rPr>
        <w:t>09</w:t>
      </w:r>
      <w:r w:rsidR="009C5C2E">
        <w:rPr>
          <w:shd w:val="clear" w:color="auto" w:fill="FFFFFF"/>
          <w:lang w:val="en-GB"/>
        </w:rPr>
        <w:t xml:space="preserve">, </w:t>
      </w:r>
      <w:r w:rsidRPr="00251192">
        <w:rPr>
          <w:i/>
          <w:shd w:val="clear" w:color="auto" w:fill="FFFFFF"/>
          <w:lang w:val="en-GB"/>
        </w:rPr>
        <w:t>Place-Based Evaluation in a First Nations Context: Something Old, Nothing New, Often Borrowed, and Frequently Blue</w:t>
      </w:r>
      <w:r w:rsidR="009C5C2E">
        <w:rPr>
          <w:shd w:val="clear" w:color="auto" w:fill="FFFFFF"/>
          <w:lang w:val="en-GB"/>
        </w:rPr>
        <w:t>,</w:t>
      </w:r>
      <w:r w:rsidRPr="00045156">
        <w:rPr>
          <w:shd w:val="clear" w:color="auto" w:fill="FFFFFF"/>
          <w:lang w:val="en-GB"/>
        </w:rPr>
        <w:t xml:space="preserve"> Government of Canada</w:t>
      </w:r>
      <w:r w:rsidR="00B1382E">
        <w:rPr>
          <w:shd w:val="clear" w:color="auto" w:fill="FFFFFF"/>
          <w:lang w:val="en-GB"/>
        </w:rPr>
        <w:t>’</w:t>
      </w:r>
      <w:r w:rsidRPr="00045156">
        <w:rPr>
          <w:shd w:val="clear" w:color="auto" w:fill="FFFFFF"/>
          <w:lang w:val="en-GB"/>
        </w:rPr>
        <w:t xml:space="preserve">s Horizons Policy Canada, </w:t>
      </w:r>
      <w:r w:rsidR="009C5C2E">
        <w:rPr>
          <w:shd w:val="clear" w:color="auto" w:fill="FFFFFF"/>
          <w:lang w:val="en-GB"/>
        </w:rPr>
        <w:t>Ottawa</w:t>
      </w:r>
      <w:r w:rsidRPr="00045156">
        <w:rPr>
          <w:shd w:val="clear" w:color="auto" w:fill="FFFFFF"/>
          <w:lang w:val="en-GB"/>
        </w:rPr>
        <w:t xml:space="preserve">. </w:t>
      </w:r>
    </w:p>
    <w:p w:rsidR="00B64686" w:rsidRDefault="00B64686" w:rsidP="00251192">
      <w:pPr>
        <w:pStyle w:val="Reference"/>
        <w:rPr>
          <w:lang w:val="en-CA"/>
        </w:rPr>
      </w:pPr>
      <w:r>
        <w:rPr>
          <w:lang w:val="en-CA"/>
        </w:rPr>
        <w:t xml:space="preserve">Simpson, L. and Ladner, K. 2010, </w:t>
      </w:r>
      <w:r>
        <w:rPr>
          <w:i/>
          <w:iCs/>
          <w:lang w:val="en-CA"/>
        </w:rPr>
        <w:t>This Is An Honour Song: Twenty Years Since the Blockades</w:t>
      </w:r>
      <w:r>
        <w:rPr>
          <w:lang w:val="en-CA"/>
        </w:rPr>
        <w:t xml:space="preserve">, </w:t>
      </w:r>
      <w:proofErr w:type="spellStart"/>
      <w:r>
        <w:rPr>
          <w:lang w:val="en-CA"/>
        </w:rPr>
        <w:t>Arbeiter</w:t>
      </w:r>
      <w:proofErr w:type="spellEnd"/>
      <w:r>
        <w:rPr>
          <w:lang w:val="en-CA"/>
        </w:rPr>
        <w:t xml:space="preserve"> Ring, Winnipeg.</w:t>
      </w:r>
    </w:p>
    <w:p w:rsidR="00251192" w:rsidRPr="00045156" w:rsidRDefault="00251192" w:rsidP="00251192">
      <w:pPr>
        <w:pStyle w:val="Reference"/>
        <w:rPr>
          <w:shd w:val="clear" w:color="auto" w:fill="FFFFFF"/>
          <w:lang w:val="en-GB"/>
        </w:rPr>
      </w:pPr>
      <w:r w:rsidRPr="00045156">
        <w:rPr>
          <w:shd w:val="clear" w:color="auto" w:fill="FFFFFF"/>
          <w:lang w:val="en-GB"/>
        </w:rPr>
        <w:t>Smith, D</w:t>
      </w:r>
      <w:r w:rsidR="00B64686">
        <w:rPr>
          <w:shd w:val="clear" w:color="auto" w:fill="FFFFFF"/>
          <w:lang w:val="en-GB"/>
        </w:rPr>
        <w:t>.</w:t>
      </w:r>
      <w:r w:rsidRPr="00045156">
        <w:rPr>
          <w:shd w:val="clear" w:color="auto" w:fill="FFFFFF"/>
          <w:lang w:val="en-GB"/>
        </w:rPr>
        <w:t xml:space="preserve">, </w:t>
      </w:r>
      <w:proofErr w:type="spellStart"/>
      <w:r w:rsidRPr="00045156">
        <w:rPr>
          <w:shd w:val="clear" w:color="auto" w:fill="FFFFFF"/>
          <w:lang w:val="en-GB"/>
        </w:rPr>
        <w:t>Varcoe</w:t>
      </w:r>
      <w:proofErr w:type="spellEnd"/>
      <w:r w:rsidRPr="00045156">
        <w:rPr>
          <w:shd w:val="clear" w:color="auto" w:fill="FFFFFF"/>
          <w:lang w:val="en-GB"/>
        </w:rPr>
        <w:t xml:space="preserve">, </w:t>
      </w:r>
      <w:r w:rsidR="00B64686">
        <w:rPr>
          <w:shd w:val="clear" w:color="auto" w:fill="FFFFFF"/>
          <w:lang w:val="en-GB"/>
        </w:rPr>
        <w:t xml:space="preserve">C. </w:t>
      </w:r>
      <w:r w:rsidRPr="00045156">
        <w:rPr>
          <w:shd w:val="clear" w:color="auto" w:fill="FFFFFF"/>
          <w:lang w:val="en-GB"/>
        </w:rPr>
        <w:t>and Edwards</w:t>
      </w:r>
      <w:r w:rsidR="00B64686">
        <w:rPr>
          <w:shd w:val="clear" w:color="auto" w:fill="FFFFFF"/>
          <w:lang w:val="en-GB"/>
        </w:rPr>
        <w:t>, N</w:t>
      </w:r>
      <w:r w:rsidRPr="00045156">
        <w:rPr>
          <w:shd w:val="clear" w:color="auto" w:fill="FFFFFF"/>
          <w:lang w:val="en-GB"/>
        </w:rPr>
        <w:t xml:space="preserve">. </w:t>
      </w:r>
      <w:r w:rsidR="00800389">
        <w:rPr>
          <w:shd w:val="clear" w:color="auto" w:fill="FFFFFF"/>
          <w:lang w:val="en-GB"/>
        </w:rPr>
        <w:t xml:space="preserve">2005, </w:t>
      </w:r>
      <w:r w:rsidR="00B1382E">
        <w:rPr>
          <w:shd w:val="clear" w:color="auto" w:fill="FFFFFF"/>
          <w:lang w:val="en-GB"/>
        </w:rPr>
        <w:t>‘</w:t>
      </w:r>
      <w:r w:rsidRPr="00045156">
        <w:rPr>
          <w:shd w:val="clear" w:color="auto" w:fill="FFFFFF"/>
          <w:lang w:val="en-GB"/>
        </w:rPr>
        <w:t xml:space="preserve">Turning </w:t>
      </w:r>
      <w:r w:rsidR="00800389">
        <w:rPr>
          <w:shd w:val="clear" w:color="auto" w:fill="FFFFFF"/>
          <w:lang w:val="en-GB"/>
        </w:rPr>
        <w:t>a</w:t>
      </w:r>
      <w:r w:rsidRPr="00045156">
        <w:rPr>
          <w:shd w:val="clear" w:color="auto" w:fill="FFFFFF"/>
          <w:lang w:val="en-GB"/>
        </w:rPr>
        <w:t xml:space="preserve">round the </w:t>
      </w:r>
      <w:r w:rsidR="00800389">
        <w:rPr>
          <w:shd w:val="clear" w:color="auto" w:fill="FFFFFF"/>
          <w:lang w:val="en-GB"/>
        </w:rPr>
        <w:t>i</w:t>
      </w:r>
      <w:r w:rsidRPr="00045156">
        <w:rPr>
          <w:shd w:val="clear" w:color="auto" w:fill="FFFFFF"/>
          <w:lang w:val="en-GB"/>
        </w:rPr>
        <w:t xml:space="preserve">ntergenerational </w:t>
      </w:r>
      <w:r w:rsidR="00800389">
        <w:rPr>
          <w:shd w:val="clear" w:color="auto" w:fill="FFFFFF"/>
          <w:lang w:val="en-GB"/>
        </w:rPr>
        <w:t>i</w:t>
      </w:r>
      <w:r w:rsidRPr="00045156">
        <w:rPr>
          <w:shd w:val="clear" w:color="auto" w:fill="FFFFFF"/>
          <w:lang w:val="en-GB"/>
        </w:rPr>
        <w:t xml:space="preserve">mpact of </w:t>
      </w:r>
      <w:r w:rsidR="00800389">
        <w:rPr>
          <w:shd w:val="clear" w:color="auto" w:fill="FFFFFF"/>
          <w:lang w:val="en-GB"/>
        </w:rPr>
        <w:t>r</w:t>
      </w:r>
      <w:r w:rsidRPr="00045156">
        <w:rPr>
          <w:shd w:val="clear" w:color="auto" w:fill="FFFFFF"/>
          <w:lang w:val="en-GB"/>
        </w:rPr>
        <w:t xml:space="preserve">esidential </w:t>
      </w:r>
      <w:r w:rsidR="00800389">
        <w:rPr>
          <w:shd w:val="clear" w:color="auto" w:fill="FFFFFF"/>
          <w:lang w:val="en-GB"/>
        </w:rPr>
        <w:t>s</w:t>
      </w:r>
      <w:r w:rsidRPr="00045156">
        <w:rPr>
          <w:shd w:val="clear" w:color="auto" w:fill="FFFFFF"/>
          <w:lang w:val="en-GB"/>
        </w:rPr>
        <w:t xml:space="preserve">chools on Aboriginal </w:t>
      </w:r>
      <w:r w:rsidR="00800389">
        <w:rPr>
          <w:shd w:val="clear" w:color="auto" w:fill="FFFFFF"/>
          <w:lang w:val="en-GB"/>
        </w:rPr>
        <w:t>p</w:t>
      </w:r>
      <w:r w:rsidRPr="00045156">
        <w:rPr>
          <w:shd w:val="clear" w:color="auto" w:fill="FFFFFF"/>
          <w:lang w:val="en-GB"/>
        </w:rPr>
        <w:t xml:space="preserve">eople: </w:t>
      </w:r>
      <w:r w:rsidR="00800389">
        <w:rPr>
          <w:shd w:val="clear" w:color="auto" w:fill="FFFFFF"/>
          <w:lang w:val="en-GB"/>
        </w:rPr>
        <w:t>i</w:t>
      </w:r>
      <w:r w:rsidRPr="00045156">
        <w:rPr>
          <w:shd w:val="clear" w:color="auto" w:fill="FFFFFF"/>
          <w:lang w:val="en-GB"/>
        </w:rPr>
        <w:t xml:space="preserve">mplications for </w:t>
      </w:r>
      <w:r w:rsidR="00800389">
        <w:rPr>
          <w:shd w:val="clear" w:color="auto" w:fill="FFFFFF"/>
          <w:lang w:val="en-GB"/>
        </w:rPr>
        <w:t>h</w:t>
      </w:r>
      <w:r w:rsidRPr="00045156">
        <w:rPr>
          <w:shd w:val="clear" w:color="auto" w:fill="FFFFFF"/>
          <w:lang w:val="en-GB"/>
        </w:rPr>
        <w:t xml:space="preserve">ealth </w:t>
      </w:r>
      <w:r w:rsidR="00800389">
        <w:rPr>
          <w:shd w:val="clear" w:color="auto" w:fill="FFFFFF"/>
          <w:lang w:val="en-GB"/>
        </w:rPr>
        <w:t>p</w:t>
      </w:r>
      <w:r w:rsidRPr="00045156">
        <w:rPr>
          <w:shd w:val="clear" w:color="auto" w:fill="FFFFFF"/>
          <w:lang w:val="en-GB"/>
        </w:rPr>
        <w:t xml:space="preserve">olicy and </w:t>
      </w:r>
      <w:r w:rsidR="00800389">
        <w:rPr>
          <w:shd w:val="clear" w:color="auto" w:fill="FFFFFF"/>
          <w:lang w:val="en-GB"/>
        </w:rPr>
        <w:t>p</w:t>
      </w:r>
      <w:r w:rsidRPr="00045156">
        <w:rPr>
          <w:shd w:val="clear" w:color="auto" w:fill="FFFFFF"/>
          <w:lang w:val="en-GB"/>
        </w:rPr>
        <w:t>ractice</w:t>
      </w:r>
      <w:r w:rsidR="00B1382E">
        <w:rPr>
          <w:shd w:val="clear" w:color="auto" w:fill="FFFFFF"/>
          <w:lang w:val="en-GB"/>
        </w:rPr>
        <w:t>’</w:t>
      </w:r>
      <w:r w:rsidR="00800389">
        <w:rPr>
          <w:shd w:val="clear" w:color="auto" w:fill="FFFFFF"/>
          <w:lang w:val="en-GB"/>
        </w:rPr>
        <w:t>,</w:t>
      </w:r>
      <w:r>
        <w:rPr>
          <w:shd w:val="clear" w:color="auto" w:fill="FFFFFF"/>
          <w:lang w:val="en-GB"/>
        </w:rPr>
        <w:t xml:space="preserve"> </w:t>
      </w:r>
      <w:r w:rsidRPr="00045156">
        <w:rPr>
          <w:i/>
          <w:iCs/>
          <w:shd w:val="clear" w:color="auto" w:fill="FFFFFF"/>
          <w:lang w:val="en-GB"/>
        </w:rPr>
        <w:t>Canadian Journal of Nursing Research</w:t>
      </w:r>
      <w:r w:rsidR="00800389">
        <w:rPr>
          <w:iCs/>
          <w:shd w:val="clear" w:color="auto" w:fill="FFFFFF"/>
          <w:lang w:val="en-GB"/>
        </w:rPr>
        <w:t>,</w:t>
      </w:r>
      <w:r w:rsidRPr="00045156">
        <w:rPr>
          <w:shd w:val="clear" w:color="auto" w:fill="FFFFFF"/>
          <w:lang w:val="en-GB"/>
        </w:rPr>
        <w:t> </w:t>
      </w:r>
      <w:r>
        <w:rPr>
          <w:shd w:val="clear" w:color="auto" w:fill="FFFFFF"/>
          <w:lang w:val="en-GB"/>
        </w:rPr>
        <w:t>37.4</w:t>
      </w:r>
      <w:r w:rsidR="00800389">
        <w:rPr>
          <w:shd w:val="clear" w:color="auto" w:fill="FFFFFF"/>
          <w:lang w:val="en-GB"/>
        </w:rPr>
        <w:t>,</w:t>
      </w:r>
      <w:r>
        <w:rPr>
          <w:shd w:val="clear" w:color="auto" w:fill="FFFFFF"/>
          <w:lang w:val="en-GB"/>
        </w:rPr>
        <w:t xml:space="preserve"> </w:t>
      </w:r>
      <w:r w:rsidR="00800389">
        <w:rPr>
          <w:shd w:val="clear" w:color="auto" w:fill="FFFFFF"/>
          <w:lang w:val="en-GB"/>
        </w:rPr>
        <w:t>pp.</w:t>
      </w:r>
      <w:r>
        <w:rPr>
          <w:shd w:val="clear" w:color="auto" w:fill="FFFFFF"/>
          <w:lang w:val="en-GB"/>
        </w:rPr>
        <w:t xml:space="preserve"> 38–</w:t>
      </w:r>
      <w:r w:rsidRPr="00045156">
        <w:rPr>
          <w:shd w:val="clear" w:color="auto" w:fill="FFFFFF"/>
          <w:lang w:val="en-GB"/>
        </w:rPr>
        <w:t xml:space="preserve">60. </w:t>
      </w:r>
    </w:p>
    <w:p w:rsidR="00251192" w:rsidRPr="00045156" w:rsidRDefault="00251192" w:rsidP="00251192">
      <w:pPr>
        <w:pStyle w:val="Reference"/>
        <w:rPr>
          <w:b/>
          <w:lang w:val="en-GB"/>
        </w:rPr>
      </w:pPr>
      <w:r w:rsidRPr="00045156">
        <w:rPr>
          <w:shd w:val="clear" w:color="auto" w:fill="FFFFFF"/>
          <w:lang w:val="en-GB"/>
        </w:rPr>
        <w:t xml:space="preserve">Sutherland, S. </w:t>
      </w:r>
      <w:r w:rsidR="00800389">
        <w:rPr>
          <w:shd w:val="clear" w:color="auto" w:fill="FFFFFF"/>
          <w:lang w:val="en-GB"/>
        </w:rPr>
        <w:t xml:space="preserve">1986, </w:t>
      </w:r>
      <w:r w:rsidR="00B1382E">
        <w:rPr>
          <w:shd w:val="clear" w:color="auto" w:fill="FFFFFF"/>
          <w:lang w:val="en-GB"/>
        </w:rPr>
        <w:t>‘</w:t>
      </w:r>
      <w:r w:rsidRPr="00045156">
        <w:rPr>
          <w:lang w:val="en-GB"/>
        </w:rPr>
        <w:t>The politics of audit: the federal Office of the Auditor General in comparative perspective</w:t>
      </w:r>
      <w:r w:rsidR="00B1382E">
        <w:rPr>
          <w:lang w:val="en-GB"/>
        </w:rPr>
        <w:t>’</w:t>
      </w:r>
      <w:r w:rsidR="00800389">
        <w:rPr>
          <w:lang w:val="en-GB"/>
        </w:rPr>
        <w:t>,</w:t>
      </w:r>
      <w:r>
        <w:rPr>
          <w:lang w:val="en-GB"/>
        </w:rPr>
        <w:t xml:space="preserve"> </w:t>
      </w:r>
      <w:r w:rsidRPr="00045156">
        <w:rPr>
          <w:i/>
          <w:lang w:val="en-GB"/>
        </w:rPr>
        <w:t>Canadian Public Administration</w:t>
      </w:r>
      <w:r w:rsidR="00800389">
        <w:rPr>
          <w:lang w:val="en-GB"/>
        </w:rPr>
        <w:t>,</w:t>
      </w:r>
      <w:r>
        <w:rPr>
          <w:lang w:val="en-GB"/>
        </w:rPr>
        <w:t xml:space="preserve"> 29.1</w:t>
      </w:r>
      <w:r w:rsidR="00800389">
        <w:rPr>
          <w:lang w:val="en-GB"/>
        </w:rPr>
        <w:t>,</w:t>
      </w:r>
      <w:r>
        <w:rPr>
          <w:lang w:val="en-GB"/>
        </w:rPr>
        <w:t xml:space="preserve"> </w:t>
      </w:r>
      <w:r w:rsidR="00800389">
        <w:rPr>
          <w:lang w:val="en-GB"/>
        </w:rPr>
        <w:t xml:space="preserve">pp. </w:t>
      </w:r>
      <w:r>
        <w:rPr>
          <w:lang w:val="en-GB"/>
        </w:rPr>
        <w:t>118–</w:t>
      </w:r>
      <w:r w:rsidRPr="00045156">
        <w:rPr>
          <w:lang w:val="en-GB"/>
        </w:rPr>
        <w:t>48.</w:t>
      </w:r>
    </w:p>
    <w:p w:rsidR="00251192" w:rsidRDefault="00251192" w:rsidP="00251192">
      <w:pPr>
        <w:pStyle w:val="Reference"/>
        <w:rPr>
          <w:shd w:val="clear" w:color="auto" w:fill="FFFFFF"/>
          <w:lang w:val="en-GB"/>
        </w:rPr>
      </w:pPr>
      <w:r w:rsidRPr="00045156">
        <w:rPr>
          <w:shd w:val="clear" w:color="auto" w:fill="FFFFFF"/>
          <w:lang w:val="en-GB"/>
        </w:rPr>
        <w:t>Thomas, W</w:t>
      </w:r>
      <w:r w:rsidR="00800389">
        <w:rPr>
          <w:shd w:val="clear" w:color="auto" w:fill="FFFFFF"/>
          <w:lang w:val="en-GB"/>
        </w:rPr>
        <w:t>.</w:t>
      </w:r>
      <w:r w:rsidRPr="00045156">
        <w:rPr>
          <w:shd w:val="clear" w:color="auto" w:fill="FFFFFF"/>
          <w:lang w:val="en-GB"/>
        </w:rPr>
        <w:t xml:space="preserve"> and </w:t>
      </w:r>
      <w:proofErr w:type="spellStart"/>
      <w:r w:rsidRPr="00045156">
        <w:rPr>
          <w:shd w:val="clear" w:color="auto" w:fill="FFFFFF"/>
          <w:lang w:val="en-GB"/>
        </w:rPr>
        <w:t>Bellefeuille</w:t>
      </w:r>
      <w:proofErr w:type="spellEnd"/>
      <w:r w:rsidR="00800389">
        <w:rPr>
          <w:shd w:val="clear" w:color="auto" w:fill="FFFFFF"/>
          <w:lang w:val="en-GB"/>
        </w:rPr>
        <w:t>, G</w:t>
      </w:r>
      <w:r w:rsidRPr="00045156">
        <w:rPr>
          <w:shd w:val="clear" w:color="auto" w:fill="FFFFFF"/>
          <w:lang w:val="en-GB"/>
        </w:rPr>
        <w:t xml:space="preserve">. </w:t>
      </w:r>
      <w:r w:rsidR="00800389">
        <w:rPr>
          <w:shd w:val="clear" w:color="auto" w:fill="FFFFFF"/>
          <w:lang w:val="en-GB"/>
        </w:rPr>
        <w:t xml:space="preserve">2006, </w:t>
      </w:r>
      <w:r w:rsidR="00B1382E">
        <w:rPr>
          <w:shd w:val="clear" w:color="auto" w:fill="FFFFFF"/>
          <w:lang w:val="en-GB"/>
        </w:rPr>
        <w:t>‘</w:t>
      </w:r>
      <w:r w:rsidRPr="00045156">
        <w:rPr>
          <w:shd w:val="clear" w:color="auto" w:fill="FFFFFF"/>
          <w:lang w:val="en-GB"/>
        </w:rPr>
        <w:t xml:space="preserve">An </w:t>
      </w:r>
      <w:r w:rsidR="00800389">
        <w:rPr>
          <w:shd w:val="clear" w:color="auto" w:fill="FFFFFF"/>
          <w:lang w:val="en-GB"/>
        </w:rPr>
        <w:t>e</w:t>
      </w:r>
      <w:r w:rsidRPr="00045156">
        <w:rPr>
          <w:shd w:val="clear" w:color="auto" w:fill="FFFFFF"/>
          <w:lang w:val="en-GB"/>
        </w:rPr>
        <w:t xml:space="preserve">vidence-based </w:t>
      </w:r>
      <w:r w:rsidR="00800389">
        <w:rPr>
          <w:shd w:val="clear" w:color="auto" w:fill="FFFFFF"/>
          <w:lang w:val="en-GB"/>
        </w:rPr>
        <w:t>f</w:t>
      </w:r>
      <w:r w:rsidRPr="00045156">
        <w:rPr>
          <w:shd w:val="clear" w:color="auto" w:fill="FFFFFF"/>
          <w:lang w:val="en-GB"/>
        </w:rPr>
        <w:t xml:space="preserve">ormative </w:t>
      </w:r>
      <w:r w:rsidR="00800389">
        <w:rPr>
          <w:shd w:val="clear" w:color="auto" w:fill="FFFFFF"/>
          <w:lang w:val="en-GB"/>
        </w:rPr>
        <w:t>e</w:t>
      </w:r>
      <w:r w:rsidRPr="00045156">
        <w:rPr>
          <w:shd w:val="clear" w:color="auto" w:fill="FFFFFF"/>
          <w:lang w:val="en-GB"/>
        </w:rPr>
        <w:t xml:space="preserve">valuation of a </w:t>
      </w:r>
      <w:r w:rsidR="00800389">
        <w:rPr>
          <w:shd w:val="clear" w:color="auto" w:fill="FFFFFF"/>
          <w:lang w:val="en-GB"/>
        </w:rPr>
        <w:t>c</w:t>
      </w:r>
      <w:r w:rsidRPr="00045156">
        <w:rPr>
          <w:shd w:val="clear" w:color="auto" w:fill="FFFFFF"/>
          <w:lang w:val="en-GB"/>
        </w:rPr>
        <w:t xml:space="preserve">ross </w:t>
      </w:r>
      <w:r w:rsidR="00800389">
        <w:rPr>
          <w:shd w:val="clear" w:color="auto" w:fill="FFFFFF"/>
          <w:lang w:val="en-GB"/>
        </w:rPr>
        <w:t>c</w:t>
      </w:r>
      <w:r w:rsidRPr="00045156">
        <w:rPr>
          <w:shd w:val="clear" w:color="auto" w:fill="FFFFFF"/>
          <w:lang w:val="en-GB"/>
        </w:rPr>
        <w:t xml:space="preserve">ultural Aboriginal </w:t>
      </w:r>
      <w:r w:rsidR="00800389">
        <w:rPr>
          <w:shd w:val="clear" w:color="auto" w:fill="FFFFFF"/>
          <w:lang w:val="en-GB"/>
        </w:rPr>
        <w:t>m</w:t>
      </w:r>
      <w:r w:rsidRPr="00045156">
        <w:rPr>
          <w:shd w:val="clear" w:color="auto" w:fill="FFFFFF"/>
          <w:lang w:val="en-GB"/>
        </w:rPr>
        <w:t xml:space="preserve">ental </w:t>
      </w:r>
      <w:r w:rsidR="00800389">
        <w:rPr>
          <w:shd w:val="clear" w:color="auto" w:fill="FFFFFF"/>
          <w:lang w:val="en-GB"/>
        </w:rPr>
        <w:t>h</w:t>
      </w:r>
      <w:r w:rsidRPr="00045156">
        <w:rPr>
          <w:shd w:val="clear" w:color="auto" w:fill="FFFFFF"/>
          <w:lang w:val="en-GB"/>
        </w:rPr>
        <w:t xml:space="preserve">ealth </w:t>
      </w:r>
      <w:r w:rsidR="00800389">
        <w:rPr>
          <w:shd w:val="clear" w:color="auto" w:fill="FFFFFF"/>
          <w:lang w:val="en-GB"/>
        </w:rPr>
        <w:t>p</w:t>
      </w:r>
      <w:r w:rsidRPr="00045156">
        <w:rPr>
          <w:shd w:val="clear" w:color="auto" w:fill="FFFFFF"/>
          <w:lang w:val="en-GB"/>
        </w:rPr>
        <w:t>rogram in Canada</w:t>
      </w:r>
      <w:r w:rsidR="00B1382E">
        <w:rPr>
          <w:shd w:val="clear" w:color="auto" w:fill="FFFFFF"/>
          <w:lang w:val="en-GB"/>
        </w:rPr>
        <w:t>’</w:t>
      </w:r>
      <w:r w:rsidR="00800389">
        <w:rPr>
          <w:shd w:val="clear" w:color="auto" w:fill="FFFFFF"/>
          <w:lang w:val="en-GB"/>
        </w:rPr>
        <w:t>,</w:t>
      </w:r>
      <w:r>
        <w:rPr>
          <w:shd w:val="clear" w:color="auto" w:fill="FFFFFF"/>
          <w:lang w:val="en-GB"/>
        </w:rPr>
        <w:t xml:space="preserve"> </w:t>
      </w:r>
      <w:r w:rsidRPr="00045156">
        <w:rPr>
          <w:i/>
          <w:iCs/>
          <w:shd w:val="clear" w:color="auto" w:fill="FFFFFF"/>
          <w:lang w:val="en-GB"/>
        </w:rPr>
        <w:t>Advances in Mental Health</w:t>
      </w:r>
      <w:r w:rsidR="00800389">
        <w:rPr>
          <w:iCs/>
          <w:shd w:val="clear" w:color="auto" w:fill="FFFFFF"/>
          <w:lang w:val="en-GB"/>
        </w:rPr>
        <w:t>,</w:t>
      </w:r>
      <w:r w:rsidRPr="00045156">
        <w:rPr>
          <w:shd w:val="clear" w:color="auto" w:fill="FFFFFF"/>
          <w:lang w:val="en-GB"/>
        </w:rPr>
        <w:t> </w:t>
      </w:r>
      <w:r>
        <w:rPr>
          <w:shd w:val="clear" w:color="auto" w:fill="FFFFFF"/>
          <w:lang w:val="en-GB"/>
        </w:rPr>
        <w:t>5.3</w:t>
      </w:r>
      <w:r w:rsidR="00800389">
        <w:rPr>
          <w:shd w:val="clear" w:color="auto" w:fill="FFFFFF"/>
          <w:lang w:val="en-GB"/>
        </w:rPr>
        <w:t>,</w:t>
      </w:r>
      <w:r>
        <w:rPr>
          <w:shd w:val="clear" w:color="auto" w:fill="FFFFFF"/>
          <w:lang w:val="en-GB"/>
        </w:rPr>
        <w:t xml:space="preserve"> </w:t>
      </w:r>
      <w:r w:rsidR="00800389">
        <w:rPr>
          <w:shd w:val="clear" w:color="auto" w:fill="FFFFFF"/>
          <w:lang w:val="en-GB"/>
        </w:rPr>
        <w:t>pp.</w:t>
      </w:r>
      <w:r>
        <w:rPr>
          <w:shd w:val="clear" w:color="auto" w:fill="FFFFFF"/>
          <w:lang w:val="en-GB"/>
        </w:rPr>
        <w:t xml:space="preserve"> 202–</w:t>
      </w:r>
      <w:r w:rsidRPr="00045156">
        <w:rPr>
          <w:shd w:val="clear" w:color="auto" w:fill="FFFFFF"/>
          <w:lang w:val="en-GB"/>
        </w:rPr>
        <w:t>15.</w:t>
      </w:r>
    </w:p>
    <w:p w:rsidR="00D6396D" w:rsidRPr="008026F6" w:rsidRDefault="0027451E" w:rsidP="008026F6">
      <w:pPr>
        <w:pStyle w:val="Reference"/>
        <w:rPr>
          <w:shd w:val="clear" w:color="auto" w:fill="FFFFFF"/>
          <w:lang w:val="en-GB"/>
        </w:rPr>
      </w:pPr>
      <w:r w:rsidRPr="008026F6">
        <w:rPr>
          <w:shd w:val="clear" w:color="auto" w:fill="FFFFFF"/>
          <w:lang w:val="en-GB"/>
        </w:rPr>
        <w:t xml:space="preserve">York, G. and </w:t>
      </w:r>
      <w:proofErr w:type="spellStart"/>
      <w:r w:rsidRPr="008026F6">
        <w:rPr>
          <w:shd w:val="clear" w:color="auto" w:fill="FFFFFF"/>
          <w:lang w:val="en-GB"/>
        </w:rPr>
        <w:t>Pindera</w:t>
      </w:r>
      <w:proofErr w:type="spellEnd"/>
      <w:r w:rsidRPr="008026F6">
        <w:rPr>
          <w:shd w:val="clear" w:color="auto" w:fill="FFFFFF"/>
          <w:lang w:val="en-GB"/>
        </w:rPr>
        <w:t xml:space="preserve">, L. 1991, </w:t>
      </w:r>
      <w:r w:rsidRPr="008026F6">
        <w:rPr>
          <w:i/>
          <w:shd w:val="clear" w:color="auto" w:fill="FFFFFF"/>
          <w:lang w:val="en-GB"/>
        </w:rPr>
        <w:t>People of the Pines: The Warriors and the Legacy of Oka</w:t>
      </w:r>
      <w:r w:rsidRPr="008026F6">
        <w:rPr>
          <w:shd w:val="clear" w:color="auto" w:fill="FFFFFF"/>
          <w:lang w:val="en-GB"/>
        </w:rPr>
        <w:t>, Little Brown, Boston.</w:t>
      </w:r>
    </w:p>
    <w:sectPr w:rsidR="00D6396D" w:rsidRPr="008026F6" w:rsidSect="00202365">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8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060" w:rsidRDefault="004B1060">
      <w:r>
        <w:separator/>
      </w:r>
    </w:p>
  </w:endnote>
  <w:endnote w:type="continuationSeparator" w:id="0">
    <w:p w:rsidR="004B1060" w:rsidRDefault="004B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B1060">
      <w:trPr>
        <w:trHeight w:hRule="exact" w:val="740"/>
      </w:trPr>
      <w:tc>
        <w:tcPr>
          <w:tcW w:w="510" w:type="dxa"/>
          <w:tcBorders>
            <w:top w:val="single" w:sz="6" w:space="0" w:color="auto"/>
          </w:tcBorders>
        </w:tcPr>
        <w:p w:rsidR="004B1060" w:rsidRDefault="004B1060"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F2351">
            <w:rPr>
              <w:rStyle w:val="PageNumber"/>
              <w:noProof/>
            </w:rPr>
            <w:t>204</w:t>
          </w:r>
          <w:r>
            <w:rPr>
              <w:rStyle w:val="PageNumber"/>
            </w:rPr>
            <w:fldChar w:fldCharType="end"/>
          </w:r>
        </w:p>
      </w:tc>
      <w:tc>
        <w:tcPr>
          <w:tcW w:w="1644" w:type="dxa"/>
          <w:tcBorders>
            <w:top w:val="single" w:sz="6" w:space="0" w:color="auto"/>
          </w:tcBorders>
        </w:tcPr>
        <w:p w:rsidR="004B1060" w:rsidRDefault="002A4888" w:rsidP="0019293B">
          <w:pPr>
            <w:pStyle w:val="Footer"/>
          </w:pPr>
          <w:fldSimple w:instr=" SUBJECT  \* MERGEFORMAT ">
            <w:r>
              <w:t>Better Indigenous Policies: The Role of Evaluation</w:t>
            </w:r>
          </w:fldSimple>
        </w:p>
      </w:tc>
      <w:tc>
        <w:tcPr>
          <w:tcW w:w="6634" w:type="dxa"/>
        </w:tcPr>
        <w:p w:rsidR="004B1060" w:rsidRDefault="004B1060" w:rsidP="0019293B">
          <w:pPr>
            <w:pStyle w:val="Footer"/>
          </w:pPr>
        </w:p>
      </w:tc>
    </w:tr>
  </w:tbl>
  <w:p w:rsidR="004B1060" w:rsidRDefault="004B106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B1060">
      <w:trPr>
        <w:trHeight w:hRule="exact" w:val="740"/>
      </w:trPr>
      <w:tc>
        <w:tcPr>
          <w:tcW w:w="6634" w:type="dxa"/>
        </w:tcPr>
        <w:p w:rsidR="004B1060" w:rsidRDefault="004B1060">
          <w:pPr>
            <w:pStyle w:val="Footer"/>
            <w:ind w:right="360" w:firstLine="360"/>
          </w:pPr>
        </w:p>
      </w:tc>
      <w:tc>
        <w:tcPr>
          <w:tcW w:w="1644" w:type="dxa"/>
          <w:tcBorders>
            <w:top w:val="single" w:sz="6" w:space="0" w:color="auto"/>
          </w:tcBorders>
        </w:tcPr>
        <w:p w:rsidR="004B1060" w:rsidRDefault="002A4888">
          <w:pPr>
            <w:pStyle w:val="Footer"/>
          </w:pPr>
          <w:fldSimple w:instr=" TITLE  \* MERGEFORMAT ">
            <w:r>
              <w:t>Reflections on the Canadian Experience</w:t>
            </w:r>
          </w:fldSimple>
        </w:p>
      </w:tc>
      <w:tc>
        <w:tcPr>
          <w:tcW w:w="510" w:type="dxa"/>
          <w:tcBorders>
            <w:top w:val="single" w:sz="6" w:space="0" w:color="auto"/>
          </w:tcBorders>
        </w:tcPr>
        <w:p w:rsidR="004B1060" w:rsidRDefault="004B1060">
          <w:pPr>
            <w:pStyle w:val="Footer"/>
            <w:jc w:val="right"/>
          </w:pPr>
          <w:r>
            <w:rPr>
              <w:rStyle w:val="PageNumber"/>
            </w:rPr>
            <w:fldChar w:fldCharType="begin"/>
          </w:r>
          <w:r>
            <w:rPr>
              <w:rStyle w:val="PageNumber"/>
            </w:rPr>
            <w:instrText xml:space="preserve">PAGE  </w:instrText>
          </w:r>
          <w:r>
            <w:rPr>
              <w:rStyle w:val="PageNumber"/>
            </w:rPr>
            <w:fldChar w:fldCharType="separate"/>
          </w:r>
          <w:r w:rsidR="002F2351">
            <w:rPr>
              <w:rStyle w:val="PageNumber"/>
              <w:noProof/>
            </w:rPr>
            <w:t>203</w:t>
          </w:r>
          <w:r>
            <w:rPr>
              <w:rStyle w:val="PageNumber"/>
            </w:rPr>
            <w:fldChar w:fldCharType="end"/>
          </w:r>
        </w:p>
      </w:tc>
    </w:tr>
  </w:tbl>
  <w:p w:rsidR="004B1060" w:rsidRDefault="004B106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060" w:rsidRDefault="004B10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060" w:rsidRDefault="004B1060">
      <w:r>
        <w:separator/>
      </w:r>
    </w:p>
  </w:footnote>
  <w:footnote w:type="continuationSeparator" w:id="0">
    <w:p w:rsidR="004B1060" w:rsidRDefault="004B1060">
      <w:r>
        <w:continuationSeparator/>
      </w:r>
    </w:p>
  </w:footnote>
  <w:footnote w:id="1">
    <w:p w:rsidR="004B1060" w:rsidRPr="00F969F0" w:rsidRDefault="004B1060" w:rsidP="008F3E11">
      <w:pPr>
        <w:pStyle w:val="FootnoteText"/>
        <w:rPr>
          <w:lang w:val="en-US"/>
        </w:rPr>
      </w:pPr>
      <w:r w:rsidRPr="008F3E11">
        <w:rPr>
          <w:rStyle w:val="FootnoteReference"/>
        </w:rPr>
        <w:footnoteRef/>
      </w:r>
      <w:r>
        <w:tab/>
      </w:r>
      <w:r w:rsidR="00543436">
        <w:t xml:space="preserve">Professor of </w:t>
      </w:r>
      <w:r w:rsidRPr="00F969F0">
        <w:t>Public Policy and Administration, Carleton University, Ottawa, Canada</w:t>
      </w:r>
      <w:r>
        <w:t>.</w:t>
      </w:r>
    </w:p>
  </w:footnote>
  <w:footnote w:id="2">
    <w:p w:rsidR="004B1060" w:rsidRDefault="004B1060" w:rsidP="008F3E11">
      <w:pPr>
        <w:pStyle w:val="FootnoteText"/>
      </w:pPr>
      <w:r w:rsidRPr="008F3E11">
        <w:rPr>
          <w:rStyle w:val="FootnoteReference"/>
        </w:rPr>
        <w:footnoteRef/>
      </w:r>
      <w:r>
        <w:tab/>
      </w:r>
      <w:proofErr w:type="spellStart"/>
      <w:r w:rsidRPr="00FF769F">
        <w:t>RCAP</w:t>
      </w:r>
      <w:proofErr w:type="spellEnd"/>
      <w:r>
        <w:t xml:space="preserve"> 1996, </w:t>
      </w:r>
      <w:r w:rsidRPr="00106D82">
        <w:rPr>
          <w:i/>
        </w:rPr>
        <w:t>Volume</w:t>
      </w:r>
      <w:r>
        <w:rPr>
          <w:i/>
        </w:rPr>
        <w:t xml:space="preserve"> 1 </w:t>
      </w:r>
      <w:r>
        <w:t xml:space="preserve">offers an extended discussion of these matters. I use the phrase ‘nations and peoples’ to respect the choices of Indigenous </w:t>
      </w:r>
      <w:proofErr w:type="spellStart"/>
      <w:r>
        <w:t>collectivities</w:t>
      </w:r>
      <w:proofErr w:type="spellEnd"/>
      <w:r>
        <w:t xml:space="preserve"> in Canada today, who have chosen one or the other of these English expressions to describe themselves. The terms have of course different implications and connotations in international and domestic law. I follow the usage of the </w:t>
      </w:r>
      <w:proofErr w:type="spellStart"/>
      <w:r>
        <w:t>RCAP</w:t>
      </w:r>
      <w:proofErr w:type="spellEnd"/>
      <w:r>
        <w:t xml:space="preserve"> in considering these terms to be primarily political and sociological, rather than ethnic, designations.</w:t>
      </w:r>
    </w:p>
  </w:footnote>
  <w:footnote w:id="3">
    <w:p w:rsidR="004B1060" w:rsidRDefault="004B1060" w:rsidP="008F3E11">
      <w:pPr>
        <w:pStyle w:val="FootnoteText"/>
      </w:pPr>
      <w:r w:rsidRPr="008F3E11">
        <w:rPr>
          <w:rStyle w:val="FootnoteReference"/>
        </w:rPr>
        <w:footnoteRef/>
      </w:r>
      <w:r>
        <w:tab/>
        <w:t xml:space="preserve">In this paper I use the common international term ‘Indigenous’. This term is used in Canada, but more frequently the synonym ‘Aboriginal’ appears, especially in official government documents. </w:t>
      </w:r>
      <w:r w:rsidRPr="00864603">
        <w:t>The full clause</w:t>
      </w:r>
      <w:r>
        <w:t xml:space="preserve"> of </w:t>
      </w:r>
      <w:r w:rsidRPr="00FE6924">
        <w:t xml:space="preserve">the </w:t>
      </w:r>
      <w:r w:rsidRPr="00106D82">
        <w:t>Constitution Act</w:t>
      </w:r>
      <w:r w:rsidRPr="00864603">
        <w:t xml:space="preserve"> reads: </w:t>
      </w:r>
    </w:p>
    <w:p w:rsidR="004B1060" w:rsidRDefault="004B1060" w:rsidP="00106D82">
      <w:pPr>
        <w:pStyle w:val="FootnoteText"/>
        <w:ind w:firstLine="0"/>
      </w:pPr>
      <w:r w:rsidRPr="00864603">
        <w:rPr>
          <w:lang w:eastAsia="en-US"/>
        </w:rPr>
        <w:t xml:space="preserve">35. (1) The existing aboriginal and treaty rights of the aboriginal peoples of Canada are hereby recognized and affirmed. (2) In this Act, </w:t>
      </w:r>
      <w:r>
        <w:rPr>
          <w:lang w:eastAsia="en-US"/>
        </w:rPr>
        <w:t>‘</w:t>
      </w:r>
      <w:r w:rsidRPr="00864603">
        <w:rPr>
          <w:lang w:eastAsia="en-US"/>
        </w:rPr>
        <w:t>Aboriginal Peoples of Canada</w:t>
      </w:r>
      <w:r>
        <w:rPr>
          <w:lang w:eastAsia="en-US"/>
        </w:rPr>
        <w:t xml:space="preserve">’ </w:t>
      </w:r>
      <w:r w:rsidRPr="00864603">
        <w:rPr>
          <w:lang w:eastAsia="en-US"/>
        </w:rPr>
        <w:t>includes the Indian, Inuit and Métis peoples of Canada.</w:t>
      </w:r>
      <w:r>
        <w:rPr>
          <w:lang w:eastAsia="en-US"/>
        </w:rPr>
        <w:t xml:space="preserve"> </w:t>
      </w:r>
      <w:r w:rsidRPr="00864603">
        <w:rPr>
          <w:lang w:eastAsia="en-US"/>
        </w:rPr>
        <w:t xml:space="preserve">(3) For greater certainty, in subsection (1) </w:t>
      </w:r>
      <w:r>
        <w:rPr>
          <w:lang w:eastAsia="en-US"/>
        </w:rPr>
        <w:t>‘</w:t>
      </w:r>
      <w:r w:rsidRPr="00864603">
        <w:rPr>
          <w:lang w:eastAsia="en-US"/>
        </w:rPr>
        <w:t>treaty rights</w:t>
      </w:r>
      <w:r>
        <w:rPr>
          <w:lang w:eastAsia="en-US"/>
        </w:rPr>
        <w:t xml:space="preserve">’ </w:t>
      </w:r>
      <w:r w:rsidRPr="00864603">
        <w:rPr>
          <w:lang w:eastAsia="en-US"/>
        </w:rPr>
        <w:t>includes rights that now exist by way of land claims agreements or may be so acquired.</w:t>
      </w:r>
      <w:r>
        <w:rPr>
          <w:lang w:eastAsia="en-US"/>
        </w:rPr>
        <w:t xml:space="preserve"> </w:t>
      </w:r>
      <w:r w:rsidRPr="00864603">
        <w:rPr>
          <w:lang w:eastAsia="en-US"/>
        </w:rPr>
        <w:t>(4) Notwithstanding any other provision of this Act, the aboriginal and treaty rights referred to in subsection (1) are guaranteed equally to male and female persons.</w:t>
      </w:r>
    </w:p>
  </w:footnote>
  <w:footnote w:id="4">
    <w:p w:rsidR="004B1060" w:rsidRPr="00112690" w:rsidRDefault="004B1060" w:rsidP="008F3E11">
      <w:pPr>
        <w:pStyle w:val="FootnoteText"/>
      </w:pPr>
      <w:r w:rsidRPr="008F3E11">
        <w:rPr>
          <w:rStyle w:val="FootnoteReference"/>
        </w:rPr>
        <w:footnoteRef/>
      </w:r>
      <w:r>
        <w:tab/>
      </w:r>
      <w:r w:rsidRPr="00112690">
        <w:t>See Abele 2007</w:t>
      </w:r>
      <w:r>
        <w:t xml:space="preserve">. </w:t>
      </w:r>
      <w:r w:rsidRPr="00112690">
        <w:t xml:space="preserve">In this report, the Royal Commission on Aboriginal Peoples is quoted: </w:t>
      </w:r>
    </w:p>
    <w:p w:rsidR="004B1060" w:rsidRPr="00112690" w:rsidRDefault="004B1060" w:rsidP="008F3E11">
      <w:pPr>
        <w:pStyle w:val="FootnoteText"/>
      </w:pPr>
      <w:r>
        <w:tab/>
      </w:r>
      <w:r w:rsidRPr="00112690">
        <w:t>Today the Indian Act is the repository of the struggle between Indian peoples and colonial and later Canadian policy-makers for control of Indian peoples</w:t>
      </w:r>
      <w:r>
        <w:t>’</w:t>
      </w:r>
      <w:r w:rsidRPr="00112690">
        <w:t xml:space="preserve"> destiny within Canada. The marks of that struggle can be seen in almost every one of its provisions</w:t>
      </w:r>
      <w:r w:rsidRPr="00112690">
        <w:rPr>
          <w:i/>
        </w:rPr>
        <w:t>.</w:t>
      </w:r>
      <w:r>
        <w:rPr>
          <w:i/>
        </w:rPr>
        <w:t xml:space="preserve"> (</w:t>
      </w:r>
      <w:proofErr w:type="spellStart"/>
      <w:r>
        <w:rPr>
          <w:i/>
        </w:rPr>
        <w:t>RCAP</w:t>
      </w:r>
      <w:proofErr w:type="spellEnd"/>
      <w:r>
        <w:rPr>
          <w:i/>
        </w:rPr>
        <w:t xml:space="preserve"> 1996, </w:t>
      </w:r>
      <w:r w:rsidRPr="00112690">
        <w:rPr>
          <w:i/>
        </w:rPr>
        <w:t>Final Report</w:t>
      </w:r>
      <w:r w:rsidRPr="00112690">
        <w:t xml:space="preserve">, </w:t>
      </w:r>
      <w:r>
        <w:t xml:space="preserve">vol. </w:t>
      </w:r>
      <w:r w:rsidRPr="00112690">
        <w:t xml:space="preserve">1, </w:t>
      </w:r>
      <w:proofErr w:type="spellStart"/>
      <w:r>
        <w:t>c</w:t>
      </w:r>
      <w:r w:rsidRPr="00112690">
        <w:t>h</w:t>
      </w:r>
      <w:r>
        <w:t>.</w:t>
      </w:r>
      <w:proofErr w:type="spellEnd"/>
      <w:r>
        <w:t xml:space="preserve"> </w:t>
      </w:r>
      <w:r w:rsidRPr="00112690">
        <w:t>9, p. 258.</w:t>
      </w:r>
      <w:r>
        <w:t>)</w:t>
      </w:r>
    </w:p>
  </w:footnote>
  <w:footnote w:id="5">
    <w:p w:rsidR="004B1060" w:rsidRDefault="004B1060" w:rsidP="008F3E11">
      <w:pPr>
        <w:pStyle w:val="FootnoteText"/>
      </w:pPr>
      <w:r w:rsidRPr="008F3E11">
        <w:rPr>
          <w:rStyle w:val="FootnoteReference"/>
        </w:rPr>
        <w:footnoteRef/>
      </w:r>
      <w:r>
        <w:rPr>
          <w:bCs/>
          <w:iCs/>
        </w:rPr>
        <w:tab/>
      </w:r>
      <w:r w:rsidRPr="00DA2E10">
        <w:rPr>
          <w:bCs/>
          <w:i/>
          <w:iCs/>
        </w:rPr>
        <w:t>Calder v. British Columbia (Attorney General)</w:t>
      </w:r>
      <w:r>
        <w:t xml:space="preserve"> [1973] </w:t>
      </w:r>
      <w:proofErr w:type="spellStart"/>
      <w:r>
        <w:t>S.C.R</w:t>
      </w:r>
      <w:proofErr w:type="spellEnd"/>
      <w:r>
        <w:t xml:space="preserve">. 313, [1973] 4 </w:t>
      </w:r>
      <w:proofErr w:type="spellStart"/>
      <w:r>
        <w:t>W.W.R</w:t>
      </w:r>
      <w:proofErr w:type="spellEnd"/>
      <w:r>
        <w:t xml:space="preserve">. For the first time, Canadian law acknowledged </w:t>
      </w:r>
      <w:r w:rsidRPr="00DA2E10">
        <w:t xml:space="preserve">that </w:t>
      </w:r>
      <w:hyperlink r:id="rId1" w:tooltip="Aboriginal title" w:history="1">
        <w:r w:rsidRPr="00DA2E10">
          <w:t xml:space="preserve">Aboriginal </w:t>
        </w:r>
        <w:r>
          <w:t>t</w:t>
        </w:r>
        <w:r w:rsidRPr="00DA2E10">
          <w:t>itle</w:t>
        </w:r>
      </w:hyperlink>
      <w:r w:rsidRPr="00DA2E10">
        <w:t xml:space="preserve"> to</w:t>
      </w:r>
      <w:r>
        <w:t xml:space="preserve"> land existed prior to the colonisation. For a map showing the extent of land covered by treaty after 1923, see </w:t>
      </w:r>
      <w:r w:rsidRPr="00D77EB7">
        <w:t>http://atlas.nrcan.gc.ca/site/english/maps/historical/indiantreaties/historicaltreaties</w:t>
      </w:r>
      <w:r>
        <w:t>.</w:t>
      </w:r>
    </w:p>
  </w:footnote>
  <w:footnote w:id="6">
    <w:p w:rsidR="004B1060" w:rsidRDefault="004B1060" w:rsidP="008F3E11">
      <w:pPr>
        <w:pStyle w:val="FootnoteText"/>
      </w:pPr>
      <w:r w:rsidRPr="008F3E11">
        <w:rPr>
          <w:rStyle w:val="FootnoteReference"/>
        </w:rPr>
        <w:footnoteRef/>
      </w:r>
      <w:r>
        <w:tab/>
        <w:t xml:space="preserve">A convenient summary with more background information appears at </w:t>
      </w:r>
      <w:r w:rsidRPr="00D77EB7">
        <w:t>http://</w:t>
      </w:r>
      <w:proofErr w:type="spellStart"/>
      <w:r w:rsidRPr="00D77EB7">
        <w:t>www.aadnc-aandc.gc.ca</w:t>
      </w:r>
      <w:proofErr w:type="spellEnd"/>
      <w:r w:rsidRPr="00D77EB7">
        <w:t>/</w:t>
      </w:r>
      <w:proofErr w:type="spellStart"/>
      <w:r w:rsidRPr="00D77EB7">
        <w:t>eng</w:t>
      </w:r>
      <w:proofErr w:type="spellEnd"/>
      <w:r w:rsidRPr="00D77EB7">
        <w:t>/1100100032291/1100100032292</w:t>
      </w:r>
      <w:r>
        <w:t>.</w:t>
      </w:r>
    </w:p>
  </w:footnote>
  <w:footnote w:id="7">
    <w:p w:rsidR="004B1060" w:rsidRDefault="004B1060" w:rsidP="008F3E11">
      <w:pPr>
        <w:pStyle w:val="FootnoteText"/>
      </w:pPr>
      <w:r w:rsidRPr="008F3E11">
        <w:rPr>
          <w:rStyle w:val="FootnoteReference"/>
        </w:rPr>
        <w:footnoteRef/>
      </w:r>
      <w:r>
        <w:tab/>
        <w:t xml:space="preserve">See </w:t>
      </w:r>
      <w:r w:rsidRPr="00271DE4">
        <w:t>http://</w:t>
      </w:r>
      <w:proofErr w:type="spellStart"/>
      <w:r w:rsidRPr="00271DE4">
        <w:t>www.aadnc-aandc.gc.ca</w:t>
      </w:r>
      <w:proofErr w:type="spellEnd"/>
      <w:r w:rsidRPr="00271DE4">
        <w:t>/</w:t>
      </w:r>
      <w:proofErr w:type="spellStart"/>
      <w:r w:rsidRPr="00271DE4">
        <w:t>eng</w:t>
      </w:r>
      <w:proofErr w:type="spellEnd"/>
      <w:r w:rsidRPr="00271DE4">
        <w:t>/1100100030306/1100100030307</w:t>
      </w:r>
      <w:r>
        <w:t xml:space="preserve"> for the official description.</w:t>
      </w:r>
    </w:p>
  </w:footnote>
  <w:footnote w:id="8">
    <w:p w:rsidR="004B1060" w:rsidRDefault="004B1060" w:rsidP="008F3E11">
      <w:pPr>
        <w:pStyle w:val="FootnoteText"/>
      </w:pPr>
      <w:r w:rsidRPr="008F3E11">
        <w:rPr>
          <w:rStyle w:val="FootnoteReference"/>
        </w:rPr>
        <w:footnoteRef/>
      </w:r>
      <w:r>
        <w:tab/>
        <w:t>See Hicks 2009 for an extended discussion.</w:t>
      </w:r>
    </w:p>
  </w:footnote>
  <w:footnote w:id="9">
    <w:p w:rsidR="004B1060" w:rsidRDefault="004B1060" w:rsidP="008F3E11">
      <w:pPr>
        <w:pStyle w:val="FootnoteText"/>
      </w:pPr>
      <w:r w:rsidRPr="008F3E11">
        <w:rPr>
          <w:rStyle w:val="FootnoteReference"/>
        </w:rPr>
        <w:footnoteRef/>
      </w:r>
      <w:r>
        <w:tab/>
        <w:t>Use of the term ‘neo-liberalism’ to refer to the global changes towards markets and away from Keynesian economic solutions, along with a broad basket of changes to arrangements for social provision, has been rightly criticised as too vague and heterogeneous a category to be useful. My meaning here is a relatively narrow one, as described above, but I do mean to connect these changes to international transformations of the state–society relationship.</w:t>
      </w:r>
    </w:p>
  </w:footnote>
  <w:footnote w:id="10">
    <w:p w:rsidR="004B1060" w:rsidRDefault="004B1060" w:rsidP="008F3E11">
      <w:pPr>
        <w:pStyle w:val="FootnoteText"/>
        <w:rPr>
          <w:rFonts w:cstheme="minorBidi"/>
        </w:rPr>
      </w:pPr>
      <w:r w:rsidRPr="008F3E11">
        <w:rPr>
          <w:rStyle w:val="FootnoteReference"/>
        </w:rPr>
        <w:footnoteRef/>
      </w:r>
      <w:r>
        <w:rPr>
          <w:lang w:val="en-CA"/>
        </w:rPr>
        <w:tab/>
        <w:t xml:space="preserve">Summaries appear in </w:t>
      </w:r>
      <w:proofErr w:type="spellStart"/>
      <w:r>
        <w:rPr>
          <w:lang w:val="en-CA"/>
        </w:rPr>
        <w:t>Ponting</w:t>
      </w:r>
      <w:proofErr w:type="spellEnd"/>
      <w:r>
        <w:rPr>
          <w:lang w:val="en-CA"/>
        </w:rPr>
        <w:t xml:space="preserve">, R. and </w:t>
      </w:r>
      <w:proofErr w:type="spellStart"/>
      <w:r>
        <w:rPr>
          <w:lang w:val="en-CA"/>
        </w:rPr>
        <w:t>Gibbins</w:t>
      </w:r>
      <w:proofErr w:type="spellEnd"/>
      <w:r>
        <w:rPr>
          <w:lang w:val="en-CA"/>
        </w:rPr>
        <w:t xml:space="preserve">, R. 1980, </w:t>
      </w:r>
      <w:r>
        <w:rPr>
          <w:i/>
          <w:iCs/>
          <w:lang w:val="en-CA"/>
        </w:rPr>
        <w:t>Out of Irrelevance: A Socio-Political Introduction to Indian Affairs in Canada</w:t>
      </w:r>
      <w:r>
        <w:rPr>
          <w:iCs/>
          <w:lang w:val="en-CA"/>
        </w:rPr>
        <w:t>,</w:t>
      </w:r>
      <w:r>
        <w:rPr>
          <w:i/>
          <w:iCs/>
          <w:lang w:val="en-CA"/>
        </w:rPr>
        <w:t xml:space="preserve"> </w:t>
      </w:r>
      <w:proofErr w:type="spellStart"/>
      <w:r>
        <w:rPr>
          <w:iCs/>
          <w:lang w:val="en-CA"/>
        </w:rPr>
        <w:t>Butterworths</w:t>
      </w:r>
      <w:proofErr w:type="spellEnd"/>
      <w:r>
        <w:rPr>
          <w:iCs/>
          <w:lang w:val="en-CA"/>
        </w:rPr>
        <w:t>, Toronto;</w:t>
      </w:r>
      <w:r>
        <w:rPr>
          <w:lang w:val="en-CA"/>
        </w:rPr>
        <w:t xml:space="preserve"> Abele,</w:t>
      </w:r>
      <w:r>
        <w:rPr>
          <w:spacing w:val="-3"/>
          <w:lang w:val="en-CA"/>
        </w:rPr>
        <w:t xml:space="preserve"> F. 1996, ‘Understanding what happened here: the political economy of Indigenous Peoples’, in Clement, W. (ed.), </w:t>
      </w:r>
      <w:r>
        <w:rPr>
          <w:i/>
          <w:iCs/>
          <w:spacing w:val="-3"/>
          <w:lang w:val="en-CA"/>
        </w:rPr>
        <w:t>Understanding Canada: Building on the New Political Economy</w:t>
      </w:r>
      <w:r>
        <w:rPr>
          <w:iCs/>
          <w:spacing w:val="-3"/>
          <w:lang w:val="en-CA"/>
        </w:rPr>
        <w:t>,</w:t>
      </w:r>
      <w:r>
        <w:rPr>
          <w:spacing w:val="-3"/>
          <w:lang w:val="en-CA"/>
        </w:rPr>
        <w:t xml:space="preserve"> McGill-Queen’s University Press, Kingston and Montreal, p. 118</w:t>
      </w:r>
      <w:r>
        <w:rPr>
          <w:lang w:val="en-CA"/>
        </w:rPr>
        <w:t xml:space="preserve">; Abele, F., Graham, K. and </w:t>
      </w:r>
      <w:proofErr w:type="spellStart"/>
      <w:r>
        <w:rPr>
          <w:lang w:val="en-CA"/>
        </w:rPr>
        <w:t>Maslove</w:t>
      </w:r>
      <w:proofErr w:type="spellEnd"/>
      <w:r>
        <w:rPr>
          <w:lang w:val="en-CA"/>
        </w:rPr>
        <w:t xml:space="preserve">, A. 1999, ‘Negotiating Canada: thirty years of change in Aboriginal policy’, in Pal, L. (ed.), </w:t>
      </w:r>
      <w:r>
        <w:rPr>
          <w:i/>
          <w:iCs/>
          <w:lang w:val="en-CA"/>
        </w:rPr>
        <w:t>How Ottawa Spends 1999-2000</w:t>
      </w:r>
      <w:r>
        <w:rPr>
          <w:iCs/>
          <w:lang w:val="en-CA"/>
        </w:rPr>
        <w:t>,</w:t>
      </w:r>
      <w:r>
        <w:rPr>
          <w:i/>
          <w:iCs/>
          <w:lang w:val="en-CA"/>
        </w:rPr>
        <w:t xml:space="preserve"> </w:t>
      </w:r>
      <w:r>
        <w:rPr>
          <w:lang w:val="en-CA"/>
        </w:rPr>
        <w:t xml:space="preserve">Oxford University Press, Toronto, p. 251; Murphy, M. 2005, ‘Relational self-determination and federal reform’, in Murphy, M. (ed.), </w:t>
      </w:r>
      <w:r>
        <w:rPr>
          <w:i/>
          <w:iCs/>
          <w:lang w:val="en-CA"/>
        </w:rPr>
        <w:t>Canada: The State of the Federation 2003: Reconfiguring Aboriginal-State Relations</w:t>
      </w:r>
      <w:r>
        <w:rPr>
          <w:iCs/>
          <w:lang w:val="en-CA"/>
        </w:rPr>
        <w:t>,</w:t>
      </w:r>
      <w:r>
        <w:rPr>
          <w:lang w:val="en-CA"/>
        </w:rPr>
        <w:t xml:space="preserve"> McGill-Queen’s University Press, Kingston and Montreal, p. 3.</w:t>
      </w:r>
    </w:p>
  </w:footnote>
  <w:footnote w:id="11">
    <w:p w:rsidR="004B1060" w:rsidRPr="00C52473" w:rsidRDefault="004B1060" w:rsidP="008F3E11">
      <w:pPr>
        <w:pStyle w:val="FootnoteText"/>
      </w:pPr>
      <w:r w:rsidRPr="008F3E11">
        <w:rPr>
          <w:rStyle w:val="FootnoteReference"/>
        </w:rPr>
        <w:footnoteRef/>
      </w:r>
      <w:r>
        <w:tab/>
        <w:t xml:space="preserve">Sec. 35 of the Constitution Act </w:t>
      </w:r>
      <w:r w:rsidRPr="00C52473">
        <w:rPr>
          <w:lang w:val="en-CA"/>
        </w:rPr>
        <w:t xml:space="preserve">(1982) entrenched </w:t>
      </w:r>
      <w:r>
        <w:rPr>
          <w:lang w:val="en-CA"/>
        </w:rPr>
        <w:t>‘</w:t>
      </w:r>
      <w:r w:rsidRPr="00C52473">
        <w:rPr>
          <w:lang w:val="en-CA"/>
        </w:rPr>
        <w:t>existing aborigi</w:t>
      </w:r>
      <w:r>
        <w:rPr>
          <w:lang w:val="en-CA"/>
        </w:rPr>
        <w:t xml:space="preserve">nal and treaty rights’. </w:t>
      </w:r>
      <w:r w:rsidRPr="00C52473">
        <w:rPr>
          <w:lang w:val="en-CA"/>
        </w:rPr>
        <w:t>Section 35 has shaped subsequent jurisprudence and has led to major changes in public policy, notably the formal recognition in feder</w:t>
      </w:r>
      <w:r>
        <w:rPr>
          <w:lang w:val="en-CA"/>
        </w:rPr>
        <w:t>al policy of Aboriginal peoples’</w:t>
      </w:r>
      <w:r w:rsidRPr="00C52473">
        <w:rPr>
          <w:lang w:val="en-CA"/>
        </w:rPr>
        <w:t xml:space="preserve"> inherent right to self-government. The </w:t>
      </w:r>
      <w:proofErr w:type="spellStart"/>
      <w:r w:rsidRPr="00C52473">
        <w:rPr>
          <w:lang w:val="en-CA"/>
        </w:rPr>
        <w:t>patriated</w:t>
      </w:r>
      <w:proofErr w:type="spellEnd"/>
      <w:r w:rsidRPr="00C52473">
        <w:rPr>
          <w:lang w:val="en-CA"/>
        </w:rPr>
        <w:t xml:space="preserve"> constitution also mandated, in Section </w:t>
      </w:r>
      <w:r>
        <w:rPr>
          <w:lang w:val="en-CA"/>
        </w:rPr>
        <w:t>37, a series of First Ministers’</w:t>
      </w:r>
      <w:r w:rsidRPr="00C52473">
        <w:rPr>
          <w:lang w:val="en-CA"/>
        </w:rPr>
        <w:t xml:space="preserve"> Conferences on Aboriginal Constitutional Matters to define the practical meaning of </w:t>
      </w:r>
      <w:r>
        <w:rPr>
          <w:lang w:val="en-CA"/>
        </w:rPr>
        <w:t>‘</w:t>
      </w:r>
      <w:r w:rsidRPr="00C52473">
        <w:rPr>
          <w:lang w:val="en-CA"/>
        </w:rPr>
        <w:t>existing aboriginal and treaty rights</w:t>
      </w:r>
      <w:r>
        <w:rPr>
          <w:lang w:val="en-CA"/>
        </w:rPr>
        <w:t>’</w:t>
      </w:r>
      <w:r w:rsidRPr="00C52473">
        <w:rPr>
          <w:lang w:val="en-CA"/>
        </w:rPr>
        <w:t>.</w:t>
      </w:r>
      <w:r>
        <w:rPr>
          <w:lang w:val="en-CA"/>
        </w:rPr>
        <w:t xml:space="preserve"> </w:t>
      </w:r>
      <w:r w:rsidRPr="00C52473">
        <w:rPr>
          <w:lang w:val="en-CA"/>
        </w:rPr>
        <w:t xml:space="preserve">These conferences concluded in 1987 with no consensus on this key point, and subsequently the Charlottetown Accord failed in a Canada-wide referendum in 1992. The Accord would have transformed the federation, among other things reserving a seat at the table of executive federalism for Aboriginal people. </w:t>
      </w:r>
    </w:p>
  </w:footnote>
  <w:footnote w:id="12">
    <w:p w:rsidR="004B1060" w:rsidRDefault="004B1060" w:rsidP="008F3E11">
      <w:pPr>
        <w:pStyle w:val="FootnoteText"/>
        <w:rPr>
          <w:rFonts w:cstheme="minorBidi"/>
        </w:rPr>
      </w:pPr>
      <w:r w:rsidRPr="008F3E11">
        <w:rPr>
          <w:rStyle w:val="FootnoteReference"/>
        </w:rPr>
        <w:footnoteRef/>
      </w:r>
      <w:r>
        <w:rPr>
          <w:lang w:val="en-CA"/>
        </w:rPr>
        <w:tab/>
        <w:t xml:space="preserve">See </w:t>
      </w:r>
      <w:proofErr w:type="spellStart"/>
      <w:r>
        <w:rPr>
          <w:lang w:val="en-CA"/>
        </w:rPr>
        <w:t>Greenspon</w:t>
      </w:r>
      <w:proofErr w:type="spellEnd"/>
      <w:r>
        <w:rPr>
          <w:lang w:val="en-CA"/>
        </w:rPr>
        <w:t xml:space="preserve">, E. and Wilson-Smith, A. 1996, </w:t>
      </w:r>
      <w:r>
        <w:rPr>
          <w:i/>
          <w:iCs/>
          <w:lang w:val="en-CA"/>
        </w:rPr>
        <w:t>Double Vision: The Inside Story of the Liberals in Power</w:t>
      </w:r>
      <w:r>
        <w:rPr>
          <w:iCs/>
          <w:lang w:val="en-CA"/>
        </w:rPr>
        <w:t>,</w:t>
      </w:r>
      <w:r>
        <w:rPr>
          <w:lang w:val="en-CA"/>
        </w:rPr>
        <w:t xml:space="preserve"> Doubleday, Toronto; </w:t>
      </w:r>
      <w:proofErr w:type="spellStart"/>
      <w:r>
        <w:rPr>
          <w:lang w:val="en-CA"/>
        </w:rPr>
        <w:t>Maslove</w:t>
      </w:r>
      <w:proofErr w:type="spellEnd"/>
      <w:r>
        <w:rPr>
          <w:lang w:val="en-CA"/>
        </w:rPr>
        <w:t xml:space="preserve">, A. 1996, ‘The Canada health and social transfer: forcing issues’, in Swimmer, G. (ed.), </w:t>
      </w:r>
      <w:r>
        <w:rPr>
          <w:i/>
          <w:iCs/>
          <w:lang w:val="en-CA"/>
        </w:rPr>
        <w:t>How Ottawa Spends 1996–97: Life Under the Knife</w:t>
      </w:r>
      <w:r>
        <w:rPr>
          <w:iCs/>
          <w:lang w:val="en-CA"/>
        </w:rPr>
        <w:t>,</w:t>
      </w:r>
      <w:r>
        <w:rPr>
          <w:lang w:val="en-CA"/>
        </w:rPr>
        <w:t xml:space="preserve"> Carleton University Press, Ottawa; </w:t>
      </w:r>
      <w:proofErr w:type="spellStart"/>
      <w:r>
        <w:rPr>
          <w:lang w:val="en-CA"/>
        </w:rPr>
        <w:t>Maslove</w:t>
      </w:r>
      <w:proofErr w:type="spellEnd"/>
      <w:r>
        <w:rPr>
          <w:lang w:val="en-CA"/>
        </w:rPr>
        <w:t xml:space="preserve">. A. and Moore, K. 1997, ‘From red books to blue books: repairing Ottawa’s fiscal house’, in Swimmer, G. (ed.), </w:t>
      </w:r>
      <w:r>
        <w:rPr>
          <w:i/>
          <w:iCs/>
          <w:lang w:val="en-CA"/>
        </w:rPr>
        <w:t>How Ottawa Spends 1997–98: Seeing Red: A Liberal Report Card</w:t>
      </w:r>
      <w:r>
        <w:rPr>
          <w:iCs/>
          <w:lang w:val="en-CA"/>
        </w:rPr>
        <w:t>,</w:t>
      </w:r>
      <w:r>
        <w:rPr>
          <w:lang w:val="en-CA"/>
        </w:rPr>
        <w:t xml:space="preserve"> Carleton University Press, Ottawa; Macdonald, Mark R. 2000, </w:t>
      </w:r>
      <w:proofErr w:type="spellStart"/>
      <w:r>
        <w:rPr>
          <w:lang w:val="en-CA"/>
        </w:rPr>
        <w:t>‘Re</w:t>
      </w:r>
      <w:proofErr w:type="spellEnd"/>
      <w:r>
        <w:rPr>
          <w:lang w:val="en-CA"/>
        </w:rPr>
        <w:t xml:space="preserve">-learning our ABCs? the new governance of Aboriginal economic development’, in Pal, Leslie A. (ed.), </w:t>
      </w:r>
      <w:r>
        <w:rPr>
          <w:i/>
          <w:iCs/>
          <w:lang w:val="en-CA"/>
        </w:rPr>
        <w:t>How Ottawa Spends 2000-2001: Past Imperfect, Future Tense</w:t>
      </w:r>
      <w:r>
        <w:rPr>
          <w:iCs/>
          <w:lang w:val="en-CA"/>
        </w:rPr>
        <w:t>,</w:t>
      </w:r>
      <w:r>
        <w:rPr>
          <w:lang w:val="en-CA"/>
        </w:rPr>
        <w:t xml:space="preserve"> Oxford University Press, Don Mills.</w:t>
      </w:r>
    </w:p>
  </w:footnote>
  <w:footnote w:id="13">
    <w:p w:rsidR="004B1060" w:rsidRDefault="004B1060" w:rsidP="008F3E11">
      <w:pPr>
        <w:pStyle w:val="FootnoteText"/>
        <w:rPr>
          <w:rFonts w:cstheme="minorBidi"/>
        </w:rPr>
      </w:pPr>
      <w:r w:rsidRPr="008F3E11">
        <w:rPr>
          <w:rStyle w:val="FootnoteReference"/>
        </w:rPr>
        <w:footnoteRef/>
      </w:r>
      <w:r>
        <w:rPr>
          <w:lang w:val="en-CA"/>
        </w:rPr>
        <w:tab/>
        <w:t xml:space="preserve">Discussed in more detail in Abele 2006 and Abele 2013 forthcoming. For a close contemporary analysis of the change in federal policy, see </w:t>
      </w:r>
      <w:proofErr w:type="spellStart"/>
      <w:r>
        <w:rPr>
          <w:lang w:val="en-CA"/>
        </w:rPr>
        <w:t>Greenspon</w:t>
      </w:r>
      <w:proofErr w:type="spellEnd"/>
      <w:r>
        <w:rPr>
          <w:lang w:val="en-CA"/>
        </w:rPr>
        <w:t xml:space="preserve"> and Wilson-Smith 1996. </w:t>
      </w:r>
    </w:p>
  </w:footnote>
  <w:footnote w:id="14">
    <w:p w:rsidR="004B1060" w:rsidRDefault="004B1060" w:rsidP="008F3E11">
      <w:pPr>
        <w:pStyle w:val="FootnoteText"/>
        <w:rPr>
          <w:rFonts w:cstheme="minorBidi"/>
        </w:rPr>
      </w:pPr>
      <w:r w:rsidRPr="008F3E11">
        <w:rPr>
          <w:rStyle w:val="FootnoteReference"/>
        </w:rPr>
        <w:footnoteRef/>
      </w:r>
      <w:r>
        <w:rPr>
          <w:lang w:val="en-CA"/>
        </w:rPr>
        <w:tab/>
        <w:t xml:space="preserve">Macdonald, </w:t>
      </w:r>
      <w:r>
        <w:rPr>
          <w:i/>
          <w:iCs/>
          <w:lang w:val="en-CA"/>
        </w:rPr>
        <w:t xml:space="preserve">supra </w:t>
      </w:r>
      <w:r>
        <w:rPr>
          <w:lang w:val="en-CA"/>
        </w:rPr>
        <w:t>note 12 provides a very clear account of what these changes meant in practice to economic development programs for Aboriginal people.</w:t>
      </w:r>
    </w:p>
  </w:footnote>
  <w:footnote w:id="15">
    <w:p w:rsidR="004B1060" w:rsidRDefault="004B1060" w:rsidP="008F3E11">
      <w:pPr>
        <w:pStyle w:val="FootnoteText"/>
      </w:pPr>
      <w:r w:rsidRPr="008F3E11">
        <w:rPr>
          <w:rStyle w:val="FootnoteReference"/>
        </w:rPr>
        <w:footnoteRef/>
      </w:r>
      <w:r>
        <w:tab/>
        <w:t>This is a subjective impression; sadly, there has not yet been a comprehensive analysis of service provision in this period. But see Abele 2004 for more detail.</w:t>
      </w:r>
    </w:p>
  </w:footnote>
  <w:footnote w:id="16">
    <w:p w:rsidR="004B1060" w:rsidRDefault="004B1060" w:rsidP="008F3E11">
      <w:pPr>
        <w:pStyle w:val="FootnoteText"/>
      </w:pPr>
      <w:r w:rsidRPr="008F3E11">
        <w:rPr>
          <w:rStyle w:val="FootnoteReference"/>
        </w:rPr>
        <w:footnoteRef/>
      </w:r>
      <w:r>
        <w:tab/>
        <w:t>The program is described, and its geographical reach explained, at</w:t>
      </w:r>
      <w:r w:rsidRPr="00AE7627">
        <w:t xml:space="preserve"> http://</w:t>
      </w:r>
      <w:proofErr w:type="spellStart"/>
      <w:r w:rsidRPr="00AE7627">
        <w:t>www.aadnc-aandc.gc.ca</w:t>
      </w:r>
      <w:proofErr w:type="spellEnd"/>
      <w:r w:rsidRPr="00AE7627">
        <w:t>/map/</w:t>
      </w:r>
      <w:proofErr w:type="spellStart"/>
      <w:r w:rsidRPr="00AE7627">
        <w:t>ofi</w:t>
      </w:r>
      <w:proofErr w:type="spellEnd"/>
      <w:r w:rsidRPr="00AE7627">
        <w:t>/</w:t>
      </w:r>
      <w:proofErr w:type="spellStart"/>
      <w:r w:rsidRPr="00AE7627">
        <w:t>uas</w:t>
      </w:r>
      <w:proofErr w:type="spellEnd"/>
      <w:r w:rsidRPr="00AE7627">
        <w:t>/</w:t>
      </w:r>
      <w:proofErr w:type="spellStart"/>
      <w:r w:rsidRPr="00AE7627">
        <w:t>mps</w:t>
      </w:r>
      <w:proofErr w:type="spellEnd"/>
      <w:r w:rsidRPr="00AE7627">
        <w:t>/</w:t>
      </w:r>
      <w:proofErr w:type="spellStart"/>
      <w:r w:rsidRPr="00AE7627">
        <w:t>uas</w:t>
      </w:r>
      <w:proofErr w:type="spellEnd"/>
      <w:r w:rsidRPr="00AE7627">
        <w:t>-html-</w:t>
      </w:r>
      <w:proofErr w:type="spellStart"/>
      <w:r w:rsidRPr="00AE7627">
        <w:t>eng.asp</w:t>
      </w:r>
      <w:proofErr w:type="spellEnd"/>
      <w:r>
        <w:t xml:space="preserve">. </w:t>
      </w:r>
    </w:p>
  </w:footnote>
  <w:footnote w:id="17">
    <w:p w:rsidR="004B1060" w:rsidRDefault="004B1060" w:rsidP="008F3E11">
      <w:pPr>
        <w:pStyle w:val="FootnoteText"/>
      </w:pPr>
      <w:r w:rsidRPr="008F3E11">
        <w:rPr>
          <w:rStyle w:val="FootnoteReference"/>
        </w:rPr>
        <w:footnoteRef/>
      </w:r>
      <w:r>
        <w:tab/>
        <w:t xml:space="preserve">Changes in this regard are explained at </w:t>
      </w:r>
      <w:r w:rsidRPr="00FB04E2">
        <w:t>http://</w:t>
      </w:r>
      <w:proofErr w:type="spellStart"/>
      <w:r w:rsidRPr="00FB04E2">
        <w:t>www.tbs-sct.gc.ca</w:t>
      </w:r>
      <w:proofErr w:type="spellEnd"/>
      <w:r w:rsidRPr="00FB04E2">
        <w:t>/</w:t>
      </w:r>
      <w:proofErr w:type="spellStart"/>
      <w:r w:rsidRPr="00FB04E2">
        <w:t>faa-lfi</w:t>
      </w:r>
      <w:proofErr w:type="spellEnd"/>
      <w:r w:rsidRPr="00FB04E2">
        <w:t>/</w:t>
      </w:r>
      <w:proofErr w:type="spellStart"/>
      <w:r w:rsidRPr="00FB04E2">
        <w:t>fs</w:t>
      </w:r>
      <w:proofErr w:type="spellEnd"/>
      <w:r w:rsidRPr="00FB04E2">
        <w:t>-fi/16/</w:t>
      </w:r>
      <w:proofErr w:type="spellStart"/>
      <w:r w:rsidRPr="00FB04E2">
        <w:t>12fs</w:t>
      </w:r>
      <w:proofErr w:type="spellEnd"/>
      <w:r w:rsidRPr="00FB04E2">
        <w:t>-fi-</w:t>
      </w:r>
      <w:proofErr w:type="spellStart"/>
      <w:r w:rsidRPr="00FB04E2">
        <w:t>eng.asp</w:t>
      </w:r>
      <w:proofErr w:type="spellEnd"/>
      <w:r>
        <w:t>.</w:t>
      </w:r>
    </w:p>
  </w:footnote>
  <w:footnote w:id="18">
    <w:p w:rsidR="004B1060" w:rsidRDefault="004B1060" w:rsidP="008F3E11">
      <w:pPr>
        <w:pStyle w:val="FootnoteText"/>
      </w:pPr>
      <w:r w:rsidRPr="008F3E11">
        <w:rPr>
          <w:rStyle w:val="FootnoteReference"/>
        </w:rPr>
        <w:footnoteRef/>
      </w:r>
      <w:r>
        <w:tab/>
        <w:t xml:space="preserve">All of the factual information in this section, and all direct quotations, are drawn from the departmental website, </w:t>
      </w:r>
      <w:r w:rsidRPr="003443AF">
        <w:t>http://</w:t>
      </w:r>
      <w:proofErr w:type="spellStart"/>
      <w:r w:rsidRPr="003443AF">
        <w:t>www.aadnc-aandc.gc.ca</w:t>
      </w:r>
      <w:proofErr w:type="spellEnd"/>
      <w:r w:rsidRPr="003443AF">
        <w:t>/</w:t>
      </w:r>
      <w:proofErr w:type="spellStart"/>
      <w:r w:rsidRPr="003443AF">
        <w:t>eng</w:t>
      </w:r>
      <w:proofErr w:type="spellEnd"/>
      <w:r w:rsidRPr="003443AF">
        <w:t>/1100100011247/1100100011248</w:t>
      </w:r>
      <w:r>
        <w:t>.</w:t>
      </w:r>
    </w:p>
  </w:footnote>
  <w:footnote w:id="19">
    <w:p w:rsidR="004B1060" w:rsidRDefault="004B1060" w:rsidP="008F3E11">
      <w:pPr>
        <w:pStyle w:val="FootnoteText"/>
      </w:pPr>
      <w:r w:rsidRPr="008F3E11">
        <w:rPr>
          <w:rStyle w:val="FootnoteReference"/>
        </w:rPr>
        <w:footnoteRef/>
      </w:r>
      <w:r>
        <w:tab/>
        <w:t>This is the older name of the department. The name was changed to Aboriginal Affairs and Northern Development Canada in 2007, but there has been no change in legislation.</w:t>
      </w:r>
    </w:p>
  </w:footnote>
  <w:footnote w:id="20">
    <w:p w:rsidR="004B1060" w:rsidRDefault="004B1060" w:rsidP="008F3E11">
      <w:pPr>
        <w:pStyle w:val="FootnoteText"/>
      </w:pPr>
      <w:r w:rsidRPr="008F3E11">
        <w:rPr>
          <w:rStyle w:val="FootnoteReference"/>
        </w:rPr>
        <w:footnoteRef/>
      </w:r>
      <w:r>
        <w:tab/>
        <w:t>The quotation has been edited lightly for greater clarity in this context.</w:t>
      </w:r>
    </w:p>
  </w:footnote>
  <w:footnote w:id="21">
    <w:p w:rsidR="004B1060" w:rsidRDefault="004B1060" w:rsidP="008F3E11">
      <w:pPr>
        <w:pStyle w:val="FootnoteText"/>
      </w:pPr>
      <w:r w:rsidRPr="008F3E11">
        <w:rPr>
          <w:rStyle w:val="FootnoteReference"/>
        </w:rPr>
        <w:footnoteRef/>
      </w:r>
      <w:r>
        <w:tab/>
        <w:t xml:space="preserve">Over the years there has been some controversy about the role of this office, and in particular about possible infringement on political or policy </w:t>
      </w:r>
      <w:proofErr w:type="spellStart"/>
      <w:r>
        <w:t>decisionmaking</w:t>
      </w:r>
      <w:proofErr w:type="spellEnd"/>
      <w:r>
        <w:t>. See Sutherland 1986; Malloy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B1060">
      <w:tc>
        <w:tcPr>
          <w:tcW w:w="2155" w:type="dxa"/>
          <w:tcBorders>
            <w:top w:val="single" w:sz="24" w:space="0" w:color="auto"/>
          </w:tcBorders>
        </w:tcPr>
        <w:p w:rsidR="004B1060" w:rsidRDefault="004B1060" w:rsidP="0019293B">
          <w:pPr>
            <w:pStyle w:val="HeaderEven"/>
          </w:pPr>
        </w:p>
      </w:tc>
      <w:tc>
        <w:tcPr>
          <w:tcW w:w="6634" w:type="dxa"/>
          <w:tcBorders>
            <w:top w:val="single" w:sz="6" w:space="0" w:color="auto"/>
          </w:tcBorders>
        </w:tcPr>
        <w:p w:rsidR="004B1060" w:rsidRDefault="004B1060" w:rsidP="0019293B">
          <w:pPr>
            <w:pStyle w:val="HeaderEven"/>
          </w:pPr>
        </w:p>
      </w:tc>
    </w:tr>
  </w:tbl>
  <w:p w:rsidR="004B1060" w:rsidRDefault="004B106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B1060">
      <w:tc>
        <w:tcPr>
          <w:tcW w:w="6634" w:type="dxa"/>
          <w:tcBorders>
            <w:top w:val="single" w:sz="6" w:space="0" w:color="auto"/>
          </w:tcBorders>
        </w:tcPr>
        <w:p w:rsidR="004B1060" w:rsidRDefault="004B1060" w:rsidP="00E669E2">
          <w:pPr>
            <w:pStyle w:val="HeaderOdd"/>
          </w:pPr>
        </w:p>
      </w:tc>
      <w:tc>
        <w:tcPr>
          <w:tcW w:w="2155" w:type="dxa"/>
          <w:tcBorders>
            <w:top w:val="single" w:sz="24" w:space="0" w:color="auto"/>
          </w:tcBorders>
        </w:tcPr>
        <w:p w:rsidR="004B1060" w:rsidRDefault="004B1060" w:rsidP="00E669E2">
          <w:pPr>
            <w:pStyle w:val="HeaderOdd"/>
          </w:pPr>
        </w:p>
      </w:tc>
    </w:tr>
  </w:tbl>
  <w:p w:rsidR="004B1060" w:rsidRDefault="004B1060"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060" w:rsidRDefault="004B10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2"/>
  </w:num>
  <w:num w:numId="3">
    <w:abstractNumId w:val="7"/>
  </w:num>
  <w:num w:numId="4">
    <w:abstractNumId w:val="25"/>
  </w:num>
  <w:num w:numId="5">
    <w:abstractNumId w:val="9"/>
  </w:num>
  <w:num w:numId="6">
    <w:abstractNumId w:val="37"/>
  </w:num>
  <w:num w:numId="7">
    <w:abstractNumId w:val="28"/>
  </w:num>
  <w:num w:numId="8">
    <w:abstractNumId w:val="43"/>
  </w:num>
  <w:num w:numId="9">
    <w:abstractNumId w:val="16"/>
  </w:num>
  <w:num w:numId="10">
    <w:abstractNumId w:val="26"/>
  </w:num>
  <w:num w:numId="11">
    <w:abstractNumId w:val="15"/>
  </w:num>
  <w:num w:numId="12">
    <w:abstractNumId w:val="14"/>
  </w:num>
  <w:num w:numId="13">
    <w:abstractNumId w:val="17"/>
  </w:num>
  <w:num w:numId="14">
    <w:abstractNumId w:val="19"/>
  </w:num>
  <w:num w:numId="15">
    <w:abstractNumId w:val="22"/>
  </w:num>
  <w:num w:numId="16">
    <w:abstractNumId w:val="10"/>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flections on the Canadian Experience"/>
    <w:docVar w:name="ShortReportTitle" w:val="Better Indigenous Policies: The Role of Evaluation"/>
  </w:docVars>
  <w:rsids>
    <w:rsidRoot w:val="00F969F0"/>
    <w:rsid w:val="000109D5"/>
    <w:rsid w:val="000227D5"/>
    <w:rsid w:val="000245AA"/>
    <w:rsid w:val="0003664B"/>
    <w:rsid w:val="0004111F"/>
    <w:rsid w:val="000565B3"/>
    <w:rsid w:val="0007150B"/>
    <w:rsid w:val="00091644"/>
    <w:rsid w:val="000938F5"/>
    <w:rsid w:val="00096E55"/>
    <w:rsid w:val="000B0190"/>
    <w:rsid w:val="000B05A7"/>
    <w:rsid w:val="000B601B"/>
    <w:rsid w:val="000B6B03"/>
    <w:rsid w:val="000C207E"/>
    <w:rsid w:val="000F0035"/>
    <w:rsid w:val="000F420B"/>
    <w:rsid w:val="00106D82"/>
    <w:rsid w:val="00110116"/>
    <w:rsid w:val="00120072"/>
    <w:rsid w:val="00126EB8"/>
    <w:rsid w:val="001274D4"/>
    <w:rsid w:val="001363AA"/>
    <w:rsid w:val="00183BC7"/>
    <w:rsid w:val="00183E82"/>
    <w:rsid w:val="001878BB"/>
    <w:rsid w:val="00191AE0"/>
    <w:rsid w:val="0019293B"/>
    <w:rsid w:val="001A60A5"/>
    <w:rsid w:val="001B5C8E"/>
    <w:rsid w:val="001B5CA0"/>
    <w:rsid w:val="001C0865"/>
    <w:rsid w:val="001C3ABA"/>
    <w:rsid w:val="001E7BE8"/>
    <w:rsid w:val="001F0248"/>
    <w:rsid w:val="001F3EB3"/>
    <w:rsid w:val="001F4F86"/>
    <w:rsid w:val="00201111"/>
    <w:rsid w:val="00202365"/>
    <w:rsid w:val="00202C2C"/>
    <w:rsid w:val="002135AB"/>
    <w:rsid w:val="002144BE"/>
    <w:rsid w:val="002179CB"/>
    <w:rsid w:val="00242279"/>
    <w:rsid w:val="00245C82"/>
    <w:rsid w:val="00251192"/>
    <w:rsid w:val="0027451E"/>
    <w:rsid w:val="002851D1"/>
    <w:rsid w:val="00291B40"/>
    <w:rsid w:val="002A4888"/>
    <w:rsid w:val="002A737E"/>
    <w:rsid w:val="002B02A5"/>
    <w:rsid w:val="002B4008"/>
    <w:rsid w:val="002C1FA9"/>
    <w:rsid w:val="002C7874"/>
    <w:rsid w:val="002D0E8E"/>
    <w:rsid w:val="002E28C5"/>
    <w:rsid w:val="002E6AC2"/>
    <w:rsid w:val="002F2351"/>
    <w:rsid w:val="002F5525"/>
    <w:rsid w:val="00300F0C"/>
    <w:rsid w:val="00301189"/>
    <w:rsid w:val="00321ABD"/>
    <w:rsid w:val="00323E09"/>
    <w:rsid w:val="00333932"/>
    <w:rsid w:val="003518AA"/>
    <w:rsid w:val="00352165"/>
    <w:rsid w:val="00353182"/>
    <w:rsid w:val="003565D9"/>
    <w:rsid w:val="003602E1"/>
    <w:rsid w:val="00365D21"/>
    <w:rsid w:val="0037026F"/>
    <w:rsid w:val="00371240"/>
    <w:rsid w:val="00374731"/>
    <w:rsid w:val="00376E59"/>
    <w:rsid w:val="003919F9"/>
    <w:rsid w:val="003C38B5"/>
    <w:rsid w:val="003C5D99"/>
    <w:rsid w:val="003E2525"/>
    <w:rsid w:val="003E2F59"/>
    <w:rsid w:val="003F0789"/>
    <w:rsid w:val="003F63DB"/>
    <w:rsid w:val="003F7137"/>
    <w:rsid w:val="00401882"/>
    <w:rsid w:val="004100C8"/>
    <w:rsid w:val="00411DBD"/>
    <w:rsid w:val="00412ACE"/>
    <w:rsid w:val="0041586D"/>
    <w:rsid w:val="00431249"/>
    <w:rsid w:val="00434C19"/>
    <w:rsid w:val="00450810"/>
    <w:rsid w:val="00470B69"/>
    <w:rsid w:val="00472E76"/>
    <w:rsid w:val="00473C66"/>
    <w:rsid w:val="00477144"/>
    <w:rsid w:val="00491380"/>
    <w:rsid w:val="0049459F"/>
    <w:rsid w:val="00496903"/>
    <w:rsid w:val="004A38DD"/>
    <w:rsid w:val="004A399C"/>
    <w:rsid w:val="004B1060"/>
    <w:rsid w:val="004B43AE"/>
    <w:rsid w:val="004C30ED"/>
    <w:rsid w:val="004D5675"/>
    <w:rsid w:val="00523639"/>
    <w:rsid w:val="00531FE5"/>
    <w:rsid w:val="005402FA"/>
    <w:rsid w:val="00543436"/>
    <w:rsid w:val="00551E6B"/>
    <w:rsid w:val="00583C39"/>
    <w:rsid w:val="00587F28"/>
    <w:rsid w:val="005909CF"/>
    <w:rsid w:val="00591E6A"/>
    <w:rsid w:val="00591E71"/>
    <w:rsid w:val="00592B2D"/>
    <w:rsid w:val="005A0D41"/>
    <w:rsid w:val="00607BF1"/>
    <w:rsid w:val="00630D4D"/>
    <w:rsid w:val="00632A74"/>
    <w:rsid w:val="00670D14"/>
    <w:rsid w:val="00682C6E"/>
    <w:rsid w:val="006942AD"/>
    <w:rsid w:val="006A0D1A"/>
    <w:rsid w:val="006A4655"/>
    <w:rsid w:val="006A7E31"/>
    <w:rsid w:val="006B2B3C"/>
    <w:rsid w:val="006C1D81"/>
    <w:rsid w:val="006C7038"/>
    <w:rsid w:val="006D6F35"/>
    <w:rsid w:val="006E73EF"/>
    <w:rsid w:val="007054BE"/>
    <w:rsid w:val="00714D4D"/>
    <w:rsid w:val="00715882"/>
    <w:rsid w:val="00724E6F"/>
    <w:rsid w:val="007604BB"/>
    <w:rsid w:val="00785232"/>
    <w:rsid w:val="007A21EB"/>
    <w:rsid w:val="007B1A93"/>
    <w:rsid w:val="007C34B0"/>
    <w:rsid w:val="007C36C9"/>
    <w:rsid w:val="007D6401"/>
    <w:rsid w:val="007E01E4"/>
    <w:rsid w:val="007F7107"/>
    <w:rsid w:val="00800389"/>
    <w:rsid w:val="00800D4C"/>
    <w:rsid w:val="00801793"/>
    <w:rsid w:val="008026F6"/>
    <w:rsid w:val="00803100"/>
    <w:rsid w:val="0081030F"/>
    <w:rsid w:val="0082087D"/>
    <w:rsid w:val="00835771"/>
    <w:rsid w:val="00842933"/>
    <w:rsid w:val="00856151"/>
    <w:rsid w:val="0086082C"/>
    <w:rsid w:val="008617C8"/>
    <w:rsid w:val="00864ADC"/>
    <w:rsid w:val="00880153"/>
    <w:rsid w:val="00880F97"/>
    <w:rsid w:val="0088133A"/>
    <w:rsid w:val="0089285E"/>
    <w:rsid w:val="0089436C"/>
    <w:rsid w:val="008C03F0"/>
    <w:rsid w:val="008D365C"/>
    <w:rsid w:val="008D6D24"/>
    <w:rsid w:val="008E5C20"/>
    <w:rsid w:val="008F3E11"/>
    <w:rsid w:val="009030BF"/>
    <w:rsid w:val="0091032F"/>
    <w:rsid w:val="00914368"/>
    <w:rsid w:val="00931076"/>
    <w:rsid w:val="009345D9"/>
    <w:rsid w:val="00934B15"/>
    <w:rsid w:val="00940C87"/>
    <w:rsid w:val="00942B62"/>
    <w:rsid w:val="0095163F"/>
    <w:rsid w:val="0095323B"/>
    <w:rsid w:val="00956A0C"/>
    <w:rsid w:val="00956BD9"/>
    <w:rsid w:val="00962489"/>
    <w:rsid w:val="00990C2C"/>
    <w:rsid w:val="009B7D2A"/>
    <w:rsid w:val="009C5C2E"/>
    <w:rsid w:val="009E1844"/>
    <w:rsid w:val="009F0D1B"/>
    <w:rsid w:val="009F696D"/>
    <w:rsid w:val="009F6BC6"/>
    <w:rsid w:val="00A17328"/>
    <w:rsid w:val="00A23A20"/>
    <w:rsid w:val="00A268B9"/>
    <w:rsid w:val="00A2703A"/>
    <w:rsid w:val="00A3097B"/>
    <w:rsid w:val="00A33714"/>
    <w:rsid w:val="00A33DFF"/>
    <w:rsid w:val="00A35115"/>
    <w:rsid w:val="00A36D9A"/>
    <w:rsid w:val="00A554AB"/>
    <w:rsid w:val="00A57062"/>
    <w:rsid w:val="00A92B53"/>
    <w:rsid w:val="00A94FA6"/>
    <w:rsid w:val="00A976B3"/>
    <w:rsid w:val="00AA03B0"/>
    <w:rsid w:val="00AA2BEC"/>
    <w:rsid w:val="00AA49A0"/>
    <w:rsid w:val="00AA6710"/>
    <w:rsid w:val="00AB0681"/>
    <w:rsid w:val="00AB192C"/>
    <w:rsid w:val="00AD520B"/>
    <w:rsid w:val="00AE5A5F"/>
    <w:rsid w:val="00AF3C56"/>
    <w:rsid w:val="00AF63F6"/>
    <w:rsid w:val="00B1382E"/>
    <w:rsid w:val="00B1386F"/>
    <w:rsid w:val="00B425C3"/>
    <w:rsid w:val="00B42609"/>
    <w:rsid w:val="00B440AD"/>
    <w:rsid w:val="00B53E7E"/>
    <w:rsid w:val="00B615D0"/>
    <w:rsid w:val="00B6342E"/>
    <w:rsid w:val="00B64686"/>
    <w:rsid w:val="00B7113F"/>
    <w:rsid w:val="00BA73B6"/>
    <w:rsid w:val="00BA7E27"/>
    <w:rsid w:val="00BB2603"/>
    <w:rsid w:val="00BB4FCD"/>
    <w:rsid w:val="00BC04E9"/>
    <w:rsid w:val="00BD13EA"/>
    <w:rsid w:val="00BE3808"/>
    <w:rsid w:val="00BE6988"/>
    <w:rsid w:val="00C062E9"/>
    <w:rsid w:val="00C07B64"/>
    <w:rsid w:val="00C13721"/>
    <w:rsid w:val="00C14FE4"/>
    <w:rsid w:val="00C17E20"/>
    <w:rsid w:val="00C3066D"/>
    <w:rsid w:val="00C52416"/>
    <w:rsid w:val="00C543F4"/>
    <w:rsid w:val="00C61018"/>
    <w:rsid w:val="00C6291C"/>
    <w:rsid w:val="00C633CB"/>
    <w:rsid w:val="00C736B7"/>
    <w:rsid w:val="00C81D4A"/>
    <w:rsid w:val="00C8762C"/>
    <w:rsid w:val="00CA00F9"/>
    <w:rsid w:val="00CA2961"/>
    <w:rsid w:val="00CB50D7"/>
    <w:rsid w:val="00CB7177"/>
    <w:rsid w:val="00CC1998"/>
    <w:rsid w:val="00CC2D72"/>
    <w:rsid w:val="00CC4946"/>
    <w:rsid w:val="00CD05F3"/>
    <w:rsid w:val="00CD5992"/>
    <w:rsid w:val="00CE5AD7"/>
    <w:rsid w:val="00D13C70"/>
    <w:rsid w:val="00D23ED9"/>
    <w:rsid w:val="00D26B27"/>
    <w:rsid w:val="00D270A4"/>
    <w:rsid w:val="00D31FE9"/>
    <w:rsid w:val="00D3480A"/>
    <w:rsid w:val="00D34E1B"/>
    <w:rsid w:val="00D376BA"/>
    <w:rsid w:val="00D41848"/>
    <w:rsid w:val="00D45634"/>
    <w:rsid w:val="00D5568A"/>
    <w:rsid w:val="00D60FAC"/>
    <w:rsid w:val="00D6396D"/>
    <w:rsid w:val="00D63D73"/>
    <w:rsid w:val="00D64452"/>
    <w:rsid w:val="00D644EE"/>
    <w:rsid w:val="00D66E1E"/>
    <w:rsid w:val="00D7445E"/>
    <w:rsid w:val="00D75298"/>
    <w:rsid w:val="00D75722"/>
    <w:rsid w:val="00D80CF5"/>
    <w:rsid w:val="00DA5BBA"/>
    <w:rsid w:val="00DB163C"/>
    <w:rsid w:val="00DB26D2"/>
    <w:rsid w:val="00DB67C9"/>
    <w:rsid w:val="00DC0C95"/>
    <w:rsid w:val="00DC2237"/>
    <w:rsid w:val="00DD6580"/>
    <w:rsid w:val="00E15A43"/>
    <w:rsid w:val="00E17C72"/>
    <w:rsid w:val="00E21FC6"/>
    <w:rsid w:val="00E26D3B"/>
    <w:rsid w:val="00E27865"/>
    <w:rsid w:val="00E431A9"/>
    <w:rsid w:val="00E669E2"/>
    <w:rsid w:val="00E76135"/>
    <w:rsid w:val="00E82F4F"/>
    <w:rsid w:val="00E93F8A"/>
    <w:rsid w:val="00EA4936"/>
    <w:rsid w:val="00EA531B"/>
    <w:rsid w:val="00EC2844"/>
    <w:rsid w:val="00EC5500"/>
    <w:rsid w:val="00ED0CC6"/>
    <w:rsid w:val="00ED2360"/>
    <w:rsid w:val="00ED39CB"/>
    <w:rsid w:val="00EE2956"/>
    <w:rsid w:val="00EE4D12"/>
    <w:rsid w:val="00EF57FC"/>
    <w:rsid w:val="00EF6C6C"/>
    <w:rsid w:val="00F056FC"/>
    <w:rsid w:val="00F10476"/>
    <w:rsid w:val="00F135D8"/>
    <w:rsid w:val="00F31299"/>
    <w:rsid w:val="00F3534A"/>
    <w:rsid w:val="00F44FA6"/>
    <w:rsid w:val="00F51609"/>
    <w:rsid w:val="00F544B6"/>
    <w:rsid w:val="00F707E8"/>
    <w:rsid w:val="00F81006"/>
    <w:rsid w:val="00F85325"/>
    <w:rsid w:val="00F969F0"/>
    <w:rsid w:val="00FD0B3D"/>
    <w:rsid w:val="00FD22B1"/>
    <w:rsid w:val="00FE5397"/>
    <w:rsid w:val="00FF35F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F2351"/>
    <w:rPr>
      <w:sz w:val="26"/>
      <w:szCs w:val="24"/>
    </w:rPr>
  </w:style>
  <w:style w:type="paragraph" w:styleId="Heading1">
    <w:name w:val="heading 1"/>
    <w:basedOn w:val="BodyText"/>
    <w:next w:val="BodyText"/>
    <w:link w:val="Heading1Char"/>
    <w:rsid w:val="002F235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F235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F2351"/>
    <w:pPr>
      <w:spacing w:before="560" w:line="320" w:lineRule="exact"/>
      <w:ind w:left="0" w:firstLine="0"/>
      <w:outlineLvl w:val="2"/>
    </w:pPr>
    <w:rPr>
      <w:sz w:val="26"/>
    </w:rPr>
  </w:style>
  <w:style w:type="paragraph" w:styleId="Heading4">
    <w:name w:val="heading 4"/>
    <w:basedOn w:val="Heading3"/>
    <w:next w:val="BodyText"/>
    <w:qFormat/>
    <w:rsid w:val="002F2351"/>
    <w:pPr>
      <w:spacing w:before="480"/>
      <w:outlineLvl w:val="3"/>
    </w:pPr>
    <w:rPr>
      <w:b w:val="0"/>
      <w:i/>
      <w:sz w:val="24"/>
    </w:rPr>
  </w:style>
  <w:style w:type="paragraph" w:styleId="Heading5">
    <w:name w:val="heading 5"/>
    <w:basedOn w:val="Heading4"/>
    <w:next w:val="BodyText"/>
    <w:qFormat/>
    <w:rsid w:val="002F2351"/>
    <w:pPr>
      <w:outlineLvl w:val="4"/>
    </w:pPr>
    <w:rPr>
      <w:rFonts w:ascii="Times New Roman" w:hAnsi="Times New Roman"/>
      <w:sz w:val="26"/>
    </w:rPr>
  </w:style>
  <w:style w:type="paragraph" w:styleId="Heading6">
    <w:name w:val="heading 6"/>
    <w:basedOn w:val="BodyText"/>
    <w:next w:val="BodyText"/>
    <w:rsid w:val="002F2351"/>
    <w:pPr>
      <w:spacing w:after="60"/>
      <w:jc w:val="left"/>
      <w:outlineLvl w:val="5"/>
    </w:pPr>
    <w:rPr>
      <w:i/>
      <w:sz w:val="22"/>
    </w:rPr>
  </w:style>
  <w:style w:type="paragraph" w:styleId="Heading7">
    <w:name w:val="heading 7"/>
    <w:basedOn w:val="BodyText"/>
    <w:next w:val="BodyText"/>
    <w:rsid w:val="002F2351"/>
    <w:pPr>
      <w:spacing w:after="60" w:line="240" w:lineRule="auto"/>
      <w:jc w:val="left"/>
      <w:outlineLvl w:val="6"/>
    </w:pPr>
    <w:rPr>
      <w:rFonts w:ascii="Arial" w:hAnsi="Arial"/>
      <w:sz w:val="20"/>
    </w:rPr>
  </w:style>
  <w:style w:type="paragraph" w:styleId="Heading8">
    <w:name w:val="heading 8"/>
    <w:basedOn w:val="BodyText"/>
    <w:next w:val="BodyText"/>
    <w:rsid w:val="002F2351"/>
    <w:pPr>
      <w:spacing w:after="60" w:line="240" w:lineRule="auto"/>
      <w:jc w:val="left"/>
      <w:outlineLvl w:val="7"/>
    </w:pPr>
    <w:rPr>
      <w:rFonts w:ascii="Arial" w:hAnsi="Arial"/>
      <w:i/>
      <w:sz w:val="20"/>
    </w:rPr>
  </w:style>
  <w:style w:type="paragraph" w:styleId="Heading9">
    <w:name w:val="heading 9"/>
    <w:basedOn w:val="BodyText"/>
    <w:next w:val="BodyText"/>
    <w:rsid w:val="002F23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F23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351"/>
  </w:style>
  <w:style w:type="paragraph" w:styleId="BodyText">
    <w:name w:val="Body Text"/>
    <w:qFormat/>
    <w:rsid w:val="002F2351"/>
    <w:pPr>
      <w:spacing w:before="240" w:line="320" w:lineRule="atLeast"/>
      <w:jc w:val="both"/>
    </w:pPr>
    <w:rPr>
      <w:sz w:val="26"/>
    </w:rPr>
  </w:style>
  <w:style w:type="paragraph" w:styleId="Footer">
    <w:name w:val="footer"/>
    <w:basedOn w:val="BodyText"/>
    <w:semiHidden/>
    <w:rsid w:val="002F2351"/>
    <w:pPr>
      <w:spacing w:before="80" w:line="200" w:lineRule="exact"/>
      <w:ind w:right="6"/>
      <w:jc w:val="left"/>
    </w:pPr>
    <w:rPr>
      <w:caps/>
      <w:spacing w:val="-4"/>
      <w:sz w:val="16"/>
    </w:rPr>
  </w:style>
  <w:style w:type="paragraph" w:customStyle="1" w:styleId="FooterEnd">
    <w:name w:val="Footer End"/>
    <w:basedOn w:val="Footer"/>
    <w:rsid w:val="002F2351"/>
    <w:pPr>
      <w:spacing w:before="0" w:line="20" w:lineRule="exact"/>
    </w:pPr>
  </w:style>
  <w:style w:type="paragraph" w:styleId="Header">
    <w:name w:val="header"/>
    <w:basedOn w:val="BodyText"/>
    <w:rsid w:val="002F23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F2351"/>
    <w:pPr>
      <w:spacing w:line="20" w:lineRule="exact"/>
    </w:pPr>
    <w:rPr>
      <w:sz w:val="16"/>
    </w:rPr>
  </w:style>
  <w:style w:type="paragraph" w:customStyle="1" w:styleId="HeaderEven">
    <w:name w:val="Header Even"/>
    <w:basedOn w:val="Header"/>
    <w:semiHidden/>
    <w:rsid w:val="002F2351"/>
  </w:style>
  <w:style w:type="paragraph" w:customStyle="1" w:styleId="HeaderOdd">
    <w:name w:val="Header Odd"/>
    <w:basedOn w:val="Header"/>
    <w:semiHidden/>
    <w:rsid w:val="002F2351"/>
  </w:style>
  <w:style w:type="character" w:styleId="PageNumber">
    <w:name w:val="page number"/>
    <w:basedOn w:val="DefaultParagraphFont"/>
    <w:rsid w:val="002F2351"/>
    <w:rPr>
      <w:rFonts w:ascii="Arial" w:hAnsi="Arial"/>
      <w:b/>
      <w:sz w:val="16"/>
    </w:rPr>
  </w:style>
  <w:style w:type="paragraph" w:customStyle="1" w:styleId="Abbreviation">
    <w:name w:val="Abbreviation"/>
    <w:basedOn w:val="BodyText"/>
    <w:rsid w:val="002F2351"/>
    <w:pPr>
      <w:spacing w:before="120"/>
      <w:ind w:left="2381" w:hanging="2381"/>
      <w:jc w:val="left"/>
    </w:pPr>
  </w:style>
  <w:style w:type="paragraph" w:customStyle="1" w:styleId="Box">
    <w:name w:val="Box"/>
    <w:basedOn w:val="BodyText"/>
    <w:qFormat/>
    <w:rsid w:val="002F2351"/>
    <w:pPr>
      <w:keepNext/>
      <w:spacing w:before="120" w:line="280" w:lineRule="atLeast"/>
    </w:pPr>
    <w:rPr>
      <w:rFonts w:ascii="Arial" w:hAnsi="Arial"/>
      <w:sz w:val="22"/>
    </w:rPr>
  </w:style>
  <w:style w:type="paragraph" w:customStyle="1" w:styleId="BoxContinued">
    <w:name w:val="Box Continued"/>
    <w:basedOn w:val="BodyText"/>
    <w:next w:val="BodyText"/>
    <w:semiHidden/>
    <w:rsid w:val="002F2351"/>
    <w:pPr>
      <w:spacing w:before="180" w:line="220" w:lineRule="exact"/>
      <w:jc w:val="right"/>
    </w:pPr>
    <w:rPr>
      <w:rFonts w:ascii="Arial" w:hAnsi="Arial"/>
      <w:sz w:val="18"/>
    </w:rPr>
  </w:style>
  <w:style w:type="paragraph" w:customStyle="1" w:styleId="BoxHeading1">
    <w:name w:val="Box Heading 1"/>
    <w:basedOn w:val="BodyText"/>
    <w:next w:val="Box"/>
    <w:rsid w:val="002F2351"/>
    <w:pPr>
      <w:keepNext/>
      <w:spacing w:before="200" w:line="280" w:lineRule="atLeast"/>
    </w:pPr>
    <w:rPr>
      <w:rFonts w:ascii="Arial" w:hAnsi="Arial"/>
      <w:b/>
      <w:sz w:val="22"/>
    </w:rPr>
  </w:style>
  <w:style w:type="paragraph" w:customStyle="1" w:styleId="BoxHeading2">
    <w:name w:val="Box Heading 2"/>
    <w:basedOn w:val="BoxHeading1"/>
    <w:next w:val="Normal"/>
    <w:rsid w:val="002F2351"/>
    <w:rPr>
      <w:b w:val="0"/>
      <w:i/>
    </w:rPr>
  </w:style>
  <w:style w:type="paragraph" w:customStyle="1" w:styleId="BoxListBullet">
    <w:name w:val="Box List Bullet"/>
    <w:basedOn w:val="BodyText"/>
    <w:rsid w:val="002F2351"/>
    <w:pPr>
      <w:keepNext/>
      <w:numPr>
        <w:numId w:val="1"/>
      </w:numPr>
      <w:spacing w:before="60" w:line="280" w:lineRule="atLeast"/>
    </w:pPr>
    <w:rPr>
      <w:rFonts w:ascii="Arial" w:hAnsi="Arial"/>
      <w:sz w:val="22"/>
    </w:rPr>
  </w:style>
  <w:style w:type="paragraph" w:customStyle="1" w:styleId="BoxListBullet2">
    <w:name w:val="Box List Bullet 2"/>
    <w:basedOn w:val="BodyText"/>
    <w:rsid w:val="002F2351"/>
    <w:pPr>
      <w:keepNext/>
      <w:numPr>
        <w:numId w:val="16"/>
      </w:numPr>
      <w:spacing w:before="60" w:line="280" w:lineRule="atLeast"/>
    </w:pPr>
    <w:rPr>
      <w:rFonts w:ascii="Arial" w:hAnsi="Arial"/>
      <w:sz w:val="22"/>
    </w:rPr>
  </w:style>
  <w:style w:type="paragraph" w:customStyle="1" w:styleId="BoxListNumber">
    <w:name w:val="Box List Number"/>
    <w:basedOn w:val="BodyText"/>
    <w:rsid w:val="002F2351"/>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2F2351"/>
    <w:pPr>
      <w:numPr>
        <w:ilvl w:val="1"/>
      </w:numPr>
    </w:pPr>
  </w:style>
  <w:style w:type="paragraph" w:customStyle="1" w:styleId="BoxQuote">
    <w:name w:val="Box Quote"/>
    <w:basedOn w:val="BodyText"/>
    <w:next w:val="Box"/>
    <w:rsid w:val="002F2351"/>
    <w:pPr>
      <w:keepNext/>
      <w:spacing w:before="60" w:line="260" w:lineRule="exact"/>
      <w:ind w:left="284"/>
    </w:pPr>
    <w:rPr>
      <w:rFonts w:ascii="Arial" w:hAnsi="Arial"/>
      <w:sz w:val="20"/>
    </w:rPr>
  </w:style>
  <w:style w:type="paragraph" w:customStyle="1" w:styleId="Note">
    <w:name w:val="Note"/>
    <w:basedOn w:val="BodyText"/>
    <w:next w:val="BodyText"/>
    <w:rsid w:val="002F2351"/>
    <w:pPr>
      <w:keepLines/>
      <w:spacing w:before="80" w:line="220" w:lineRule="exact"/>
    </w:pPr>
    <w:rPr>
      <w:rFonts w:ascii="Arial" w:hAnsi="Arial"/>
      <w:sz w:val="18"/>
    </w:rPr>
  </w:style>
  <w:style w:type="paragraph" w:customStyle="1" w:styleId="Source">
    <w:name w:val="Source"/>
    <w:basedOn w:val="Note"/>
    <w:next w:val="BodyText"/>
    <w:rsid w:val="002F2351"/>
    <w:pPr>
      <w:spacing w:after="120"/>
    </w:pPr>
  </w:style>
  <w:style w:type="paragraph" w:customStyle="1" w:styleId="BoxSource">
    <w:name w:val="Box Source"/>
    <w:basedOn w:val="Source"/>
    <w:next w:val="BodyText"/>
    <w:rsid w:val="002F2351"/>
    <w:pPr>
      <w:spacing w:before="180" w:after="0"/>
    </w:pPr>
  </w:style>
  <w:style w:type="paragraph" w:customStyle="1" w:styleId="BoxSpaceAbove">
    <w:name w:val="Box Space Above"/>
    <w:basedOn w:val="BodyText"/>
    <w:rsid w:val="002F2351"/>
    <w:pPr>
      <w:keepNext/>
      <w:spacing w:before="360" w:line="80" w:lineRule="exact"/>
      <w:jc w:val="left"/>
    </w:pPr>
  </w:style>
  <w:style w:type="paragraph" w:styleId="Caption">
    <w:name w:val="caption"/>
    <w:basedOn w:val="Normal"/>
    <w:next w:val="BodyText"/>
    <w:rsid w:val="002F235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2F2351"/>
    <w:pPr>
      <w:spacing w:before="120" w:after="0"/>
      <w:ind w:left="1304" w:hanging="1304"/>
    </w:pPr>
    <w:rPr>
      <w:sz w:val="24"/>
    </w:rPr>
  </w:style>
  <w:style w:type="paragraph" w:customStyle="1" w:styleId="BoxSubtitle">
    <w:name w:val="Box Subtitle"/>
    <w:basedOn w:val="BoxTitle"/>
    <w:next w:val="Normal"/>
    <w:rsid w:val="002F2351"/>
    <w:pPr>
      <w:spacing w:after="80" w:line="200" w:lineRule="exact"/>
      <w:ind w:firstLine="0"/>
    </w:pPr>
    <w:rPr>
      <w:b w:val="0"/>
      <w:sz w:val="20"/>
    </w:rPr>
  </w:style>
  <w:style w:type="paragraph" w:customStyle="1" w:styleId="Chapter">
    <w:name w:val="Chapter"/>
    <w:basedOn w:val="Heading1"/>
    <w:next w:val="BodyText"/>
    <w:semiHidden/>
    <w:rsid w:val="002F2351"/>
    <w:pPr>
      <w:ind w:left="0" w:firstLine="0"/>
      <w:outlineLvl w:val="9"/>
    </w:pPr>
  </w:style>
  <w:style w:type="paragraph" w:customStyle="1" w:styleId="ChapterSummary">
    <w:name w:val="Chapter Summary"/>
    <w:basedOn w:val="BodyText"/>
    <w:rsid w:val="002F2351"/>
    <w:pPr>
      <w:ind w:left="907"/>
    </w:pPr>
    <w:rPr>
      <w:rFonts w:ascii="Arial" w:hAnsi="Arial"/>
      <w:b/>
      <w:sz w:val="22"/>
    </w:rPr>
  </w:style>
  <w:style w:type="character" w:styleId="CommentReference">
    <w:name w:val="annotation reference"/>
    <w:basedOn w:val="DefaultParagraphFont"/>
    <w:semiHidden/>
    <w:rsid w:val="002F2351"/>
    <w:rPr>
      <w:b/>
      <w:vanish/>
      <w:color w:val="FF00FF"/>
      <w:sz w:val="20"/>
    </w:rPr>
  </w:style>
  <w:style w:type="paragraph" w:styleId="CommentText">
    <w:name w:val="annotation text"/>
    <w:basedOn w:val="Normal"/>
    <w:link w:val="CommentTextChar"/>
    <w:semiHidden/>
    <w:rsid w:val="002F2351"/>
    <w:pPr>
      <w:spacing w:before="120" w:line="240" w:lineRule="atLeast"/>
      <w:ind w:left="567" w:hanging="567"/>
    </w:pPr>
    <w:rPr>
      <w:sz w:val="20"/>
    </w:rPr>
  </w:style>
  <w:style w:type="paragraph" w:customStyle="1" w:styleId="Continued">
    <w:name w:val="Continued"/>
    <w:basedOn w:val="BoxContinued"/>
    <w:next w:val="BodyText"/>
    <w:rsid w:val="002F2351"/>
  </w:style>
  <w:style w:type="character" w:customStyle="1" w:styleId="DocumentInfo">
    <w:name w:val="Document Info"/>
    <w:basedOn w:val="DefaultParagraphFont"/>
    <w:semiHidden/>
    <w:rsid w:val="002F2351"/>
    <w:rPr>
      <w:rFonts w:ascii="Arial" w:hAnsi="Arial"/>
      <w:sz w:val="14"/>
    </w:rPr>
  </w:style>
  <w:style w:type="character" w:customStyle="1" w:styleId="DraftingNote">
    <w:name w:val="Drafting Note"/>
    <w:basedOn w:val="DefaultParagraphFont"/>
    <w:rsid w:val="002F2351"/>
    <w:rPr>
      <w:b/>
      <w:color w:val="FF0000"/>
      <w:sz w:val="24"/>
      <w:u w:val="dotted"/>
    </w:rPr>
  </w:style>
  <w:style w:type="paragraph" w:customStyle="1" w:styleId="Figure">
    <w:name w:val="Figure"/>
    <w:basedOn w:val="BodyText"/>
    <w:rsid w:val="002F2351"/>
    <w:pPr>
      <w:keepNext/>
      <w:spacing w:before="120" w:after="120" w:line="240" w:lineRule="atLeast"/>
      <w:jc w:val="center"/>
    </w:pPr>
  </w:style>
  <w:style w:type="paragraph" w:customStyle="1" w:styleId="FigureTitle">
    <w:name w:val="Figure Title"/>
    <w:basedOn w:val="Caption"/>
    <w:next w:val="Subtitle"/>
    <w:rsid w:val="002F2351"/>
    <w:rPr>
      <w:sz w:val="24"/>
    </w:rPr>
  </w:style>
  <w:style w:type="paragraph" w:styleId="Subtitle">
    <w:name w:val="Subtitle"/>
    <w:basedOn w:val="Caption"/>
    <w:link w:val="SubtitleChar"/>
    <w:rsid w:val="002F2351"/>
    <w:pPr>
      <w:spacing w:before="0" w:line="200" w:lineRule="exact"/>
      <w:ind w:firstLine="0"/>
    </w:pPr>
    <w:rPr>
      <w:b w:val="0"/>
      <w:sz w:val="20"/>
    </w:rPr>
  </w:style>
  <w:style w:type="paragraph" w:customStyle="1" w:styleId="Finding">
    <w:name w:val="Finding"/>
    <w:basedOn w:val="BodyText"/>
    <w:rsid w:val="002F2351"/>
    <w:pPr>
      <w:keepLines/>
      <w:spacing w:before="180"/>
    </w:pPr>
    <w:rPr>
      <w:i/>
    </w:rPr>
  </w:style>
  <w:style w:type="paragraph" w:customStyle="1" w:styleId="FindingBullet">
    <w:name w:val="Finding Bullet"/>
    <w:basedOn w:val="Finding"/>
    <w:rsid w:val="002F2351"/>
    <w:pPr>
      <w:numPr>
        <w:numId w:val="2"/>
      </w:numPr>
      <w:spacing w:before="80"/>
    </w:pPr>
  </w:style>
  <w:style w:type="paragraph" w:customStyle="1" w:styleId="FindingNoTitle">
    <w:name w:val="Finding NoTitle"/>
    <w:basedOn w:val="Finding"/>
    <w:semiHidden/>
    <w:rsid w:val="002F2351"/>
    <w:pPr>
      <w:spacing w:before="240"/>
    </w:pPr>
  </w:style>
  <w:style w:type="paragraph" w:customStyle="1" w:styleId="RecTitle">
    <w:name w:val="Rec Title"/>
    <w:basedOn w:val="BodyText"/>
    <w:next w:val="Normal"/>
    <w:rsid w:val="002F2351"/>
    <w:pPr>
      <w:keepNext/>
      <w:keepLines/>
    </w:pPr>
    <w:rPr>
      <w:caps/>
      <w:sz w:val="20"/>
    </w:rPr>
  </w:style>
  <w:style w:type="paragraph" w:customStyle="1" w:styleId="FindingTitle">
    <w:name w:val="Finding Title"/>
    <w:basedOn w:val="RecTitle"/>
    <w:next w:val="Finding"/>
    <w:rsid w:val="002F2351"/>
    <w:pPr>
      <w:framePr w:wrap="notBeside" w:hAnchor="text"/>
    </w:pPr>
  </w:style>
  <w:style w:type="character" w:styleId="FootnoteReference">
    <w:name w:val="footnote reference"/>
    <w:basedOn w:val="DefaultParagraphFont"/>
    <w:rsid w:val="002F2351"/>
    <w:rPr>
      <w:rFonts w:ascii="Times New Roman" w:hAnsi="Times New Roman"/>
      <w:position w:val="6"/>
      <w:sz w:val="22"/>
      <w:vertAlign w:val="baseline"/>
    </w:rPr>
  </w:style>
  <w:style w:type="paragraph" w:styleId="FootnoteText">
    <w:name w:val="footnote text"/>
    <w:basedOn w:val="BodyText"/>
    <w:rsid w:val="002F235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2F2351"/>
    <w:pPr>
      <w:spacing w:before="360" w:after="120"/>
    </w:pPr>
    <w:rPr>
      <w:rFonts w:ascii="Arial" w:hAnsi="Arial"/>
      <w:sz w:val="24"/>
    </w:rPr>
  </w:style>
  <w:style w:type="paragraph" w:customStyle="1" w:styleId="Jurisdictioncommentsbodytext">
    <w:name w:val="Jurisdiction comments body text"/>
    <w:rsid w:val="002F2351"/>
    <w:pPr>
      <w:spacing w:after="140"/>
      <w:jc w:val="both"/>
    </w:pPr>
    <w:rPr>
      <w:rFonts w:ascii="Arial" w:hAnsi="Arial"/>
      <w:sz w:val="24"/>
      <w:lang w:eastAsia="en-US"/>
    </w:rPr>
  </w:style>
  <w:style w:type="paragraph" w:customStyle="1" w:styleId="Jurisdictioncommentsheading">
    <w:name w:val="Jurisdiction comments heading"/>
    <w:rsid w:val="002F235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F2351"/>
    <w:pPr>
      <w:numPr>
        <w:numId w:val="3"/>
      </w:numPr>
      <w:spacing w:after="140"/>
      <w:jc w:val="both"/>
    </w:pPr>
    <w:rPr>
      <w:rFonts w:ascii="Arial" w:hAnsi="Arial"/>
      <w:sz w:val="24"/>
      <w:lang w:eastAsia="en-US"/>
    </w:rPr>
  </w:style>
  <w:style w:type="paragraph" w:styleId="ListBullet">
    <w:name w:val="List Bullet"/>
    <w:basedOn w:val="BodyText"/>
    <w:rsid w:val="002F2351"/>
    <w:pPr>
      <w:numPr>
        <w:numId w:val="4"/>
      </w:numPr>
      <w:spacing w:before="120"/>
    </w:pPr>
  </w:style>
  <w:style w:type="paragraph" w:styleId="ListBullet2">
    <w:name w:val="List Bullet 2"/>
    <w:basedOn w:val="BodyText"/>
    <w:rsid w:val="002F2351"/>
    <w:pPr>
      <w:numPr>
        <w:numId w:val="5"/>
      </w:numPr>
      <w:spacing w:before="120"/>
    </w:pPr>
  </w:style>
  <w:style w:type="paragraph" w:styleId="ListBullet3">
    <w:name w:val="List Bullet 3"/>
    <w:basedOn w:val="BodyText"/>
    <w:rsid w:val="002F2351"/>
    <w:pPr>
      <w:numPr>
        <w:numId w:val="6"/>
      </w:numPr>
      <w:spacing w:before="120"/>
    </w:pPr>
  </w:style>
  <w:style w:type="paragraph" w:styleId="ListNumber">
    <w:name w:val="List Number"/>
    <w:basedOn w:val="BodyText"/>
    <w:rsid w:val="002F2351"/>
    <w:pPr>
      <w:numPr>
        <w:numId w:val="11"/>
      </w:numPr>
      <w:spacing w:before="120"/>
    </w:pPr>
  </w:style>
  <w:style w:type="paragraph" w:styleId="ListNumber2">
    <w:name w:val="List Number 2"/>
    <w:basedOn w:val="ListNumber"/>
    <w:rsid w:val="002F2351"/>
    <w:pPr>
      <w:numPr>
        <w:ilvl w:val="1"/>
      </w:numPr>
    </w:pPr>
  </w:style>
  <w:style w:type="paragraph" w:styleId="ListNumber3">
    <w:name w:val="List Number 3"/>
    <w:basedOn w:val="ListNumber2"/>
    <w:rsid w:val="002F2351"/>
    <w:pPr>
      <w:numPr>
        <w:ilvl w:val="2"/>
      </w:numPr>
    </w:pPr>
  </w:style>
  <w:style w:type="character" w:customStyle="1" w:styleId="NoteLabel">
    <w:name w:val="Note Label"/>
    <w:basedOn w:val="DefaultParagraphFont"/>
    <w:rsid w:val="002F2351"/>
    <w:rPr>
      <w:rFonts w:ascii="Arial" w:hAnsi="Arial"/>
      <w:b/>
      <w:position w:val="6"/>
      <w:sz w:val="18"/>
    </w:rPr>
  </w:style>
  <w:style w:type="paragraph" w:customStyle="1" w:styleId="PartDivider">
    <w:name w:val="Part Divider"/>
    <w:basedOn w:val="BodyText"/>
    <w:next w:val="BodyText"/>
    <w:semiHidden/>
    <w:rsid w:val="002F2351"/>
    <w:pPr>
      <w:spacing w:before="0" w:line="40" w:lineRule="exact"/>
      <w:jc w:val="right"/>
    </w:pPr>
    <w:rPr>
      <w:smallCaps/>
      <w:sz w:val="16"/>
    </w:rPr>
  </w:style>
  <w:style w:type="paragraph" w:customStyle="1" w:styleId="PartNumber">
    <w:name w:val="Part Number"/>
    <w:basedOn w:val="BodyText"/>
    <w:next w:val="BodyText"/>
    <w:semiHidden/>
    <w:rsid w:val="002F2351"/>
    <w:pPr>
      <w:spacing w:before="4000" w:line="320" w:lineRule="exact"/>
      <w:ind w:left="6634"/>
      <w:jc w:val="right"/>
    </w:pPr>
    <w:rPr>
      <w:smallCaps/>
      <w:spacing w:val="60"/>
      <w:sz w:val="32"/>
    </w:rPr>
  </w:style>
  <w:style w:type="paragraph" w:customStyle="1" w:styleId="PartTitle">
    <w:name w:val="Part Title"/>
    <w:basedOn w:val="BodyText"/>
    <w:semiHidden/>
    <w:rsid w:val="002F2351"/>
    <w:pPr>
      <w:spacing w:before="160" w:after="1360" w:line="520" w:lineRule="exact"/>
      <w:ind w:right="2381"/>
      <w:jc w:val="right"/>
    </w:pPr>
    <w:rPr>
      <w:smallCaps/>
      <w:sz w:val="52"/>
    </w:rPr>
  </w:style>
  <w:style w:type="paragraph" w:styleId="Quote">
    <w:name w:val="Quote"/>
    <w:basedOn w:val="BodyText"/>
    <w:next w:val="BodyText"/>
    <w:qFormat/>
    <w:rsid w:val="002F2351"/>
    <w:pPr>
      <w:spacing w:before="120" w:line="280" w:lineRule="exact"/>
      <w:ind w:left="340"/>
    </w:pPr>
    <w:rPr>
      <w:sz w:val="24"/>
    </w:rPr>
  </w:style>
  <w:style w:type="paragraph" w:customStyle="1" w:styleId="QuoteBullet">
    <w:name w:val="Quote Bullet"/>
    <w:basedOn w:val="Quote"/>
    <w:rsid w:val="002F2351"/>
    <w:pPr>
      <w:numPr>
        <w:numId w:val="7"/>
      </w:numPr>
    </w:pPr>
  </w:style>
  <w:style w:type="paragraph" w:customStyle="1" w:styleId="Rec">
    <w:name w:val="Rec"/>
    <w:basedOn w:val="BodyText"/>
    <w:rsid w:val="002F2351"/>
    <w:pPr>
      <w:keepLines/>
      <w:spacing w:before="180"/>
    </w:pPr>
    <w:rPr>
      <w:b/>
      <w:i/>
    </w:rPr>
  </w:style>
  <w:style w:type="paragraph" w:customStyle="1" w:styleId="RecBullet">
    <w:name w:val="Rec Bullet"/>
    <w:basedOn w:val="Rec"/>
    <w:rsid w:val="002F2351"/>
    <w:pPr>
      <w:numPr>
        <w:numId w:val="8"/>
      </w:numPr>
      <w:spacing w:before="80"/>
    </w:pPr>
  </w:style>
  <w:style w:type="paragraph" w:customStyle="1" w:styleId="RecB">
    <w:name w:val="RecB"/>
    <w:basedOn w:val="Normal"/>
    <w:semiHidden/>
    <w:rsid w:val="002F235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2F2351"/>
    <w:pPr>
      <w:numPr>
        <w:numId w:val="13"/>
      </w:numPr>
      <w:spacing w:before="80"/>
    </w:pPr>
  </w:style>
  <w:style w:type="paragraph" w:customStyle="1" w:styleId="RecBNoTitle">
    <w:name w:val="RecB NoTitle"/>
    <w:basedOn w:val="RecB"/>
    <w:semiHidden/>
    <w:rsid w:val="002F2351"/>
    <w:pPr>
      <w:spacing w:before="240"/>
    </w:pPr>
  </w:style>
  <w:style w:type="paragraph" w:customStyle="1" w:styleId="Reference">
    <w:name w:val="Reference"/>
    <w:basedOn w:val="BodyText"/>
    <w:rsid w:val="002F2351"/>
    <w:pPr>
      <w:spacing w:before="120"/>
      <w:ind w:left="340" w:hanging="340"/>
    </w:pPr>
  </w:style>
  <w:style w:type="paragraph" w:customStyle="1" w:styleId="SequenceInfo">
    <w:name w:val="Sequence Info"/>
    <w:basedOn w:val="BodyText"/>
    <w:semiHidden/>
    <w:rsid w:val="002F2351"/>
    <w:rPr>
      <w:vanish/>
      <w:sz w:val="16"/>
    </w:rPr>
  </w:style>
  <w:style w:type="paragraph" w:customStyle="1" w:styleId="SideNote">
    <w:name w:val="Side Note"/>
    <w:basedOn w:val="BodyText"/>
    <w:next w:val="BodyText"/>
    <w:semiHidden/>
    <w:rsid w:val="002F235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F2351"/>
    <w:pPr>
      <w:framePr w:wrap="around"/>
      <w:numPr>
        <w:numId w:val="9"/>
      </w:numPr>
      <w:tabs>
        <w:tab w:val="left" w:pos="227"/>
      </w:tabs>
    </w:pPr>
  </w:style>
  <w:style w:type="paragraph" w:customStyle="1" w:styleId="SideNoteGraphic">
    <w:name w:val="Side Note Graphic"/>
    <w:basedOn w:val="SideNote"/>
    <w:next w:val="BodyText"/>
    <w:semiHidden/>
    <w:rsid w:val="002F2351"/>
    <w:pPr>
      <w:framePr w:wrap="around"/>
    </w:pPr>
  </w:style>
  <w:style w:type="paragraph" w:customStyle="1" w:styleId="TableBodyText">
    <w:name w:val="Table Body Text"/>
    <w:basedOn w:val="BodyText"/>
    <w:rsid w:val="002F235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F2351"/>
    <w:pPr>
      <w:numPr>
        <w:numId w:val="10"/>
      </w:numPr>
      <w:jc w:val="left"/>
    </w:pPr>
  </w:style>
  <w:style w:type="paragraph" w:customStyle="1" w:styleId="TableColumnHeading">
    <w:name w:val="Table Column Heading"/>
    <w:basedOn w:val="TableBodyText"/>
    <w:rsid w:val="002F2351"/>
    <w:pPr>
      <w:spacing w:before="80" w:after="80"/>
    </w:pPr>
    <w:rPr>
      <w:i/>
    </w:rPr>
  </w:style>
  <w:style w:type="paragraph" w:styleId="TOC2">
    <w:name w:val="toc 2"/>
    <w:basedOn w:val="BodyText"/>
    <w:semiHidden/>
    <w:rsid w:val="002F2351"/>
    <w:pPr>
      <w:tabs>
        <w:tab w:val="right" w:pos="8789"/>
      </w:tabs>
      <w:ind w:left="510" w:right="851" w:hanging="510"/>
      <w:jc w:val="left"/>
    </w:pPr>
    <w:rPr>
      <w:b/>
    </w:rPr>
  </w:style>
  <w:style w:type="paragraph" w:styleId="TOC3">
    <w:name w:val="toc 3"/>
    <w:basedOn w:val="TOC2"/>
    <w:semiHidden/>
    <w:rsid w:val="002F2351"/>
    <w:pPr>
      <w:spacing w:before="60"/>
      <w:ind w:left="1190" w:hanging="680"/>
    </w:pPr>
    <w:rPr>
      <w:b w:val="0"/>
    </w:rPr>
  </w:style>
  <w:style w:type="paragraph" w:styleId="TableofFigures">
    <w:name w:val="table of figures"/>
    <w:basedOn w:val="TOC3"/>
    <w:next w:val="BodyText"/>
    <w:semiHidden/>
    <w:rsid w:val="002F2351"/>
    <w:pPr>
      <w:ind w:left="737" w:hanging="737"/>
    </w:pPr>
  </w:style>
  <w:style w:type="paragraph" w:customStyle="1" w:styleId="TableTitle">
    <w:name w:val="Table Title"/>
    <w:basedOn w:val="Caption"/>
    <w:next w:val="Subtitle"/>
    <w:rsid w:val="002F2351"/>
    <w:rPr>
      <w:sz w:val="24"/>
    </w:rPr>
  </w:style>
  <w:style w:type="paragraph" w:customStyle="1" w:styleId="TableUnitsRow">
    <w:name w:val="Table Units Row"/>
    <w:basedOn w:val="TableBodyText"/>
    <w:rsid w:val="002F2351"/>
    <w:pPr>
      <w:spacing w:before="80" w:after="80"/>
    </w:pPr>
  </w:style>
  <w:style w:type="paragraph" w:styleId="TOC1">
    <w:name w:val="toc 1"/>
    <w:basedOn w:val="Normal"/>
    <w:next w:val="TOC2"/>
    <w:semiHidden/>
    <w:rsid w:val="002F2351"/>
    <w:pPr>
      <w:tabs>
        <w:tab w:val="right" w:pos="8789"/>
      </w:tabs>
      <w:spacing w:before="480" w:after="60" w:line="320" w:lineRule="exact"/>
      <w:ind w:left="1191" w:right="851" w:hanging="1191"/>
    </w:pPr>
    <w:rPr>
      <w:b/>
      <w:caps/>
    </w:rPr>
  </w:style>
  <w:style w:type="paragraph" w:styleId="TOC4">
    <w:name w:val="toc 4"/>
    <w:basedOn w:val="TOC3"/>
    <w:semiHidden/>
    <w:rsid w:val="002F2351"/>
    <w:pPr>
      <w:ind w:left="1191" w:firstLine="0"/>
    </w:pPr>
  </w:style>
  <w:style w:type="paragraph" w:customStyle="1" w:styleId="RecBBullet2">
    <w:name w:val="RecB Bullet 2"/>
    <w:basedOn w:val="ListBullet2"/>
    <w:semiHidden/>
    <w:rsid w:val="002F2351"/>
    <w:pPr>
      <w:pBdr>
        <w:left w:val="single" w:sz="24" w:space="29" w:color="C0C0C0"/>
      </w:pBdr>
    </w:pPr>
    <w:rPr>
      <w:b/>
      <w:i/>
    </w:rPr>
  </w:style>
  <w:style w:type="paragraph" w:styleId="BalloonText">
    <w:name w:val="Balloon Text"/>
    <w:basedOn w:val="Normal"/>
    <w:link w:val="BalloonTextChar"/>
    <w:rsid w:val="002F2351"/>
    <w:rPr>
      <w:rFonts w:ascii="Tahoma" w:hAnsi="Tahoma" w:cs="Tahoma"/>
      <w:sz w:val="16"/>
      <w:szCs w:val="16"/>
    </w:rPr>
  </w:style>
  <w:style w:type="character" w:customStyle="1" w:styleId="BalloonTextChar">
    <w:name w:val="Balloon Text Char"/>
    <w:basedOn w:val="DefaultParagraphFont"/>
    <w:link w:val="BalloonText"/>
    <w:rsid w:val="002F2351"/>
    <w:rPr>
      <w:rFonts w:ascii="Tahoma" w:hAnsi="Tahoma" w:cs="Tahoma"/>
      <w:sz w:val="16"/>
      <w:szCs w:val="16"/>
    </w:rPr>
  </w:style>
  <w:style w:type="character" w:customStyle="1" w:styleId="SubtitleChar">
    <w:name w:val="Subtitle Char"/>
    <w:basedOn w:val="DefaultParagraphFont"/>
    <w:link w:val="Subtitle"/>
    <w:rsid w:val="002F2351"/>
    <w:rPr>
      <w:rFonts w:ascii="Arial" w:hAnsi="Arial"/>
      <w:szCs w:val="24"/>
    </w:rPr>
  </w:style>
  <w:style w:type="paragraph" w:customStyle="1" w:styleId="BoxListBullet3">
    <w:name w:val="Box List Bullet 3"/>
    <w:basedOn w:val="ListBullet3"/>
    <w:rsid w:val="002F2351"/>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F2351"/>
    <w:rPr>
      <w:i/>
      <w:iCs/>
    </w:rPr>
  </w:style>
  <w:style w:type="paragraph" w:customStyle="1" w:styleId="BoxQuoteBullet">
    <w:name w:val="Box Quote Bullet"/>
    <w:basedOn w:val="BoxQuote"/>
    <w:next w:val="Box"/>
    <w:rsid w:val="002F2351"/>
    <w:pPr>
      <w:numPr>
        <w:numId w:val="14"/>
      </w:numPr>
      <w:ind w:left="568" w:hanging="284"/>
    </w:pPr>
  </w:style>
  <w:style w:type="paragraph" w:customStyle="1" w:styleId="InformationRequestBullet">
    <w:name w:val="Information Request Bullet"/>
    <w:basedOn w:val="ListBullet"/>
    <w:next w:val="BodyText"/>
    <w:rsid w:val="002F2351"/>
    <w:pPr>
      <w:numPr>
        <w:numId w:val="15"/>
      </w:numPr>
      <w:ind w:left="340" w:hanging="340"/>
    </w:pPr>
    <w:rPr>
      <w:rFonts w:ascii="Arial" w:hAnsi="Arial"/>
      <w:i/>
      <w:sz w:val="24"/>
    </w:rPr>
  </w:style>
  <w:style w:type="paragraph" w:customStyle="1" w:styleId="BoxSpaceBelow">
    <w:name w:val="Box Space Below"/>
    <w:basedOn w:val="Box"/>
    <w:rsid w:val="002F2351"/>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Heading2Char">
    <w:name w:val="Heading 2 Char"/>
    <w:basedOn w:val="DefaultParagraphFont"/>
    <w:link w:val="Heading2"/>
    <w:rsid w:val="00251192"/>
    <w:rPr>
      <w:rFonts w:ascii="Arial" w:hAnsi="Arial"/>
      <w:b/>
      <w:sz w:val="32"/>
    </w:rPr>
  </w:style>
  <w:style w:type="character" w:customStyle="1" w:styleId="Heading3Char">
    <w:name w:val="Heading 3 Char"/>
    <w:basedOn w:val="DefaultParagraphFont"/>
    <w:link w:val="Heading3"/>
    <w:rsid w:val="00251192"/>
    <w:rPr>
      <w:rFonts w:ascii="Arial" w:hAnsi="Arial"/>
      <w:b/>
      <w:sz w:val="26"/>
    </w:rPr>
  </w:style>
  <w:style w:type="character" w:customStyle="1" w:styleId="Heading1Char">
    <w:name w:val="Heading 1 Char"/>
    <w:basedOn w:val="DefaultParagraphFont"/>
    <w:link w:val="Heading1"/>
    <w:rsid w:val="00251192"/>
    <w:rPr>
      <w:sz w:val="52"/>
    </w:rPr>
  </w:style>
  <w:style w:type="paragraph" w:styleId="CommentSubject">
    <w:name w:val="annotation subject"/>
    <w:basedOn w:val="CommentText"/>
    <w:next w:val="CommentText"/>
    <w:link w:val="CommentSubjectChar"/>
    <w:rsid w:val="00472E7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72E76"/>
    <w:rPr>
      <w:szCs w:val="24"/>
    </w:rPr>
  </w:style>
  <w:style w:type="character" w:customStyle="1" w:styleId="CommentSubjectChar">
    <w:name w:val="Comment Subject Char"/>
    <w:basedOn w:val="CommentTextChar"/>
    <w:link w:val="CommentSubject"/>
    <w:rsid w:val="00472E76"/>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F2351"/>
    <w:rPr>
      <w:sz w:val="26"/>
      <w:szCs w:val="24"/>
    </w:rPr>
  </w:style>
  <w:style w:type="paragraph" w:styleId="Heading1">
    <w:name w:val="heading 1"/>
    <w:basedOn w:val="BodyText"/>
    <w:next w:val="BodyText"/>
    <w:link w:val="Heading1Char"/>
    <w:rsid w:val="002F235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2F235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2F2351"/>
    <w:pPr>
      <w:spacing w:before="560" w:line="320" w:lineRule="exact"/>
      <w:ind w:left="0" w:firstLine="0"/>
      <w:outlineLvl w:val="2"/>
    </w:pPr>
    <w:rPr>
      <w:sz w:val="26"/>
    </w:rPr>
  </w:style>
  <w:style w:type="paragraph" w:styleId="Heading4">
    <w:name w:val="heading 4"/>
    <w:basedOn w:val="Heading3"/>
    <w:next w:val="BodyText"/>
    <w:qFormat/>
    <w:rsid w:val="002F2351"/>
    <w:pPr>
      <w:spacing w:before="480"/>
      <w:outlineLvl w:val="3"/>
    </w:pPr>
    <w:rPr>
      <w:b w:val="0"/>
      <w:i/>
      <w:sz w:val="24"/>
    </w:rPr>
  </w:style>
  <w:style w:type="paragraph" w:styleId="Heading5">
    <w:name w:val="heading 5"/>
    <w:basedOn w:val="Heading4"/>
    <w:next w:val="BodyText"/>
    <w:qFormat/>
    <w:rsid w:val="002F2351"/>
    <w:pPr>
      <w:outlineLvl w:val="4"/>
    </w:pPr>
    <w:rPr>
      <w:rFonts w:ascii="Times New Roman" w:hAnsi="Times New Roman"/>
      <w:sz w:val="26"/>
    </w:rPr>
  </w:style>
  <w:style w:type="paragraph" w:styleId="Heading6">
    <w:name w:val="heading 6"/>
    <w:basedOn w:val="BodyText"/>
    <w:next w:val="BodyText"/>
    <w:rsid w:val="002F2351"/>
    <w:pPr>
      <w:spacing w:after="60"/>
      <w:jc w:val="left"/>
      <w:outlineLvl w:val="5"/>
    </w:pPr>
    <w:rPr>
      <w:i/>
      <w:sz w:val="22"/>
    </w:rPr>
  </w:style>
  <w:style w:type="paragraph" w:styleId="Heading7">
    <w:name w:val="heading 7"/>
    <w:basedOn w:val="BodyText"/>
    <w:next w:val="BodyText"/>
    <w:rsid w:val="002F2351"/>
    <w:pPr>
      <w:spacing w:after="60" w:line="240" w:lineRule="auto"/>
      <w:jc w:val="left"/>
      <w:outlineLvl w:val="6"/>
    </w:pPr>
    <w:rPr>
      <w:rFonts w:ascii="Arial" w:hAnsi="Arial"/>
      <w:sz w:val="20"/>
    </w:rPr>
  </w:style>
  <w:style w:type="paragraph" w:styleId="Heading8">
    <w:name w:val="heading 8"/>
    <w:basedOn w:val="BodyText"/>
    <w:next w:val="BodyText"/>
    <w:rsid w:val="002F2351"/>
    <w:pPr>
      <w:spacing w:after="60" w:line="240" w:lineRule="auto"/>
      <w:jc w:val="left"/>
      <w:outlineLvl w:val="7"/>
    </w:pPr>
    <w:rPr>
      <w:rFonts w:ascii="Arial" w:hAnsi="Arial"/>
      <w:i/>
      <w:sz w:val="20"/>
    </w:rPr>
  </w:style>
  <w:style w:type="paragraph" w:styleId="Heading9">
    <w:name w:val="heading 9"/>
    <w:basedOn w:val="BodyText"/>
    <w:next w:val="BodyText"/>
    <w:rsid w:val="002F23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F23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2351"/>
  </w:style>
  <w:style w:type="paragraph" w:styleId="BodyText">
    <w:name w:val="Body Text"/>
    <w:qFormat/>
    <w:rsid w:val="002F2351"/>
    <w:pPr>
      <w:spacing w:before="240" w:line="320" w:lineRule="atLeast"/>
      <w:jc w:val="both"/>
    </w:pPr>
    <w:rPr>
      <w:sz w:val="26"/>
    </w:rPr>
  </w:style>
  <w:style w:type="paragraph" w:styleId="Footer">
    <w:name w:val="footer"/>
    <w:basedOn w:val="BodyText"/>
    <w:semiHidden/>
    <w:rsid w:val="002F2351"/>
    <w:pPr>
      <w:spacing w:before="80" w:line="200" w:lineRule="exact"/>
      <w:ind w:right="6"/>
      <w:jc w:val="left"/>
    </w:pPr>
    <w:rPr>
      <w:caps/>
      <w:spacing w:val="-4"/>
      <w:sz w:val="16"/>
    </w:rPr>
  </w:style>
  <w:style w:type="paragraph" w:customStyle="1" w:styleId="FooterEnd">
    <w:name w:val="Footer End"/>
    <w:basedOn w:val="Footer"/>
    <w:rsid w:val="002F2351"/>
    <w:pPr>
      <w:spacing w:before="0" w:line="20" w:lineRule="exact"/>
    </w:pPr>
  </w:style>
  <w:style w:type="paragraph" w:styleId="Header">
    <w:name w:val="header"/>
    <w:basedOn w:val="BodyText"/>
    <w:rsid w:val="002F23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F2351"/>
    <w:pPr>
      <w:spacing w:line="20" w:lineRule="exact"/>
    </w:pPr>
    <w:rPr>
      <w:sz w:val="16"/>
    </w:rPr>
  </w:style>
  <w:style w:type="paragraph" w:customStyle="1" w:styleId="HeaderEven">
    <w:name w:val="Header Even"/>
    <w:basedOn w:val="Header"/>
    <w:semiHidden/>
    <w:rsid w:val="002F2351"/>
  </w:style>
  <w:style w:type="paragraph" w:customStyle="1" w:styleId="HeaderOdd">
    <w:name w:val="Header Odd"/>
    <w:basedOn w:val="Header"/>
    <w:semiHidden/>
    <w:rsid w:val="002F2351"/>
  </w:style>
  <w:style w:type="character" w:styleId="PageNumber">
    <w:name w:val="page number"/>
    <w:basedOn w:val="DefaultParagraphFont"/>
    <w:rsid w:val="002F2351"/>
    <w:rPr>
      <w:rFonts w:ascii="Arial" w:hAnsi="Arial"/>
      <w:b/>
      <w:sz w:val="16"/>
    </w:rPr>
  </w:style>
  <w:style w:type="paragraph" w:customStyle="1" w:styleId="Abbreviation">
    <w:name w:val="Abbreviation"/>
    <w:basedOn w:val="BodyText"/>
    <w:rsid w:val="002F2351"/>
    <w:pPr>
      <w:spacing w:before="120"/>
      <w:ind w:left="2381" w:hanging="2381"/>
      <w:jc w:val="left"/>
    </w:pPr>
  </w:style>
  <w:style w:type="paragraph" w:customStyle="1" w:styleId="Box">
    <w:name w:val="Box"/>
    <w:basedOn w:val="BodyText"/>
    <w:qFormat/>
    <w:rsid w:val="002F2351"/>
    <w:pPr>
      <w:keepNext/>
      <w:spacing w:before="120" w:line="280" w:lineRule="atLeast"/>
    </w:pPr>
    <w:rPr>
      <w:rFonts w:ascii="Arial" w:hAnsi="Arial"/>
      <w:sz w:val="22"/>
    </w:rPr>
  </w:style>
  <w:style w:type="paragraph" w:customStyle="1" w:styleId="BoxContinued">
    <w:name w:val="Box Continued"/>
    <w:basedOn w:val="BodyText"/>
    <w:next w:val="BodyText"/>
    <w:semiHidden/>
    <w:rsid w:val="002F2351"/>
    <w:pPr>
      <w:spacing w:before="180" w:line="220" w:lineRule="exact"/>
      <w:jc w:val="right"/>
    </w:pPr>
    <w:rPr>
      <w:rFonts w:ascii="Arial" w:hAnsi="Arial"/>
      <w:sz w:val="18"/>
    </w:rPr>
  </w:style>
  <w:style w:type="paragraph" w:customStyle="1" w:styleId="BoxHeading1">
    <w:name w:val="Box Heading 1"/>
    <w:basedOn w:val="BodyText"/>
    <w:next w:val="Box"/>
    <w:rsid w:val="002F2351"/>
    <w:pPr>
      <w:keepNext/>
      <w:spacing w:before="200" w:line="280" w:lineRule="atLeast"/>
    </w:pPr>
    <w:rPr>
      <w:rFonts w:ascii="Arial" w:hAnsi="Arial"/>
      <w:b/>
      <w:sz w:val="22"/>
    </w:rPr>
  </w:style>
  <w:style w:type="paragraph" w:customStyle="1" w:styleId="BoxHeading2">
    <w:name w:val="Box Heading 2"/>
    <w:basedOn w:val="BoxHeading1"/>
    <w:next w:val="Normal"/>
    <w:rsid w:val="002F2351"/>
    <w:rPr>
      <w:b w:val="0"/>
      <w:i/>
    </w:rPr>
  </w:style>
  <w:style w:type="paragraph" w:customStyle="1" w:styleId="BoxListBullet">
    <w:name w:val="Box List Bullet"/>
    <w:basedOn w:val="BodyText"/>
    <w:rsid w:val="002F2351"/>
    <w:pPr>
      <w:keepNext/>
      <w:numPr>
        <w:numId w:val="1"/>
      </w:numPr>
      <w:spacing w:before="60" w:line="280" w:lineRule="atLeast"/>
    </w:pPr>
    <w:rPr>
      <w:rFonts w:ascii="Arial" w:hAnsi="Arial"/>
      <w:sz w:val="22"/>
    </w:rPr>
  </w:style>
  <w:style w:type="paragraph" w:customStyle="1" w:styleId="BoxListBullet2">
    <w:name w:val="Box List Bullet 2"/>
    <w:basedOn w:val="BodyText"/>
    <w:rsid w:val="002F2351"/>
    <w:pPr>
      <w:keepNext/>
      <w:numPr>
        <w:numId w:val="16"/>
      </w:numPr>
      <w:spacing w:before="60" w:line="280" w:lineRule="atLeast"/>
    </w:pPr>
    <w:rPr>
      <w:rFonts w:ascii="Arial" w:hAnsi="Arial"/>
      <w:sz w:val="22"/>
    </w:rPr>
  </w:style>
  <w:style w:type="paragraph" w:customStyle="1" w:styleId="BoxListNumber">
    <w:name w:val="Box List Number"/>
    <w:basedOn w:val="BodyText"/>
    <w:rsid w:val="002F2351"/>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2F2351"/>
    <w:pPr>
      <w:numPr>
        <w:ilvl w:val="1"/>
      </w:numPr>
    </w:pPr>
  </w:style>
  <w:style w:type="paragraph" w:customStyle="1" w:styleId="BoxQuote">
    <w:name w:val="Box Quote"/>
    <w:basedOn w:val="BodyText"/>
    <w:next w:val="Box"/>
    <w:rsid w:val="002F2351"/>
    <w:pPr>
      <w:keepNext/>
      <w:spacing w:before="60" w:line="260" w:lineRule="exact"/>
      <w:ind w:left="284"/>
    </w:pPr>
    <w:rPr>
      <w:rFonts w:ascii="Arial" w:hAnsi="Arial"/>
      <w:sz w:val="20"/>
    </w:rPr>
  </w:style>
  <w:style w:type="paragraph" w:customStyle="1" w:styleId="Note">
    <w:name w:val="Note"/>
    <w:basedOn w:val="BodyText"/>
    <w:next w:val="BodyText"/>
    <w:rsid w:val="002F2351"/>
    <w:pPr>
      <w:keepLines/>
      <w:spacing w:before="80" w:line="220" w:lineRule="exact"/>
    </w:pPr>
    <w:rPr>
      <w:rFonts w:ascii="Arial" w:hAnsi="Arial"/>
      <w:sz w:val="18"/>
    </w:rPr>
  </w:style>
  <w:style w:type="paragraph" w:customStyle="1" w:styleId="Source">
    <w:name w:val="Source"/>
    <w:basedOn w:val="Note"/>
    <w:next w:val="BodyText"/>
    <w:rsid w:val="002F2351"/>
    <w:pPr>
      <w:spacing w:after="120"/>
    </w:pPr>
  </w:style>
  <w:style w:type="paragraph" w:customStyle="1" w:styleId="BoxSource">
    <w:name w:val="Box Source"/>
    <w:basedOn w:val="Source"/>
    <w:next w:val="BodyText"/>
    <w:rsid w:val="002F2351"/>
    <w:pPr>
      <w:spacing w:before="180" w:after="0"/>
    </w:pPr>
  </w:style>
  <w:style w:type="paragraph" w:customStyle="1" w:styleId="BoxSpaceAbove">
    <w:name w:val="Box Space Above"/>
    <w:basedOn w:val="BodyText"/>
    <w:rsid w:val="002F2351"/>
    <w:pPr>
      <w:keepNext/>
      <w:spacing w:before="360" w:line="80" w:lineRule="exact"/>
      <w:jc w:val="left"/>
    </w:pPr>
  </w:style>
  <w:style w:type="paragraph" w:styleId="Caption">
    <w:name w:val="caption"/>
    <w:basedOn w:val="Normal"/>
    <w:next w:val="BodyText"/>
    <w:rsid w:val="002F235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2F2351"/>
    <w:pPr>
      <w:spacing w:before="120" w:after="0"/>
      <w:ind w:left="1304" w:hanging="1304"/>
    </w:pPr>
    <w:rPr>
      <w:sz w:val="24"/>
    </w:rPr>
  </w:style>
  <w:style w:type="paragraph" w:customStyle="1" w:styleId="BoxSubtitle">
    <w:name w:val="Box Subtitle"/>
    <w:basedOn w:val="BoxTitle"/>
    <w:next w:val="Normal"/>
    <w:rsid w:val="002F2351"/>
    <w:pPr>
      <w:spacing w:after="80" w:line="200" w:lineRule="exact"/>
      <w:ind w:firstLine="0"/>
    </w:pPr>
    <w:rPr>
      <w:b w:val="0"/>
      <w:sz w:val="20"/>
    </w:rPr>
  </w:style>
  <w:style w:type="paragraph" w:customStyle="1" w:styleId="Chapter">
    <w:name w:val="Chapter"/>
    <w:basedOn w:val="Heading1"/>
    <w:next w:val="BodyText"/>
    <w:semiHidden/>
    <w:rsid w:val="002F2351"/>
    <w:pPr>
      <w:ind w:left="0" w:firstLine="0"/>
      <w:outlineLvl w:val="9"/>
    </w:pPr>
  </w:style>
  <w:style w:type="paragraph" w:customStyle="1" w:styleId="ChapterSummary">
    <w:name w:val="Chapter Summary"/>
    <w:basedOn w:val="BodyText"/>
    <w:rsid w:val="002F2351"/>
    <w:pPr>
      <w:ind w:left="907"/>
    </w:pPr>
    <w:rPr>
      <w:rFonts w:ascii="Arial" w:hAnsi="Arial"/>
      <w:b/>
      <w:sz w:val="22"/>
    </w:rPr>
  </w:style>
  <w:style w:type="character" w:styleId="CommentReference">
    <w:name w:val="annotation reference"/>
    <w:basedOn w:val="DefaultParagraphFont"/>
    <w:semiHidden/>
    <w:rsid w:val="002F2351"/>
    <w:rPr>
      <w:b/>
      <w:vanish/>
      <w:color w:val="FF00FF"/>
      <w:sz w:val="20"/>
    </w:rPr>
  </w:style>
  <w:style w:type="paragraph" w:styleId="CommentText">
    <w:name w:val="annotation text"/>
    <w:basedOn w:val="Normal"/>
    <w:link w:val="CommentTextChar"/>
    <w:semiHidden/>
    <w:rsid w:val="002F2351"/>
    <w:pPr>
      <w:spacing w:before="120" w:line="240" w:lineRule="atLeast"/>
      <w:ind w:left="567" w:hanging="567"/>
    </w:pPr>
    <w:rPr>
      <w:sz w:val="20"/>
    </w:rPr>
  </w:style>
  <w:style w:type="paragraph" w:customStyle="1" w:styleId="Continued">
    <w:name w:val="Continued"/>
    <w:basedOn w:val="BoxContinued"/>
    <w:next w:val="BodyText"/>
    <w:rsid w:val="002F2351"/>
  </w:style>
  <w:style w:type="character" w:customStyle="1" w:styleId="DocumentInfo">
    <w:name w:val="Document Info"/>
    <w:basedOn w:val="DefaultParagraphFont"/>
    <w:semiHidden/>
    <w:rsid w:val="002F2351"/>
    <w:rPr>
      <w:rFonts w:ascii="Arial" w:hAnsi="Arial"/>
      <w:sz w:val="14"/>
    </w:rPr>
  </w:style>
  <w:style w:type="character" w:customStyle="1" w:styleId="DraftingNote">
    <w:name w:val="Drafting Note"/>
    <w:basedOn w:val="DefaultParagraphFont"/>
    <w:rsid w:val="002F2351"/>
    <w:rPr>
      <w:b/>
      <w:color w:val="FF0000"/>
      <w:sz w:val="24"/>
      <w:u w:val="dotted"/>
    </w:rPr>
  </w:style>
  <w:style w:type="paragraph" w:customStyle="1" w:styleId="Figure">
    <w:name w:val="Figure"/>
    <w:basedOn w:val="BodyText"/>
    <w:rsid w:val="002F2351"/>
    <w:pPr>
      <w:keepNext/>
      <w:spacing w:before="120" w:after="120" w:line="240" w:lineRule="atLeast"/>
      <w:jc w:val="center"/>
    </w:pPr>
  </w:style>
  <w:style w:type="paragraph" w:customStyle="1" w:styleId="FigureTitle">
    <w:name w:val="Figure Title"/>
    <w:basedOn w:val="Caption"/>
    <w:next w:val="Subtitle"/>
    <w:rsid w:val="002F2351"/>
    <w:rPr>
      <w:sz w:val="24"/>
    </w:rPr>
  </w:style>
  <w:style w:type="paragraph" w:styleId="Subtitle">
    <w:name w:val="Subtitle"/>
    <w:basedOn w:val="Caption"/>
    <w:link w:val="SubtitleChar"/>
    <w:rsid w:val="002F2351"/>
    <w:pPr>
      <w:spacing w:before="0" w:line="200" w:lineRule="exact"/>
      <w:ind w:firstLine="0"/>
    </w:pPr>
    <w:rPr>
      <w:b w:val="0"/>
      <w:sz w:val="20"/>
    </w:rPr>
  </w:style>
  <w:style w:type="paragraph" w:customStyle="1" w:styleId="Finding">
    <w:name w:val="Finding"/>
    <w:basedOn w:val="BodyText"/>
    <w:rsid w:val="002F2351"/>
    <w:pPr>
      <w:keepLines/>
      <w:spacing w:before="180"/>
    </w:pPr>
    <w:rPr>
      <w:i/>
    </w:rPr>
  </w:style>
  <w:style w:type="paragraph" w:customStyle="1" w:styleId="FindingBullet">
    <w:name w:val="Finding Bullet"/>
    <w:basedOn w:val="Finding"/>
    <w:rsid w:val="002F2351"/>
    <w:pPr>
      <w:numPr>
        <w:numId w:val="2"/>
      </w:numPr>
      <w:spacing w:before="80"/>
    </w:pPr>
  </w:style>
  <w:style w:type="paragraph" w:customStyle="1" w:styleId="FindingNoTitle">
    <w:name w:val="Finding NoTitle"/>
    <w:basedOn w:val="Finding"/>
    <w:semiHidden/>
    <w:rsid w:val="002F2351"/>
    <w:pPr>
      <w:spacing w:before="240"/>
    </w:pPr>
  </w:style>
  <w:style w:type="paragraph" w:customStyle="1" w:styleId="RecTitle">
    <w:name w:val="Rec Title"/>
    <w:basedOn w:val="BodyText"/>
    <w:next w:val="Normal"/>
    <w:rsid w:val="002F2351"/>
    <w:pPr>
      <w:keepNext/>
      <w:keepLines/>
    </w:pPr>
    <w:rPr>
      <w:caps/>
      <w:sz w:val="20"/>
    </w:rPr>
  </w:style>
  <w:style w:type="paragraph" w:customStyle="1" w:styleId="FindingTitle">
    <w:name w:val="Finding Title"/>
    <w:basedOn w:val="RecTitle"/>
    <w:next w:val="Finding"/>
    <w:rsid w:val="002F2351"/>
    <w:pPr>
      <w:framePr w:wrap="notBeside" w:hAnchor="text"/>
    </w:pPr>
  </w:style>
  <w:style w:type="character" w:styleId="FootnoteReference">
    <w:name w:val="footnote reference"/>
    <w:basedOn w:val="DefaultParagraphFont"/>
    <w:rsid w:val="002F2351"/>
    <w:rPr>
      <w:rFonts w:ascii="Times New Roman" w:hAnsi="Times New Roman"/>
      <w:position w:val="6"/>
      <w:sz w:val="22"/>
      <w:vertAlign w:val="baseline"/>
    </w:rPr>
  </w:style>
  <w:style w:type="paragraph" w:styleId="FootnoteText">
    <w:name w:val="footnote text"/>
    <w:basedOn w:val="BodyText"/>
    <w:rsid w:val="002F235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2F2351"/>
    <w:pPr>
      <w:spacing w:before="360" w:after="120"/>
    </w:pPr>
    <w:rPr>
      <w:rFonts w:ascii="Arial" w:hAnsi="Arial"/>
      <w:sz w:val="24"/>
    </w:rPr>
  </w:style>
  <w:style w:type="paragraph" w:customStyle="1" w:styleId="Jurisdictioncommentsbodytext">
    <w:name w:val="Jurisdiction comments body text"/>
    <w:rsid w:val="002F2351"/>
    <w:pPr>
      <w:spacing w:after="140"/>
      <w:jc w:val="both"/>
    </w:pPr>
    <w:rPr>
      <w:rFonts w:ascii="Arial" w:hAnsi="Arial"/>
      <w:sz w:val="24"/>
      <w:lang w:eastAsia="en-US"/>
    </w:rPr>
  </w:style>
  <w:style w:type="paragraph" w:customStyle="1" w:styleId="Jurisdictioncommentsheading">
    <w:name w:val="Jurisdiction comments heading"/>
    <w:rsid w:val="002F235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F2351"/>
    <w:pPr>
      <w:numPr>
        <w:numId w:val="3"/>
      </w:numPr>
      <w:spacing w:after="140"/>
      <w:jc w:val="both"/>
    </w:pPr>
    <w:rPr>
      <w:rFonts w:ascii="Arial" w:hAnsi="Arial"/>
      <w:sz w:val="24"/>
      <w:lang w:eastAsia="en-US"/>
    </w:rPr>
  </w:style>
  <w:style w:type="paragraph" w:styleId="ListBullet">
    <w:name w:val="List Bullet"/>
    <w:basedOn w:val="BodyText"/>
    <w:rsid w:val="002F2351"/>
    <w:pPr>
      <w:numPr>
        <w:numId w:val="4"/>
      </w:numPr>
      <w:spacing w:before="120"/>
    </w:pPr>
  </w:style>
  <w:style w:type="paragraph" w:styleId="ListBullet2">
    <w:name w:val="List Bullet 2"/>
    <w:basedOn w:val="BodyText"/>
    <w:rsid w:val="002F2351"/>
    <w:pPr>
      <w:numPr>
        <w:numId w:val="5"/>
      </w:numPr>
      <w:spacing w:before="120"/>
    </w:pPr>
  </w:style>
  <w:style w:type="paragraph" w:styleId="ListBullet3">
    <w:name w:val="List Bullet 3"/>
    <w:basedOn w:val="BodyText"/>
    <w:rsid w:val="002F2351"/>
    <w:pPr>
      <w:numPr>
        <w:numId w:val="6"/>
      </w:numPr>
      <w:spacing w:before="120"/>
    </w:pPr>
  </w:style>
  <w:style w:type="paragraph" w:styleId="ListNumber">
    <w:name w:val="List Number"/>
    <w:basedOn w:val="BodyText"/>
    <w:rsid w:val="002F2351"/>
    <w:pPr>
      <w:numPr>
        <w:numId w:val="11"/>
      </w:numPr>
      <w:spacing w:before="120"/>
    </w:pPr>
  </w:style>
  <w:style w:type="paragraph" w:styleId="ListNumber2">
    <w:name w:val="List Number 2"/>
    <w:basedOn w:val="ListNumber"/>
    <w:rsid w:val="002F2351"/>
    <w:pPr>
      <w:numPr>
        <w:ilvl w:val="1"/>
      </w:numPr>
    </w:pPr>
  </w:style>
  <w:style w:type="paragraph" w:styleId="ListNumber3">
    <w:name w:val="List Number 3"/>
    <w:basedOn w:val="ListNumber2"/>
    <w:rsid w:val="002F2351"/>
    <w:pPr>
      <w:numPr>
        <w:ilvl w:val="2"/>
      </w:numPr>
    </w:pPr>
  </w:style>
  <w:style w:type="character" w:customStyle="1" w:styleId="NoteLabel">
    <w:name w:val="Note Label"/>
    <w:basedOn w:val="DefaultParagraphFont"/>
    <w:rsid w:val="002F2351"/>
    <w:rPr>
      <w:rFonts w:ascii="Arial" w:hAnsi="Arial"/>
      <w:b/>
      <w:position w:val="6"/>
      <w:sz w:val="18"/>
    </w:rPr>
  </w:style>
  <w:style w:type="paragraph" w:customStyle="1" w:styleId="PartDivider">
    <w:name w:val="Part Divider"/>
    <w:basedOn w:val="BodyText"/>
    <w:next w:val="BodyText"/>
    <w:semiHidden/>
    <w:rsid w:val="002F2351"/>
    <w:pPr>
      <w:spacing w:before="0" w:line="40" w:lineRule="exact"/>
      <w:jc w:val="right"/>
    </w:pPr>
    <w:rPr>
      <w:smallCaps/>
      <w:sz w:val="16"/>
    </w:rPr>
  </w:style>
  <w:style w:type="paragraph" w:customStyle="1" w:styleId="PartNumber">
    <w:name w:val="Part Number"/>
    <w:basedOn w:val="BodyText"/>
    <w:next w:val="BodyText"/>
    <w:semiHidden/>
    <w:rsid w:val="002F2351"/>
    <w:pPr>
      <w:spacing w:before="4000" w:line="320" w:lineRule="exact"/>
      <w:ind w:left="6634"/>
      <w:jc w:val="right"/>
    </w:pPr>
    <w:rPr>
      <w:smallCaps/>
      <w:spacing w:val="60"/>
      <w:sz w:val="32"/>
    </w:rPr>
  </w:style>
  <w:style w:type="paragraph" w:customStyle="1" w:styleId="PartTitle">
    <w:name w:val="Part Title"/>
    <w:basedOn w:val="BodyText"/>
    <w:semiHidden/>
    <w:rsid w:val="002F2351"/>
    <w:pPr>
      <w:spacing w:before="160" w:after="1360" w:line="520" w:lineRule="exact"/>
      <w:ind w:right="2381"/>
      <w:jc w:val="right"/>
    </w:pPr>
    <w:rPr>
      <w:smallCaps/>
      <w:sz w:val="52"/>
    </w:rPr>
  </w:style>
  <w:style w:type="paragraph" w:styleId="Quote">
    <w:name w:val="Quote"/>
    <w:basedOn w:val="BodyText"/>
    <w:next w:val="BodyText"/>
    <w:qFormat/>
    <w:rsid w:val="002F2351"/>
    <w:pPr>
      <w:spacing w:before="120" w:line="280" w:lineRule="exact"/>
      <w:ind w:left="340"/>
    </w:pPr>
    <w:rPr>
      <w:sz w:val="24"/>
    </w:rPr>
  </w:style>
  <w:style w:type="paragraph" w:customStyle="1" w:styleId="QuoteBullet">
    <w:name w:val="Quote Bullet"/>
    <w:basedOn w:val="Quote"/>
    <w:rsid w:val="002F2351"/>
    <w:pPr>
      <w:numPr>
        <w:numId w:val="7"/>
      </w:numPr>
    </w:pPr>
  </w:style>
  <w:style w:type="paragraph" w:customStyle="1" w:styleId="Rec">
    <w:name w:val="Rec"/>
    <w:basedOn w:val="BodyText"/>
    <w:rsid w:val="002F2351"/>
    <w:pPr>
      <w:keepLines/>
      <w:spacing w:before="180"/>
    </w:pPr>
    <w:rPr>
      <w:b/>
      <w:i/>
    </w:rPr>
  </w:style>
  <w:style w:type="paragraph" w:customStyle="1" w:styleId="RecBullet">
    <w:name w:val="Rec Bullet"/>
    <w:basedOn w:val="Rec"/>
    <w:rsid w:val="002F2351"/>
    <w:pPr>
      <w:numPr>
        <w:numId w:val="8"/>
      </w:numPr>
      <w:spacing w:before="80"/>
    </w:pPr>
  </w:style>
  <w:style w:type="paragraph" w:customStyle="1" w:styleId="RecB">
    <w:name w:val="RecB"/>
    <w:basedOn w:val="Normal"/>
    <w:semiHidden/>
    <w:rsid w:val="002F235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2F2351"/>
    <w:pPr>
      <w:numPr>
        <w:numId w:val="13"/>
      </w:numPr>
      <w:spacing w:before="80"/>
    </w:pPr>
  </w:style>
  <w:style w:type="paragraph" w:customStyle="1" w:styleId="RecBNoTitle">
    <w:name w:val="RecB NoTitle"/>
    <w:basedOn w:val="RecB"/>
    <w:semiHidden/>
    <w:rsid w:val="002F2351"/>
    <w:pPr>
      <w:spacing w:before="240"/>
    </w:pPr>
  </w:style>
  <w:style w:type="paragraph" w:customStyle="1" w:styleId="Reference">
    <w:name w:val="Reference"/>
    <w:basedOn w:val="BodyText"/>
    <w:rsid w:val="002F2351"/>
    <w:pPr>
      <w:spacing w:before="120"/>
      <w:ind w:left="340" w:hanging="340"/>
    </w:pPr>
  </w:style>
  <w:style w:type="paragraph" w:customStyle="1" w:styleId="SequenceInfo">
    <w:name w:val="Sequence Info"/>
    <w:basedOn w:val="BodyText"/>
    <w:semiHidden/>
    <w:rsid w:val="002F2351"/>
    <w:rPr>
      <w:vanish/>
      <w:sz w:val="16"/>
    </w:rPr>
  </w:style>
  <w:style w:type="paragraph" w:customStyle="1" w:styleId="SideNote">
    <w:name w:val="Side Note"/>
    <w:basedOn w:val="BodyText"/>
    <w:next w:val="BodyText"/>
    <w:semiHidden/>
    <w:rsid w:val="002F235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F2351"/>
    <w:pPr>
      <w:framePr w:wrap="around"/>
      <w:numPr>
        <w:numId w:val="9"/>
      </w:numPr>
      <w:tabs>
        <w:tab w:val="left" w:pos="227"/>
      </w:tabs>
    </w:pPr>
  </w:style>
  <w:style w:type="paragraph" w:customStyle="1" w:styleId="SideNoteGraphic">
    <w:name w:val="Side Note Graphic"/>
    <w:basedOn w:val="SideNote"/>
    <w:next w:val="BodyText"/>
    <w:semiHidden/>
    <w:rsid w:val="002F2351"/>
    <w:pPr>
      <w:framePr w:wrap="around"/>
    </w:pPr>
  </w:style>
  <w:style w:type="paragraph" w:customStyle="1" w:styleId="TableBodyText">
    <w:name w:val="Table Body Text"/>
    <w:basedOn w:val="BodyText"/>
    <w:rsid w:val="002F235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F2351"/>
    <w:pPr>
      <w:numPr>
        <w:numId w:val="10"/>
      </w:numPr>
      <w:jc w:val="left"/>
    </w:pPr>
  </w:style>
  <w:style w:type="paragraph" w:customStyle="1" w:styleId="TableColumnHeading">
    <w:name w:val="Table Column Heading"/>
    <w:basedOn w:val="TableBodyText"/>
    <w:rsid w:val="002F2351"/>
    <w:pPr>
      <w:spacing w:before="80" w:after="80"/>
    </w:pPr>
    <w:rPr>
      <w:i/>
    </w:rPr>
  </w:style>
  <w:style w:type="paragraph" w:styleId="TOC2">
    <w:name w:val="toc 2"/>
    <w:basedOn w:val="BodyText"/>
    <w:semiHidden/>
    <w:rsid w:val="002F2351"/>
    <w:pPr>
      <w:tabs>
        <w:tab w:val="right" w:pos="8789"/>
      </w:tabs>
      <w:ind w:left="510" w:right="851" w:hanging="510"/>
      <w:jc w:val="left"/>
    </w:pPr>
    <w:rPr>
      <w:b/>
    </w:rPr>
  </w:style>
  <w:style w:type="paragraph" w:styleId="TOC3">
    <w:name w:val="toc 3"/>
    <w:basedOn w:val="TOC2"/>
    <w:semiHidden/>
    <w:rsid w:val="002F2351"/>
    <w:pPr>
      <w:spacing w:before="60"/>
      <w:ind w:left="1190" w:hanging="680"/>
    </w:pPr>
    <w:rPr>
      <w:b w:val="0"/>
    </w:rPr>
  </w:style>
  <w:style w:type="paragraph" w:styleId="TableofFigures">
    <w:name w:val="table of figures"/>
    <w:basedOn w:val="TOC3"/>
    <w:next w:val="BodyText"/>
    <w:semiHidden/>
    <w:rsid w:val="002F2351"/>
    <w:pPr>
      <w:ind w:left="737" w:hanging="737"/>
    </w:pPr>
  </w:style>
  <w:style w:type="paragraph" w:customStyle="1" w:styleId="TableTitle">
    <w:name w:val="Table Title"/>
    <w:basedOn w:val="Caption"/>
    <w:next w:val="Subtitle"/>
    <w:rsid w:val="002F2351"/>
    <w:rPr>
      <w:sz w:val="24"/>
    </w:rPr>
  </w:style>
  <w:style w:type="paragraph" w:customStyle="1" w:styleId="TableUnitsRow">
    <w:name w:val="Table Units Row"/>
    <w:basedOn w:val="TableBodyText"/>
    <w:rsid w:val="002F2351"/>
    <w:pPr>
      <w:spacing w:before="80" w:after="80"/>
    </w:pPr>
  </w:style>
  <w:style w:type="paragraph" w:styleId="TOC1">
    <w:name w:val="toc 1"/>
    <w:basedOn w:val="Normal"/>
    <w:next w:val="TOC2"/>
    <w:semiHidden/>
    <w:rsid w:val="002F2351"/>
    <w:pPr>
      <w:tabs>
        <w:tab w:val="right" w:pos="8789"/>
      </w:tabs>
      <w:spacing w:before="480" w:after="60" w:line="320" w:lineRule="exact"/>
      <w:ind w:left="1191" w:right="851" w:hanging="1191"/>
    </w:pPr>
    <w:rPr>
      <w:b/>
      <w:caps/>
    </w:rPr>
  </w:style>
  <w:style w:type="paragraph" w:styleId="TOC4">
    <w:name w:val="toc 4"/>
    <w:basedOn w:val="TOC3"/>
    <w:semiHidden/>
    <w:rsid w:val="002F2351"/>
    <w:pPr>
      <w:ind w:left="1191" w:firstLine="0"/>
    </w:pPr>
  </w:style>
  <w:style w:type="paragraph" w:customStyle="1" w:styleId="RecBBullet2">
    <w:name w:val="RecB Bullet 2"/>
    <w:basedOn w:val="ListBullet2"/>
    <w:semiHidden/>
    <w:rsid w:val="002F2351"/>
    <w:pPr>
      <w:pBdr>
        <w:left w:val="single" w:sz="24" w:space="29" w:color="C0C0C0"/>
      </w:pBdr>
    </w:pPr>
    <w:rPr>
      <w:b/>
      <w:i/>
    </w:rPr>
  </w:style>
  <w:style w:type="paragraph" w:styleId="BalloonText">
    <w:name w:val="Balloon Text"/>
    <w:basedOn w:val="Normal"/>
    <w:link w:val="BalloonTextChar"/>
    <w:rsid w:val="002F2351"/>
    <w:rPr>
      <w:rFonts w:ascii="Tahoma" w:hAnsi="Tahoma" w:cs="Tahoma"/>
      <w:sz w:val="16"/>
      <w:szCs w:val="16"/>
    </w:rPr>
  </w:style>
  <w:style w:type="character" w:customStyle="1" w:styleId="BalloonTextChar">
    <w:name w:val="Balloon Text Char"/>
    <w:basedOn w:val="DefaultParagraphFont"/>
    <w:link w:val="BalloonText"/>
    <w:rsid w:val="002F2351"/>
    <w:rPr>
      <w:rFonts w:ascii="Tahoma" w:hAnsi="Tahoma" w:cs="Tahoma"/>
      <w:sz w:val="16"/>
      <w:szCs w:val="16"/>
    </w:rPr>
  </w:style>
  <w:style w:type="character" w:customStyle="1" w:styleId="SubtitleChar">
    <w:name w:val="Subtitle Char"/>
    <w:basedOn w:val="DefaultParagraphFont"/>
    <w:link w:val="Subtitle"/>
    <w:rsid w:val="002F2351"/>
    <w:rPr>
      <w:rFonts w:ascii="Arial" w:hAnsi="Arial"/>
      <w:szCs w:val="24"/>
    </w:rPr>
  </w:style>
  <w:style w:type="paragraph" w:customStyle="1" w:styleId="BoxListBullet3">
    <w:name w:val="Box List Bullet 3"/>
    <w:basedOn w:val="ListBullet3"/>
    <w:rsid w:val="002F2351"/>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F2351"/>
    <w:rPr>
      <w:i/>
      <w:iCs/>
    </w:rPr>
  </w:style>
  <w:style w:type="paragraph" w:customStyle="1" w:styleId="BoxQuoteBullet">
    <w:name w:val="Box Quote Bullet"/>
    <w:basedOn w:val="BoxQuote"/>
    <w:next w:val="Box"/>
    <w:rsid w:val="002F2351"/>
    <w:pPr>
      <w:numPr>
        <w:numId w:val="14"/>
      </w:numPr>
      <w:ind w:left="568" w:hanging="284"/>
    </w:pPr>
  </w:style>
  <w:style w:type="paragraph" w:customStyle="1" w:styleId="InformationRequestBullet">
    <w:name w:val="Information Request Bullet"/>
    <w:basedOn w:val="ListBullet"/>
    <w:next w:val="BodyText"/>
    <w:rsid w:val="002F2351"/>
    <w:pPr>
      <w:numPr>
        <w:numId w:val="15"/>
      </w:numPr>
      <w:ind w:left="340" w:hanging="340"/>
    </w:pPr>
    <w:rPr>
      <w:rFonts w:ascii="Arial" w:hAnsi="Arial"/>
      <w:i/>
      <w:sz w:val="24"/>
    </w:rPr>
  </w:style>
  <w:style w:type="paragraph" w:customStyle="1" w:styleId="BoxSpaceBelow">
    <w:name w:val="Box Space Below"/>
    <w:basedOn w:val="Box"/>
    <w:rsid w:val="002F2351"/>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Heading2Char">
    <w:name w:val="Heading 2 Char"/>
    <w:basedOn w:val="DefaultParagraphFont"/>
    <w:link w:val="Heading2"/>
    <w:rsid w:val="00251192"/>
    <w:rPr>
      <w:rFonts w:ascii="Arial" w:hAnsi="Arial"/>
      <w:b/>
      <w:sz w:val="32"/>
    </w:rPr>
  </w:style>
  <w:style w:type="character" w:customStyle="1" w:styleId="Heading3Char">
    <w:name w:val="Heading 3 Char"/>
    <w:basedOn w:val="DefaultParagraphFont"/>
    <w:link w:val="Heading3"/>
    <w:rsid w:val="00251192"/>
    <w:rPr>
      <w:rFonts w:ascii="Arial" w:hAnsi="Arial"/>
      <w:b/>
      <w:sz w:val="26"/>
    </w:rPr>
  </w:style>
  <w:style w:type="character" w:customStyle="1" w:styleId="Heading1Char">
    <w:name w:val="Heading 1 Char"/>
    <w:basedOn w:val="DefaultParagraphFont"/>
    <w:link w:val="Heading1"/>
    <w:rsid w:val="00251192"/>
    <w:rPr>
      <w:sz w:val="52"/>
    </w:rPr>
  </w:style>
  <w:style w:type="paragraph" w:styleId="CommentSubject">
    <w:name w:val="annotation subject"/>
    <w:basedOn w:val="CommentText"/>
    <w:next w:val="CommentText"/>
    <w:link w:val="CommentSubjectChar"/>
    <w:rsid w:val="00472E7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72E76"/>
    <w:rPr>
      <w:szCs w:val="24"/>
    </w:rPr>
  </w:style>
  <w:style w:type="character" w:customStyle="1" w:styleId="CommentSubjectChar">
    <w:name w:val="Comment Subject Char"/>
    <w:basedOn w:val="CommentTextChar"/>
    <w:link w:val="CommentSubject"/>
    <w:rsid w:val="00472E7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28174">
      <w:bodyDiv w:val="1"/>
      <w:marLeft w:val="0"/>
      <w:marRight w:val="0"/>
      <w:marTop w:val="0"/>
      <w:marBottom w:val="0"/>
      <w:divBdr>
        <w:top w:val="none" w:sz="0" w:space="0" w:color="auto"/>
        <w:left w:val="none" w:sz="0" w:space="0" w:color="auto"/>
        <w:bottom w:val="none" w:sz="0" w:space="0" w:color="auto"/>
        <w:right w:val="none" w:sz="0" w:space="0" w:color="auto"/>
      </w:divBdr>
      <w:divsChild>
        <w:div w:id="1376001520">
          <w:marLeft w:val="0"/>
          <w:marRight w:val="0"/>
          <w:marTop w:val="0"/>
          <w:marBottom w:val="0"/>
          <w:divBdr>
            <w:top w:val="none" w:sz="0" w:space="0" w:color="auto"/>
            <w:left w:val="none" w:sz="0" w:space="0" w:color="auto"/>
            <w:bottom w:val="none" w:sz="0" w:space="0" w:color="auto"/>
            <w:right w:val="none" w:sz="0" w:space="0" w:color="auto"/>
          </w:divBdr>
          <w:divsChild>
            <w:div w:id="308287959">
              <w:marLeft w:val="0"/>
              <w:marRight w:val="0"/>
              <w:marTop w:val="0"/>
              <w:marBottom w:val="0"/>
              <w:divBdr>
                <w:top w:val="none" w:sz="0" w:space="0" w:color="auto"/>
                <w:left w:val="none" w:sz="0" w:space="0" w:color="auto"/>
                <w:bottom w:val="none" w:sz="0" w:space="0" w:color="auto"/>
                <w:right w:val="none" w:sz="0" w:space="0" w:color="auto"/>
              </w:divBdr>
              <w:divsChild>
                <w:div w:id="2095583690">
                  <w:marLeft w:val="0"/>
                  <w:marRight w:val="0"/>
                  <w:marTop w:val="0"/>
                  <w:marBottom w:val="0"/>
                  <w:divBdr>
                    <w:top w:val="none" w:sz="0" w:space="0" w:color="auto"/>
                    <w:left w:val="none" w:sz="0" w:space="0" w:color="auto"/>
                    <w:bottom w:val="none" w:sz="0" w:space="0" w:color="auto"/>
                    <w:right w:val="none" w:sz="0" w:space="0" w:color="auto"/>
                  </w:divBdr>
                  <w:divsChild>
                    <w:div w:id="149562397">
                      <w:marLeft w:val="2250"/>
                      <w:marRight w:val="0"/>
                      <w:marTop w:val="0"/>
                      <w:marBottom w:val="0"/>
                      <w:divBdr>
                        <w:top w:val="none" w:sz="0" w:space="0" w:color="auto"/>
                        <w:left w:val="none" w:sz="0" w:space="0" w:color="auto"/>
                        <w:bottom w:val="none" w:sz="0" w:space="0" w:color="auto"/>
                        <w:right w:val="none" w:sz="0" w:space="0" w:color="auto"/>
                      </w:divBdr>
                      <w:divsChild>
                        <w:div w:id="1275821485">
                          <w:marLeft w:val="0"/>
                          <w:marRight w:val="0"/>
                          <w:marTop w:val="0"/>
                          <w:marBottom w:val="0"/>
                          <w:divBdr>
                            <w:top w:val="none" w:sz="0" w:space="0" w:color="auto"/>
                            <w:left w:val="none" w:sz="0" w:space="0" w:color="auto"/>
                            <w:bottom w:val="none" w:sz="0" w:space="0" w:color="auto"/>
                            <w:right w:val="single" w:sz="6" w:space="0" w:color="000000"/>
                          </w:divBdr>
                        </w:div>
                      </w:divsChild>
                    </w:div>
                  </w:divsChild>
                </w:div>
              </w:divsChild>
            </w:div>
          </w:divsChild>
        </w:div>
      </w:divsChild>
    </w:div>
    <w:div w:id="1307051404">
      <w:bodyDiv w:val="1"/>
      <w:marLeft w:val="0"/>
      <w:marRight w:val="0"/>
      <w:marTop w:val="0"/>
      <w:marBottom w:val="0"/>
      <w:divBdr>
        <w:top w:val="none" w:sz="0" w:space="0" w:color="auto"/>
        <w:left w:val="none" w:sz="0" w:space="0" w:color="auto"/>
        <w:bottom w:val="none" w:sz="0" w:space="0" w:color="auto"/>
        <w:right w:val="none" w:sz="0" w:space="0" w:color="auto"/>
      </w:divBdr>
      <w:divsChild>
        <w:div w:id="1919245410">
          <w:marLeft w:val="0"/>
          <w:marRight w:val="0"/>
          <w:marTop w:val="0"/>
          <w:marBottom w:val="0"/>
          <w:divBdr>
            <w:top w:val="none" w:sz="0" w:space="0" w:color="auto"/>
            <w:left w:val="none" w:sz="0" w:space="0" w:color="auto"/>
            <w:bottom w:val="none" w:sz="0" w:space="0" w:color="auto"/>
            <w:right w:val="none" w:sz="0" w:space="0" w:color="auto"/>
          </w:divBdr>
          <w:divsChild>
            <w:div w:id="752898086">
              <w:marLeft w:val="0"/>
              <w:marRight w:val="0"/>
              <w:marTop w:val="0"/>
              <w:marBottom w:val="0"/>
              <w:divBdr>
                <w:top w:val="none" w:sz="0" w:space="0" w:color="auto"/>
                <w:left w:val="none" w:sz="0" w:space="0" w:color="auto"/>
                <w:bottom w:val="none" w:sz="0" w:space="0" w:color="auto"/>
                <w:right w:val="none" w:sz="0" w:space="0" w:color="auto"/>
              </w:divBdr>
              <w:divsChild>
                <w:div w:id="2061590746">
                  <w:marLeft w:val="0"/>
                  <w:marRight w:val="0"/>
                  <w:marTop w:val="0"/>
                  <w:marBottom w:val="0"/>
                  <w:divBdr>
                    <w:top w:val="none" w:sz="0" w:space="0" w:color="auto"/>
                    <w:left w:val="none" w:sz="0" w:space="0" w:color="auto"/>
                    <w:bottom w:val="none" w:sz="0" w:space="0" w:color="auto"/>
                    <w:right w:val="none" w:sz="0" w:space="0" w:color="auto"/>
                  </w:divBdr>
                  <w:divsChild>
                    <w:div w:id="15503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Aboriginal_tit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C6C71-1808-4751-B6CA-D315297D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230</TotalTime>
  <Pages>22</Pages>
  <Words>7883</Words>
  <Characters>45034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Reflections on the Canadian Experience</vt:lpstr>
    </vt:vector>
  </TitlesOfParts>
  <Company>Productivity Commission</Company>
  <LinksUpToDate>false</LinksUpToDate>
  <CharactersWithSpaces>52812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Reflections on the Canadian Experience</dc:title>
  <dc:subject>Better Indigenous Policies: The Role of Evaluation</dc:subject>
  <dc:creator>Productivity Commission</dc:creator>
  <cp:keywords/>
  <dc:description>11.</dc:description>
  <cp:lastModifiedBy>Productivity Commission</cp:lastModifiedBy>
  <cp:revision>37</cp:revision>
  <cp:lastPrinted>2013-04-16T07:18:00Z</cp:lastPrinted>
  <dcterms:created xsi:type="dcterms:W3CDTF">2013-03-28T06:12:00Z</dcterms:created>
  <dcterms:modified xsi:type="dcterms:W3CDTF">2013-04-24T02:06:00Z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-187959757</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