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9F2E80" w:rsidP="009E53F5">
      <w:pPr>
        <w:pStyle w:val="Chapter"/>
        <w:ind w:left="907" w:hanging="907"/>
      </w:pPr>
      <w:bookmarkStart w:id="0" w:name="_GoBack"/>
      <w:bookmarkEnd w:id="0"/>
      <w:r>
        <w:t>B</w:t>
      </w:r>
      <w:r w:rsidR="009E53F5">
        <w:tab/>
      </w:r>
      <w:bookmarkStart w:id="1" w:name="ChapterTitle"/>
      <w:r w:rsidR="009E53F5">
        <w:t>Roundtable participants</w:t>
      </w:r>
      <w:bookmarkEnd w:id="1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237"/>
      </w:tblGrid>
      <w:tr w:rsidR="005247FE" w:rsidRPr="00192C41" w:rsidTr="00D909C4">
        <w:tc>
          <w:tcPr>
            <w:tcW w:w="1452" w:type="pct"/>
            <w:shd w:val="clear" w:color="auto" w:fill="auto"/>
          </w:tcPr>
          <w:p w:rsidR="005247FE" w:rsidRPr="00192C41" w:rsidRDefault="005247FE" w:rsidP="00F82029">
            <w:pPr>
              <w:pStyle w:val="TableColumnHeading"/>
              <w:jc w:val="left"/>
              <w:rPr>
                <w:i w:val="0"/>
              </w:rPr>
            </w:pPr>
            <w:bookmarkStart w:id="2" w:name="begin"/>
            <w:bookmarkEnd w:id="2"/>
            <w:r w:rsidRPr="00163728">
              <w:rPr>
                <w:i w:val="0"/>
              </w:rPr>
              <w:t>Frances Abele</w:t>
            </w:r>
          </w:p>
        </w:tc>
        <w:tc>
          <w:tcPr>
            <w:tcW w:w="3548" w:type="pct"/>
            <w:shd w:val="clear" w:color="auto" w:fill="auto"/>
          </w:tcPr>
          <w:p w:rsidR="005247FE" w:rsidRPr="00192C41" w:rsidRDefault="005247FE" w:rsidP="00163728">
            <w:pPr>
              <w:pStyle w:val="TableColumnHeading"/>
              <w:jc w:val="left"/>
              <w:rPr>
                <w:i w:val="0"/>
              </w:rPr>
            </w:pPr>
            <w:r w:rsidRPr="00163728">
              <w:rPr>
                <w:i w:val="0"/>
              </w:rPr>
              <w:t>Professor of Public Policy and Admi</w:t>
            </w:r>
            <w:r w:rsidR="00F82029">
              <w:rPr>
                <w:i w:val="0"/>
              </w:rPr>
              <w:t>nistration, Carleton University</w:t>
            </w:r>
            <w:r w:rsidRPr="00163728">
              <w:rPr>
                <w:i w:val="0"/>
              </w:rPr>
              <w:t xml:space="preserve"> </w:t>
            </w:r>
            <w:r w:rsidR="00F82029">
              <w:rPr>
                <w:i w:val="0"/>
              </w:rPr>
              <w:t>(</w:t>
            </w:r>
            <w:r w:rsidRPr="00163728">
              <w:rPr>
                <w:i w:val="0"/>
              </w:rPr>
              <w:t>Ottawa, Canada</w:t>
            </w:r>
            <w:r w:rsidR="00F82029">
              <w:rPr>
                <w:i w:val="0"/>
              </w:rPr>
              <w:t>)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Pr="00163728" w:rsidRDefault="00163728" w:rsidP="00163728">
            <w:pPr>
              <w:pStyle w:val="TableColumnHeading"/>
              <w:jc w:val="left"/>
              <w:rPr>
                <w:i w:val="0"/>
              </w:rPr>
            </w:pPr>
            <w:proofErr w:type="spellStart"/>
            <w:r w:rsidRPr="00163728">
              <w:rPr>
                <w:i w:val="0"/>
              </w:rPr>
              <w:t>Fadwa</w:t>
            </w:r>
            <w:proofErr w:type="spellEnd"/>
            <w:r w:rsidRPr="00163728">
              <w:rPr>
                <w:i w:val="0"/>
              </w:rPr>
              <w:t xml:space="preserve"> Al-</w:t>
            </w:r>
            <w:proofErr w:type="spellStart"/>
            <w:r w:rsidRPr="00163728">
              <w:rPr>
                <w:i w:val="0"/>
              </w:rPr>
              <w:t>Yaman</w:t>
            </w:r>
            <w:proofErr w:type="spellEnd"/>
          </w:p>
        </w:tc>
        <w:tc>
          <w:tcPr>
            <w:tcW w:w="3548" w:type="pct"/>
          </w:tcPr>
          <w:p w:rsidR="005247FE" w:rsidRPr="00192C41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Manager, Social and Indigenous Group, Australian Institute of Health and Welfare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Pr="00163728" w:rsidRDefault="00163728" w:rsidP="00163728">
            <w:pPr>
              <w:pStyle w:val="TableColumnHeading"/>
              <w:jc w:val="left"/>
              <w:rPr>
                <w:i w:val="0"/>
              </w:rPr>
            </w:pPr>
            <w:r w:rsidRPr="00163728">
              <w:rPr>
                <w:i w:val="0"/>
              </w:rPr>
              <w:t>Pat Anderson</w:t>
            </w:r>
          </w:p>
        </w:tc>
        <w:tc>
          <w:tcPr>
            <w:tcW w:w="3548" w:type="pct"/>
          </w:tcPr>
          <w:p w:rsidR="005247FE" w:rsidRPr="00192C41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 xml:space="preserve">Chairperson, </w:t>
            </w:r>
            <w:proofErr w:type="spellStart"/>
            <w:r w:rsidRPr="00163728">
              <w:rPr>
                <w:i w:val="0"/>
              </w:rPr>
              <w:t>Lowitja</w:t>
            </w:r>
            <w:proofErr w:type="spellEnd"/>
            <w:r w:rsidRPr="00163728">
              <w:rPr>
                <w:i w:val="0"/>
              </w:rPr>
              <w:t xml:space="preserve"> Institute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 xml:space="preserve">Athena </w:t>
            </w:r>
            <w:proofErr w:type="spellStart"/>
            <w:r w:rsidRPr="00163728">
              <w:rPr>
                <w:i w:val="0"/>
              </w:rPr>
              <w:t>Andriotis</w:t>
            </w:r>
            <w:proofErr w:type="spellEnd"/>
          </w:p>
        </w:tc>
        <w:tc>
          <w:tcPr>
            <w:tcW w:w="3548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 xml:space="preserve">Assistant Director, </w:t>
            </w:r>
            <w:r w:rsidR="00980831">
              <w:rPr>
                <w:i w:val="0"/>
              </w:rPr>
              <w:t>Strategic</w:t>
            </w:r>
            <w:r w:rsidR="005D174D">
              <w:rPr>
                <w:i w:val="0"/>
              </w:rPr>
              <w:t xml:space="preserve"> P</w:t>
            </w:r>
            <w:r w:rsidR="00980831">
              <w:rPr>
                <w:i w:val="0"/>
              </w:rPr>
              <w:t xml:space="preserve">olicy and Coordination, Office of Aboriginal Affairs Victoria, </w:t>
            </w:r>
            <w:r w:rsidRPr="00163728">
              <w:rPr>
                <w:i w:val="0"/>
              </w:rPr>
              <w:t>Department of Planning and Community Development (Victoria)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Leah Armstrong</w:t>
            </w:r>
          </w:p>
        </w:tc>
        <w:tc>
          <w:tcPr>
            <w:tcW w:w="3548" w:type="pct"/>
          </w:tcPr>
          <w:p w:rsidR="005247FE" w:rsidRPr="00163728" w:rsidRDefault="00163728" w:rsidP="00163728">
            <w:pPr>
              <w:pStyle w:val="TableColumnHeading"/>
              <w:jc w:val="left"/>
              <w:rPr>
                <w:i w:val="0"/>
              </w:rPr>
            </w:pPr>
            <w:r w:rsidRPr="00163728">
              <w:rPr>
                <w:i w:val="0"/>
              </w:rPr>
              <w:t>CEO, Reconciliation Australia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Gary Banks</w:t>
            </w:r>
          </w:p>
        </w:tc>
        <w:tc>
          <w:tcPr>
            <w:tcW w:w="3548" w:type="pct"/>
          </w:tcPr>
          <w:p w:rsidR="005247FE" w:rsidRPr="00163728" w:rsidRDefault="00163728" w:rsidP="00163728">
            <w:pPr>
              <w:pStyle w:val="TableColumnHeading"/>
              <w:jc w:val="left"/>
              <w:rPr>
                <w:i w:val="0"/>
              </w:rPr>
            </w:pPr>
            <w:r w:rsidRPr="00163728">
              <w:rPr>
                <w:i w:val="0"/>
              </w:rPr>
              <w:t>Chairman,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Stephen Brady</w:t>
            </w:r>
          </w:p>
        </w:tc>
        <w:tc>
          <w:tcPr>
            <w:tcW w:w="3548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Deputy Director General, Strategic Initiatives and Performance Group, Department of Premier and Cabinet (NSW)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Robert Brooks</w:t>
            </w:r>
          </w:p>
        </w:tc>
        <w:tc>
          <w:tcPr>
            <w:tcW w:w="3548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Research Director, Aboriginal and Torres Strait Islander Healing Foundation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Jody Broun</w:t>
            </w:r>
          </w:p>
        </w:tc>
        <w:tc>
          <w:tcPr>
            <w:tcW w:w="3548" w:type="pct"/>
          </w:tcPr>
          <w:p w:rsidR="005247FE" w:rsidRDefault="00F82029" w:rsidP="00991FC0">
            <w:pPr>
              <w:pStyle w:val="TableColumnHeading"/>
              <w:jc w:val="left"/>
            </w:pPr>
            <w:r w:rsidRPr="00991FC0">
              <w:rPr>
                <w:i w:val="0"/>
              </w:rPr>
              <w:t>Co-C</w:t>
            </w:r>
            <w:r w:rsidR="00163728" w:rsidRPr="00991FC0">
              <w:rPr>
                <w:i w:val="0"/>
              </w:rPr>
              <w:t>hair, National Congress of Australia’s First Peoples</w:t>
            </w:r>
            <w:r w:rsidR="003D4D4F">
              <w:rPr>
                <w:i w:val="0"/>
                <w:color w:val="FF0000"/>
              </w:rPr>
              <w:t xml:space="preserve"> 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Amanda Cattermole</w:t>
            </w:r>
          </w:p>
        </w:tc>
        <w:tc>
          <w:tcPr>
            <w:tcW w:w="3548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General Manager, Social Policy Division, The Treasury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Fred Chaney</w:t>
            </w:r>
          </w:p>
        </w:tc>
        <w:tc>
          <w:tcPr>
            <w:tcW w:w="3548" w:type="pct"/>
          </w:tcPr>
          <w:p w:rsidR="005247FE" w:rsidRDefault="003B576D" w:rsidP="003B576D">
            <w:pPr>
              <w:pStyle w:val="TableColumnHeading"/>
              <w:jc w:val="left"/>
            </w:pPr>
            <w:r>
              <w:rPr>
                <w:i w:val="0"/>
              </w:rPr>
              <w:t xml:space="preserve">Chair, Desert Knowledge Australia and </w:t>
            </w:r>
            <w:r w:rsidR="00163728" w:rsidRPr="00163728">
              <w:rPr>
                <w:i w:val="0"/>
              </w:rPr>
              <w:t>Board Member, Reconciliation Australia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Deborah Cobb-Clark</w:t>
            </w:r>
          </w:p>
        </w:tc>
        <w:tc>
          <w:tcPr>
            <w:tcW w:w="3548" w:type="pct"/>
          </w:tcPr>
          <w:p w:rsidR="005247FE" w:rsidRDefault="00163728" w:rsidP="00AE1942">
            <w:pPr>
              <w:pStyle w:val="TableColumnHeading"/>
              <w:jc w:val="left"/>
            </w:pPr>
            <w:r w:rsidRPr="00163728">
              <w:rPr>
                <w:i w:val="0"/>
              </w:rPr>
              <w:t>Director</w:t>
            </w:r>
            <w:r w:rsidR="003B576D">
              <w:rPr>
                <w:i w:val="0"/>
              </w:rPr>
              <w:t xml:space="preserve"> and </w:t>
            </w:r>
            <w:r w:rsidR="00AE1942">
              <w:rPr>
                <w:i w:val="0"/>
              </w:rPr>
              <w:t xml:space="preserve">Ronald Henderson </w:t>
            </w:r>
            <w:r w:rsidR="003B576D">
              <w:rPr>
                <w:i w:val="0"/>
              </w:rPr>
              <w:t>Professor</w:t>
            </w:r>
            <w:r w:rsidR="00AE1942">
              <w:rPr>
                <w:i w:val="0"/>
              </w:rPr>
              <w:t xml:space="preserve">, </w:t>
            </w:r>
            <w:r w:rsidRPr="00163728">
              <w:rPr>
                <w:i w:val="0"/>
              </w:rPr>
              <w:t xml:space="preserve">Melbourne Institute of Applied Economic </w:t>
            </w:r>
            <w:r w:rsidR="00DF623B">
              <w:rPr>
                <w:i w:val="0"/>
              </w:rPr>
              <w:t>and Social Research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Belinda Collins</w:t>
            </w:r>
          </w:p>
        </w:tc>
        <w:tc>
          <w:tcPr>
            <w:tcW w:w="3548" w:type="pct"/>
          </w:tcPr>
          <w:p w:rsidR="005247FE" w:rsidRDefault="00F82029" w:rsidP="00F82029">
            <w:pPr>
              <w:pStyle w:val="TableColumnHeading"/>
              <w:jc w:val="left"/>
            </w:pPr>
            <w:r w:rsidRPr="00991FC0">
              <w:rPr>
                <w:i w:val="0"/>
              </w:rPr>
              <w:t xml:space="preserve">A/g Branch Manager, Families, Social Support and Indigenous Policy, </w:t>
            </w:r>
            <w:r w:rsidR="00163728" w:rsidRPr="00991FC0">
              <w:rPr>
                <w:i w:val="0"/>
              </w:rPr>
              <w:t>Department of the Prime Minister and Cabinet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Michael Dillon</w:t>
            </w:r>
          </w:p>
        </w:tc>
        <w:tc>
          <w:tcPr>
            <w:tcW w:w="3548" w:type="pct"/>
          </w:tcPr>
          <w:p w:rsidR="005247FE" w:rsidRDefault="00163728" w:rsidP="00163728">
            <w:pPr>
              <w:pStyle w:val="TableColumnHeading"/>
              <w:jc w:val="left"/>
            </w:pPr>
            <w:r w:rsidRPr="00163728">
              <w:rPr>
                <w:i w:val="0"/>
              </w:rPr>
              <w:t>Deputy Secretary, Department of Families, Housing, Community Services and Indigenous Affairs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Meredith Edwards</w:t>
            </w:r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D63A4B">
              <w:rPr>
                <w:i w:val="0"/>
              </w:rPr>
              <w:t xml:space="preserve">Emeritus Professor, </w:t>
            </w:r>
            <w:proofErr w:type="spellStart"/>
            <w:r w:rsidRPr="00D63A4B">
              <w:rPr>
                <w:i w:val="0"/>
              </w:rPr>
              <w:t>ANZSOG</w:t>
            </w:r>
            <w:proofErr w:type="spellEnd"/>
            <w:r w:rsidRPr="00D63A4B">
              <w:rPr>
                <w:i w:val="0"/>
              </w:rPr>
              <w:t xml:space="preserve"> Institute of Governance, University of Canberra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 xml:space="preserve">Henry </w:t>
            </w:r>
            <w:proofErr w:type="spellStart"/>
            <w:r w:rsidRPr="00D63A4B">
              <w:rPr>
                <w:i w:val="0"/>
              </w:rPr>
              <w:t>Ergas</w:t>
            </w:r>
            <w:proofErr w:type="spellEnd"/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D63A4B">
              <w:rPr>
                <w:i w:val="0"/>
              </w:rPr>
              <w:t xml:space="preserve">Senior Economic </w:t>
            </w:r>
            <w:proofErr w:type="spellStart"/>
            <w:r w:rsidRPr="00D63A4B">
              <w:rPr>
                <w:i w:val="0"/>
              </w:rPr>
              <w:t>Advisor</w:t>
            </w:r>
            <w:proofErr w:type="spellEnd"/>
            <w:r w:rsidRPr="00D63A4B">
              <w:rPr>
                <w:i w:val="0"/>
              </w:rPr>
              <w:t>, Deloitte Australia and Professor of Infrastructure Economics, SMART Infrastructure Facility, University of Wollongong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Robert Fitzgerald</w:t>
            </w:r>
          </w:p>
        </w:tc>
        <w:tc>
          <w:tcPr>
            <w:tcW w:w="3548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Commissioner,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Michael Fletcher</w:t>
            </w:r>
          </w:p>
        </w:tc>
        <w:tc>
          <w:tcPr>
            <w:tcW w:w="3548" w:type="pct"/>
          </w:tcPr>
          <w:p w:rsidR="005247FE" w:rsidRDefault="003D4D4F" w:rsidP="00D63A4B">
            <w:pPr>
              <w:pStyle w:val="TableColumnHeading"/>
              <w:jc w:val="left"/>
            </w:pPr>
            <w:r w:rsidRPr="00991FC0">
              <w:rPr>
                <w:i w:val="0"/>
              </w:rPr>
              <w:t xml:space="preserve">Indigenous Policy and Social Inclusion Unit, </w:t>
            </w:r>
            <w:r w:rsidR="00154561" w:rsidRPr="00991FC0">
              <w:rPr>
                <w:i w:val="0"/>
              </w:rPr>
              <w:t>The Treasury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Brian Gleeson</w:t>
            </w:r>
          </w:p>
        </w:tc>
        <w:tc>
          <w:tcPr>
            <w:tcW w:w="3548" w:type="pct"/>
          </w:tcPr>
          <w:p w:rsidR="005247FE" w:rsidRDefault="00154561" w:rsidP="00F82029">
            <w:pPr>
              <w:pStyle w:val="TableUnitsRow"/>
              <w:ind w:right="28"/>
              <w:jc w:val="left"/>
            </w:pPr>
            <w:r w:rsidRPr="00D63A4B">
              <w:t>Coordinator General for Remote Indigenous</w:t>
            </w:r>
            <w:r w:rsidRPr="00BD78FA">
              <w:rPr>
                <w:rFonts w:cs="Arial"/>
                <w:sz w:val="22"/>
                <w:szCs w:val="22"/>
              </w:rPr>
              <w:t xml:space="preserve"> </w:t>
            </w:r>
            <w:r w:rsidRPr="00D63A4B">
              <w:t>Services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Jenny Gordon</w:t>
            </w:r>
          </w:p>
        </w:tc>
        <w:tc>
          <w:tcPr>
            <w:tcW w:w="3548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Principal Adviser Research (Canberra),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Lisa Gropp</w:t>
            </w:r>
          </w:p>
        </w:tc>
        <w:tc>
          <w:tcPr>
            <w:tcW w:w="3548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First Assistant Commissioner (Melbourne),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lastRenderedPageBreak/>
              <w:t>Sara Hudson</w:t>
            </w:r>
          </w:p>
        </w:tc>
        <w:tc>
          <w:tcPr>
            <w:tcW w:w="3548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Indigenous Affairs Research Program, Centre for Independent Studies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Matthew James</w:t>
            </w:r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D63A4B">
              <w:rPr>
                <w:i w:val="0"/>
              </w:rPr>
              <w:t xml:space="preserve">Branch Manager, Performance and Evaluation Branch, Department of Families, Housing, Community Services and Indigenous Affairs 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Alan Johnston</w:t>
            </w:r>
          </w:p>
        </w:tc>
        <w:tc>
          <w:tcPr>
            <w:tcW w:w="3548" w:type="pct"/>
          </w:tcPr>
          <w:p w:rsidR="005247FE" w:rsidRDefault="00154561" w:rsidP="00D63A4B">
            <w:pPr>
              <w:pStyle w:val="TableColumnHeading"/>
              <w:jc w:val="left"/>
            </w:pPr>
            <w:r w:rsidRPr="00D63A4B">
              <w:rPr>
                <w:i w:val="0"/>
              </w:rPr>
              <w:t>First Assistant Commissioner (Canberra),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 xml:space="preserve">David </w:t>
            </w:r>
            <w:proofErr w:type="spellStart"/>
            <w:r w:rsidRPr="007611E8">
              <w:rPr>
                <w:i w:val="0"/>
              </w:rPr>
              <w:t>Kalisch</w:t>
            </w:r>
            <w:proofErr w:type="spellEnd"/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7611E8">
              <w:rPr>
                <w:i w:val="0"/>
              </w:rPr>
              <w:t>Director, Australian Institute of Health and Welfare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David Learmonth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Deputy Secretary, Department of Health and Ageing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Tania Major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 xml:space="preserve">Spokesperson, </w:t>
            </w:r>
            <w:proofErr w:type="spellStart"/>
            <w:r w:rsidRPr="007611E8">
              <w:rPr>
                <w:i w:val="0"/>
              </w:rPr>
              <w:t>GenerationOne</w:t>
            </w:r>
            <w:proofErr w:type="spellEnd"/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 xml:space="preserve">Les </w:t>
            </w:r>
            <w:proofErr w:type="spellStart"/>
            <w:r w:rsidRPr="007611E8">
              <w:rPr>
                <w:i w:val="0"/>
              </w:rPr>
              <w:t>Malezer</w:t>
            </w:r>
            <w:proofErr w:type="spellEnd"/>
          </w:p>
        </w:tc>
        <w:tc>
          <w:tcPr>
            <w:tcW w:w="3548" w:type="pct"/>
          </w:tcPr>
          <w:p w:rsidR="005247FE" w:rsidRDefault="003D4D4F" w:rsidP="00EB3AE9">
            <w:pPr>
              <w:pStyle w:val="TableColumnHeading"/>
              <w:jc w:val="left"/>
            </w:pPr>
            <w:r w:rsidRPr="00991FC0">
              <w:rPr>
                <w:i w:val="0"/>
              </w:rPr>
              <w:t>Co-C</w:t>
            </w:r>
            <w:r w:rsidR="00154561" w:rsidRPr="00991FC0">
              <w:rPr>
                <w:i w:val="0"/>
              </w:rPr>
              <w:t xml:space="preserve">hair, National Congress of Australia’s First Peoples 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Alison McClelland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Commissioner, Productivity Commission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Lawrence McDonald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Assistant Commissioner, Productivity Commission</w:t>
            </w:r>
          </w:p>
        </w:tc>
      </w:tr>
      <w:tr w:rsidR="005247FE" w:rsidRPr="007611E8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 xml:space="preserve">Helen </w:t>
            </w:r>
            <w:proofErr w:type="spellStart"/>
            <w:r w:rsidRPr="007611E8">
              <w:rPr>
                <w:i w:val="0"/>
              </w:rPr>
              <w:t>Moewaka</w:t>
            </w:r>
            <w:proofErr w:type="spellEnd"/>
            <w:r w:rsidRPr="007611E8">
              <w:rPr>
                <w:i w:val="0"/>
              </w:rPr>
              <w:t xml:space="preserve"> Barnes</w:t>
            </w:r>
          </w:p>
        </w:tc>
        <w:tc>
          <w:tcPr>
            <w:tcW w:w="3548" w:type="pct"/>
          </w:tcPr>
          <w:p w:rsidR="005247FE" w:rsidRPr="007611E8" w:rsidRDefault="00154561" w:rsidP="00EB3AE9">
            <w:pPr>
              <w:pStyle w:val="TableColumnHeading"/>
              <w:jc w:val="left"/>
              <w:rPr>
                <w:i w:val="0"/>
              </w:rPr>
            </w:pPr>
            <w:r w:rsidRPr="007611E8">
              <w:rPr>
                <w:i w:val="0"/>
              </w:rPr>
              <w:t xml:space="preserve">Associate Professor and Director, </w:t>
            </w:r>
            <w:proofErr w:type="spellStart"/>
            <w:r w:rsidRPr="007611E8">
              <w:rPr>
                <w:i w:val="0"/>
              </w:rPr>
              <w:t>Whariki</w:t>
            </w:r>
            <w:proofErr w:type="spellEnd"/>
            <w:r w:rsidRPr="007611E8">
              <w:rPr>
                <w:i w:val="0"/>
              </w:rPr>
              <w:t xml:space="preserve"> Research Group, School of Public Health, Massey University (Auckland, New Zealand)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Justin Mohamed</w:t>
            </w:r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7611E8">
              <w:rPr>
                <w:i w:val="0"/>
              </w:rPr>
              <w:t>Chairperson, National Aboriginal Community Controlled Health Organisation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Mark Moran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Adjunct Associate Professor, Indigenous and International Development Effectiveness, University of Queensland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Brian Pink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Australian Statistician, Australian Bureau of Statistics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Andrew Pope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Group Executive Director, Australian National Audit Office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Alex Reid</w:t>
            </w:r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7611E8">
              <w:rPr>
                <w:i w:val="0"/>
              </w:rPr>
              <w:t>Executive Director, Arts and Cultural Affairs, Department of the Premier and Cabinet (South Australia)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 xml:space="preserve">Paul </w:t>
            </w:r>
            <w:proofErr w:type="spellStart"/>
            <w:r w:rsidRPr="007611E8">
              <w:rPr>
                <w:i w:val="0"/>
              </w:rPr>
              <w:t>Ronalds</w:t>
            </w:r>
            <w:proofErr w:type="spellEnd"/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First Assistant Secretary, Office of Work and Family, Department of the Prime Minister and Cabinet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John Taylor</w:t>
            </w:r>
          </w:p>
        </w:tc>
        <w:tc>
          <w:tcPr>
            <w:tcW w:w="3548" w:type="pct"/>
          </w:tcPr>
          <w:p w:rsidR="005247FE" w:rsidRDefault="00154561" w:rsidP="00F82029">
            <w:pPr>
              <w:pStyle w:val="TableUnitsRow"/>
              <w:ind w:right="28"/>
              <w:jc w:val="left"/>
            </w:pPr>
            <w:r w:rsidRPr="007611E8">
              <w:t>Professor and Director, Centre for Aboriginal Economic Policy Research, Australian National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7611E8">
              <w:t>University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Jo Wood</w:t>
            </w:r>
          </w:p>
        </w:tc>
        <w:tc>
          <w:tcPr>
            <w:tcW w:w="3548" w:type="pct"/>
          </w:tcPr>
          <w:p w:rsidR="005247FE" w:rsidRDefault="00154561" w:rsidP="00EB3AE9">
            <w:pPr>
              <w:pStyle w:val="TableColumnHeading"/>
              <w:jc w:val="left"/>
            </w:pPr>
            <w:r w:rsidRPr="007611E8">
              <w:rPr>
                <w:i w:val="0"/>
              </w:rPr>
              <w:t>General Manager, Indigenous Economic Strategy, Department of Education, Employment and Workplace Relations</w:t>
            </w:r>
          </w:p>
        </w:tc>
      </w:tr>
      <w:tr w:rsidR="005247FE" w:rsidRPr="00192C41" w:rsidTr="00D909C4">
        <w:tc>
          <w:tcPr>
            <w:tcW w:w="1452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Mike Woods</w:t>
            </w:r>
          </w:p>
        </w:tc>
        <w:tc>
          <w:tcPr>
            <w:tcW w:w="3548" w:type="pct"/>
          </w:tcPr>
          <w:p w:rsidR="005247FE" w:rsidRDefault="00154561" w:rsidP="007611E8">
            <w:pPr>
              <w:pStyle w:val="TableColumnHeading"/>
              <w:jc w:val="left"/>
            </w:pPr>
            <w:r w:rsidRPr="007611E8">
              <w:rPr>
                <w:i w:val="0"/>
              </w:rPr>
              <w:t>Deputy Chairman, Productivity Commission</w:t>
            </w:r>
          </w:p>
        </w:tc>
      </w:tr>
    </w:tbl>
    <w:p w:rsidR="00691510" w:rsidRDefault="00691510" w:rsidP="007611E8">
      <w:pPr>
        <w:pStyle w:val="TableColumnHeading"/>
        <w:jc w:val="left"/>
      </w:pPr>
    </w:p>
    <w:p w:rsidR="00691510" w:rsidRDefault="00691510" w:rsidP="00691510">
      <w:pPr>
        <w:pStyle w:val="Heading2"/>
      </w:pPr>
      <w:r>
        <w:br w:type="page"/>
      </w:r>
      <w:r>
        <w:lastRenderedPageBreak/>
        <w:t>Observers</w:t>
      </w:r>
    </w:p>
    <w:p w:rsidR="00691510" w:rsidRPr="00691510" w:rsidRDefault="00691510" w:rsidP="00691510">
      <w:pPr>
        <w:pStyle w:val="BodyText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6094"/>
      </w:tblGrid>
      <w:tr w:rsidR="00691510" w:rsidRPr="00A403C3" w:rsidTr="00D909C4">
        <w:tc>
          <w:tcPr>
            <w:tcW w:w="1533" w:type="pct"/>
            <w:shd w:val="clear" w:color="auto" w:fill="auto"/>
          </w:tcPr>
          <w:p w:rsidR="00691510" w:rsidRPr="00691510" w:rsidRDefault="00691510" w:rsidP="00F82029">
            <w:pPr>
              <w:pStyle w:val="TableColumnHeading"/>
              <w:jc w:val="left"/>
              <w:rPr>
                <w:i w:val="0"/>
              </w:rPr>
            </w:pPr>
            <w:r w:rsidRPr="00691510">
              <w:rPr>
                <w:i w:val="0"/>
              </w:rPr>
              <w:t>Angela MacRae</w:t>
            </w:r>
          </w:p>
        </w:tc>
        <w:tc>
          <w:tcPr>
            <w:tcW w:w="3467" w:type="pct"/>
            <w:shd w:val="clear" w:color="auto" w:fill="auto"/>
          </w:tcPr>
          <w:p w:rsidR="00691510" w:rsidRPr="00691510" w:rsidRDefault="00691510" w:rsidP="00691510">
            <w:pPr>
              <w:pStyle w:val="TableColumnHeading"/>
              <w:jc w:val="left"/>
              <w:rPr>
                <w:i w:val="0"/>
              </w:rPr>
            </w:pPr>
            <w:r w:rsidRPr="00691510">
              <w:rPr>
                <w:i w:val="0"/>
              </w:rPr>
              <w:t>Commissioner, Productivity Commission</w:t>
            </w:r>
          </w:p>
        </w:tc>
      </w:tr>
      <w:tr w:rsidR="00691510" w:rsidRPr="00A403C3" w:rsidTr="00D909C4">
        <w:tc>
          <w:tcPr>
            <w:tcW w:w="1533" w:type="pct"/>
          </w:tcPr>
          <w:p w:rsidR="00691510" w:rsidRPr="00A403C3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Jonathan Coppel</w:t>
            </w:r>
          </w:p>
        </w:tc>
        <w:tc>
          <w:tcPr>
            <w:tcW w:w="3467" w:type="pct"/>
          </w:tcPr>
          <w:p w:rsidR="00691510" w:rsidRPr="00A403C3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Commissioner, Productivity Commission</w:t>
            </w:r>
          </w:p>
        </w:tc>
      </w:tr>
      <w:tr w:rsidR="00691510" w:rsidRPr="00A403C3" w:rsidTr="00D909C4">
        <w:tc>
          <w:tcPr>
            <w:tcW w:w="1533" w:type="pct"/>
          </w:tcPr>
          <w:p w:rsidR="00691510" w:rsidRPr="00A403C3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Warren Mundy</w:t>
            </w:r>
          </w:p>
        </w:tc>
        <w:tc>
          <w:tcPr>
            <w:tcW w:w="3467" w:type="pct"/>
          </w:tcPr>
          <w:p w:rsidR="00691510" w:rsidRPr="00A403C3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Commissioner, 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Daryl Quinlivan</w:t>
            </w:r>
          </w:p>
        </w:tc>
        <w:tc>
          <w:tcPr>
            <w:tcW w:w="3467" w:type="pct"/>
          </w:tcPr>
          <w:p w:rsidR="00691510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Head of Office, 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691510">
            <w:pPr>
              <w:pStyle w:val="TableColumnHeading"/>
              <w:jc w:val="left"/>
            </w:pPr>
            <w:r w:rsidRPr="00691510">
              <w:rPr>
                <w:i w:val="0"/>
              </w:rPr>
              <w:t>Les Andrews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Assistant Commissioner, 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Noel Gaston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Principal Adviser Research (Melbourne), 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Peter Daniel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Clinton Pobke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Margaret Mead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Romy Nath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Productivity Commission</w:t>
            </w:r>
          </w:p>
        </w:tc>
      </w:tr>
      <w:tr w:rsidR="00691510" w:rsidTr="00D909C4">
        <w:tc>
          <w:tcPr>
            <w:tcW w:w="1533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Kelley Watson</w:t>
            </w:r>
          </w:p>
        </w:tc>
        <w:tc>
          <w:tcPr>
            <w:tcW w:w="3467" w:type="pct"/>
          </w:tcPr>
          <w:p w:rsidR="00691510" w:rsidRDefault="00691510" w:rsidP="0013339B">
            <w:pPr>
              <w:pStyle w:val="TableColumnHeading"/>
              <w:jc w:val="left"/>
            </w:pPr>
            <w:r w:rsidRPr="0013339B">
              <w:rPr>
                <w:i w:val="0"/>
              </w:rPr>
              <w:t>Productivity Commission</w:t>
            </w:r>
          </w:p>
        </w:tc>
      </w:tr>
    </w:tbl>
    <w:p w:rsidR="00691510" w:rsidRPr="00691510" w:rsidRDefault="00691510" w:rsidP="00691510">
      <w:pPr>
        <w:pStyle w:val="BodyText"/>
      </w:pPr>
    </w:p>
    <w:sectPr w:rsidR="00691510" w:rsidRPr="00691510" w:rsidSect="007F6BC5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27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942" w:rsidRDefault="00AE1942">
      <w:r>
        <w:separator/>
      </w:r>
    </w:p>
  </w:endnote>
  <w:endnote w:type="continuationSeparator" w:id="0">
    <w:p w:rsidR="00AE1942" w:rsidRDefault="00AE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AE1942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AE1942" w:rsidRDefault="00AE1942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D0E76">
            <w:rPr>
              <w:rStyle w:val="PageNumber"/>
              <w:noProof/>
            </w:rPr>
            <w:t>272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AE1942" w:rsidRDefault="003D0E76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C833FE">
            <w:t>Better Indigenous Policies: The Role of Evaluation</w:t>
          </w:r>
          <w:r>
            <w:fldChar w:fldCharType="end"/>
          </w:r>
        </w:p>
      </w:tc>
      <w:tc>
        <w:tcPr>
          <w:tcW w:w="6634" w:type="dxa"/>
        </w:tcPr>
        <w:p w:rsidR="00AE1942" w:rsidRDefault="00AE1942" w:rsidP="0019293B">
          <w:pPr>
            <w:pStyle w:val="Footer"/>
          </w:pPr>
        </w:p>
      </w:tc>
    </w:tr>
  </w:tbl>
  <w:p w:rsidR="00AE1942" w:rsidRDefault="00AE1942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AE1942">
      <w:trPr>
        <w:trHeight w:hRule="exact" w:val="740"/>
      </w:trPr>
      <w:tc>
        <w:tcPr>
          <w:tcW w:w="6634" w:type="dxa"/>
        </w:tcPr>
        <w:p w:rsidR="00AE1942" w:rsidRDefault="00AE1942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AE1942" w:rsidRDefault="003D0E76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C833FE">
            <w:t>Roundtable Participants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AE1942" w:rsidRDefault="00AE1942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3D0E76">
            <w:rPr>
              <w:rStyle w:val="PageNumber"/>
              <w:noProof/>
            </w:rPr>
            <w:t>271</w:t>
          </w:r>
          <w:r>
            <w:rPr>
              <w:rStyle w:val="PageNumber"/>
            </w:rPr>
            <w:fldChar w:fldCharType="end"/>
          </w:r>
        </w:p>
      </w:tc>
    </w:tr>
  </w:tbl>
  <w:p w:rsidR="00AE1942" w:rsidRDefault="00AE1942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942" w:rsidRDefault="00AE1942">
      <w:r>
        <w:separator/>
      </w:r>
    </w:p>
  </w:footnote>
  <w:footnote w:type="continuationSeparator" w:id="0">
    <w:p w:rsidR="00AE1942" w:rsidRDefault="00AE1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AE1942">
      <w:tc>
        <w:tcPr>
          <w:tcW w:w="2155" w:type="dxa"/>
          <w:tcBorders>
            <w:top w:val="single" w:sz="24" w:space="0" w:color="auto"/>
          </w:tcBorders>
        </w:tcPr>
        <w:p w:rsidR="00AE1942" w:rsidRDefault="00AE1942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AE1942" w:rsidRDefault="00AE1942" w:rsidP="0019293B">
          <w:pPr>
            <w:pStyle w:val="HeaderEven"/>
          </w:pPr>
        </w:p>
      </w:tc>
    </w:tr>
  </w:tbl>
  <w:p w:rsidR="00AE1942" w:rsidRDefault="00AE1942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AE1942">
      <w:tc>
        <w:tcPr>
          <w:tcW w:w="6634" w:type="dxa"/>
          <w:tcBorders>
            <w:top w:val="single" w:sz="6" w:space="0" w:color="auto"/>
          </w:tcBorders>
        </w:tcPr>
        <w:p w:rsidR="00AE1942" w:rsidRDefault="00AE1942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AE1942" w:rsidRDefault="00AE1942" w:rsidP="00E669E2">
          <w:pPr>
            <w:pStyle w:val="HeaderOdd"/>
          </w:pPr>
        </w:p>
      </w:tc>
    </w:tr>
  </w:tbl>
  <w:p w:rsidR="00AE1942" w:rsidRDefault="00AE1942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Roundtable Participants"/>
    <w:docVar w:name="ShortReportTitle" w:val="Better Indigenous Policies: The Role of Evaluation"/>
  </w:docVars>
  <w:rsids>
    <w:rsidRoot w:val="005247FE"/>
    <w:rsid w:val="000227D5"/>
    <w:rsid w:val="000245AA"/>
    <w:rsid w:val="0003664B"/>
    <w:rsid w:val="0004111F"/>
    <w:rsid w:val="000565B3"/>
    <w:rsid w:val="0007150B"/>
    <w:rsid w:val="000920B6"/>
    <w:rsid w:val="000938F5"/>
    <w:rsid w:val="00096E55"/>
    <w:rsid w:val="000B601B"/>
    <w:rsid w:val="000C207E"/>
    <w:rsid w:val="000F0035"/>
    <w:rsid w:val="000F420B"/>
    <w:rsid w:val="00110116"/>
    <w:rsid w:val="00120072"/>
    <w:rsid w:val="00126EB8"/>
    <w:rsid w:val="001274D4"/>
    <w:rsid w:val="0013339B"/>
    <w:rsid w:val="001363AA"/>
    <w:rsid w:val="00154561"/>
    <w:rsid w:val="00163728"/>
    <w:rsid w:val="00183E82"/>
    <w:rsid w:val="001878BB"/>
    <w:rsid w:val="00191AE0"/>
    <w:rsid w:val="0019293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47C7F"/>
    <w:rsid w:val="00255C86"/>
    <w:rsid w:val="00291B40"/>
    <w:rsid w:val="002B4008"/>
    <w:rsid w:val="002D0E8E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B576D"/>
    <w:rsid w:val="003C38B5"/>
    <w:rsid w:val="003C5D99"/>
    <w:rsid w:val="003D0E76"/>
    <w:rsid w:val="003D4D4F"/>
    <w:rsid w:val="003E2F59"/>
    <w:rsid w:val="003F0789"/>
    <w:rsid w:val="00401882"/>
    <w:rsid w:val="004100C8"/>
    <w:rsid w:val="00411DBD"/>
    <w:rsid w:val="00412ACE"/>
    <w:rsid w:val="00431249"/>
    <w:rsid w:val="00434C19"/>
    <w:rsid w:val="00450810"/>
    <w:rsid w:val="00477144"/>
    <w:rsid w:val="00491380"/>
    <w:rsid w:val="0049459F"/>
    <w:rsid w:val="004A38DD"/>
    <w:rsid w:val="004B43AE"/>
    <w:rsid w:val="004C30ED"/>
    <w:rsid w:val="004D5675"/>
    <w:rsid w:val="004E6E5A"/>
    <w:rsid w:val="00514092"/>
    <w:rsid w:val="00523639"/>
    <w:rsid w:val="005247FE"/>
    <w:rsid w:val="00531FE5"/>
    <w:rsid w:val="005402FA"/>
    <w:rsid w:val="00583C39"/>
    <w:rsid w:val="00587F28"/>
    <w:rsid w:val="005909CF"/>
    <w:rsid w:val="00591E71"/>
    <w:rsid w:val="005A0D41"/>
    <w:rsid w:val="005D174D"/>
    <w:rsid w:val="005E2B26"/>
    <w:rsid w:val="00607BF1"/>
    <w:rsid w:val="00630D4D"/>
    <w:rsid w:val="00632A74"/>
    <w:rsid w:val="00691510"/>
    <w:rsid w:val="006A4655"/>
    <w:rsid w:val="006B2B3C"/>
    <w:rsid w:val="006C1D81"/>
    <w:rsid w:val="006C7038"/>
    <w:rsid w:val="006E73EF"/>
    <w:rsid w:val="00714D4D"/>
    <w:rsid w:val="007604BB"/>
    <w:rsid w:val="007611E8"/>
    <w:rsid w:val="00785232"/>
    <w:rsid w:val="007A19BD"/>
    <w:rsid w:val="007A21EB"/>
    <w:rsid w:val="007B1A93"/>
    <w:rsid w:val="007C36C9"/>
    <w:rsid w:val="007D6401"/>
    <w:rsid w:val="007E01E4"/>
    <w:rsid w:val="007F6BC5"/>
    <w:rsid w:val="007F7107"/>
    <w:rsid w:val="00800D4C"/>
    <w:rsid w:val="00804C60"/>
    <w:rsid w:val="0081030F"/>
    <w:rsid w:val="0082087D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80831"/>
    <w:rsid w:val="00990C2C"/>
    <w:rsid w:val="00991FC0"/>
    <w:rsid w:val="009E1844"/>
    <w:rsid w:val="009E53F5"/>
    <w:rsid w:val="009F0D1B"/>
    <w:rsid w:val="009F2E80"/>
    <w:rsid w:val="009F696D"/>
    <w:rsid w:val="009F6BC6"/>
    <w:rsid w:val="009F7081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92B53"/>
    <w:rsid w:val="00A94FA6"/>
    <w:rsid w:val="00AA49A0"/>
    <w:rsid w:val="00AA6710"/>
    <w:rsid w:val="00AB0681"/>
    <w:rsid w:val="00AD520B"/>
    <w:rsid w:val="00AE1942"/>
    <w:rsid w:val="00B425C3"/>
    <w:rsid w:val="00B440AD"/>
    <w:rsid w:val="00B479BB"/>
    <w:rsid w:val="00B53E7E"/>
    <w:rsid w:val="00B6342E"/>
    <w:rsid w:val="00B7113F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60ABF"/>
    <w:rsid w:val="00C6291C"/>
    <w:rsid w:val="00C633CB"/>
    <w:rsid w:val="00C736B7"/>
    <w:rsid w:val="00C81D4A"/>
    <w:rsid w:val="00C833FE"/>
    <w:rsid w:val="00C8762C"/>
    <w:rsid w:val="00CA00F9"/>
    <w:rsid w:val="00CA2961"/>
    <w:rsid w:val="00CB50D7"/>
    <w:rsid w:val="00CB7177"/>
    <w:rsid w:val="00CC1998"/>
    <w:rsid w:val="00CC4946"/>
    <w:rsid w:val="00D270A4"/>
    <w:rsid w:val="00D31FE9"/>
    <w:rsid w:val="00D34E1B"/>
    <w:rsid w:val="00D376BA"/>
    <w:rsid w:val="00D45634"/>
    <w:rsid w:val="00D5568A"/>
    <w:rsid w:val="00D63A4B"/>
    <w:rsid w:val="00D63D73"/>
    <w:rsid w:val="00D64452"/>
    <w:rsid w:val="00D66E1E"/>
    <w:rsid w:val="00D75722"/>
    <w:rsid w:val="00D80CF5"/>
    <w:rsid w:val="00D909C4"/>
    <w:rsid w:val="00DA5BBA"/>
    <w:rsid w:val="00DB26D2"/>
    <w:rsid w:val="00DB67C9"/>
    <w:rsid w:val="00DC0C95"/>
    <w:rsid w:val="00DD6580"/>
    <w:rsid w:val="00DF623B"/>
    <w:rsid w:val="00E17C72"/>
    <w:rsid w:val="00E21FC6"/>
    <w:rsid w:val="00E431A9"/>
    <w:rsid w:val="00E50C3B"/>
    <w:rsid w:val="00E669E2"/>
    <w:rsid w:val="00E76135"/>
    <w:rsid w:val="00E82F4F"/>
    <w:rsid w:val="00EB3AE9"/>
    <w:rsid w:val="00EC2844"/>
    <w:rsid w:val="00EC5500"/>
    <w:rsid w:val="00ED18F8"/>
    <w:rsid w:val="00EF6C6C"/>
    <w:rsid w:val="00F00E07"/>
    <w:rsid w:val="00F056FC"/>
    <w:rsid w:val="00F10476"/>
    <w:rsid w:val="00F135D8"/>
    <w:rsid w:val="00F31299"/>
    <w:rsid w:val="00F3534A"/>
    <w:rsid w:val="00F51609"/>
    <w:rsid w:val="00F81006"/>
    <w:rsid w:val="00F82029"/>
    <w:rsid w:val="00F85325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1510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1510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C850C-6146-4046-BCF6-4506B08A3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147</TotalTime>
  <Pages>3</Pages>
  <Words>492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Roundtable Participants</vt:lpstr>
    </vt:vector>
  </TitlesOfParts>
  <Company>Productivity Commission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Roundtable Participants</dc:title>
  <dc:subject>Better Indigenous Policies: The Role of Evaluation</dc:subject>
  <dc:creator>Productivity Commission</dc:creator>
  <cp:keywords/>
  <dc:description>A.</dc:description>
  <cp:lastModifiedBy>Productivity Commission</cp:lastModifiedBy>
  <cp:revision>29</cp:revision>
  <cp:lastPrinted>2013-04-16T02:59:00Z</cp:lastPrinted>
  <dcterms:created xsi:type="dcterms:W3CDTF">2013-02-26T00:24:00Z</dcterms:created>
  <dcterms:modified xsi:type="dcterms:W3CDTF">2013-04-24T02:22:00Z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1481536993</vt:i4>
  </property>
  <property fmtid="{D5CDD505-2E9C-101B-9397-08002B2CF9AE}" pid="3" name="_NewReviewCycle">
    <vt:lpwstr/>
  </property>
  <property fmtid="{D5CDD505-2E9C-101B-9397-08002B2CF9AE}" pid="4" name="_EmailSubject">
    <vt:lpwstr>web files - indigenous roundtable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