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A49E3" w14:textId="40608059" w:rsidR="00697580" w:rsidRPr="00220344" w:rsidRDefault="001D7D3B" w:rsidP="00697580">
      <w:pPr>
        <w:pStyle w:val="Heading1"/>
        <w:rPr>
          <w:color w:val="FFFFFF" w:themeColor="background1"/>
          <w:sz w:val="16"/>
          <w:szCs w:val="16"/>
        </w:rPr>
      </w:pPr>
      <w:bookmarkStart w:id="0" w:name="_Toc70321924"/>
      <w:r w:rsidRPr="00220344">
        <w:rPr>
          <w:noProof/>
          <w:color w:val="FFFFFF" w:themeColor="background1"/>
        </w:rPr>
        <w:drawing>
          <wp:anchor distT="0" distB="0" distL="114300" distR="114300" simplePos="0" relativeHeight="251659264" behindDoc="0" locked="0" layoutInCell="1" allowOverlap="1" wp14:anchorId="2E4C8383" wp14:editId="2D12D539">
            <wp:simplePos x="828136" y="828136"/>
            <wp:positionH relativeFrom="page">
              <wp:align>center</wp:align>
            </wp:positionH>
            <wp:positionV relativeFrom="page">
              <wp:align>center</wp:align>
            </wp:positionV>
            <wp:extent cx="7558405" cy="10691495"/>
            <wp:effectExtent l="0" t="0" r="4445" b="0"/>
            <wp:wrapNone/>
            <wp:docPr id="3" name="Picture 3" descr="Cover for: BLADE for productivity research, Productivity Commission Staff Working Paper, May 2021.&#10;The views expressed in this paper are those of the staff involved and do not necessarily reflect the views of the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ver for: BLADE for productivity research, Productivity Commission Staff Working Paper, May 2021.&#10;The views expressed in this paper are those of the staff involved and do not necessarily reflect the views of the Productivity Commission."/>
                    <pic:cNvPicPr/>
                  </pic:nvPicPr>
                  <pic:blipFill>
                    <a:blip r:embed="rId12">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r w:rsidR="00697580" w:rsidRPr="00220344">
        <w:rPr>
          <w:color w:val="FFFFFF" w:themeColor="background1"/>
          <w:sz w:val="16"/>
          <w:szCs w:val="16"/>
        </w:rPr>
        <w:t>BLADE for productivity research</w:t>
      </w:r>
      <w:bookmarkEnd w:id="0"/>
    </w:p>
    <w:p w14:paraId="4711731D" w14:textId="3351EE12" w:rsidR="00697580" w:rsidRPr="00220344" w:rsidRDefault="00697580" w:rsidP="00697580">
      <w:pPr>
        <w:pStyle w:val="Copyrightbodytext"/>
        <w:rPr>
          <w:color w:val="FFFFFF" w:themeColor="background1"/>
          <w:sz w:val="20"/>
        </w:rPr>
      </w:pPr>
      <w:r w:rsidRPr="00220344">
        <w:rPr>
          <w:color w:val="FFFFFF" w:themeColor="background1"/>
          <w:sz w:val="20"/>
        </w:rPr>
        <w:t xml:space="preserve">Productivity Commission Staff Working Paper, </w:t>
      </w:r>
      <w:r w:rsidR="00220344" w:rsidRPr="00220344">
        <w:rPr>
          <w:color w:val="FFFFFF" w:themeColor="background1"/>
          <w:sz w:val="20"/>
        </w:rPr>
        <w:t>May</w:t>
      </w:r>
      <w:r w:rsidRPr="00220344">
        <w:rPr>
          <w:color w:val="FFFFFF" w:themeColor="background1"/>
          <w:sz w:val="20"/>
        </w:rPr>
        <w:t>.</w:t>
      </w:r>
    </w:p>
    <w:p w14:paraId="0379FDE0" w14:textId="31F28837" w:rsidR="00697580" w:rsidRPr="00220344" w:rsidRDefault="00697580" w:rsidP="00697580">
      <w:pPr>
        <w:pStyle w:val="BodyText"/>
        <w:rPr>
          <w:b/>
          <w:color w:val="FFFFFF" w:themeColor="background1"/>
          <w:szCs w:val="26"/>
        </w:rPr>
      </w:pPr>
      <w:r w:rsidRPr="00220344">
        <w:rPr>
          <w:color w:val="FFFFFF" w:themeColor="background1"/>
        </w:rPr>
        <w:br w:type="page"/>
      </w:r>
    </w:p>
    <w:p w14:paraId="7A0D21C9" w14:textId="7F968CB5" w:rsidR="00697580" w:rsidRPr="0008783E" w:rsidRDefault="00697580" w:rsidP="00697580">
      <w:pPr>
        <w:pStyle w:val="Copyrightheading"/>
        <w:rPr>
          <w:sz w:val="20"/>
          <w:szCs w:val="20"/>
        </w:rPr>
      </w:pPr>
      <w:r w:rsidRPr="0008783E">
        <w:rPr>
          <w:sz w:val="20"/>
          <w:szCs w:val="20"/>
        </w:rPr>
        <w:lastRenderedPageBreak/>
        <w:fldChar w:fldCharType="begin"/>
      </w:r>
      <w:r w:rsidRPr="0008783E">
        <w:rPr>
          <w:sz w:val="20"/>
          <w:szCs w:val="20"/>
        </w:rPr>
        <w:instrText>SYMBOL 227 \f "Symbol"</w:instrText>
      </w:r>
      <w:r w:rsidRPr="0008783E">
        <w:rPr>
          <w:sz w:val="20"/>
          <w:szCs w:val="20"/>
        </w:rPr>
        <w:fldChar w:fldCharType="end"/>
      </w:r>
      <w:r w:rsidRPr="0008783E">
        <w:rPr>
          <w:sz w:val="20"/>
          <w:szCs w:val="20"/>
        </w:rPr>
        <w:t xml:space="preserve"> Commonwealth of Australia 202</w:t>
      </w:r>
      <w:r w:rsidR="00DC5E5E">
        <w:rPr>
          <w:sz w:val="20"/>
          <w:szCs w:val="20"/>
        </w:rPr>
        <w:t>1</w:t>
      </w:r>
    </w:p>
    <w:p w14:paraId="64D60AB0" w14:textId="77777777" w:rsidR="00697580" w:rsidRPr="00F902CA" w:rsidRDefault="00697580" w:rsidP="00697580">
      <w:pPr>
        <w:pStyle w:val="BodyText"/>
        <w:tabs>
          <w:tab w:val="left" w:pos="851"/>
        </w:tabs>
        <w:spacing w:before="200" w:after="120"/>
        <w:jc w:val="left"/>
        <w:rPr>
          <w:b/>
          <w:sz w:val="20"/>
        </w:rPr>
      </w:pPr>
      <w:bookmarkStart w:id="1" w:name="ISSN"/>
      <w:bookmarkEnd w:id="1"/>
      <w:r w:rsidRPr="00F902CA">
        <w:rPr>
          <w:b/>
          <w:sz w:val="20"/>
        </w:rPr>
        <w:t>ISBN</w:t>
      </w:r>
      <w:r w:rsidRPr="00F902CA">
        <w:rPr>
          <w:b/>
          <w:sz w:val="20"/>
        </w:rPr>
        <w:tab/>
      </w:r>
      <w:r w:rsidRPr="00404A35">
        <w:rPr>
          <w:b/>
          <w:sz w:val="20"/>
        </w:rPr>
        <w:t xml:space="preserve">978-1-74037-717-1 </w:t>
      </w:r>
      <w:r w:rsidRPr="00F902CA">
        <w:rPr>
          <w:b/>
          <w:sz w:val="20"/>
        </w:rPr>
        <w:t>(PDF)</w:t>
      </w:r>
    </w:p>
    <w:p w14:paraId="0264E6B8" w14:textId="77777777" w:rsidR="00697580" w:rsidRDefault="00697580" w:rsidP="00697580">
      <w:pPr>
        <w:pStyle w:val="BodyText"/>
        <w:spacing w:after="120"/>
      </w:pPr>
      <w:r w:rsidRPr="00862D8F">
        <w:rPr>
          <w:noProof/>
          <w:sz w:val="22"/>
          <w:szCs w:val="22"/>
        </w:rPr>
        <w:drawing>
          <wp:inline distT="0" distB="0" distL="0" distR="0" wp14:anchorId="58B71D02" wp14:editId="03E0B0D8">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73F3E015" w14:textId="77777777" w:rsidR="00697580" w:rsidRPr="00F902CA" w:rsidRDefault="00697580" w:rsidP="00697580">
      <w:pPr>
        <w:pStyle w:val="Copyrightbodytext"/>
        <w:rPr>
          <w:sz w:val="20"/>
        </w:rPr>
      </w:pPr>
      <w:r w:rsidRPr="00F902CA">
        <w:rPr>
          <w:sz w:val="20"/>
        </w:rPr>
        <w:t xml:space="preserve">Except for the Commonwealth Coat of Arms and content supplied by third parties, this copyright work is licensed under a Creative Commons Attribution 3.0 Australia licence. To view a copy of this licence, visit </w:t>
      </w:r>
      <w:hyperlink r:id="rId14" w:history="1">
        <w:hyperlink r:id="rId15" w:history="1">
          <w:r w:rsidRPr="00F902CA">
            <w:rPr>
              <w:sz w:val="20"/>
            </w:rPr>
            <w:t>http://creativecommons.org/licenses/by/3.0/au</w:t>
          </w:r>
        </w:hyperlink>
      </w:hyperlink>
      <w:r w:rsidRPr="00F902CA">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6DE86B28" w14:textId="77777777" w:rsidR="00697580" w:rsidRPr="00F902CA" w:rsidRDefault="00697580" w:rsidP="00697580">
      <w:pPr>
        <w:pStyle w:val="Copyrightsubtitle"/>
        <w:rPr>
          <w:sz w:val="20"/>
          <w:szCs w:val="20"/>
        </w:rPr>
      </w:pPr>
      <w:r w:rsidRPr="00F902CA">
        <w:rPr>
          <w:sz w:val="20"/>
          <w:szCs w:val="20"/>
        </w:rPr>
        <w:t>Use of the Commonwealth Coat of Arms</w:t>
      </w:r>
    </w:p>
    <w:p w14:paraId="0863D319" w14:textId="77777777" w:rsidR="00697580" w:rsidRPr="00B853E3" w:rsidRDefault="00697580" w:rsidP="00697580">
      <w:pPr>
        <w:pStyle w:val="Copyrightbodytext"/>
        <w:rPr>
          <w:spacing w:val="-4"/>
          <w:sz w:val="20"/>
        </w:rPr>
      </w:pPr>
      <w:r w:rsidRPr="00B853E3">
        <w:rPr>
          <w:spacing w:val="-4"/>
          <w:sz w:val="20"/>
        </w:rPr>
        <w:t xml:space="preserve">Terms of use for the Coat of Arms are available from the Department of the Prime Minister and Cabinet’s website: </w:t>
      </w:r>
      <w:hyperlink r:id="rId16" w:history="1">
        <w:r w:rsidRPr="00B853E3">
          <w:rPr>
            <w:rStyle w:val="Hyperlink"/>
            <w:spacing w:val="-4"/>
            <w:sz w:val="20"/>
            <w:u w:val="none"/>
          </w:rPr>
          <w:t>www.pmc.gov.au/government/commonwealth-coat-arms</w:t>
        </w:r>
      </w:hyperlink>
      <w:r>
        <w:rPr>
          <w:rStyle w:val="Hyperlink"/>
          <w:spacing w:val="-4"/>
          <w:sz w:val="20"/>
          <w:u w:val="none"/>
        </w:rPr>
        <w:t>.</w:t>
      </w:r>
    </w:p>
    <w:p w14:paraId="78A61968" w14:textId="77777777" w:rsidR="00697580" w:rsidRPr="00F902CA" w:rsidRDefault="00697580" w:rsidP="00697580">
      <w:pPr>
        <w:pStyle w:val="Copyrightsubtitle"/>
        <w:rPr>
          <w:sz w:val="20"/>
          <w:szCs w:val="20"/>
        </w:rPr>
      </w:pPr>
      <w:r w:rsidRPr="00F902CA">
        <w:rPr>
          <w:sz w:val="20"/>
          <w:szCs w:val="20"/>
        </w:rPr>
        <w:t>Third party copyright</w:t>
      </w:r>
    </w:p>
    <w:p w14:paraId="172994E2" w14:textId="77777777" w:rsidR="00697580" w:rsidRPr="00F902CA" w:rsidRDefault="00697580" w:rsidP="00697580">
      <w:pPr>
        <w:pStyle w:val="Copyrightbodytext"/>
        <w:rPr>
          <w:sz w:val="20"/>
        </w:rPr>
      </w:pPr>
      <w:r w:rsidRPr="00F902CA">
        <w:rPr>
          <w:sz w:val="20"/>
        </w:rPr>
        <w:t>Wherever a third party holds copyright in this material, the copyright remains with that party. Their permission may be required to use the material, please contact them directly.</w:t>
      </w:r>
    </w:p>
    <w:p w14:paraId="31415D5F" w14:textId="77777777" w:rsidR="00697580" w:rsidRPr="00F902CA" w:rsidRDefault="00697580" w:rsidP="00697580">
      <w:pPr>
        <w:pStyle w:val="Copyrightsubtitle"/>
        <w:rPr>
          <w:sz w:val="20"/>
          <w:szCs w:val="20"/>
        </w:rPr>
      </w:pPr>
      <w:r w:rsidRPr="00F902CA">
        <w:rPr>
          <w:sz w:val="20"/>
          <w:szCs w:val="20"/>
        </w:rPr>
        <w:t>An appropriate reference for this publication is:</w:t>
      </w:r>
    </w:p>
    <w:p w14:paraId="33A7D2FD" w14:textId="136EDB97" w:rsidR="00697580" w:rsidRPr="00F902CA" w:rsidRDefault="00697580" w:rsidP="00697580">
      <w:pPr>
        <w:pStyle w:val="Copyrightbodytext"/>
        <w:rPr>
          <w:sz w:val="20"/>
        </w:rPr>
      </w:pPr>
      <w:r w:rsidRPr="00B853E3">
        <w:rPr>
          <w:sz w:val="20"/>
        </w:rPr>
        <w:t>McMillan,</w:t>
      </w:r>
      <w:r>
        <w:rPr>
          <w:sz w:val="20"/>
        </w:rPr>
        <w:t xml:space="preserve"> H. and</w:t>
      </w:r>
      <w:r w:rsidRPr="00B853E3">
        <w:rPr>
          <w:sz w:val="20"/>
        </w:rPr>
        <w:t xml:space="preserve"> Burns</w:t>
      </w:r>
      <w:r w:rsidRPr="00F902CA">
        <w:rPr>
          <w:sz w:val="20"/>
        </w:rPr>
        <w:t xml:space="preserve">, </w:t>
      </w:r>
      <w:r>
        <w:rPr>
          <w:sz w:val="20"/>
        </w:rPr>
        <w:t>C</w:t>
      </w:r>
      <w:r w:rsidRPr="00F902CA">
        <w:rPr>
          <w:sz w:val="20"/>
        </w:rPr>
        <w:t>. 202</w:t>
      </w:r>
      <w:r w:rsidR="00DC5E5E">
        <w:rPr>
          <w:sz w:val="20"/>
        </w:rPr>
        <w:t>1</w:t>
      </w:r>
      <w:r w:rsidRPr="00F902CA">
        <w:rPr>
          <w:sz w:val="20"/>
        </w:rPr>
        <w:t xml:space="preserve">, </w:t>
      </w:r>
      <w:r w:rsidRPr="00B853E3">
        <w:rPr>
          <w:i/>
          <w:sz w:val="20"/>
        </w:rPr>
        <w:t xml:space="preserve">BLADE </w:t>
      </w:r>
      <w:r>
        <w:rPr>
          <w:i/>
          <w:sz w:val="20"/>
        </w:rPr>
        <w:t>f</w:t>
      </w:r>
      <w:r w:rsidRPr="00B853E3">
        <w:rPr>
          <w:i/>
          <w:sz w:val="20"/>
        </w:rPr>
        <w:t xml:space="preserve">or </w:t>
      </w:r>
      <w:r>
        <w:rPr>
          <w:i/>
          <w:sz w:val="20"/>
        </w:rPr>
        <w:t>p</w:t>
      </w:r>
      <w:r w:rsidRPr="00B853E3">
        <w:rPr>
          <w:i/>
          <w:sz w:val="20"/>
        </w:rPr>
        <w:t xml:space="preserve">roductivity </w:t>
      </w:r>
      <w:r>
        <w:rPr>
          <w:i/>
          <w:sz w:val="20"/>
        </w:rPr>
        <w:t>r</w:t>
      </w:r>
      <w:r w:rsidRPr="00B853E3">
        <w:rPr>
          <w:i/>
          <w:sz w:val="20"/>
        </w:rPr>
        <w:t>esearch</w:t>
      </w:r>
      <w:r w:rsidRPr="00F902CA">
        <w:rPr>
          <w:i/>
          <w:sz w:val="20"/>
        </w:rPr>
        <w:t xml:space="preserve">, </w:t>
      </w:r>
      <w:r w:rsidRPr="00F902CA">
        <w:rPr>
          <w:sz w:val="20"/>
        </w:rPr>
        <w:t xml:space="preserve">Productivity Commission Staff Working Paper, </w:t>
      </w:r>
      <w:r w:rsidR="00220344">
        <w:rPr>
          <w:sz w:val="20"/>
        </w:rPr>
        <w:t>May</w:t>
      </w:r>
      <w:r w:rsidRPr="00F902CA">
        <w:rPr>
          <w:sz w:val="20"/>
        </w:rPr>
        <w:t>.</w:t>
      </w:r>
    </w:p>
    <w:p w14:paraId="485606B5" w14:textId="77777777" w:rsidR="00697580" w:rsidRPr="00F902CA" w:rsidRDefault="00697580" w:rsidP="00697580">
      <w:pPr>
        <w:pStyle w:val="Copyrightsubtitle"/>
        <w:rPr>
          <w:sz w:val="20"/>
          <w:szCs w:val="20"/>
        </w:rPr>
      </w:pPr>
      <w:bookmarkStart w:id="2" w:name="JEL"/>
      <w:bookmarkEnd w:id="2"/>
      <w:r w:rsidRPr="00F902CA">
        <w:rPr>
          <w:sz w:val="20"/>
          <w:szCs w:val="20"/>
        </w:rPr>
        <w:t>Publications enquiries</w:t>
      </w:r>
    </w:p>
    <w:p w14:paraId="274C1C95" w14:textId="77777777" w:rsidR="00697580" w:rsidRPr="00F902CA" w:rsidRDefault="00697580" w:rsidP="00697580">
      <w:pPr>
        <w:pStyle w:val="Copyrightbodytext"/>
        <w:rPr>
          <w:sz w:val="20"/>
        </w:rPr>
      </w:pPr>
      <w:r w:rsidRPr="00F902CA">
        <w:rPr>
          <w:sz w:val="20"/>
        </w:rPr>
        <w:t>Media, Publications and Web, phone: (03) 9653 2244 or email: mpw@pc.gov.au</w:t>
      </w:r>
    </w:p>
    <w:p w14:paraId="2DF136E7" w14:textId="77777777" w:rsidR="00697580" w:rsidRDefault="00697580" w:rsidP="0069758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97580" w14:paraId="770EB3C2" w14:textId="77777777" w:rsidTr="008B6105">
        <w:trPr>
          <w:tblHeader/>
        </w:trPr>
        <w:tc>
          <w:tcPr>
            <w:tcW w:w="5000" w:type="pct"/>
            <w:tcBorders>
              <w:top w:val="single" w:sz="6" w:space="0" w:color="78A22F"/>
              <w:left w:val="nil"/>
              <w:bottom w:val="nil"/>
              <w:right w:val="nil"/>
            </w:tcBorders>
            <w:shd w:val="clear" w:color="auto" w:fill="F2F2F2" w:themeFill="background1" w:themeFillShade="F2"/>
          </w:tcPr>
          <w:p w14:paraId="19D40D4B" w14:textId="77777777" w:rsidR="00697580" w:rsidRPr="008A3857" w:rsidRDefault="00697580" w:rsidP="008B6105">
            <w:pPr>
              <w:pStyle w:val="BoxTitle"/>
              <w:rPr>
                <w:sz w:val="22"/>
                <w:szCs w:val="22"/>
              </w:rPr>
            </w:pPr>
            <w:r w:rsidRPr="008A3857">
              <w:rPr>
                <w:sz w:val="22"/>
                <w:szCs w:val="22"/>
              </w:rPr>
              <w:t>The Productivity Commission</w:t>
            </w:r>
          </w:p>
        </w:tc>
      </w:tr>
      <w:tr w:rsidR="00697580" w14:paraId="1D67092E" w14:textId="77777777" w:rsidTr="008B6105">
        <w:tc>
          <w:tcPr>
            <w:tcW w:w="5000" w:type="pct"/>
            <w:tcBorders>
              <w:top w:val="nil"/>
              <w:left w:val="nil"/>
              <w:bottom w:val="nil"/>
              <w:right w:val="nil"/>
            </w:tcBorders>
            <w:shd w:val="clear" w:color="auto" w:fill="F2F2F2" w:themeFill="background1" w:themeFillShade="F2"/>
          </w:tcPr>
          <w:p w14:paraId="0A131E8E" w14:textId="77777777" w:rsidR="00697580" w:rsidRDefault="00697580" w:rsidP="008B6105">
            <w:pPr>
              <w:pStyle w:val="Box"/>
            </w:pPr>
            <w:r w:rsidRPr="00BB5DCF">
              <w:t xml:space="preserve">The Productivity Commission is the Australian Government’s independent research and advisory body on a range of economic, social and environmental issues affecting the welfare of Australians. Its role, expressed most simply, is to help governments make better policies, in the </w:t>
            </w:r>
            <w:proofErr w:type="gramStart"/>
            <w:r w:rsidRPr="00BB5DCF">
              <w:t>long term</w:t>
            </w:r>
            <w:proofErr w:type="gramEnd"/>
            <w:r w:rsidRPr="00BB5DCF">
              <w:t xml:space="preserve"> interest of the Australian community.</w:t>
            </w:r>
          </w:p>
          <w:p w14:paraId="1A87D17B" w14:textId="77777777" w:rsidR="00697580" w:rsidRDefault="00697580" w:rsidP="008B6105">
            <w:pPr>
              <w:pStyle w:val="Box"/>
            </w:pPr>
            <w:r w:rsidRPr="00BB5DCF">
              <w:t>The Commission’s independence is underpinned by an Act of Parliament. Its processes and outputs are open to public scrutiny and are driven by concern for the wellbeing of the community as a whole.</w:t>
            </w:r>
          </w:p>
          <w:p w14:paraId="677C0F62" w14:textId="77777777" w:rsidR="00697580" w:rsidRDefault="00697580" w:rsidP="008B6105">
            <w:pPr>
              <w:pStyle w:val="Box"/>
            </w:pPr>
            <w:r w:rsidRPr="00BB5DCF">
              <w:rPr>
                <w:szCs w:val="24"/>
              </w:rPr>
              <w:t>Further information on the Productivity Commission can be obtained from the Commission’s website (</w:t>
            </w:r>
            <w:hyperlink r:id="rId17" w:history="1">
              <w:r w:rsidRPr="00805FD7">
                <w:t>www.pc.gov.au</w:t>
              </w:r>
            </w:hyperlink>
            <w:r w:rsidRPr="00BB5DCF">
              <w:rPr>
                <w:szCs w:val="24"/>
              </w:rPr>
              <w:t>)</w:t>
            </w:r>
            <w:r>
              <w:rPr>
                <w:szCs w:val="24"/>
              </w:rPr>
              <w:t>.</w:t>
            </w:r>
          </w:p>
        </w:tc>
      </w:tr>
      <w:tr w:rsidR="00697580" w14:paraId="3C218003" w14:textId="77777777" w:rsidTr="008B6105">
        <w:tc>
          <w:tcPr>
            <w:tcW w:w="5000" w:type="pct"/>
            <w:tcBorders>
              <w:top w:val="nil"/>
              <w:left w:val="nil"/>
              <w:bottom w:val="single" w:sz="6" w:space="0" w:color="78A22F"/>
              <w:right w:val="nil"/>
            </w:tcBorders>
            <w:shd w:val="clear" w:color="auto" w:fill="F2F2F2" w:themeFill="background1" w:themeFillShade="F2"/>
          </w:tcPr>
          <w:p w14:paraId="14D7F6BD" w14:textId="77777777" w:rsidR="00697580" w:rsidRDefault="00697580" w:rsidP="008B6105">
            <w:pPr>
              <w:pStyle w:val="Box"/>
              <w:spacing w:before="0" w:line="120" w:lineRule="exact"/>
            </w:pPr>
          </w:p>
        </w:tc>
      </w:tr>
    </w:tbl>
    <w:p w14:paraId="6C38B446" w14:textId="77777777" w:rsidR="00697580" w:rsidRDefault="00697580" w:rsidP="00697580">
      <w:pPr>
        <w:pStyle w:val="BodyText"/>
        <w:sectPr w:rsidR="00697580" w:rsidSect="0008783E">
          <w:pgSz w:w="11907" w:h="16840" w:code="9"/>
          <w:pgMar w:top="1304" w:right="1304" w:bottom="567" w:left="1814" w:header="1701" w:footer="397" w:gutter="0"/>
          <w:pgNumType w:fmt="lowerRoman" w:start="1"/>
          <w:cols w:space="720"/>
          <w:titlePg/>
        </w:sectPr>
      </w:pPr>
      <w:bookmarkStart w:id="3" w:name="cov"/>
      <w:bookmarkEnd w:id="3"/>
    </w:p>
    <w:p w14:paraId="5668E2AE" w14:textId="77777777" w:rsidR="00697580" w:rsidRPr="008206EE" w:rsidRDefault="00697580" w:rsidP="00697580">
      <w:pPr>
        <w:pStyle w:val="Heading1NotTOC"/>
      </w:pPr>
      <w:bookmarkStart w:id="4" w:name="Contents"/>
      <w:bookmarkEnd w:id="4"/>
      <w:r w:rsidRPr="00B153C3">
        <w:lastRenderedPageBreak/>
        <w:t>Contents</w:t>
      </w:r>
      <w:bookmarkStart w:id="5" w:name="InsertContents"/>
      <w:bookmarkEnd w:id="5"/>
    </w:p>
    <w:p w14:paraId="1AC3F2DD" w14:textId="267CFB36" w:rsidR="00A46A0F" w:rsidRDefault="00A46A0F" w:rsidP="00A46A0F">
      <w:pPr>
        <w:pStyle w:val="TOC1"/>
        <w:rPr>
          <w:b w:val="0"/>
          <w:bCs/>
          <w:noProof/>
        </w:rPr>
      </w:pPr>
      <w:r w:rsidRPr="004773C4">
        <w:rPr>
          <w:b w:val="0"/>
          <w:bCs/>
          <w:noProof/>
        </w:rPr>
        <w:t>Preface</w:t>
      </w:r>
      <w:r w:rsidRPr="004773C4">
        <w:rPr>
          <w:b w:val="0"/>
          <w:bCs/>
          <w:noProof/>
        </w:rPr>
        <w:tab/>
      </w:r>
      <w:r>
        <w:rPr>
          <w:b w:val="0"/>
          <w:bCs/>
          <w:noProof/>
        </w:rPr>
        <w:t>iv</w:t>
      </w:r>
    </w:p>
    <w:p w14:paraId="6A48C7E6" w14:textId="77777777" w:rsidR="00A46A0F" w:rsidRPr="004773C4" w:rsidRDefault="00A46A0F" w:rsidP="00A46A0F">
      <w:pPr>
        <w:pStyle w:val="TOC2"/>
        <w:spacing w:before="360"/>
        <w:ind w:left="624"/>
        <w:rPr>
          <w:rFonts w:eastAsiaTheme="minorEastAsia"/>
          <w:noProof/>
        </w:rPr>
      </w:pPr>
      <w:r w:rsidRPr="004773C4">
        <w:rPr>
          <w:noProof/>
        </w:rPr>
        <w:t>Key</w:t>
      </w:r>
      <w:r>
        <w:rPr>
          <w:rFonts w:eastAsiaTheme="minorEastAsia"/>
          <w:noProof/>
        </w:rPr>
        <w:t xml:space="preserve"> points</w:t>
      </w:r>
      <w:r>
        <w:rPr>
          <w:rFonts w:eastAsiaTheme="minorEastAsia"/>
          <w:noProof/>
        </w:rPr>
        <w:tab/>
        <w:t>1</w:t>
      </w:r>
    </w:p>
    <w:p w14:paraId="0529A491" w14:textId="6E2BCCA7" w:rsidR="00A46A0F" w:rsidRDefault="00A46A0F" w:rsidP="00A46A0F">
      <w:pPr>
        <w:pStyle w:val="TOC2"/>
        <w:ind w:left="624"/>
        <w:rPr>
          <w:rFonts w:asciiTheme="minorHAnsi" w:eastAsiaTheme="minorEastAsia" w:hAnsiTheme="minorHAnsi" w:cstheme="minorBidi"/>
          <w:noProof/>
          <w:sz w:val="22"/>
          <w:szCs w:val="22"/>
          <w:lang w:eastAsia="en-AU"/>
        </w:rPr>
      </w:pPr>
      <w:r>
        <w:rPr>
          <w:noProof/>
        </w:rPr>
        <w:t>Overview</w:t>
      </w:r>
      <w:r>
        <w:rPr>
          <w:noProof/>
        </w:rPr>
        <w:tab/>
        <w:t>2</w:t>
      </w:r>
    </w:p>
    <w:p w14:paraId="299AF245" w14:textId="5103D4F4" w:rsidR="00A46A0F" w:rsidRDefault="00A46A0F" w:rsidP="00A46A0F">
      <w:pPr>
        <w:pStyle w:val="TOC2"/>
        <w:ind w:left="624"/>
        <w:rPr>
          <w:rFonts w:asciiTheme="minorHAnsi" w:eastAsiaTheme="minorEastAsia" w:hAnsiTheme="minorHAnsi" w:cstheme="minorBidi"/>
          <w:noProof/>
          <w:sz w:val="22"/>
          <w:szCs w:val="22"/>
          <w:lang w:eastAsia="en-AU"/>
        </w:rPr>
      </w:pPr>
      <w:r>
        <w:rPr>
          <w:noProof/>
        </w:rPr>
        <w:t>BLADE’s capabilities</w:t>
      </w:r>
      <w:r>
        <w:rPr>
          <w:noProof/>
        </w:rPr>
        <w:tab/>
        <w:t>6</w:t>
      </w:r>
    </w:p>
    <w:p w14:paraId="384CFF42" w14:textId="626565A6" w:rsidR="00A46A0F" w:rsidRDefault="00A46A0F" w:rsidP="00A46A0F">
      <w:pPr>
        <w:pStyle w:val="TOC2"/>
        <w:ind w:left="624"/>
        <w:rPr>
          <w:rFonts w:asciiTheme="minorHAnsi" w:eastAsiaTheme="minorEastAsia" w:hAnsiTheme="minorHAnsi" w:cstheme="minorBidi"/>
          <w:noProof/>
          <w:sz w:val="22"/>
          <w:szCs w:val="22"/>
          <w:lang w:eastAsia="en-AU"/>
        </w:rPr>
      </w:pPr>
      <w:r>
        <w:rPr>
          <w:noProof/>
        </w:rPr>
        <w:t>Conceptual limitations</w:t>
      </w:r>
      <w:r>
        <w:rPr>
          <w:noProof/>
        </w:rPr>
        <w:tab/>
      </w:r>
      <w:r w:rsidR="00834C4A">
        <w:rPr>
          <w:noProof/>
        </w:rPr>
        <w:t>8</w:t>
      </w:r>
    </w:p>
    <w:p w14:paraId="7CE957AC" w14:textId="0E0288E7" w:rsidR="00A46A0F" w:rsidRDefault="00A46A0F" w:rsidP="00A46A0F">
      <w:pPr>
        <w:pStyle w:val="TOC2"/>
        <w:ind w:left="624"/>
        <w:rPr>
          <w:rFonts w:asciiTheme="minorHAnsi" w:eastAsiaTheme="minorEastAsia" w:hAnsiTheme="minorHAnsi" w:cstheme="minorBidi"/>
          <w:noProof/>
          <w:sz w:val="22"/>
          <w:szCs w:val="22"/>
          <w:lang w:eastAsia="en-AU"/>
        </w:rPr>
      </w:pPr>
      <w:r>
        <w:rPr>
          <w:noProof/>
        </w:rPr>
        <w:t>Technical limitations</w:t>
      </w:r>
      <w:r>
        <w:rPr>
          <w:noProof/>
        </w:rPr>
        <w:tab/>
        <w:t>1</w:t>
      </w:r>
      <w:r w:rsidR="00834C4A">
        <w:rPr>
          <w:noProof/>
        </w:rPr>
        <w:t>1</w:t>
      </w:r>
    </w:p>
    <w:p w14:paraId="1ED55361" w14:textId="57588D72" w:rsidR="00A46A0F" w:rsidRDefault="00A46A0F" w:rsidP="00A46A0F">
      <w:pPr>
        <w:pStyle w:val="TOC2"/>
        <w:spacing w:before="360"/>
        <w:ind w:left="624"/>
        <w:rPr>
          <w:rFonts w:asciiTheme="minorHAnsi" w:eastAsiaTheme="minorEastAsia" w:hAnsiTheme="minorHAnsi" w:cstheme="minorBidi"/>
          <w:noProof/>
          <w:sz w:val="22"/>
          <w:szCs w:val="22"/>
          <w:lang w:eastAsia="en-AU"/>
        </w:rPr>
      </w:pPr>
      <w:r>
        <w:rPr>
          <w:noProof/>
        </w:rPr>
        <w:t>Appendix A: Who’s doing what with BLADE?</w:t>
      </w:r>
      <w:r>
        <w:rPr>
          <w:noProof/>
        </w:rPr>
        <w:tab/>
        <w:t>1</w:t>
      </w:r>
      <w:r w:rsidR="002C2E68">
        <w:rPr>
          <w:noProof/>
        </w:rPr>
        <w:t>6</w:t>
      </w:r>
    </w:p>
    <w:p w14:paraId="78EC674F" w14:textId="104EFD6C" w:rsidR="00A46A0F" w:rsidRDefault="00A46A0F" w:rsidP="00A46A0F">
      <w:pPr>
        <w:pStyle w:val="TOC2"/>
        <w:ind w:left="624"/>
        <w:rPr>
          <w:rFonts w:asciiTheme="minorHAnsi" w:eastAsiaTheme="minorEastAsia" w:hAnsiTheme="minorHAnsi" w:cstheme="minorBidi"/>
          <w:noProof/>
          <w:sz w:val="22"/>
          <w:szCs w:val="22"/>
          <w:lang w:eastAsia="en-AU"/>
        </w:rPr>
      </w:pPr>
      <w:r>
        <w:rPr>
          <w:noProof/>
        </w:rPr>
        <w:t>Appendix B: BLADE core data item list</w:t>
      </w:r>
      <w:r>
        <w:rPr>
          <w:noProof/>
        </w:rPr>
        <w:tab/>
        <w:t>1</w:t>
      </w:r>
      <w:r w:rsidR="002C2E68">
        <w:rPr>
          <w:noProof/>
        </w:rPr>
        <w:t>7</w:t>
      </w:r>
    </w:p>
    <w:p w14:paraId="247C50EB" w14:textId="2119D8CA" w:rsidR="00A46A0F" w:rsidRDefault="00A46A0F" w:rsidP="00A46A0F">
      <w:pPr>
        <w:pStyle w:val="TOC2"/>
        <w:ind w:left="624"/>
        <w:rPr>
          <w:noProof/>
        </w:rPr>
      </w:pPr>
      <w:r>
        <w:rPr>
          <w:noProof/>
        </w:rPr>
        <w:t>References</w:t>
      </w:r>
      <w:r>
        <w:rPr>
          <w:noProof/>
        </w:rPr>
        <w:tab/>
        <w:t>2</w:t>
      </w:r>
      <w:r w:rsidR="00062D22">
        <w:rPr>
          <w:noProof/>
        </w:rPr>
        <w:t>5</w:t>
      </w:r>
    </w:p>
    <w:p w14:paraId="3A0F6E0D" w14:textId="77777777" w:rsidR="00A46A0F" w:rsidRDefault="00A46A0F" w:rsidP="00697580">
      <w:pPr>
        <w:pStyle w:val="BodyText"/>
        <w:rPr>
          <w:lang w:eastAsia="en-US"/>
        </w:rPr>
      </w:pPr>
    </w:p>
    <w:p w14:paraId="29A3E41F" w14:textId="77777777" w:rsidR="00697580" w:rsidRDefault="00697580" w:rsidP="00697580">
      <w:pPr>
        <w:pStyle w:val="BodyText"/>
        <w:rPr>
          <w:lang w:eastAsia="en-US"/>
        </w:rPr>
        <w:sectPr w:rsidR="00697580" w:rsidSect="0008783E">
          <w:headerReference w:type="even" r:id="rId18"/>
          <w:headerReference w:type="default" r:id="rId19"/>
          <w:footerReference w:type="even" r:id="rId20"/>
          <w:footerReference w:type="default" r:id="rId21"/>
          <w:type w:val="oddPage"/>
          <w:pgSz w:w="11907" w:h="16840" w:code="9"/>
          <w:pgMar w:top="1985" w:right="1304" w:bottom="1247" w:left="1814" w:header="1701" w:footer="397" w:gutter="0"/>
          <w:pgNumType w:fmt="lowerRoman" w:chapSep="period"/>
          <w:cols w:space="720"/>
        </w:sectPr>
      </w:pPr>
    </w:p>
    <w:p w14:paraId="0F733F53" w14:textId="77777777" w:rsidR="00697580" w:rsidRDefault="00697580" w:rsidP="00697580">
      <w:pPr>
        <w:pStyle w:val="Heading1"/>
      </w:pPr>
      <w:bookmarkStart w:id="6" w:name="EndContents"/>
      <w:bookmarkStart w:id="7" w:name="Glossary"/>
      <w:bookmarkStart w:id="8" w:name="_Toc58883973"/>
      <w:bookmarkStart w:id="9" w:name="_Toc70321925"/>
      <w:bookmarkEnd w:id="6"/>
      <w:bookmarkEnd w:id="7"/>
      <w:r>
        <w:lastRenderedPageBreak/>
        <w:t>Preface</w:t>
      </w:r>
      <w:bookmarkEnd w:id="8"/>
      <w:bookmarkEnd w:id="9"/>
    </w:p>
    <w:p w14:paraId="53510042" w14:textId="77777777" w:rsidR="00697580" w:rsidRDefault="00697580" w:rsidP="00697580">
      <w:pPr>
        <w:pStyle w:val="BodyText"/>
        <w:rPr>
          <w:lang w:eastAsia="en-US"/>
        </w:rPr>
      </w:pPr>
      <w:r w:rsidRPr="00B0675D">
        <w:rPr>
          <w:lang w:eastAsia="en-US"/>
        </w:rPr>
        <w:t xml:space="preserve">The results of this study </w:t>
      </w:r>
      <w:proofErr w:type="gramStart"/>
      <w:r w:rsidRPr="00B0675D">
        <w:rPr>
          <w:lang w:eastAsia="en-US"/>
        </w:rPr>
        <w:t>is</w:t>
      </w:r>
      <w:proofErr w:type="gramEnd"/>
      <w:r w:rsidRPr="00B0675D">
        <w:rPr>
          <w:lang w:eastAsia="en-US"/>
        </w:rPr>
        <w:t xml:space="preserve"> based, in part, on ABR data supplied by the Registrar to the ABS under </w:t>
      </w:r>
      <w:r w:rsidRPr="00B0675D">
        <w:rPr>
          <w:i/>
          <w:iCs/>
          <w:lang w:eastAsia="en-US"/>
        </w:rPr>
        <w:t>A New Tax System (Australian Business Number) Act 1999</w:t>
      </w:r>
      <w:r w:rsidRPr="00B0675D">
        <w:rPr>
          <w:lang w:eastAsia="en-US"/>
        </w:rPr>
        <w:t xml:space="preserve"> and tax data supplied by the ATO to the ABS under the </w:t>
      </w:r>
      <w:r w:rsidRPr="00B0675D">
        <w:rPr>
          <w:i/>
          <w:iCs/>
          <w:lang w:eastAsia="en-US"/>
        </w:rPr>
        <w:t>Taxation Administration Act 1953</w:t>
      </w:r>
      <w:r w:rsidRPr="00B0675D">
        <w:rPr>
          <w:lang w:eastAsia="en-US"/>
        </w:rPr>
        <w:t xml:space="preserve">. These require that such data </w:t>
      </w:r>
      <w:proofErr w:type="gramStart"/>
      <w:r w:rsidRPr="00B0675D">
        <w:rPr>
          <w:lang w:eastAsia="en-US"/>
        </w:rPr>
        <w:t>is</w:t>
      </w:r>
      <w:proofErr w:type="gramEnd"/>
      <w:r w:rsidRPr="00B0675D">
        <w:rPr>
          <w:lang w:eastAsia="en-US"/>
        </w:rPr>
        <w:t xml:space="preserve"> only used for the purpose of carrying out functions of the ABS. No individual information collected under the </w:t>
      </w:r>
      <w:r w:rsidRPr="00B0675D">
        <w:rPr>
          <w:i/>
          <w:iCs/>
          <w:lang w:eastAsia="en-US"/>
        </w:rPr>
        <w:t>Census and Statistics Act 1905</w:t>
      </w:r>
      <w:r w:rsidRPr="00B0675D">
        <w:rPr>
          <w:lang w:eastAsia="en-US"/>
        </w:rPr>
        <w:t xml:space="preserve"> is provided back to the Registrar or ATO for administrative or regulatory purposes. Any discussion of data limitations or weaknesses is in the context of using the data for statistical </w:t>
      </w:r>
      <w:proofErr w:type="gramStart"/>
      <w:r w:rsidRPr="00B0675D">
        <w:rPr>
          <w:lang w:eastAsia="en-US"/>
        </w:rPr>
        <w:t>purposes, and</w:t>
      </w:r>
      <w:proofErr w:type="gramEnd"/>
      <w:r w:rsidRPr="00B0675D">
        <w:rPr>
          <w:lang w:eastAsia="en-US"/>
        </w:rPr>
        <w:t xml:space="preserve"> is not related to the ability of the data to support the ABR or ATO’s core operational requirements. Legislative requirements to ensure privacy and secrecy of this data have been followed. Only people authorised under the </w:t>
      </w:r>
      <w:r w:rsidRPr="00B0675D">
        <w:rPr>
          <w:i/>
          <w:iCs/>
          <w:lang w:eastAsia="en-US"/>
        </w:rPr>
        <w:t>Australian Bureau of Statistics Act 1975</w:t>
      </w:r>
      <w:r w:rsidRPr="00B0675D">
        <w:rPr>
          <w:lang w:eastAsia="en-US"/>
        </w:rPr>
        <w:t xml:space="preserve"> have been allowed to view data about any particular firm in conducting these analyses. In accordance with the </w:t>
      </w:r>
      <w:r w:rsidRPr="00B0675D">
        <w:rPr>
          <w:i/>
          <w:iCs/>
          <w:lang w:eastAsia="en-US"/>
        </w:rPr>
        <w:t>Census and Statistics Act 1905</w:t>
      </w:r>
      <w:r w:rsidRPr="00B0675D">
        <w:rPr>
          <w:lang w:eastAsia="en-US"/>
        </w:rPr>
        <w:t xml:space="preserve">, results have been </w:t>
      </w:r>
      <w:proofErr w:type="spellStart"/>
      <w:r w:rsidRPr="00B0675D">
        <w:rPr>
          <w:lang w:eastAsia="en-US"/>
        </w:rPr>
        <w:t>confidentialised</w:t>
      </w:r>
      <w:proofErr w:type="spellEnd"/>
      <w:r w:rsidRPr="00B0675D">
        <w:rPr>
          <w:lang w:eastAsia="en-US"/>
        </w:rPr>
        <w:t xml:space="preserve"> to ensure that they are not likely to enable identification of a particular person or organisation</w:t>
      </w:r>
    </w:p>
    <w:p w14:paraId="6583CB27" w14:textId="77777777" w:rsidR="00697580" w:rsidRDefault="00697580" w:rsidP="00697580">
      <w:pPr>
        <w:pStyle w:val="BodyText"/>
        <w:rPr>
          <w:lang w:eastAsia="en-US"/>
        </w:rPr>
      </w:pPr>
    </w:p>
    <w:p w14:paraId="0C157595" w14:textId="77777777" w:rsidR="00697580" w:rsidRDefault="00697580" w:rsidP="00697580">
      <w:pPr>
        <w:pStyle w:val="BodyText"/>
        <w:sectPr w:rsidR="00697580" w:rsidSect="0008783E">
          <w:footerReference w:type="even" r:id="rId22"/>
          <w:type w:val="evenPage"/>
          <w:pgSz w:w="11907" w:h="16840" w:code="9"/>
          <w:pgMar w:top="1985" w:right="1304" w:bottom="1247" w:left="1814" w:header="1701" w:footer="397" w:gutter="0"/>
          <w:pgNumType w:fmt="lowerRoman" w:chapSep="period"/>
          <w:cols w:space="720"/>
        </w:sectPr>
      </w:pPr>
    </w:p>
    <w:p w14:paraId="0F7A42E3" w14:textId="08363168" w:rsidR="00A33DFF" w:rsidRDefault="004E3C61" w:rsidP="00B625D8">
      <w:pPr>
        <w:pStyle w:val="Heading1nochapterno"/>
      </w:pPr>
      <w:r>
        <w:lastRenderedPageBreak/>
        <w:t>BLADE for productivity research</w:t>
      </w:r>
    </w:p>
    <w:p w14:paraId="6064B503" w14:textId="7DB88A76" w:rsidR="00EC3BC0" w:rsidRDefault="00EC3BC0">
      <w:pPr>
        <w:pStyle w:val="BoxSpaceAbove"/>
      </w:pPr>
      <w:bookmarkStart w:id="10" w:name="begin"/>
      <w:bookmarkEnd w:id="10"/>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3BC0" w14:paraId="7D59259C" w14:textId="77777777" w:rsidTr="00EC3BC0">
        <w:trPr>
          <w:tblHeader/>
        </w:trPr>
        <w:tc>
          <w:tcPr>
            <w:tcW w:w="5000" w:type="pct"/>
            <w:tcBorders>
              <w:top w:val="single" w:sz="6" w:space="0" w:color="78A22F"/>
              <w:left w:val="nil"/>
              <w:bottom w:val="nil"/>
              <w:right w:val="nil"/>
            </w:tcBorders>
            <w:shd w:val="clear" w:color="auto" w:fill="F2F2F2"/>
          </w:tcPr>
          <w:p w14:paraId="128116EC" w14:textId="4C4922DE" w:rsidR="00EC3BC0" w:rsidRDefault="00EC3BC0">
            <w:pPr>
              <w:pStyle w:val="BoxTitle"/>
            </w:pPr>
            <w:r>
              <w:t xml:space="preserve">Key </w:t>
            </w:r>
            <w:r w:rsidR="009E510F">
              <w:t>p</w:t>
            </w:r>
            <w:r>
              <w:t>oints</w:t>
            </w:r>
          </w:p>
        </w:tc>
      </w:tr>
      <w:tr w:rsidR="00EC3BC0" w14:paraId="44935EB6" w14:textId="77777777" w:rsidTr="00EC3BC0">
        <w:tc>
          <w:tcPr>
            <w:tcW w:w="5000" w:type="pct"/>
            <w:tcBorders>
              <w:top w:val="nil"/>
              <w:left w:val="nil"/>
              <w:bottom w:val="nil"/>
              <w:right w:val="nil"/>
            </w:tcBorders>
            <w:shd w:val="clear" w:color="auto" w:fill="F2F2F2"/>
          </w:tcPr>
          <w:p w14:paraId="6004D59E" w14:textId="78429F20" w:rsidR="00EC3BC0" w:rsidRDefault="0051171C" w:rsidP="00EC3BC0">
            <w:pPr>
              <w:pStyle w:val="BoxListBullet"/>
            </w:pPr>
            <w:r>
              <w:t xml:space="preserve">The </w:t>
            </w:r>
            <w:r w:rsidRPr="00380BBC">
              <w:t>Business Longitudinal Analysis Data Environment</w:t>
            </w:r>
            <w:r>
              <w:t xml:space="preserve"> </w:t>
            </w:r>
            <w:r w:rsidRPr="00380BBC">
              <w:t>(BLADE)</w:t>
            </w:r>
            <w:r>
              <w:t xml:space="preserve"> </w:t>
            </w:r>
            <w:r w:rsidR="00EC3BC0">
              <w:t>is</w:t>
            </w:r>
            <w:r w:rsidR="00C57584">
              <w:t xml:space="preserve"> </w:t>
            </w:r>
            <w:r w:rsidR="00EC3BC0">
              <w:t>a financial census of</w:t>
            </w:r>
            <w:r w:rsidR="002F5A79">
              <w:t xml:space="preserve"> almost</w:t>
            </w:r>
            <w:r w:rsidR="00EC3BC0">
              <w:t xml:space="preserve"> </w:t>
            </w:r>
            <w:r w:rsidR="001D106E">
              <w:t>all</w:t>
            </w:r>
            <w:r w:rsidR="00EC3BC0">
              <w:t xml:space="preserve"> Australian businesses</w:t>
            </w:r>
            <w:r w:rsidR="001D106E">
              <w:t xml:space="preserve"> </w:t>
            </w:r>
            <w:r w:rsidR="00EC3BC0">
              <w:t>span</w:t>
            </w:r>
            <w:r w:rsidR="005F7A01">
              <w:t>n</w:t>
            </w:r>
            <w:r w:rsidR="00EC3BC0">
              <w:t>ing 20</w:t>
            </w:r>
            <w:r w:rsidR="00643F9D">
              <w:t>01</w:t>
            </w:r>
            <w:r w:rsidR="00CA55FC">
              <w:noBreakHyphen/>
            </w:r>
            <w:r w:rsidR="00EC3BC0">
              <w:t>0</w:t>
            </w:r>
            <w:r w:rsidR="00643F9D">
              <w:t>2</w:t>
            </w:r>
            <w:r w:rsidR="00EC3BC0">
              <w:t xml:space="preserve"> to </w:t>
            </w:r>
            <w:r w:rsidR="0047725F">
              <w:t>20</w:t>
            </w:r>
            <w:r w:rsidR="00CA55FC">
              <w:t>18</w:t>
            </w:r>
            <w:r w:rsidR="00CA55FC">
              <w:noBreakHyphen/>
            </w:r>
            <w:r w:rsidR="0047725F">
              <w:t>19</w:t>
            </w:r>
            <w:r w:rsidR="00EC3BC0">
              <w:t>. It contains key variables</w:t>
            </w:r>
            <w:r w:rsidR="001D106E">
              <w:t xml:space="preserve"> on turnover, employment, wages, debt and depreciation.</w:t>
            </w:r>
            <w:r w:rsidR="004C5E4D">
              <w:t xml:space="preserve"> </w:t>
            </w:r>
          </w:p>
          <w:p w14:paraId="380B5581" w14:textId="38BF3425" w:rsidR="00A345B8" w:rsidRDefault="00A345B8" w:rsidP="00EC3BC0">
            <w:pPr>
              <w:pStyle w:val="BoxListBullet"/>
            </w:pPr>
            <w:r>
              <w:t xml:space="preserve">BLADE is a unique database in Australia, providing information on firm activity not available through any other channels. It </w:t>
            </w:r>
            <w:r w:rsidR="001D106E">
              <w:t xml:space="preserve">is </w:t>
            </w:r>
            <w:r w:rsidR="005748CE">
              <w:t>Australia’s</w:t>
            </w:r>
            <w:r w:rsidR="001D106E">
              <w:t xml:space="preserve"> best resource for firm</w:t>
            </w:r>
            <w:r w:rsidR="00F5195A">
              <w:noBreakHyphen/>
            </w:r>
            <w:r w:rsidR="001D106E">
              <w:t>level productivity</w:t>
            </w:r>
            <w:r w:rsidR="00F5195A">
              <w:t xml:space="preserve"> research</w:t>
            </w:r>
            <w:r w:rsidR="005748CE">
              <w:t xml:space="preserve"> and provides more depth to Australia’s macro productivity narrative.</w:t>
            </w:r>
            <w:r w:rsidR="001D106E">
              <w:t xml:space="preserve"> </w:t>
            </w:r>
          </w:p>
          <w:p w14:paraId="348409A8" w14:textId="69BDFE72" w:rsidR="001D106E" w:rsidRDefault="005748CE" w:rsidP="00EC3BC0">
            <w:pPr>
              <w:pStyle w:val="BoxListBullet"/>
            </w:pPr>
            <w:r>
              <w:t>BLADE</w:t>
            </w:r>
            <w:r w:rsidR="00A345B8">
              <w:t>-based</w:t>
            </w:r>
            <w:r>
              <w:t xml:space="preserve"> </w:t>
            </w:r>
            <w:r w:rsidR="001D106E">
              <w:t xml:space="preserve">productivity estimates have some </w:t>
            </w:r>
            <w:r>
              <w:t xml:space="preserve">conceptual </w:t>
            </w:r>
            <w:r w:rsidR="001D106E">
              <w:t>limitations</w:t>
            </w:r>
            <w:r w:rsidR="00A345B8">
              <w:t>. These mean that macro productivity estimates must impute or proxy other variables. Specifically</w:t>
            </w:r>
            <w:r w:rsidR="001D106E">
              <w:t>:</w:t>
            </w:r>
          </w:p>
          <w:p w14:paraId="48734427" w14:textId="77777777" w:rsidR="001D106E" w:rsidRDefault="009A7BF8" w:rsidP="001D106E">
            <w:pPr>
              <w:pStyle w:val="BoxListBullet2"/>
            </w:pPr>
            <w:r>
              <w:t>BLADE contains no separate price and quantity measures</w:t>
            </w:r>
          </w:p>
          <w:p w14:paraId="090A6902" w14:textId="38D7388D" w:rsidR="009A7BF8" w:rsidRDefault="00C1705A" w:rsidP="009A7BF8">
            <w:pPr>
              <w:pStyle w:val="BoxListBullet2"/>
            </w:pPr>
            <w:r>
              <w:t>BLAD</w:t>
            </w:r>
            <w:r w:rsidR="008055C4">
              <w:t xml:space="preserve">E contains no </w:t>
            </w:r>
            <w:r w:rsidR="00A345B8">
              <w:t xml:space="preserve">direct </w:t>
            </w:r>
            <w:r w:rsidR="008055C4">
              <w:t>estimates of the firm’s capital stock</w:t>
            </w:r>
          </w:p>
          <w:p w14:paraId="6F6B2739" w14:textId="4DB78D19" w:rsidR="009A7BF8" w:rsidRDefault="009A7BF8" w:rsidP="009A7BF8">
            <w:pPr>
              <w:pStyle w:val="BoxListBullet2"/>
            </w:pPr>
            <w:r>
              <w:t xml:space="preserve">assumptions </w:t>
            </w:r>
            <w:r w:rsidR="00A345B8">
              <w:t xml:space="preserve">required for macro productivity calculation </w:t>
            </w:r>
            <w:r>
              <w:t xml:space="preserve">(e.g. positive value add) do not </w:t>
            </w:r>
            <w:r w:rsidR="002D65E2">
              <w:t xml:space="preserve">always </w:t>
            </w:r>
            <w:r>
              <w:t>hold at the firm level</w:t>
            </w:r>
            <w:r w:rsidR="00C1705A">
              <w:t>.</w:t>
            </w:r>
          </w:p>
          <w:p w14:paraId="7FB91E8B" w14:textId="5DB6F5DD" w:rsidR="008055C4" w:rsidRDefault="00917725" w:rsidP="009524DE">
            <w:pPr>
              <w:pStyle w:val="BoxListBullet"/>
            </w:pPr>
            <w:r>
              <w:t xml:space="preserve">Together this means that </w:t>
            </w:r>
            <w:r w:rsidR="007536C3">
              <w:t xml:space="preserve">point estimates of productivity at the firm level </w:t>
            </w:r>
            <w:r w:rsidR="009F6AC8">
              <w:t xml:space="preserve">are still in their infancy. </w:t>
            </w:r>
            <w:r w:rsidR="00A345B8">
              <w:t>P</w:t>
            </w:r>
            <w:r w:rsidR="009965BB">
              <w:t>oint estimates of</w:t>
            </w:r>
            <w:r w:rsidR="00B22970">
              <w:t xml:space="preserve"> firm</w:t>
            </w:r>
            <w:r w:rsidR="00B22970">
              <w:noBreakHyphen/>
              <w:t>level</w:t>
            </w:r>
            <w:r w:rsidR="009965BB">
              <w:t xml:space="preserve"> labour productivity</w:t>
            </w:r>
            <w:r w:rsidR="00B22970">
              <w:t xml:space="preserve"> </w:t>
            </w:r>
            <w:proofErr w:type="gramStart"/>
            <w:r w:rsidR="00A345B8">
              <w:t>are</w:t>
            </w:r>
            <w:proofErr w:type="gramEnd"/>
            <w:r w:rsidR="00A345B8">
              <w:t xml:space="preserve"> currently more difficult to</w:t>
            </w:r>
            <w:r w:rsidR="00B22970">
              <w:t xml:space="preserve"> compare over time</w:t>
            </w:r>
            <w:r w:rsidR="00B50032">
              <w:t xml:space="preserve"> due </w:t>
            </w:r>
            <w:r w:rsidR="00681E71">
              <w:t>to lack of firm price deflators</w:t>
            </w:r>
            <w:r w:rsidR="00B22970">
              <w:t>.</w:t>
            </w:r>
          </w:p>
          <w:p w14:paraId="7CCCAA11" w14:textId="45AFF407" w:rsidR="009524DE" w:rsidRDefault="005748CE" w:rsidP="009524DE">
            <w:pPr>
              <w:pStyle w:val="BoxListBullet"/>
            </w:pPr>
            <w:r>
              <w:t>Existing research</w:t>
            </w:r>
            <w:r w:rsidR="009524DE">
              <w:t xml:space="preserve"> </w:t>
            </w:r>
            <w:r w:rsidR="00A345B8">
              <w:t xml:space="preserve">attempts to mitigate </w:t>
            </w:r>
            <w:r>
              <w:t>these limitations</w:t>
            </w:r>
            <w:r w:rsidR="009524DE">
              <w:t xml:space="preserve"> with</w:t>
            </w:r>
            <w:r w:rsidR="000F1D03">
              <w:t xml:space="preserve"> various</w:t>
            </w:r>
            <w:r w:rsidR="009524DE">
              <w:t xml:space="preserve"> assumptions </w:t>
            </w:r>
            <w:r w:rsidR="000F1D03">
              <w:t>and modelling approaches</w:t>
            </w:r>
            <w:r>
              <w:t>.</w:t>
            </w:r>
          </w:p>
          <w:p w14:paraId="52A551D3" w14:textId="0535DCF3" w:rsidR="009A7BF8" w:rsidRDefault="009524DE" w:rsidP="009A7BF8">
            <w:pPr>
              <w:pStyle w:val="BoxListBullet"/>
            </w:pPr>
            <w:r>
              <w:t xml:space="preserve">BLADE </w:t>
            </w:r>
            <w:r w:rsidR="00A345B8">
              <w:t>is a valuable resource</w:t>
            </w:r>
            <w:r>
              <w:t xml:space="preserve"> for competition analysis, entry and survival, disaggregation of macro business trends</w:t>
            </w:r>
            <w:r w:rsidR="00A345B8">
              <w:t>, as well as understanding industry characteristics not easily available in other datasets</w:t>
            </w:r>
            <w:r>
              <w:t>.</w:t>
            </w:r>
            <w:r w:rsidR="004E59EA">
              <w:t xml:space="preserve"> Many of BLADE’s other applications can be interpreted at face value without extensive modelling. </w:t>
            </w:r>
          </w:p>
          <w:p w14:paraId="79C9F034" w14:textId="05B99FDD" w:rsidR="00922A05" w:rsidRDefault="00922A05" w:rsidP="009A7BF8">
            <w:pPr>
              <w:pStyle w:val="BoxListBullet"/>
            </w:pPr>
            <w:r>
              <w:t xml:space="preserve">A key challenge </w:t>
            </w:r>
            <w:r w:rsidR="00A345B8">
              <w:t xml:space="preserve">for all administrative datasets </w:t>
            </w:r>
            <w:r>
              <w:t>lies in the economic interpretation of data that is collected for</w:t>
            </w:r>
            <w:r w:rsidR="00382EEF">
              <w:t xml:space="preserve"> administrative purposes. </w:t>
            </w:r>
            <w:r w:rsidR="00061B7B">
              <w:rPr>
                <w:lang w:eastAsia="en-US"/>
              </w:rPr>
              <w:t>Seemingly</w:t>
            </w:r>
            <w:r w:rsidR="003B05C1">
              <w:rPr>
                <w:lang w:eastAsia="en-US"/>
              </w:rPr>
              <w:t xml:space="preserve"> </w:t>
            </w:r>
            <w:r w:rsidR="003012AD">
              <w:t xml:space="preserve">simple concepts such as ‘revenue’ or ‘profit’ have different meanings in the contexts of accounting and economic analysis. </w:t>
            </w:r>
          </w:p>
          <w:p w14:paraId="2B40EB0A" w14:textId="0A10AB5A" w:rsidR="004E59EA" w:rsidRDefault="005748CE" w:rsidP="004E59EA">
            <w:pPr>
              <w:pStyle w:val="BoxListBullet"/>
            </w:pPr>
            <w:r>
              <w:t>BLADE poses technical hurdles</w:t>
            </w:r>
            <w:r w:rsidR="004E59EA">
              <w:t xml:space="preserve"> for prospective researchers</w:t>
            </w:r>
            <w:r>
              <w:t xml:space="preserve"> — the volume, administrative format and many </w:t>
            </w:r>
            <w:r w:rsidR="00175CDB">
              <w:t xml:space="preserve">non-reported </w:t>
            </w:r>
            <w:r>
              <w:t>value</w:t>
            </w:r>
            <w:r w:rsidR="004E59EA">
              <w:t>s</w:t>
            </w:r>
            <w:r>
              <w:t xml:space="preserve"> can </w:t>
            </w:r>
            <w:r w:rsidR="004E59EA">
              <w:t>bog down even simple analysis.</w:t>
            </w:r>
          </w:p>
          <w:p w14:paraId="7DDBE7D8" w14:textId="1A6D3A49" w:rsidR="00BF4213" w:rsidRDefault="00203F49" w:rsidP="00BF4213">
            <w:pPr>
              <w:pStyle w:val="BoxListBullet2"/>
              <w:ind w:left="568" w:hanging="284"/>
            </w:pPr>
            <w:r>
              <w:t>Many of the</w:t>
            </w:r>
            <w:r w:rsidR="00F51876">
              <w:t xml:space="preserve"> variables</w:t>
            </w:r>
            <w:r w:rsidR="00B66EB0">
              <w:t xml:space="preserve"> in BLADE</w:t>
            </w:r>
            <w:r w:rsidR="00F51876">
              <w:t xml:space="preserve"> </w:t>
            </w:r>
            <w:r>
              <w:t xml:space="preserve">that would be of interest to researchers (for example those taken from surveys) </w:t>
            </w:r>
            <w:r w:rsidR="00F51876">
              <w:t xml:space="preserve">are </w:t>
            </w:r>
            <w:r w:rsidR="00C507B5">
              <w:t>not</w:t>
            </w:r>
            <w:r w:rsidR="00BB1C1D">
              <w:t xml:space="preserve"> reported</w:t>
            </w:r>
            <w:r w:rsidR="00C507B5">
              <w:t xml:space="preserve"> </w:t>
            </w:r>
            <w:r w:rsidR="00F51876">
              <w:t xml:space="preserve">for </w:t>
            </w:r>
            <w:r w:rsidR="00714AF8">
              <w:t xml:space="preserve">a large portion of firms </w:t>
            </w:r>
            <w:r w:rsidR="00B66EB0">
              <w:t>and either have to be imputed or else lose a large portion of the observations.</w:t>
            </w:r>
          </w:p>
          <w:p w14:paraId="6A3D2622" w14:textId="33DC2C21" w:rsidR="00B66EB0" w:rsidRDefault="00203F49" w:rsidP="00BF4213">
            <w:pPr>
              <w:pStyle w:val="BoxListBullet2"/>
              <w:ind w:left="568" w:hanging="284"/>
            </w:pPr>
            <w:r>
              <w:t xml:space="preserve">Components of the </w:t>
            </w:r>
            <w:r w:rsidR="00CC0506">
              <w:t>dataset</w:t>
            </w:r>
            <w:r>
              <w:t xml:space="preserve"> (like many linked datasets)</w:t>
            </w:r>
            <w:r w:rsidR="00CC0506">
              <w:t xml:space="preserve"> </w:t>
            </w:r>
            <w:r w:rsidR="00B1698D">
              <w:t xml:space="preserve">need to </w:t>
            </w:r>
            <w:r w:rsidR="00A51D23">
              <w:t xml:space="preserve">be </w:t>
            </w:r>
            <w:r>
              <w:t>merged</w:t>
            </w:r>
            <w:r w:rsidR="00B1698D">
              <w:t xml:space="preserve"> by individual researchers</w:t>
            </w:r>
            <w:r w:rsidR="009E717C">
              <w:t xml:space="preserve">. </w:t>
            </w:r>
            <w:r w:rsidR="00691689">
              <w:t xml:space="preserve">In practice, this </w:t>
            </w:r>
            <w:r>
              <w:t>can</w:t>
            </w:r>
            <w:r w:rsidR="00691689">
              <w:t xml:space="preserve"> lead to researchers using a fraction of the available data.</w:t>
            </w:r>
          </w:p>
          <w:p w14:paraId="74859ADF" w14:textId="1E0C4F90" w:rsidR="009524DE" w:rsidRDefault="00A51D23">
            <w:pPr>
              <w:pStyle w:val="BoxListBullet"/>
            </w:pPr>
            <w:r>
              <w:t>It is always important for researchers to be clear about their assumptions and understand their data. As BLADE is applied to more questions, researchers will build a greater understanding of its strengths and limitations</w:t>
            </w:r>
            <w:r w:rsidR="003E181E">
              <w:t xml:space="preserve">. </w:t>
            </w:r>
          </w:p>
        </w:tc>
      </w:tr>
      <w:tr w:rsidR="00EC3BC0" w14:paraId="35E67DBE" w14:textId="77777777" w:rsidTr="00EC3BC0">
        <w:tc>
          <w:tcPr>
            <w:tcW w:w="5000" w:type="pct"/>
            <w:tcBorders>
              <w:top w:val="nil"/>
              <w:left w:val="nil"/>
              <w:bottom w:val="single" w:sz="6" w:space="0" w:color="78A22F"/>
              <w:right w:val="nil"/>
            </w:tcBorders>
            <w:shd w:val="clear" w:color="auto" w:fill="F2F2F2"/>
          </w:tcPr>
          <w:p w14:paraId="64A55624" w14:textId="77777777" w:rsidR="00EC3BC0" w:rsidRDefault="00EC3BC0">
            <w:pPr>
              <w:pStyle w:val="Box"/>
              <w:spacing w:before="0" w:line="120" w:lineRule="exact"/>
            </w:pPr>
          </w:p>
        </w:tc>
      </w:tr>
      <w:tr w:rsidR="00EC3BC0" w:rsidRPr="000863A5" w14:paraId="5961AD2E" w14:textId="77777777" w:rsidTr="00EC3BC0">
        <w:tc>
          <w:tcPr>
            <w:tcW w:w="5000" w:type="pct"/>
            <w:tcBorders>
              <w:top w:val="single" w:sz="6" w:space="0" w:color="78A22F"/>
              <w:left w:val="nil"/>
              <w:bottom w:val="nil"/>
              <w:right w:val="nil"/>
            </w:tcBorders>
          </w:tcPr>
          <w:p w14:paraId="6672B39E" w14:textId="2BA4BE44" w:rsidR="00EC3BC0" w:rsidRPr="00626D32" w:rsidRDefault="00EC3BC0" w:rsidP="00EC3BC0">
            <w:pPr>
              <w:pStyle w:val="BoxSpaceBelow"/>
            </w:pPr>
          </w:p>
        </w:tc>
      </w:tr>
    </w:tbl>
    <w:p w14:paraId="133DB66C" w14:textId="7D1ECDAA" w:rsidR="0032343B" w:rsidRDefault="00CC45B1" w:rsidP="00120072">
      <w:pPr>
        <w:pStyle w:val="BodyText"/>
      </w:pPr>
      <w:r>
        <w:lastRenderedPageBreak/>
        <w:t xml:space="preserve">This paper provides an overview of the </w:t>
      </w:r>
      <w:r w:rsidRPr="00380BBC">
        <w:t>Business Longitudinal Analysis Data Environment</w:t>
      </w:r>
      <w:r>
        <w:t xml:space="preserve"> </w:t>
      </w:r>
      <w:r w:rsidRPr="00380BBC">
        <w:t>(BLADE)</w:t>
      </w:r>
      <w:r>
        <w:t xml:space="preserve">, its </w:t>
      </w:r>
      <w:r w:rsidR="00930C0E">
        <w:t xml:space="preserve">potential uses </w:t>
      </w:r>
      <w:r w:rsidR="005F09BE">
        <w:t>as a research tool and</w:t>
      </w:r>
      <w:r>
        <w:t xml:space="preserve"> its limitations. </w:t>
      </w:r>
      <w:r w:rsidR="008C4C46" w:rsidRPr="008C4C46">
        <w:t>The overview is based on examination by Commission staff during 2019 of the potential use of BLADE to inform Commission analysis</w:t>
      </w:r>
      <w:r w:rsidR="008C4C46">
        <w:t>.</w:t>
      </w:r>
    </w:p>
    <w:p w14:paraId="64E941E3" w14:textId="1B197D33" w:rsidR="00C81370" w:rsidRDefault="003A0E88" w:rsidP="00120072">
      <w:pPr>
        <w:pStyle w:val="BodyText"/>
      </w:pPr>
      <w:r>
        <w:t>BLADE is</w:t>
      </w:r>
      <w:r w:rsidR="00C70EB5">
        <w:t xml:space="preserve"> a</w:t>
      </w:r>
      <w:r>
        <w:t xml:space="preserve"> valuable resource for </w:t>
      </w:r>
      <w:r w:rsidR="00C70EB5">
        <w:t xml:space="preserve">economic </w:t>
      </w:r>
      <w:r>
        <w:t>research</w:t>
      </w:r>
      <w:r w:rsidR="00A51E6C">
        <w:t>.</w:t>
      </w:r>
      <w:r w:rsidR="00592BE7">
        <w:t xml:space="preserve"> BLADE’s strength lies in being</w:t>
      </w:r>
      <w:r w:rsidR="009C67F6">
        <w:t>, in effect,</w:t>
      </w:r>
      <w:r w:rsidR="00592BE7">
        <w:t xml:space="preserve"> a census of financial information on all Australian firms </w:t>
      </w:r>
      <w:r w:rsidR="00602577">
        <w:t>between 2001</w:t>
      </w:r>
      <w:r w:rsidR="009F728D">
        <w:noBreakHyphen/>
      </w:r>
      <w:r w:rsidR="00602577">
        <w:t xml:space="preserve">02 and </w:t>
      </w:r>
      <w:r w:rsidR="006118E1">
        <w:t>2018</w:t>
      </w:r>
      <w:r w:rsidR="009C67F6">
        <w:noBreakHyphen/>
      </w:r>
      <w:r w:rsidR="006118E1">
        <w:t xml:space="preserve">19 </w:t>
      </w:r>
      <w:r w:rsidR="00B104CC">
        <w:t>(ongoing)</w:t>
      </w:r>
      <w:r w:rsidR="006118E1">
        <w:t xml:space="preserve"> </w:t>
      </w:r>
      <w:r w:rsidR="005F7A01">
        <w:t xml:space="preserve">as reported to the </w:t>
      </w:r>
      <w:r w:rsidR="009C67F6">
        <w:t>Australian Tax Office (ATO)</w:t>
      </w:r>
      <w:r w:rsidR="00592BE7">
        <w:t xml:space="preserve">, with much of this data also </w:t>
      </w:r>
      <w:r w:rsidR="005F7A01">
        <w:t xml:space="preserve">linked </w:t>
      </w:r>
      <w:r w:rsidR="00592BE7">
        <w:t xml:space="preserve">to important ABS economic surveys. </w:t>
      </w:r>
      <w:r w:rsidR="00C81370">
        <w:t xml:space="preserve">This dataset </w:t>
      </w:r>
      <w:r w:rsidR="004A3D94">
        <w:t>has</w:t>
      </w:r>
      <w:r w:rsidR="00C81370">
        <w:t xml:space="preserve"> </w:t>
      </w:r>
      <w:r w:rsidR="55928AE5">
        <w:t>several</w:t>
      </w:r>
      <w:r w:rsidR="00C81370">
        <w:t xml:space="preserve"> </w:t>
      </w:r>
      <w:r w:rsidR="00693CAA">
        <w:t xml:space="preserve">advantages </w:t>
      </w:r>
      <w:r w:rsidR="00C81370">
        <w:t>over alternatives.</w:t>
      </w:r>
    </w:p>
    <w:p w14:paraId="596E8D32" w14:textId="700E6684" w:rsidR="005F7A01" w:rsidRPr="00B94862" w:rsidRDefault="00C81370">
      <w:pPr>
        <w:pStyle w:val="ListBullet"/>
        <w:rPr>
          <w:spacing w:val="-4"/>
        </w:rPr>
      </w:pPr>
      <w:r w:rsidRPr="00B94862">
        <w:rPr>
          <w:spacing w:val="-4"/>
        </w:rPr>
        <w:t>Compared with ABS industry productivity data</w:t>
      </w:r>
      <w:r w:rsidR="00102406" w:rsidRPr="00B94862">
        <w:rPr>
          <w:spacing w:val="-4"/>
        </w:rPr>
        <w:t xml:space="preserve">, firm level data provide more precise </w:t>
      </w:r>
      <w:r w:rsidR="004A3D94" w:rsidRPr="00B94862">
        <w:rPr>
          <w:spacing w:val="-4"/>
        </w:rPr>
        <w:t xml:space="preserve">analysis </w:t>
      </w:r>
      <w:r w:rsidR="00C24079" w:rsidRPr="00B94862">
        <w:rPr>
          <w:spacing w:val="-4"/>
        </w:rPr>
        <w:t xml:space="preserve">on how individual </w:t>
      </w:r>
      <w:r w:rsidR="00102406" w:rsidRPr="00B94862">
        <w:rPr>
          <w:spacing w:val="-4"/>
        </w:rPr>
        <w:t xml:space="preserve">businesses </w:t>
      </w:r>
      <w:r w:rsidR="004A3D94" w:rsidRPr="00B94862">
        <w:rPr>
          <w:spacing w:val="-4"/>
        </w:rPr>
        <w:t xml:space="preserve">are affected </w:t>
      </w:r>
      <w:r w:rsidR="00102406" w:rsidRPr="00B94862">
        <w:rPr>
          <w:spacing w:val="-4"/>
        </w:rPr>
        <w:t>differently</w:t>
      </w:r>
      <w:r w:rsidR="004A3D94" w:rsidRPr="00B94862">
        <w:rPr>
          <w:spacing w:val="-4"/>
        </w:rPr>
        <w:t xml:space="preserve"> by policies or economic conditions</w:t>
      </w:r>
      <w:r w:rsidR="00102406" w:rsidRPr="00B94862">
        <w:rPr>
          <w:spacing w:val="-4"/>
        </w:rPr>
        <w:t>. For example, some businesses</w:t>
      </w:r>
      <w:r w:rsidR="007939D4" w:rsidRPr="00B94862">
        <w:rPr>
          <w:spacing w:val="-4"/>
        </w:rPr>
        <w:t xml:space="preserve"> may</w:t>
      </w:r>
      <w:r w:rsidR="00102406" w:rsidRPr="00B94862">
        <w:rPr>
          <w:spacing w:val="-4"/>
        </w:rPr>
        <w:t xml:space="preserve"> participate in a government program and others </w:t>
      </w:r>
      <w:r w:rsidR="007939D4" w:rsidRPr="00B94862">
        <w:rPr>
          <w:spacing w:val="-4"/>
        </w:rPr>
        <w:t>may</w:t>
      </w:r>
      <w:r w:rsidR="00102406" w:rsidRPr="00B94862">
        <w:rPr>
          <w:spacing w:val="-4"/>
        </w:rPr>
        <w:t xml:space="preserve"> not, and some businesses may be affected by prudential constraints on bank lending more than others.</w:t>
      </w:r>
      <w:r w:rsidR="00693CAA" w:rsidRPr="00B94862">
        <w:rPr>
          <w:spacing w:val="-4"/>
        </w:rPr>
        <w:t xml:space="preserve"> It also allows an understanding of the effects of firm entry and exit.</w:t>
      </w:r>
    </w:p>
    <w:p w14:paraId="5466E94E" w14:textId="5EA6F6DE" w:rsidR="004B388E" w:rsidRDefault="004B388E" w:rsidP="00C6604F">
      <w:pPr>
        <w:pStyle w:val="ListBullet"/>
      </w:pPr>
      <w:r>
        <w:t>Compared with ABS</w:t>
      </w:r>
      <w:r w:rsidR="00201B41">
        <w:t xml:space="preserve"> business</w:t>
      </w:r>
      <w:r>
        <w:t xml:space="preserve"> surveys, BLADE has greater coverage and scope</w:t>
      </w:r>
      <w:r w:rsidR="00201B41">
        <w:t xml:space="preserve">. And many key ABS </w:t>
      </w:r>
      <w:r w:rsidR="00971879">
        <w:t>businesses</w:t>
      </w:r>
      <w:r w:rsidR="00201B41">
        <w:t xml:space="preserve"> surveys are themselves linked to BLADE.</w:t>
      </w:r>
    </w:p>
    <w:p w14:paraId="660DB9F8" w14:textId="4EA8AF4A" w:rsidR="00C81370" w:rsidRDefault="00C81370" w:rsidP="00C6604F">
      <w:pPr>
        <w:pStyle w:val="ListBullet"/>
      </w:pPr>
      <w:r>
        <w:t xml:space="preserve">Compared with commercial datasets drawn from public company annual reports, BLADE has much broader coverage including small private companies and unincorporated businesses. The linkage to ABS surveys </w:t>
      </w:r>
      <w:r w:rsidR="00102406">
        <w:t>also provides data on drivers of productivity growth (such as innovation, R&amp;D, management capability) not available from annual reports.</w:t>
      </w:r>
    </w:p>
    <w:p w14:paraId="3536D752" w14:textId="50F076AA" w:rsidR="00C81370" w:rsidRDefault="00C81370">
      <w:pPr>
        <w:pStyle w:val="ListBullet"/>
      </w:pPr>
      <w:r>
        <w:t xml:space="preserve">Compared with custom surveys, ABS surveys have much higher response rates as </w:t>
      </w:r>
      <w:r w:rsidR="00971879">
        <w:t>businesses</w:t>
      </w:r>
      <w:r>
        <w:t xml:space="preserve"> are legally compelled to respond.</w:t>
      </w:r>
    </w:p>
    <w:p w14:paraId="418C189D" w14:textId="7CD7AF45" w:rsidR="00592BE7" w:rsidRPr="00DC70C6" w:rsidRDefault="004A3D94" w:rsidP="00120072">
      <w:pPr>
        <w:pStyle w:val="BodyText"/>
        <w:rPr>
          <w:spacing w:val="-2"/>
        </w:rPr>
      </w:pPr>
      <w:r w:rsidRPr="00DC70C6">
        <w:rPr>
          <w:spacing w:val="-2"/>
        </w:rPr>
        <w:t xml:space="preserve">On the other hand, </w:t>
      </w:r>
      <w:r w:rsidR="00160EE0" w:rsidRPr="00DC70C6">
        <w:rPr>
          <w:spacing w:val="-2"/>
        </w:rPr>
        <w:t>BLADE also has some limitations. For example, with</w:t>
      </w:r>
      <w:r w:rsidR="00592BE7" w:rsidRPr="00DC70C6">
        <w:rPr>
          <w:spacing w:val="-2"/>
        </w:rPr>
        <w:t xml:space="preserve"> 135 million observations split over </w:t>
      </w:r>
      <w:r w:rsidR="0057527C" w:rsidRPr="00DC70C6">
        <w:rPr>
          <w:spacing w:val="-2"/>
        </w:rPr>
        <w:t>71</w:t>
      </w:r>
      <w:r w:rsidR="00554C0D" w:rsidRPr="00DC70C6">
        <w:rPr>
          <w:spacing w:val="-2"/>
        </w:rPr>
        <w:t xml:space="preserve"> </w:t>
      </w:r>
      <w:r w:rsidR="00592BE7" w:rsidRPr="00DC70C6">
        <w:rPr>
          <w:spacing w:val="-2"/>
        </w:rPr>
        <w:t>separate files</w:t>
      </w:r>
      <w:r w:rsidR="00160EE0" w:rsidRPr="00DC70C6">
        <w:rPr>
          <w:spacing w:val="-2"/>
        </w:rPr>
        <w:t xml:space="preserve">, it can be </w:t>
      </w:r>
      <w:r w:rsidR="41F76C3C" w:rsidRPr="00DC70C6">
        <w:rPr>
          <w:spacing w:val="-2"/>
        </w:rPr>
        <w:t>unwieldy,</w:t>
      </w:r>
      <w:r w:rsidR="00592BE7" w:rsidRPr="00DC70C6">
        <w:rPr>
          <w:spacing w:val="-2"/>
        </w:rPr>
        <w:t xml:space="preserve"> </w:t>
      </w:r>
      <w:r w:rsidR="00160EE0" w:rsidRPr="00DC70C6">
        <w:rPr>
          <w:spacing w:val="-2"/>
        </w:rPr>
        <w:t>and researchers generally only use a fraction of the available data</w:t>
      </w:r>
      <w:r w:rsidR="00592BE7" w:rsidRPr="00DC70C6">
        <w:rPr>
          <w:spacing w:val="-2"/>
        </w:rPr>
        <w:t xml:space="preserve">. </w:t>
      </w:r>
      <w:r w:rsidR="00160EE0" w:rsidRPr="00DC70C6">
        <w:rPr>
          <w:spacing w:val="-2"/>
        </w:rPr>
        <w:t>Some</w:t>
      </w:r>
      <w:r w:rsidR="00592BE7" w:rsidRPr="00DC70C6">
        <w:rPr>
          <w:spacing w:val="-2"/>
        </w:rPr>
        <w:t xml:space="preserve"> important variables </w:t>
      </w:r>
      <w:r w:rsidR="00BB1C1D" w:rsidRPr="00DC70C6">
        <w:rPr>
          <w:spacing w:val="-2"/>
        </w:rPr>
        <w:t>do not exist</w:t>
      </w:r>
      <w:r w:rsidR="00592BE7" w:rsidRPr="00DC70C6">
        <w:rPr>
          <w:spacing w:val="-2"/>
        </w:rPr>
        <w:t xml:space="preserve"> for either a large portion of firms</w:t>
      </w:r>
      <w:r w:rsidR="00501730" w:rsidRPr="00DC70C6">
        <w:rPr>
          <w:spacing w:val="-2"/>
        </w:rPr>
        <w:t xml:space="preserve"> (for example, employment is missing for many firms, some of whom may employ people in reality; survey variables are only present for those firms included in the survey)</w:t>
      </w:r>
      <w:r w:rsidR="00592BE7" w:rsidRPr="00DC70C6">
        <w:rPr>
          <w:spacing w:val="-2"/>
        </w:rPr>
        <w:t xml:space="preserve">. Being mostly tax data, with </w:t>
      </w:r>
      <w:r w:rsidR="009524DE" w:rsidRPr="00DC70C6">
        <w:rPr>
          <w:spacing w:val="-2"/>
        </w:rPr>
        <w:t>no</w:t>
      </w:r>
      <w:r w:rsidR="00592BE7" w:rsidRPr="00DC70C6">
        <w:rPr>
          <w:spacing w:val="-2"/>
        </w:rPr>
        <w:t xml:space="preserve"> quantity or price measures, the dataset </w:t>
      </w:r>
      <w:r w:rsidR="00160EE0" w:rsidRPr="00DC70C6">
        <w:rPr>
          <w:spacing w:val="-2"/>
        </w:rPr>
        <w:t>has limitations for</w:t>
      </w:r>
      <w:r w:rsidR="00592BE7" w:rsidRPr="00DC70C6">
        <w:rPr>
          <w:spacing w:val="-2"/>
        </w:rPr>
        <w:t xml:space="preserve"> productivity analysis or calculating </w:t>
      </w:r>
      <w:proofErr w:type="spellStart"/>
      <w:r w:rsidR="00592BE7" w:rsidRPr="00DC70C6">
        <w:rPr>
          <w:spacing w:val="-2"/>
        </w:rPr>
        <w:t>markup</w:t>
      </w:r>
      <w:r w:rsidR="00160EE0" w:rsidRPr="00DC70C6">
        <w:rPr>
          <w:spacing w:val="-2"/>
        </w:rPr>
        <w:t>s</w:t>
      </w:r>
      <w:proofErr w:type="spellEnd"/>
      <w:r w:rsidR="00592BE7" w:rsidRPr="00DC70C6">
        <w:rPr>
          <w:spacing w:val="-2"/>
        </w:rPr>
        <w:t>.</w:t>
      </w:r>
      <w:r w:rsidR="00160EE0" w:rsidRPr="00DC70C6">
        <w:rPr>
          <w:spacing w:val="-2"/>
        </w:rPr>
        <w:t xml:space="preserve"> These issues are discussed in more detail below.</w:t>
      </w:r>
    </w:p>
    <w:p w14:paraId="36990E89" w14:textId="77777777" w:rsidR="00666E02" w:rsidRDefault="00E1469D" w:rsidP="00BB5E50">
      <w:pPr>
        <w:pStyle w:val="Heading2"/>
        <w:tabs>
          <w:tab w:val="left" w:pos="3563"/>
        </w:tabs>
      </w:pPr>
      <w:bookmarkStart w:id="11" w:name="_Toc70321926"/>
      <w:r>
        <w:t>O</w:t>
      </w:r>
      <w:r w:rsidR="00A84062">
        <w:t>verview</w:t>
      </w:r>
      <w:bookmarkEnd w:id="11"/>
    </w:p>
    <w:p w14:paraId="28CF6CE5" w14:textId="49B6C79A" w:rsidR="00A6570B" w:rsidRDefault="00CC45B1" w:rsidP="00A84062">
      <w:pPr>
        <w:pStyle w:val="BodyText"/>
      </w:pPr>
      <w:r>
        <w:t>BLADE</w:t>
      </w:r>
      <w:r w:rsidR="00380BBC">
        <w:t xml:space="preserve"> </w:t>
      </w:r>
      <w:r w:rsidR="00105A15">
        <w:t>has been funded in recent years by the</w:t>
      </w:r>
      <w:r w:rsidR="00380BBC">
        <w:t xml:space="preserve"> Data Integration Partnership for Australia</w:t>
      </w:r>
      <w:r w:rsidR="00105A15">
        <w:t>, while early development was funded by the Department of Industry, Science</w:t>
      </w:r>
      <w:r w:rsidR="00D32BD0">
        <w:t>, Energy and Resources</w:t>
      </w:r>
      <w:r w:rsidR="00105A15">
        <w:t xml:space="preserve"> (DIS</w:t>
      </w:r>
      <w:r w:rsidR="00BC5F66">
        <w:t>ER</w:t>
      </w:r>
      <w:r w:rsidR="00105A15">
        <w:t>)</w:t>
      </w:r>
      <w:r w:rsidR="00380BBC">
        <w:t xml:space="preserve">. </w:t>
      </w:r>
      <w:r w:rsidR="00105A15">
        <w:t>Development priorities are</w:t>
      </w:r>
      <w:r w:rsidR="00226161">
        <w:t xml:space="preserve"> proposed by the ABS and discussed with the BLADE Technical Advisory Group. </w:t>
      </w:r>
    </w:p>
    <w:p w14:paraId="7C2039BB" w14:textId="5647E230" w:rsidR="00724712" w:rsidRDefault="00724712" w:rsidP="00A84062">
      <w:pPr>
        <w:pStyle w:val="BodyText"/>
      </w:pPr>
      <w:r>
        <w:lastRenderedPageBreak/>
        <w:t xml:space="preserve">BLADE consists of two parts: a ‘core’ component made up of ATO </w:t>
      </w:r>
      <w:r w:rsidR="003D7139">
        <w:t xml:space="preserve">data, and various </w:t>
      </w:r>
      <w:r w:rsidR="00D97071">
        <w:t>‘</w:t>
      </w:r>
      <w:r w:rsidR="003D7139">
        <w:t>modules</w:t>
      </w:r>
      <w:r w:rsidR="00D97071">
        <w:t>’ that are a mix of ABS business surveys and administrative data from other agencies (such as IP Australia).</w:t>
      </w:r>
    </w:p>
    <w:p w14:paraId="38915FD7" w14:textId="77777777" w:rsidR="00E1469D" w:rsidRDefault="00E1469D" w:rsidP="00EC3BC0">
      <w:pPr>
        <w:pStyle w:val="Heading3"/>
      </w:pPr>
      <w:r>
        <w:t>The Core</w:t>
      </w:r>
    </w:p>
    <w:p w14:paraId="27C080D8" w14:textId="77777777" w:rsidR="00C93557" w:rsidRDefault="00A6570B" w:rsidP="00A6570B">
      <w:pPr>
        <w:pStyle w:val="BodyText"/>
      </w:pPr>
      <w:r>
        <w:t>BLADE core contains tax information from</w:t>
      </w:r>
      <w:r w:rsidR="00C93557">
        <w:t>:</w:t>
      </w:r>
    </w:p>
    <w:p w14:paraId="4FA583D3" w14:textId="58864AEF" w:rsidR="00C93557" w:rsidRDefault="00A6570B" w:rsidP="00C93557">
      <w:pPr>
        <w:pStyle w:val="ListBullet"/>
      </w:pPr>
      <w:r>
        <w:t xml:space="preserve">Business Activity Statements (BAS, </w:t>
      </w:r>
      <w:r w:rsidR="004A3D94">
        <w:t xml:space="preserve">a form </w:t>
      </w:r>
      <w:r>
        <w:t>used to collect GST</w:t>
      </w:r>
      <w:r w:rsidR="004A3D94">
        <w:t>, which focusses on current revenues and expenses</w:t>
      </w:r>
      <w:r>
        <w:t>)</w:t>
      </w:r>
    </w:p>
    <w:p w14:paraId="7D3C1794" w14:textId="32F5A278" w:rsidR="00C93557" w:rsidRDefault="00A6570B" w:rsidP="00C93557">
      <w:pPr>
        <w:pStyle w:val="ListBullet"/>
      </w:pPr>
      <w:r>
        <w:t xml:space="preserve">Business Income Tax statements (BIT, </w:t>
      </w:r>
      <w:r w:rsidR="004A3D94">
        <w:t xml:space="preserve">a form </w:t>
      </w:r>
      <w:r>
        <w:t>used to collect business income tax</w:t>
      </w:r>
      <w:r w:rsidR="004A3D94">
        <w:t>, which includes additional balance sheet information</w:t>
      </w:r>
      <w:r>
        <w:t xml:space="preserve">) </w:t>
      </w:r>
    </w:p>
    <w:p w14:paraId="0A577DD7" w14:textId="1466A1CC" w:rsidR="00C93557" w:rsidRDefault="00A6570B" w:rsidP="00C93557">
      <w:pPr>
        <w:pStyle w:val="ListBullet"/>
      </w:pPr>
      <w:r>
        <w:t xml:space="preserve">Pay </w:t>
      </w:r>
      <w:proofErr w:type="gramStart"/>
      <w:r>
        <w:t>As</w:t>
      </w:r>
      <w:proofErr w:type="gramEnd"/>
      <w:r>
        <w:t xml:space="preserve"> You Go </w:t>
      </w:r>
      <w:r w:rsidR="00A11B4D">
        <w:t>statements</w:t>
      </w:r>
      <w:r>
        <w:t xml:space="preserve"> (PAYG, used to withhold income tax from employees). </w:t>
      </w:r>
    </w:p>
    <w:p w14:paraId="3C167BFE" w14:textId="6FC61429" w:rsidR="00A6570B" w:rsidRDefault="00A6570B" w:rsidP="00934014">
      <w:pPr>
        <w:pStyle w:val="BodyText"/>
      </w:pPr>
      <w:r>
        <w:t xml:space="preserve">These tax data are merged through the ABS business register (FRAME) </w:t>
      </w:r>
      <w:r w:rsidR="008D08BD">
        <w:t xml:space="preserve">that </w:t>
      </w:r>
      <w:r>
        <w:t xml:space="preserve">provides demographic data such as geography, firm creation date and business group identifiers. </w:t>
      </w:r>
    </w:p>
    <w:p w14:paraId="459FA4A7" w14:textId="4836067E" w:rsidR="003238EF" w:rsidRDefault="003238EF" w:rsidP="00A6570B">
      <w:pPr>
        <w:pStyle w:val="BodyText"/>
      </w:pPr>
      <w:r>
        <w:t xml:space="preserve">The coverage of each of these tax datasets </w:t>
      </w:r>
      <w:r w:rsidR="00602577">
        <w:t>varies</w:t>
      </w:r>
      <w:r>
        <w:t xml:space="preserve"> (figure 1). By far the most complete dataset is the BAS</w:t>
      </w:r>
      <w:r w:rsidR="008E3128">
        <w:t>,</w:t>
      </w:r>
      <w:r>
        <w:t xml:space="preserve"> which </w:t>
      </w:r>
      <w:r w:rsidR="008E3128">
        <w:t xml:space="preserve">covers </w:t>
      </w:r>
      <w:r w:rsidR="253C8199">
        <w:t>most</w:t>
      </w:r>
      <w:r>
        <w:t xml:space="preserve"> active firms, followed by BIT and then PAYG. There has also been a tendency for the coverage of the BAS to increase over time (</w:t>
      </w:r>
      <w:r w:rsidR="00FC64A5">
        <w:t xml:space="preserve">possibly </w:t>
      </w:r>
      <w:r>
        <w:t xml:space="preserve">reflecting </w:t>
      </w:r>
      <w:r w:rsidR="00FC64A5">
        <w:t>a fixed nominal reporting threshold since 2008</w:t>
      </w:r>
      <w:r>
        <w:t>), with the other two</w:t>
      </w:r>
      <w:r w:rsidR="002672EF">
        <w:t xml:space="preserve"> tax</w:t>
      </w:r>
      <w:r>
        <w:t xml:space="preserve"> </w:t>
      </w:r>
      <w:r w:rsidR="002672EF">
        <w:t>dataset’s proportional</w:t>
      </w:r>
      <w:r>
        <w:t xml:space="preserve"> coverage remaining about the same (table 1).</w:t>
      </w:r>
      <w:r w:rsidR="0036178D">
        <w:t xml:space="preserve"> It is worth noting that the FRAME column in table 1 does not represent the number of firms that would be expected in any given </w:t>
      </w:r>
      <w:proofErr w:type="gramStart"/>
      <w:r w:rsidR="0036178D">
        <w:t>year, but</w:t>
      </w:r>
      <w:proofErr w:type="gramEnd"/>
      <w:r w:rsidR="0036178D">
        <w:t xml:space="preserve"> can be thought of in a loose sense as a representation of the total number of firms across all years (from the perspective of that given year).</w:t>
      </w:r>
    </w:p>
    <w:p w14:paraId="50453329" w14:textId="76C5394B" w:rsidR="006C313A" w:rsidRDefault="006C313A" w:rsidP="00A6570B">
      <w:pPr>
        <w:pStyle w:val="BodyText"/>
      </w:pPr>
      <w:r>
        <w:t xml:space="preserve">For </w:t>
      </w:r>
      <w:r w:rsidR="00D87D4F">
        <w:t xml:space="preserve">the </w:t>
      </w:r>
      <w:r>
        <w:t xml:space="preserve">reasons discussed below, most research </w:t>
      </w:r>
      <w:r w:rsidR="00DA7AB5">
        <w:t>to date</w:t>
      </w:r>
      <w:r>
        <w:t xml:space="preserve"> has only used a subset of BLADE core</w:t>
      </w:r>
      <w:r w:rsidR="008F26D6">
        <w:t xml:space="preserve">, typically </w:t>
      </w:r>
      <w:r w:rsidR="00604076">
        <w:t xml:space="preserve">including </w:t>
      </w:r>
      <w:r w:rsidR="00DA7AB5">
        <w:t xml:space="preserve">only one or two of the three datasets, or restricting their analysis to only a few </w:t>
      </w:r>
      <w:r w:rsidR="0036178D">
        <w:t>years’ worth</w:t>
      </w:r>
      <w:r w:rsidR="00DA7AB5">
        <w:t xml:space="preserve"> of data. </w:t>
      </w:r>
    </w:p>
    <w:p w14:paraId="187C6B4B" w14:textId="6A23F1AB" w:rsidR="003238EF" w:rsidRDefault="003238EF" w:rsidP="003238E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238EF" w14:paraId="151C895A" w14:textId="77777777" w:rsidTr="00A1443C">
        <w:trPr>
          <w:tblHeader/>
        </w:trPr>
        <w:tc>
          <w:tcPr>
            <w:tcW w:w="5000" w:type="pct"/>
            <w:tcBorders>
              <w:top w:val="single" w:sz="6" w:space="0" w:color="78A22F"/>
              <w:left w:val="nil"/>
              <w:bottom w:val="nil"/>
              <w:right w:val="nil"/>
            </w:tcBorders>
            <w:shd w:val="clear" w:color="auto" w:fill="auto"/>
          </w:tcPr>
          <w:p w14:paraId="782CE0CD" w14:textId="4F389856" w:rsidR="003238EF" w:rsidRDefault="003238EF" w:rsidP="00A1443C">
            <w:pPr>
              <w:pStyle w:val="FigureTitle"/>
            </w:pPr>
            <w:r w:rsidRPr="00784A05">
              <w:rPr>
                <w:b w:val="0"/>
              </w:rPr>
              <w:t xml:space="preserve">Figure </w:t>
            </w:r>
            <w:r w:rsidR="00A2529D">
              <w:rPr>
                <w:b w:val="0"/>
              </w:rPr>
              <w:t>1</w:t>
            </w:r>
            <w:r w:rsidR="00CA0775">
              <w:rPr>
                <w:b w:val="0"/>
              </w:rPr>
              <w:tab/>
            </w:r>
            <w:r w:rsidR="00F92304">
              <w:t>Some variables are recorded only for a minority of firms</w:t>
            </w:r>
          </w:p>
          <w:p w14:paraId="6CB92064" w14:textId="6DAA5E08" w:rsidR="003238EF" w:rsidRPr="00176D3F" w:rsidRDefault="00F92304" w:rsidP="00E1469D">
            <w:pPr>
              <w:pStyle w:val="Subtitle"/>
            </w:pPr>
            <w:r>
              <w:t>Proportion of firms contained in BAS, BIT and PAYG</w:t>
            </w:r>
            <w:r w:rsidRPr="00BB5E50">
              <w:rPr>
                <w:rStyle w:val="NoteLabel"/>
              </w:rPr>
              <w:t>a</w:t>
            </w:r>
            <w:r>
              <w:t xml:space="preserve"> (and overlaps) 201</w:t>
            </w:r>
            <w:r w:rsidR="00287F91">
              <w:t>7</w:t>
            </w:r>
            <w:r w:rsidR="009F728D">
              <w:noBreakHyphen/>
            </w:r>
            <w:r w:rsidR="00287F91">
              <w:t>18</w:t>
            </w:r>
          </w:p>
        </w:tc>
      </w:tr>
      <w:tr w:rsidR="003238EF" w14:paraId="571FDA79" w14:textId="77777777" w:rsidTr="00A1443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238EF" w:rsidRPr="00B1465D" w14:paraId="33ECD784" w14:textId="77777777" w:rsidTr="00A1443C">
              <w:trPr>
                <w:tblHeader/>
                <w:jc w:val="center"/>
              </w:trPr>
              <w:tc>
                <w:tcPr>
                  <w:tcW w:w="5000" w:type="pct"/>
                  <w:tcBorders>
                    <w:top w:val="nil"/>
                    <w:bottom w:val="nil"/>
                  </w:tcBorders>
                </w:tcPr>
                <w:p w14:paraId="02CE0044" w14:textId="57DE1774" w:rsidR="003238EF" w:rsidRPr="00B1465D" w:rsidRDefault="00CA0775" w:rsidP="00A1443C">
                  <w:pPr>
                    <w:pStyle w:val="Figure"/>
                    <w:spacing w:before="60" w:after="60"/>
                    <w:rPr>
                      <w:rFonts w:ascii="Arial" w:hAnsi="Arial" w:cs="Arial"/>
                      <w:sz w:val="18"/>
                      <w:szCs w:val="18"/>
                    </w:rPr>
                  </w:pPr>
                  <w:r w:rsidRPr="00CA0775">
                    <w:rPr>
                      <w:noProof/>
                    </w:rPr>
                    <w:drawing>
                      <wp:inline distT="0" distB="0" distL="0" distR="0" wp14:anchorId="7E369EFE" wp14:editId="107E7F05">
                        <wp:extent cx="2755265" cy="2505710"/>
                        <wp:effectExtent l="0" t="0" r="6985" b="8890"/>
                        <wp:docPr id="1" name="Picture 1" descr="BAS and BIT have reasonable overlap but there are few firms which appear in BAS, BIT and PA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S and BIT have reasonable overlap but there are few firms which appear in BAS, BIT and PAY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55265" cy="2505710"/>
                                </a:xfrm>
                                <a:prstGeom prst="rect">
                                  <a:avLst/>
                                </a:prstGeom>
                                <a:noFill/>
                                <a:ln>
                                  <a:noFill/>
                                </a:ln>
                              </pic:spPr>
                            </pic:pic>
                          </a:graphicData>
                        </a:graphic>
                      </wp:inline>
                    </w:drawing>
                  </w:r>
                </w:p>
              </w:tc>
            </w:tr>
          </w:tbl>
          <w:p w14:paraId="2014C03E" w14:textId="6C6F73A8" w:rsidR="003238EF" w:rsidRDefault="003238EF" w:rsidP="00A1443C">
            <w:pPr>
              <w:pStyle w:val="Figure"/>
            </w:pPr>
          </w:p>
        </w:tc>
      </w:tr>
      <w:tr w:rsidR="003238EF" w:rsidRPr="00176D3F" w14:paraId="1F8BE954" w14:textId="77777777" w:rsidTr="00A1443C">
        <w:tc>
          <w:tcPr>
            <w:tcW w:w="5000" w:type="pct"/>
            <w:tcBorders>
              <w:top w:val="nil"/>
              <w:left w:val="nil"/>
              <w:bottom w:val="nil"/>
              <w:right w:val="nil"/>
            </w:tcBorders>
            <w:shd w:val="clear" w:color="auto" w:fill="auto"/>
          </w:tcPr>
          <w:p w14:paraId="7C0D2686" w14:textId="77777777" w:rsidR="003238EF" w:rsidRPr="00176D3F" w:rsidRDefault="003238EF">
            <w:pPr>
              <w:pStyle w:val="Note"/>
            </w:pPr>
            <w:r>
              <w:rPr>
                <w:rStyle w:val="NoteLabel"/>
              </w:rPr>
              <w:t>a</w:t>
            </w:r>
            <w:r>
              <w:t xml:space="preserve"> </w:t>
            </w:r>
            <w:r w:rsidR="00F92304" w:rsidRPr="00DC70C6">
              <w:rPr>
                <w:spacing w:val="-4"/>
              </w:rPr>
              <w:t xml:space="preserve">BAS = Business Activity Statement, BIT = Business Income Tax statement, PAYG = Pay </w:t>
            </w:r>
            <w:proofErr w:type="gramStart"/>
            <w:r w:rsidR="00F92304" w:rsidRPr="00DC70C6">
              <w:rPr>
                <w:spacing w:val="-4"/>
              </w:rPr>
              <w:t>As</w:t>
            </w:r>
            <w:proofErr w:type="gramEnd"/>
            <w:r w:rsidR="00F92304" w:rsidRPr="00DC70C6">
              <w:rPr>
                <w:spacing w:val="-4"/>
              </w:rPr>
              <w:t xml:space="preserve"> You Go statements</w:t>
            </w:r>
            <w:r w:rsidRPr="00DC70C6">
              <w:rPr>
                <w:spacing w:val="-4"/>
              </w:rPr>
              <w:t>.</w:t>
            </w:r>
            <w:r>
              <w:t xml:space="preserve"> </w:t>
            </w:r>
          </w:p>
        </w:tc>
      </w:tr>
      <w:tr w:rsidR="003238EF" w:rsidRPr="00176D3F" w14:paraId="1D72FCCA" w14:textId="77777777" w:rsidTr="00A1443C">
        <w:tc>
          <w:tcPr>
            <w:tcW w:w="5000" w:type="pct"/>
            <w:tcBorders>
              <w:top w:val="nil"/>
              <w:left w:val="nil"/>
              <w:bottom w:val="nil"/>
              <w:right w:val="nil"/>
            </w:tcBorders>
            <w:shd w:val="clear" w:color="auto" w:fill="auto"/>
          </w:tcPr>
          <w:p w14:paraId="5582FEBA" w14:textId="77777777" w:rsidR="003238EF" w:rsidRPr="00176D3F" w:rsidRDefault="00B23341" w:rsidP="00A1443C">
            <w:pPr>
              <w:pStyle w:val="Source"/>
            </w:pPr>
            <w:r>
              <w:rPr>
                <w:i/>
              </w:rPr>
              <w:t>S</w:t>
            </w:r>
            <w:r w:rsidR="003238EF" w:rsidRPr="00784A05">
              <w:rPr>
                <w:i/>
              </w:rPr>
              <w:t>ource</w:t>
            </w:r>
            <w:r w:rsidR="003238EF" w:rsidRPr="00176D3F">
              <w:t xml:space="preserve">: </w:t>
            </w:r>
            <w:r>
              <w:t xml:space="preserve">Commission estimates using the </w:t>
            </w:r>
            <w:r w:rsidRPr="00B23341">
              <w:t>Business Longitudinal Analysis Data Environment (BLADE)</w:t>
            </w:r>
            <w:r>
              <w:t xml:space="preserve">. </w:t>
            </w:r>
          </w:p>
        </w:tc>
      </w:tr>
      <w:tr w:rsidR="003238EF" w14:paraId="64662124" w14:textId="77777777" w:rsidTr="00A1443C">
        <w:tc>
          <w:tcPr>
            <w:tcW w:w="5000" w:type="pct"/>
            <w:tcBorders>
              <w:top w:val="nil"/>
              <w:left w:val="nil"/>
              <w:bottom w:val="single" w:sz="6" w:space="0" w:color="78A22F"/>
              <w:right w:val="nil"/>
            </w:tcBorders>
            <w:shd w:val="clear" w:color="auto" w:fill="auto"/>
          </w:tcPr>
          <w:p w14:paraId="5F589557" w14:textId="77777777" w:rsidR="003238EF" w:rsidRDefault="003238EF" w:rsidP="00A1443C">
            <w:pPr>
              <w:pStyle w:val="Figurespace"/>
            </w:pPr>
          </w:p>
        </w:tc>
      </w:tr>
      <w:tr w:rsidR="003238EF" w:rsidRPr="000863A5" w14:paraId="019CA082" w14:textId="77777777" w:rsidTr="00A1443C">
        <w:tc>
          <w:tcPr>
            <w:tcW w:w="5000" w:type="pct"/>
            <w:tcBorders>
              <w:top w:val="single" w:sz="6" w:space="0" w:color="78A22F"/>
              <w:left w:val="nil"/>
              <w:bottom w:val="nil"/>
              <w:right w:val="nil"/>
            </w:tcBorders>
          </w:tcPr>
          <w:p w14:paraId="3D12498E" w14:textId="7FFB2B72" w:rsidR="003238EF" w:rsidRPr="00626D32" w:rsidRDefault="003238EF" w:rsidP="00A1443C">
            <w:pPr>
              <w:pStyle w:val="BoxSpaceBelow"/>
            </w:pPr>
          </w:p>
        </w:tc>
      </w:tr>
    </w:tbl>
    <w:p w14:paraId="70C65F7C" w14:textId="61BEBE0E" w:rsidR="003238EF" w:rsidRDefault="003238EF" w:rsidP="003238E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238EF" w14:paraId="2A663E9F" w14:textId="77777777" w:rsidTr="00F42514">
        <w:trPr>
          <w:tblHeader/>
        </w:trPr>
        <w:tc>
          <w:tcPr>
            <w:tcW w:w="5000" w:type="pct"/>
            <w:tcBorders>
              <w:top w:val="single" w:sz="6" w:space="0" w:color="78A22F"/>
              <w:left w:val="nil"/>
              <w:bottom w:val="nil"/>
              <w:right w:val="nil"/>
            </w:tcBorders>
            <w:shd w:val="clear" w:color="auto" w:fill="auto"/>
          </w:tcPr>
          <w:p w14:paraId="038BEF41" w14:textId="3C9E0192" w:rsidR="003238EF" w:rsidRPr="00784A05" w:rsidRDefault="003238EF" w:rsidP="00C6604F">
            <w:pPr>
              <w:pStyle w:val="TableTitle"/>
            </w:pPr>
            <w:r>
              <w:rPr>
                <w:b w:val="0"/>
              </w:rPr>
              <w:t xml:space="preserve">Table </w:t>
            </w:r>
            <w:bookmarkStart w:id="12" w:name="OLE_LINK1"/>
            <w:r w:rsidR="00935012">
              <w:rPr>
                <w:b w:val="0"/>
              </w:rPr>
              <w:t>1</w:t>
            </w:r>
            <w:bookmarkEnd w:id="12"/>
            <w:r>
              <w:tab/>
              <w:t>Number of firms by dataset</w:t>
            </w:r>
          </w:p>
        </w:tc>
      </w:tr>
      <w:tr w:rsidR="003238EF" w14:paraId="6D472A8E" w14:textId="77777777" w:rsidTr="00F42514">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2135"/>
              <w:gridCol w:w="1417"/>
              <w:gridCol w:w="1417"/>
              <w:gridCol w:w="1417"/>
              <w:gridCol w:w="2119"/>
            </w:tblGrid>
            <w:tr w:rsidR="00DC3EAE" w14:paraId="7070FD1B" w14:textId="77777777" w:rsidTr="004E1C69">
              <w:tc>
                <w:tcPr>
                  <w:tcW w:w="1255" w:type="pct"/>
                  <w:tcBorders>
                    <w:top w:val="single" w:sz="4" w:space="0" w:color="BFBFBF"/>
                    <w:bottom w:val="single" w:sz="4" w:space="0" w:color="BFBFBF"/>
                  </w:tcBorders>
                  <w:shd w:val="clear" w:color="auto" w:fill="auto"/>
                  <w:vAlign w:val="bottom"/>
                </w:tcPr>
                <w:p w14:paraId="2F7D2178" w14:textId="6DD98DC4" w:rsidR="00DC3EAE" w:rsidRPr="004E1C69" w:rsidRDefault="00DC3EAE" w:rsidP="00315AE7">
                  <w:pPr>
                    <w:pStyle w:val="TableColumnHeading"/>
                    <w:jc w:val="left"/>
                    <w:rPr>
                      <w:rFonts w:cs="Arial"/>
                      <w:sz w:val="20"/>
                    </w:rPr>
                  </w:pPr>
                  <w:r w:rsidRPr="004E1C69">
                    <w:rPr>
                      <w:rFonts w:cs="Arial"/>
                      <w:sz w:val="20"/>
                    </w:rPr>
                    <w:t>Financial year ending</w:t>
                  </w:r>
                </w:p>
              </w:tc>
              <w:tc>
                <w:tcPr>
                  <w:tcW w:w="833" w:type="pct"/>
                  <w:tcBorders>
                    <w:top w:val="single" w:sz="4" w:space="0" w:color="BFBFBF"/>
                    <w:bottom w:val="single" w:sz="4" w:space="0" w:color="BFBFBF"/>
                  </w:tcBorders>
                  <w:shd w:val="clear" w:color="auto" w:fill="auto"/>
                  <w:vAlign w:val="bottom"/>
                </w:tcPr>
                <w:p w14:paraId="6E79CBE9" w14:textId="4E2085E6" w:rsidR="00DC3EAE" w:rsidRPr="004E1C69" w:rsidRDefault="00DC3EAE" w:rsidP="00315AE7">
                  <w:pPr>
                    <w:pStyle w:val="TableColumnHeading"/>
                    <w:rPr>
                      <w:rFonts w:cs="Arial"/>
                      <w:sz w:val="20"/>
                    </w:rPr>
                  </w:pPr>
                  <w:r w:rsidRPr="004E1C69">
                    <w:rPr>
                      <w:rFonts w:cs="Arial"/>
                      <w:color w:val="000000"/>
                      <w:sz w:val="20"/>
                    </w:rPr>
                    <w:t>BAS</w:t>
                  </w:r>
                </w:p>
              </w:tc>
              <w:tc>
                <w:tcPr>
                  <w:tcW w:w="833" w:type="pct"/>
                  <w:tcBorders>
                    <w:top w:val="single" w:sz="4" w:space="0" w:color="BFBFBF"/>
                    <w:bottom w:val="single" w:sz="4" w:space="0" w:color="BFBFBF"/>
                  </w:tcBorders>
                  <w:shd w:val="clear" w:color="auto" w:fill="auto"/>
                  <w:vAlign w:val="bottom"/>
                </w:tcPr>
                <w:p w14:paraId="5190A93F" w14:textId="50BD9F65" w:rsidR="00DC3EAE" w:rsidRPr="004E1C69" w:rsidRDefault="00DC3EAE" w:rsidP="00315AE7">
                  <w:pPr>
                    <w:pStyle w:val="TableColumnHeading"/>
                    <w:rPr>
                      <w:rFonts w:cs="Arial"/>
                      <w:sz w:val="20"/>
                    </w:rPr>
                  </w:pPr>
                  <w:r w:rsidRPr="004E1C69">
                    <w:rPr>
                      <w:rFonts w:cs="Arial"/>
                      <w:color w:val="000000"/>
                      <w:sz w:val="20"/>
                    </w:rPr>
                    <w:t>BIT</w:t>
                  </w:r>
                </w:p>
              </w:tc>
              <w:tc>
                <w:tcPr>
                  <w:tcW w:w="833" w:type="pct"/>
                  <w:tcBorders>
                    <w:top w:val="single" w:sz="4" w:space="0" w:color="BFBFBF"/>
                    <w:bottom w:val="single" w:sz="4" w:space="0" w:color="BFBFBF"/>
                  </w:tcBorders>
                  <w:vAlign w:val="bottom"/>
                </w:tcPr>
                <w:p w14:paraId="3D3A8481" w14:textId="40A15667" w:rsidR="00DC3EAE" w:rsidRPr="004E1C69" w:rsidRDefault="00DC3EAE" w:rsidP="00315AE7">
                  <w:pPr>
                    <w:pStyle w:val="TableColumnHeading"/>
                    <w:rPr>
                      <w:rFonts w:cs="Arial"/>
                      <w:color w:val="000000"/>
                      <w:sz w:val="20"/>
                    </w:rPr>
                  </w:pPr>
                  <w:r w:rsidRPr="004E1C69">
                    <w:rPr>
                      <w:rFonts w:cs="Arial"/>
                      <w:color w:val="000000"/>
                      <w:sz w:val="20"/>
                    </w:rPr>
                    <w:t>PAYG</w:t>
                  </w:r>
                </w:p>
              </w:tc>
              <w:tc>
                <w:tcPr>
                  <w:tcW w:w="1246" w:type="pct"/>
                  <w:tcBorders>
                    <w:top w:val="single" w:sz="4" w:space="0" w:color="BFBFBF"/>
                    <w:bottom w:val="single" w:sz="4" w:space="0" w:color="BFBFBF"/>
                  </w:tcBorders>
                  <w:vAlign w:val="bottom"/>
                </w:tcPr>
                <w:p w14:paraId="4EFE9134" w14:textId="172F448E" w:rsidR="00DC3EAE" w:rsidRPr="004E1C69" w:rsidRDefault="00CA3741" w:rsidP="00315AE7">
                  <w:pPr>
                    <w:pStyle w:val="TableColumnHeading"/>
                    <w:ind w:right="6"/>
                    <w:rPr>
                      <w:rFonts w:cs="Arial"/>
                      <w:color w:val="000000"/>
                      <w:sz w:val="20"/>
                    </w:rPr>
                  </w:pPr>
                  <w:r>
                    <w:rPr>
                      <w:rFonts w:cs="Arial"/>
                      <w:color w:val="000000"/>
                      <w:sz w:val="20"/>
                    </w:rPr>
                    <w:t>FRAME</w:t>
                  </w:r>
                </w:p>
              </w:tc>
            </w:tr>
            <w:tr w:rsidR="00DC3EAE" w14:paraId="3CB8718F" w14:textId="77777777" w:rsidTr="004E1C69">
              <w:tc>
                <w:tcPr>
                  <w:tcW w:w="1255" w:type="pct"/>
                  <w:tcBorders>
                    <w:top w:val="single" w:sz="4" w:space="0" w:color="BFBFBF"/>
                  </w:tcBorders>
                  <w:vAlign w:val="bottom"/>
                </w:tcPr>
                <w:p w14:paraId="39AADD1C" w14:textId="1598D38A" w:rsidR="00DC3EAE" w:rsidRPr="004E1C69" w:rsidRDefault="00DC3EAE" w:rsidP="00315AE7">
                  <w:pPr>
                    <w:pStyle w:val="TableUnitsRow"/>
                    <w:jc w:val="left"/>
                    <w:rPr>
                      <w:rFonts w:cs="Arial"/>
                      <w:sz w:val="20"/>
                    </w:rPr>
                  </w:pPr>
                  <w:r w:rsidRPr="004E1C69">
                    <w:rPr>
                      <w:rFonts w:cs="Arial"/>
                      <w:color w:val="000000"/>
                      <w:sz w:val="20"/>
                    </w:rPr>
                    <w:t>2002</w:t>
                  </w:r>
                </w:p>
              </w:tc>
              <w:tc>
                <w:tcPr>
                  <w:tcW w:w="833" w:type="pct"/>
                  <w:tcBorders>
                    <w:top w:val="single" w:sz="4" w:space="0" w:color="BFBFBF"/>
                  </w:tcBorders>
                  <w:vAlign w:val="bottom"/>
                </w:tcPr>
                <w:p w14:paraId="6AF14F04" w14:textId="22F8138D" w:rsidR="00DC3EAE" w:rsidRPr="004E1C69" w:rsidRDefault="00DC3EAE" w:rsidP="00315AE7">
                  <w:pPr>
                    <w:pStyle w:val="TableUnitsRow"/>
                    <w:rPr>
                      <w:rFonts w:cs="Arial"/>
                      <w:sz w:val="20"/>
                    </w:rPr>
                  </w:pPr>
                  <w:r w:rsidRPr="004E1C69">
                    <w:rPr>
                      <w:rFonts w:cs="Arial"/>
                      <w:color w:val="000000"/>
                      <w:sz w:val="20"/>
                    </w:rPr>
                    <w:t>2 327 859</w:t>
                  </w:r>
                </w:p>
              </w:tc>
              <w:tc>
                <w:tcPr>
                  <w:tcW w:w="833" w:type="pct"/>
                  <w:tcBorders>
                    <w:top w:val="single" w:sz="4" w:space="0" w:color="BFBFBF"/>
                  </w:tcBorders>
                  <w:vAlign w:val="bottom"/>
                </w:tcPr>
                <w:p w14:paraId="4671301C" w14:textId="2212C777" w:rsidR="00DC3EAE" w:rsidRPr="004E1C69" w:rsidRDefault="00DC3EAE" w:rsidP="00315AE7">
                  <w:pPr>
                    <w:pStyle w:val="TableUnitsRow"/>
                    <w:rPr>
                      <w:rFonts w:cs="Arial"/>
                      <w:sz w:val="20"/>
                    </w:rPr>
                  </w:pPr>
                  <w:r w:rsidRPr="004E1C69">
                    <w:rPr>
                      <w:rFonts w:cs="Arial"/>
                      <w:color w:val="000000"/>
                      <w:sz w:val="20"/>
                    </w:rPr>
                    <w:t>2 112 496</w:t>
                  </w:r>
                </w:p>
              </w:tc>
              <w:tc>
                <w:tcPr>
                  <w:tcW w:w="833" w:type="pct"/>
                  <w:tcBorders>
                    <w:top w:val="single" w:sz="4" w:space="0" w:color="BFBFBF"/>
                  </w:tcBorders>
                  <w:vAlign w:val="bottom"/>
                </w:tcPr>
                <w:p w14:paraId="0D1DDAE8" w14:textId="087C7773" w:rsidR="00DC3EAE" w:rsidRPr="004E1C69" w:rsidRDefault="00DC3EAE" w:rsidP="00315AE7">
                  <w:pPr>
                    <w:pStyle w:val="TableUnitsRow"/>
                    <w:rPr>
                      <w:rFonts w:cs="Arial"/>
                      <w:color w:val="000000"/>
                      <w:sz w:val="20"/>
                    </w:rPr>
                  </w:pPr>
                  <w:r w:rsidRPr="004E1C69">
                    <w:rPr>
                      <w:rFonts w:cs="Arial"/>
                      <w:color w:val="000000"/>
                      <w:sz w:val="20"/>
                    </w:rPr>
                    <w:t xml:space="preserve"> 776 132</w:t>
                  </w:r>
                </w:p>
              </w:tc>
              <w:tc>
                <w:tcPr>
                  <w:tcW w:w="1246" w:type="pct"/>
                  <w:tcBorders>
                    <w:top w:val="single" w:sz="4" w:space="0" w:color="BFBFBF"/>
                  </w:tcBorders>
                  <w:vAlign w:val="bottom"/>
                </w:tcPr>
                <w:p w14:paraId="02B59327" w14:textId="06A7FDFA" w:rsidR="00DC3EAE" w:rsidRPr="004E1C69" w:rsidRDefault="00DC3EAE" w:rsidP="00315AE7">
                  <w:pPr>
                    <w:pStyle w:val="TableUnitsRow"/>
                    <w:ind w:right="6"/>
                    <w:rPr>
                      <w:rFonts w:cs="Arial"/>
                      <w:color w:val="000000"/>
                      <w:sz w:val="20"/>
                    </w:rPr>
                  </w:pPr>
                  <w:r w:rsidRPr="004E1C69">
                    <w:rPr>
                      <w:rFonts w:cs="Arial"/>
                      <w:color w:val="000000"/>
                      <w:sz w:val="20"/>
                    </w:rPr>
                    <w:t>9 313 206</w:t>
                  </w:r>
                </w:p>
              </w:tc>
            </w:tr>
            <w:tr w:rsidR="00DC3EAE" w14:paraId="52F07D7B" w14:textId="77777777" w:rsidTr="004E1C69">
              <w:tc>
                <w:tcPr>
                  <w:tcW w:w="1255" w:type="pct"/>
                  <w:vAlign w:val="bottom"/>
                </w:tcPr>
                <w:p w14:paraId="0AE9546B" w14:textId="457ADF65" w:rsidR="00DC3EAE" w:rsidRPr="004E1C69" w:rsidRDefault="00DC3EAE" w:rsidP="00315AE7">
                  <w:pPr>
                    <w:pStyle w:val="TableBodyText"/>
                    <w:jc w:val="left"/>
                    <w:rPr>
                      <w:rFonts w:cs="Arial"/>
                      <w:sz w:val="20"/>
                    </w:rPr>
                  </w:pPr>
                  <w:r w:rsidRPr="004E1C69">
                    <w:rPr>
                      <w:rFonts w:cs="Arial"/>
                      <w:color w:val="000000"/>
                      <w:sz w:val="20"/>
                    </w:rPr>
                    <w:t>2003</w:t>
                  </w:r>
                </w:p>
              </w:tc>
              <w:tc>
                <w:tcPr>
                  <w:tcW w:w="833" w:type="pct"/>
                  <w:vAlign w:val="bottom"/>
                </w:tcPr>
                <w:p w14:paraId="34583BB4" w14:textId="15D90441" w:rsidR="00DC3EAE" w:rsidRPr="004E1C69" w:rsidRDefault="00DC3EAE" w:rsidP="00315AE7">
                  <w:pPr>
                    <w:pStyle w:val="TableBodyText"/>
                    <w:rPr>
                      <w:rFonts w:cs="Arial"/>
                      <w:sz w:val="20"/>
                    </w:rPr>
                  </w:pPr>
                  <w:r w:rsidRPr="004E1C69">
                    <w:rPr>
                      <w:rFonts w:cs="Arial"/>
                      <w:color w:val="000000"/>
                      <w:sz w:val="20"/>
                    </w:rPr>
                    <w:t>2 368 882</w:t>
                  </w:r>
                </w:p>
              </w:tc>
              <w:tc>
                <w:tcPr>
                  <w:tcW w:w="833" w:type="pct"/>
                  <w:vAlign w:val="bottom"/>
                </w:tcPr>
                <w:p w14:paraId="37F73006" w14:textId="4184EDEE" w:rsidR="00DC3EAE" w:rsidRPr="004E1C69" w:rsidRDefault="00DC3EAE" w:rsidP="00315AE7">
                  <w:pPr>
                    <w:pStyle w:val="TableBodyText"/>
                    <w:rPr>
                      <w:rFonts w:cs="Arial"/>
                      <w:sz w:val="20"/>
                    </w:rPr>
                  </w:pPr>
                  <w:r w:rsidRPr="004E1C69">
                    <w:rPr>
                      <w:rFonts w:cs="Arial"/>
                      <w:color w:val="000000"/>
                      <w:sz w:val="20"/>
                    </w:rPr>
                    <w:t>2 156 642</w:t>
                  </w:r>
                </w:p>
              </w:tc>
              <w:tc>
                <w:tcPr>
                  <w:tcW w:w="833" w:type="pct"/>
                  <w:vAlign w:val="bottom"/>
                </w:tcPr>
                <w:p w14:paraId="450AECA1" w14:textId="29FF3BF0" w:rsidR="00DC3EAE" w:rsidRPr="004E1C69" w:rsidRDefault="00DC3EAE" w:rsidP="00315AE7">
                  <w:pPr>
                    <w:pStyle w:val="TableBodyText"/>
                    <w:rPr>
                      <w:rFonts w:cs="Arial"/>
                      <w:color w:val="000000"/>
                      <w:sz w:val="20"/>
                    </w:rPr>
                  </w:pPr>
                  <w:r w:rsidRPr="004E1C69">
                    <w:rPr>
                      <w:rFonts w:cs="Arial"/>
                      <w:color w:val="000000"/>
                      <w:sz w:val="20"/>
                    </w:rPr>
                    <w:t xml:space="preserve"> 796 641</w:t>
                  </w:r>
                </w:p>
              </w:tc>
              <w:tc>
                <w:tcPr>
                  <w:tcW w:w="1246" w:type="pct"/>
                  <w:vAlign w:val="bottom"/>
                </w:tcPr>
                <w:p w14:paraId="25884ADA" w14:textId="75C70D99" w:rsidR="00DC3EAE" w:rsidRPr="004E1C69" w:rsidRDefault="00DC3EAE" w:rsidP="00315AE7">
                  <w:pPr>
                    <w:pStyle w:val="TableBodyText"/>
                    <w:ind w:right="6"/>
                    <w:rPr>
                      <w:rFonts w:cs="Arial"/>
                      <w:color w:val="000000"/>
                      <w:sz w:val="20"/>
                    </w:rPr>
                  </w:pPr>
                  <w:r w:rsidRPr="004E1C69">
                    <w:rPr>
                      <w:rFonts w:cs="Arial"/>
                      <w:color w:val="000000"/>
                      <w:sz w:val="20"/>
                    </w:rPr>
                    <w:t>9 313 206</w:t>
                  </w:r>
                </w:p>
              </w:tc>
            </w:tr>
            <w:tr w:rsidR="00DC3EAE" w14:paraId="729EEC29" w14:textId="77777777" w:rsidTr="004E1C69">
              <w:tc>
                <w:tcPr>
                  <w:tcW w:w="1255" w:type="pct"/>
                  <w:vAlign w:val="bottom"/>
                </w:tcPr>
                <w:p w14:paraId="6F0AAF33" w14:textId="23A8A5C5" w:rsidR="00DC3EAE" w:rsidRPr="004E1C69" w:rsidRDefault="00DC3EAE" w:rsidP="00315AE7">
                  <w:pPr>
                    <w:pStyle w:val="TableBodyText"/>
                    <w:jc w:val="left"/>
                    <w:rPr>
                      <w:rFonts w:cs="Arial"/>
                      <w:sz w:val="20"/>
                    </w:rPr>
                  </w:pPr>
                  <w:r w:rsidRPr="004E1C69">
                    <w:rPr>
                      <w:rFonts w:cs="Arial"/>
                      <w:color w:val="000000"/>
                      <w:sz w:val="20"/>
                    </w:rPr>
                    <w:t>2004</w:t>
                  </w:r>
                </w:p>
              </w:tc>
              <w:tc>
                <w:tcPr>
                  <w:tcW w:w="833" w:type="pct"/>
                  <w:vAlign w:val="bottom"/>
                </w:tcPr>
                <w:p w14:paraId="07F0175D" w14:textId="17EC3609" w:rsidR="00DC3EAE" w:rsidRPr="004E1C69" w:rsidRDefault="00DC3EAE" w:rsidP="00315AE7">
                  <w:pPr>
                    <w:pStyle w:val="TableBodyText"/>
                    <w:rPr>
                      <w:rFonts w:cs="Arial"/>
                      <w:sz w:val="20"/>
                    </w:rPr>
                  </w:pPr>
                  <w:r w:rsidRPr="004E1C69">
                    <w:rPr>
                      <w:rFonts w:cs="Arial"/>
                      <w:color w:val="000000"/>
                      <w:sz w:val="20"/>
                    </w:rPr>
                    <w:t>2 423 599</w:t>
                  </w:r>
                </w:p>
              </w:tc>
              <w:tc>
                <w:tcPr>
                  <w:tcW w:w="833" w:type="pct"/>
                  <w:vAlign w:val="bottom"/>
                </w:tcPr>
                <w:p w14:paraId="20BD0A8D" w14:textId="5BE1A4F9" w:rsidR="00DC3EAE" w:rsidRPr="004E1C69" w:rsidRDefault="00DC3EAE" w:rsidP="00315AE7">
                  <w:pPr>
                    <w:pStyle w:val="TableBodyText"/>
                    <w:rPr>
                      <w:rFonts w:cs="Arial"/>
                      <w:sz w:val="20"/>
                    </w:rPr>
                  </w:pPr>
                  <w:r w:rsidRPr="004E1C69">
                    <w:rPr>
                      <w:rFonts w:cs="Arial"/>
                      <w:color w:val="000000"/>
                      <w:sz w:val="20"/>
                    </w:rPr>
                    <w:t>2 205 959</w:t>
                  </w:r>
                </w:p>
              </w:tc>
              <w:tc>
                <w:tcPr>
                  <w:tcW w:w="833" w:type="pct"/>
                  <w:vAlign w:val="bottom"/>
                </w:tcPr>
                <w:p w14:paraId="063C5F19" w14:textId="3FAB32C4" w:rsidR="00DC3EAE" w:rsidRPr="004E1C69" w:rsidRDefault="00DC3EAE" w:rsidP="00315AE7">
                  <w:pPr>
                    <w:pStyle w:val="TableBodyText"/>
                    <w:rPr>
                      <w:rFonts w:cs="Arial"/>
                      <w:color w:val="000000"/>
                      <w:sz w:val="20"/>
                    </w:rPr>
                  </w:pPr>
                  <w:r w:rsidRPr="004E1C69">
                    <w:rPr>
                      <w:rFonts w:cs="Arial"/>
                      <w:color w:val="000000"/>
                      <w:sz w:val="20"/>
                    </w:rPr>
                    <w:t xml:space="preserve"> 815 504</w:t>
                  </w:r>
                </w:p>
              </w:tc>
              <w:tc>
                <w:tcPr>
                  <w:tcW w:w="1246" w:type="pct"/>
                  <w:vAlign w:val="bottom"/>
                </w:tcPr>
                <w:p w14:paraId="511678F3" w14:textId="7061A61B" w:rsidR="00DC3EAE" w:rsidRPr="004E1C69" w:rsidRDefault="00DC3EAE" w:rsidP="00315AE7">
                  <w:pPr>
                    <w:pStyle w:val="TableBodyText"/>
                    <w:ind w:right="6"/>
                    <w:rPr>
                      <w:rFonts w:cs="Arial"/>
                      <w:color w:val="000000"/>
                      <w:sz w:val="20"/>
                    </w:rPr>
                  </w:pPr>
                  <w:r w:rsidRPr="004E1C69">
                    <w:rPr>
                      <w:rFonts w:cs="Arial"/>
                      <w:color w:val="000000"/>
                      <w:sz w:val="20"/>
                    </w:rPr>
                    <w:t>9 306 423</w:t>
                  </w:r>
                </w:p>
              </w:tc>
            </w:tr>
            <w:tr w:rsidR="00DC3EAE" w14:paraId="6AEF18BA" w14:textId="77777777" w:rsidTr="004E1C69">
              <w:tc>
                <w:tcPr>
                  <w:tcW w:w="1255" w:type="pct"/>
                  <w:vAlign w:val="bottom"/>
                </w:tcPr>
                <w:p w14:paraId="55D6D0E9" w14:textId="7A82DD03" w:rsidR="00DC3EAE" w:rsidRPr="004E1C69" w:rsidRDefault="00DC3EAE" w:rsidP="00315AE7">
                  <w:pPr>
                    <w:pStyle w:val="TableBodyText"/>
                    <w:jc w:val="left"/>
                    <w:rPr>
                      <w:rFonts w:cs="Arial"/>
                      <w:sz w:val="20"/>
                    </w:rPr>
                  </w:pPr>
                  <w:r w:rsidRPr="004E1C69">
                    <w:rPr>
                      <w:rFonts w:cs="Arial"/>
                      <w:color w:val="000000"/>
                      <w:sz w:val="20"/>
                    </w:rPr>
                    <w:t>2005</w:t>
                  </w:r>
                </w:p>
              </w:tc>
              <w:tc>
                <w:tcPr>
                  <w:tcW w:w="833" w:type="pct"/>
                  <w:vAlign w:val="bottom"/>
                </w:tcPr>
                <w:p w14:paraId="2D1969C4" w14:textId="0965C643" w:rsidR="00DC3EAE" w:rsidRPr="004E1C69" w:rsidRDefault="00DC3EAE" w:rsidP="00315AE7">
                  <w:pPr>
                    <w:pStyle w:val="TableBodyText"/>
                    <w:rPr>
                      <w:rFonts w:cs="Arial"/>
                      <w:sz w:val="20"/>
                    </w:rPr>
                  </w:pPr>
                  <w:r w:rsidRPr="004E1C69">
                    <w:rPr>
                      <w:rFonts w:cs="Arial"/>
                      <w:color w:val="000000"/>
                      <w:sz w:val="20"/>
                    </w:rPr>
                    <w:t>2 488 000</w:t>
                  </w:r>
                </w:p>
              </w:tc>
              <w:tc>
                <w:tcPr>
                  <w:tcW w:w="833" w:type="pct"/>
                  <w:vAlign w:val="bottom"/>
                </w:tcPr>
                <w:p w14:paraId="42FB45FE" w14:textId="2073A9B8" w:rsidR="00DC3EAE" w:rsidRPr="004E1C69" w:rsidRDefault="00DC3EAE" w:rsidP="00315AE7">
                  <w:pPr>
                    <w:pStyle w:val="TableBodyText"/>
                    <w:rPr>
                      <w:rFonts w:cs="Arial"/>
                      <w:sz w:val="20"/>
                    </w:rPr>
                  </w:pPr>
                  <w:r w:rsidRPr="004E1C69">
                    <w:rPr>
                      <w:rFonts w:cs="Arial"/>
                      <w:color w:val="000000"/>
                      <w:sz w:val="20"/>
                    </w:rPr>
                    <w:t>2 262 039</w:t>
                  </w:r>
                </w:p>
              </w:tc>
              <w:tc>
                <w:tcPr>
                  <w:tcW w:w="833" w:type="pct"/>
                  <w:vAlign w:val="bottom"/>
                </w:tcPr>
                <w:p w14:paraId="5FAD3409" w14:textId="25C7551B" w:rsidR="00DC3EAE" w:rsidRPr="004E1C69" w:rsidRDefault="00DC3EAE" w:rsidP="00315AE7">
                  <w:pPr>
                    <w:pStyle w:val="TableBodyText"/>
                    <w:rPr>
                      <w:rFonts w:cs="Arial"/>
                      <w:color w:val="000000"/>
                      <w:sz w:val="20"/>
                    </w:rPr>
                  </w:pPr>
                  <w:r w:rsidRPr="004E1C69">
                    <w:rPr>
                      <w:rFonts w:cs="Arial"/>
                      <w:color w:val="000000"/>
                      <w:sz w:val="20"/>
                    </w:rPr>
                    <w:t xml:space="preserve"> 700 924</w:t>
                  </w:r>
                </w:p>
              </w:tc>
              <w:tc>
                <w:tcPr>
                  <w:tcW w:w="1246" w:type="pct"/>
                  <w:vAlign w:val="bottom"/>
                </w:tcPr>
                <w:p w14:paraId="2589BF86" w14:textId="6D2E6001" w:rsidR="00DC3EAE" w:rsidRPr="004E1C69" w:rsidRDefault="00DC3EAE" w:rsidP="00315AE7">
                  <w:pPr>
                    <w:pStyle w:val="TableBodyText"/>
                    <w:ind w:right="6"/>
                    <w:rPr>
                      <w:rFonts w:cs="Arial"/>
                      <w:color w:val="000000"/>
                      <w:sz w:val="20"/>
                    </w:rPr>
                  </w:pPr>
                  <w:r w:rsidRPr="004E1C69">
                    <w:rPr>
                      <w:rFonts w:cs="Arial"/>
                      <w:color w:val="000000"/>
                      <w:sz w:val="20"/>
                    </w:rPr>
                    <w:t>9 304 979</w:t>
                  </w:r>
                </w:p>
              </w:tc>
            </w:tr>
            <w:tr w:rsidR="00DC3EAE" w14:paraId="425D6275" w14:textId="77777777" w:rsidTr="004E1C69">
              <w:tc>
                <w:tcPr>
                  <w:tcW w:w="1255" w:type="pct"/>
                  <w:vAlign w:val="bottom"/>
                </w:tcPr>
                <w:p w14:paraId="7194753A" w14:textId="6CBB2C08" w:rsidR="00DC3EAE" w:rsidRPr="004E1C69" w:rsidRDefault="00DC3EAE" w:rsidP="00315AE7">
                  <w:pPr>
                    <w:pStyle w:val="TableBodyText"/>
                    <w:jc w:val="left"/>
                    <w:rPr>
                      <w:rFonts w:cs="Arial"/>
                      <w:sz w:val="20"/>
                    </w:rPr>
                  </w:pPr>
                  <w:r w:rsidRPr="004E1C69">
                    <w:rPr>
                      <w:rFonts w:cs="Arial"/>
                      <w:color w:val="000000"/>
                      <w:sz w:val="20"/>
                    </w:rPr>
                    <w:t>2006</w:t>
                  </w:r>
                </w:p>
              </w:tc>
              <w:tc>
                <w:tcPr>
                  <w:tcW w:w="833" w:type="pct"/>
                  <w:vAlign w:val="bottom"/>
                </w:tcPr>
                <w:p w14:paraId="6762345E" w14:textId="63951901" w:rsidR="00DC3EAE" w:rsidRPr="004E1C69" w:rsidRDefault="00DC3EAE" w:rsidP="00315AE7">
                  <w:pPr>
                    <w:pStyle w:val="TableBodyText"/>
                    <w:rPr>
                      <w:rFonts w:cs="Arial"/>
                      <w:sz w:val="20"/>
                    </w:rPr>
                  </w:pPr>
                  <w:r w:rsidRPr="004E1C69">
                    <w:rPr>
                      <w:rFonts w:cs="Arial"/>
                      <w:color w:val="000000"/>
                      <w:sz w:val="20"/>
                    </w:rPr>
                    <w:t>2 527 045</w:t>
                  </w:r>
                </w:p>
              </w:tc>
              <w:tc>
                <w:tcPr>
                  <w:tcW w:w="833" w:type="pct"/>
                  <w:vAlign w:val="bottom"/>
                </w:tcPr>
                <w:p w14:paraId="3D7FF58E" w14:textId="69ED1CFE" w:rsidR="00DC3EAE" w:rsidRPr="004E1C69" w:rsidRDefault="00DC3EAE" w:rsidP="00315AE7">
                  <w:pPr>
                    <w:pStyle w:val="TableBodyText"/>
                    <w:rPr>
                      <w:rFonts w:cs="Arial"/>
                      <w:sz w:val="20"/>
                    </w:rPr>
                  </w:pPr>
                  <w:r w:rsidRPr="004E1C69">
                    <w:rPr>
                      <w:rFonts w:cs="Arial"/>
                      <w:color w:val="000000"/>
                      <w:sz w:val="20"/>
                    </w:rPr>
                    <w:t>2 274 603</w:t>
                  </w:r>
                </w:p>
              </w:tc>
              <w:tc>
                <w:tcPr>
                  <w:tcW w:w="833" w:type="pct"/>
                  <w:vAlign w:val="bottom"/>
                </w:tcPr>
                <w:p w14:paraId="4BD59F71" w14:textId="6B18C6B8" w:rsidR="00DC3EAE" w:rsidRPr="004E1C69" w:rsidRDefault="00DC3EAE" w:rsidP="00315AE7">
                  <w:pPr>
                    <w:pStyle w:val="TableBodyText"/>
                    <w:rPr>
                      <w:rFonts w:cs="Arial"/>
                      <w:color w:val="000000"/>
                      <w:sz w:val="20"/>
                    </w:rPr>
                  </w:pPr>
                  <w:r w:rsidRPr="004E1C69">
                    <w:rPr>
                      <w:rFonts w:cs="Arial"/>
                      <w:color w:val="000000"/>
                      <w:sz w:val="20"/>
                    </w:rPr>
                    <w:t xml:space="preserve"> 735 337</w:t>
                  </w:r>
                </w:p>
              </w:tc>
              <w:tc>
                <w:tcPr>
                  <w:tcW w:w="1246" w:type="pct"/>
                  <w:vAlign w:val="bottom"/>
                </w:tcPr>
                <w:p w14:paraId="344288F3" w14:textId="2725EC7E" w:rsidR="00DC3EAE" w:rsidRPr="004E1C69" w:rsidRDefault="00DC3EAE" w:rsidP="00315AE7">
                  <w:pPr>
                    <w:pStyle w:val="TableBodyText"/>
                    <w:ind w:right="6"/>
                    <w:rPr>
                      <w:rFonts w:cs="Arial"/>
                      <w:color w:val="000000"/>
                      <w:sz w:val="20"/>
                    </w:rPr>
                  </w:pPr>
                  <w:r w:rsidRPr="004E1C69">
                    <w:rPr>
                      <w:rFonts w:cs="Arial"/>
                      <w:color w:val="000000"/>
                      <w:sz w:val="20"/>
                    </w:rPr>
                    <w:t>9 302 270</w:t>
                  </w:r>
                </w:p>
              </w:tc>
            </w:tr>
            <w:tr w:rsidR="00DC3EAE" w14:paraId="45C0A459" w14:textId="77777777" w:rsidTr="004E1C69">
              <w:tc>
                <w:tcPr>
                  <w:tcW w:w="1255" w:type="pct"/>
                  <w:vAlign w:val="bottom"/>
                </w:tcPr>
                <w:p w14:paraId="1396F06F" w14:textId="487E301D" w:rsidR="00DC3EAE" w:rsidRPr="004E1C69" w:rsidRDefault="00DC3EAE" w:rsidP="00315AE7">
                  <w:pPr>
                    <w:pStyle w:val="TableBodyText"/>
                    <w:jc w:val="left"/>
                    <w:rPr>
                      <w:rFonts w:cs="Arial"/>
                      <w:sz w:val="20"/>
                    </w:rPr>
                  </w:pPr>
                  <w:r w:rsidRPr="004E1C69">
                    <w:rPr>
                      <w:rFonts w:cs="Arial"/>
                      <w:color w:val="000000"/>
                      <w:sz w:val="20"/>
                    </w:rPr>
                    <w:t>2007</w:t>
                  </w:r>
                </w:p>
              </w:tc>
              <w:tc>
                <w:tcPr>
                  <w:tcW w:w="833" w:type="pct"/>
                  <w:vAlign w:val="bottom"/>
                </w:tcPr>
                <w:p w14:paraId="20928235" w14:textId="2C089B55" w:rsidR="00DC3EAE" w:rsidRPr="004E1C69" w:rsidRDefault="00DC3EAE" w:rsidP="00315AE7">
                  <w:pPr>
                    <w:pStyle w:val="TableBodyText"/>
                    <w:rPr>
                      <w:rFonts w:cs="Arial"/>
                      <w:sz w:val="20"/>
                    </w:rPr>
                  </w:pPr>
                  <w:r w:rsidRPr="004E1C69">
                    <w:rPr>
                      <w:rFonts w:cs="Arial"/>
                      <w:color w:val="000000"/>
                      <w:sz w:val="20"/>
                    </w:rPr>
                    <w:t>2 615 173</w:t>
                  </w:r>
                </w:p>
              </w:tc>
              <w:tc>
                <w:tcPr>
                  <w:tcW w:w="833" w:type="pct"/>
                  <w:vAlign w:val="bottom"/>
                </w:tcPr>
                <w:p w14:paraId="2F99E15A" w14:textId="613BDAB4" w:rsidR="00DC3EAE" w:rsidRPr="004E1C69" w:rsidRDefault="00DC3EAE" w:rsidP="00315AE7">
                  <w:pPr>
                    <w:pStyle w:val="TableBodyText"/>
                    <w:rPr>
                      <w:rFonts w:cs="Arial"/>
                      <w:sz w:val="20"/>
                    </w:rPr>
                  </w:pPr>
                  <w:r w:rsidRPr="004E1C69">
                    <w:rPr>
                      <w:rFonts w:cs="Arial"/>
                      <w:color w:val="000000"/>
                      <w:sz w:val="20"/>
                    </w:rPr>
                    <w:t>2 198 745</w:t>
                  </w:r>
                </w:p>
              </w:tc>
              <w:tc>
                <w:tcPr>
                  <w:tcW w:w="833" w:type="pct"/>
                  <w:vAlign w:val="bottom"/>
                </w:tcPr>
                <w:p w14:paraId="7DED3440" w14:textId="308C7FD9" w:rsidR="00DC3EAE" w:rsidRPr="004E1C69" w:rsidRDefault="00DC3EAE" w:rsidP="00315AE7">
                  <w:pPr>
                    <w:pStyle w:val="TableBodyText"/>
                    <w:rPr>
                      <w:rFonts w:cs="Arial"/>
                      <w:color w:val="000000"/>
                      <w:sz w:val="20"/>
                    </w:rPr>
                  </w:pPr>
                  <w:r w:rsidRPr="004E1C69">
                    <w:rPr>
                      <w:rFonts w:cs="Arial"/>
                      <w:color w:val="000000"/>
                      <w:sz w:val="20"/>
                    </w:rPr>
                    <w:t xml:space="preserve"> 714 648</w:t>
                  </w:r>
                </w:p>
              </w:tc>
              <w:tc>
                <w:tcPr>
                  <w:tcW w:w="1246" w:type="pct"/>
                  <w:vAlign w:val="bottom"/>
                </w:tcPr>
                <w:p w14:paraId="6378F98A" w14:textId="74EE676D" w:rsidR="00DC3EAE" w:rsidRPr="004E1C69" w:rsidRDefault="00DC3EAE" w:rsidP="00315AE7">
                  <w:pPr>
                    <w:pStyle w:val="TableBodyText"/>
                    <w:ind w:right="6"/>
                    <w:rPr>
                      <w:rFonts w:cs="Arial"/>
                      <w:color w:val="000000"/>
                      <w:sz w:val="20"/>
                    </w:rPr>
                  </w:pPr>
                  <w:r w:rsidRPr="004E1C69">
                    <w:rPr>
                      <w:rFonts w:cs="Arial"/>
                      <w:color w:val="000000"/>
                      <w:sz w:val="20"/>
                    </w:rPr>
                    <w:t>9 299 017</w:t>
                  </w:r>
                </w:p>
              </w:tc>
            </w:tr>
            <w:tr w:rsidR="00DC3EAE" w14:paraId="70D5129F" w14:textId="77777777" w:rsidTr="004E1C69">
              <w:tc>
                <w:tcPr>
                  <w:tcW w:w="1255" w:type="pct"/>
                  <w:vAlign w:val="bottom"/>
                </w:tcPr>
                <w:p w14:paraId="0A6DD449" w14:textId="50420887" w:rsidR="00DC3EAE" w:rsidRPr="004E1C69" w:rsidRDefault="00DC3EAE" w:rsidP="00315AE7">
                  <w:pPr>
                    <w:pStyle w:val="TableBodyText"/>
                    <w:jc w:val="left"/>
                    <w:rPr>
                      <w:rFonts w:cs="Arial"/>
                      <w:sz w:val="20"/>
                    </w:rPr>
                  </w:pPr>
                  <w:r w:rsidRPr="004E1C69">
                    <w:rPr>
                      <w:rFonts w:cs="Arial"/>
                      <w:color w:val="000000"/>
                      <w:sz w:val="20"/>
                    </w:rPr>
                    <w:t>2008</w:t>
                  </w:r>
                </w:p>
              </w:tc>
              <w:tc>
                <w:tcPr>
                  <w:tcW w:w="833" w:type="pct"/>
                  <w:vAlign w:val="bottom"/>
                </w:tcPr>
                <w:p w14:paraId="3275A1DA" w14:textId="104DF46B" w:rsidR="00DC3EAE" w:rsidRPr="004E1C69" w:rsidRDefault="00DC3EAE" w:rsidP="00315AE7">
                  <w:pPr>
                    <w:pStyle w:val="TableBodyText"/>
                    <w:rPr>
                      <w:rFonts w:cs="Arial"/>
                      <w:sz w:val="20"/>
                    </w:rPr>
                  </w:pPr>
                  <w:r w:rsidRPr="004E1C69">
                    <w:rPr>
                      <w:rFonts w:cs="Arial"/>
                      <w:color w:val="000000"/>
                      <w:sz w:val="20"/>
                    </w:rPr>
                    <w:t>2 641 391</w:t>
                  </w:r>
                </w:p>
              </w:tc>
              <w:tc>
                <w:tcPr>
                  <w:tcW w:w="833" w:type="pct"/>
                  <w:vAlign w:val="bottom"/>
                </w:tcPr>
                <w:p w14:paraId="65CEFDE9" w14:textId="19A66A64" w:rsidR="00DC3EAE" w:rsidRPr="004E1C69" w:rsidRDefault="00DC3EAE" w:rsidP="00315AE7">
                  <w:pPr>
                    <w:pStyle w:val="TableBodyText"/>
                    <w:rPr>
                      <w:rFonts w:cs="Arial"/>
                      <w:sz w:val="20"/>
                    </w:rPr>
                  </w:pPr>
                  <w:r w:rsidRPr="004E1C69">
                    <w:rPr>
                      <w:rFonts w:cs="Arial"/>
                      <w:color w:val="000000"/>
                      <w:sz w:val="20"/>
                    </w:rPr>
                    <w:t>2 308 723</w:t>
                  </w:r>
                </w:p>
              </w:tc>
              <w:tc>
                <w:tcPr>
                  <w:tcW w:w="833" w:type="pct"/>
                  <w:vAlign w:val="bottom"/>
                </w:tcPr>
                <w:p w14:paraId="17F8B1EE" w14:textId="19117D2E" w:rsidR="00DC3EAE" w:rsidRPr="004E1C69" w:rsidRDefault="00DC3EAE" w:rsidP="00315AE7">
                  <w:pPr>
                    <w:pStyle w:val="TableBodyText"/>
                    <w:rPr>
                      <w:rFonts w:cs="Arial"/>
                      <w:color w:val="000000"/>
                      <w:sz w:val="20"/>
                    </w:rPr>
                  </w:pPr>
                  <w:r w:rsidRPr="004E1C69">
                    <w:rPr>
                      <w:rFonts w:cs="Arial"/>
                      <w:color w:val="000000"/>
                      <w:sz w:val="20"/>
                    </w:rPr>
                    <w:t xml:space="preserve"> 739 814</w:t>
                  </w:r>
                </w:p>
              </w:tc>
              <w:tc>
                <w:tcPr>
                  <w:tcW w:w="1246" w:type="pct"/>
                  <w:vAlign w:val="bottom"/>
                </w:tcPr>
                <w:p w14:paraId="7B91C657" w14:textId="7902AFA3" w:rsidR="00DC3EAE" w:rsidRPr="004E1C69" w:rsidRDefault="00DC3EAE" w:rsidP="00315AE7">
                  <w:pPr>
                    <w:pStyle w:val="TableBodyText"/>
                    <w:ind w:right="6"/>
                    <w:rPr>
                      <w:rFonts w:cs="Arial"/>
                      <w:color w:val="000000"/>
                      <w:sz w:val="20"/>
                    </w:rPr>
                  </w:pPr>
                  <w:r w:rsidRPr="004E1C69">
                    <w:rPr>
                      <w:rFonts w:cs="Arial"/>
                      <w:color w:val="000000"/>
                      <w:sz w:val="20"/>
                    </w:rPr>
                    <w:t>9 297 507</w:t>
                  </w:r>
                </w:p>
              </w:tc>
            </w:tr>
            <w:tr w:rsidR="00DC3EAE" w14:paraId="3751BCEC" w14:textId="77777777" w:rsidTr="004E1C69">
              <w:tc>
                <w:tcPr>
                  <w:tcW w:w="1255" w:type="pct"/>
                  <w:vAlign w:val="bottom"/>
                </w:tcPr>
                <w:p w14:paraId="393851C0" w14:textId="204C36AD" w:rsidR="00DC3EAE" w:rsidRPr="004E1C69" w:rsidRDefault="00DC3EAE" w:rsidP="00315AE7">
                  <w:pPr>
                    <w:pStyle w:val="TableBodyText"/>
                    <w:jc w:val="left"/>
                    <w:rPr>
                      <w:rFonts w:cs="Arial"/>
                      <w:sz w:val="20"/>
                    </w:rPr>
                  </w:pPr>
                  <w:r w:rsidRPr="004E1C69">
                    <w:rPr>
                      <w:rFonts w:cs="Arial"/>
                      <w:color w:val="000000"/>
                      <w:sz w:val="20"/>
                    </w:rPr>
                    <w:t>2009</w:t>
                  </w:r>
                </w:p>
              </w:tc>
              <w:tc>
                <w:tcPr>
                  <w:tcW w:w="833" w:type="pct"/>
                  <w:vAlign w:val="bottom"/>
                </w:tcPr>
                <w:p w14:paraId="40A5137C" w14:textId="26DA551A" w:rsidR="00DC3EAE" w:rsidRPr="004E1C69" w:rsidRDefault="00DC3EAE" w:rsidP="00315AE7">
                  <w:pPr>
                    <w:pStyle w:val="TableBodyText"/>
                    <w:rPr>
                      <w:rFonts w:cs="Arial"/>
                      <w:sz w:val="20"/>
                    </w:rPr>
                  </w:pPr>
                  <w:r w:rsidRPr="004E1C69">
                    <w:rPr>
                      <w:rFonts w:cs="Arial"/>
                      <w:color w:val="000000"/>
                      <w:sz w:val="20"/>
                    </w:rPr>
                    <w:t>2 610 531</w:t>
                  </w:r>
                </w:p>
              </w:tc>
              <w:tc>
                <w:tcPr>
                  <w:tcW w:w="833" w:type="pct"/>
                  <w:vAlign w:val="bottom"/>
                </w:tcPr>
                <w:p w14:paraId="17E942A2" w14:textId="20FFA083" w:rsidR="00DC3EAE" w:rsidRPr="004E1C69" w:rsidRDefault="00DC3EAE" w:rsidP="00315AE7">
                  <w:pPr>
                    <w:pStyle w:val="TableBodyText"/>
                    <w:rPr>
                      <w:rFonts w:cs="Arial"/>
                      <w:sz w:val="20"/>
                    </w:rPr>
                  </w:pPr>
                  <w:r w:rsidRPr="004E1C69">
                    <w:rPr>
                      <w:rFonts w:cs="Arial"/>
                      <w:color w:val="000000"/>
                      <w:sz w:val="20"/>
                    </w:rPr>
                    <w:t>2 192 816</w:t>
                  </w:r>
                </w:p>
              </w:tc>
              <w:tc>
                <w:tcPr>
                  <w:tcW w:w="833" w:type="pct"/>
                  <w:vAlign w:val="bottom"/>
                </w:tcPr>
                <w:p w14:paraId="4B978559" w14:textId="4EFBFCEA" w:rsidR="00DC3EAE" w:rsidRPr="004E1C69" w:rsidRDefault="00DC3EAE" w:rsidP="00315AE7">
                  <w:pPr>
                    <w:pStyle w:val="TableBodyText"/>
                    <w:rPr>
                      <w:rFonts w:cs="Arial"/>
                      <w:color w:val="000000"/>
                      <w:sz w:val="20"/>
                    </w:rPr>
                  </w:pPr>
                  <w:r w:rsidRPr="004E1C69">
                    <w:rPr>
                      <w:rFonts w:cs="Arial"/>
                      <w:color w:val="000000"/>
                      <w:sz w:val="20"/>
                    </w:rPr>
                    <w:t xml:space="preserve"> 740 820</w:t>
                  </w:r>
                </w:p>
              </w:tc>
              <w:tc>
                <w:tcPr>
                  <w:tcW w:w="1246" w:type="pct"/>
                  <w:vAlign w:val="bottom"/>
                </w:tcPr>
                <w:p w14:paraId="0BA959CF" w14:textId="771907E8" w:rsidR="00DC3EAE" w:rsidRPr="004E1C69" w:rsidRDefault="00DC3EAE" w:rsidP="00315AE7">
                  <w:pPr>
                    <w:pStyle w:val="TableBodyText"/>
                    <w:ind w:right="6"/>
                    <w:rPr>
                      <w:rFonts w:cs="Arial"/>
                      <w:color w:val="000000"/>
                      <w:sz w:val="20"/>
                    </w:rPr>
                  </w:pPr>
                  <w:r w:rsidRPr="004E1C69">
                    <w:rPr>
                      <w:rFonts w:cs="Arial"/>
                      <w:color w:val="000000"/>
                      <w:sz w:val="20"/>
                    </w:rPr>
                    <w:t>9 294 881</w:t>
                  </w:r>
                </w:p>
              </w:tc>
            </w:tr>
            <w:tr w:rsidR="00DC3EAE" w14:paraId="0C64C657" w14:textId="77777777" w:rsidTr="004E1C69">
              <w:tc>
                <w:tcPr>
                  <w:tcW w:w="1255" w:type="pct"/>
                  <w:vAlign w:val="bottom"/>
                </w:tcPr>
                <w:p w14:paraId="55C98C30" w14:textId="09BD81CF" w:rsidR="00DC3EAE" w:rsidRPr="004E1C69" w:rsidRDefault="00DC3EAE" w:rsidP="00315AE7">
                  <w:pPr>
                    <w:pStyle w:val="TableBodyText"/>
                    <w:jc w:val="left"/>
                    <w:rPr>
                      <w:rFonts w:cs="Arial"/>
                      <w:sz w:val="20"/>
                    </w:rPr>
                  </w:pPr>
                  <w:r w:rsidRPr="004E1C69">
                    <w:rPr>
                      <w:rFonts w:cs="Arial"/>
                      <w:color w:val="000000"/>
                      <w:sz w:val="20"/>
                    </w:rPr>
                    <w:t>2010</w:t>
                  </w:r>
                </w:p>
              </w:tc>
              <w:tc>
                <w:tcPr>
                  <w:tcW w:w="833" w:type="pct"/>
                  <w:vAlign w:val="bottom"/>
                </w:tcPr>
                <w:p w14:paraId="30140134" w14:textId="462988DD" w:rsidR="00DC3EAE" w:rsidRPr="004E1C69" w:rsidRDefault="00DC3EAE" w:rsidP="00315AE7">
                  <w:pPr>
                    <w:pStyle w:val="TableBodyText"/>
                    <w:rPr>
                      <w:rFonts w:cs="Arial"/>
                      <w:sz w:val="20"/>
                    </w:rPr>
                  </w:pPr>
                  <w:r w:rsidRPr="004E1C69">
                    <w:rPr>
                      <w:rFonts w:cs="Arial"/>
                      <w:color w:val="000000"/>
                      <w:sz w:val="20"/>
                    </w:rPr>
                    <w:t>2 626 753</w:t>
                  </w:r>
                </w:p>
              </w:tc>
              <w:tc>
                <w:tcPr>
                  <w:tcW w:w="833" w:type="pct"/>
                  <w:vAlign w:val="bottom"/>
                </w:tcPr>
                <w:p w14:paraId="0A7EF3B9" w14:textId="427455A2" w:rsidR="00DC3EAE" w:rsidRPr="004E1C69" w:rsidRDefault="00DC3EAE" w:rsidP="00315AE7">
                  <w:pPr>
                    <w:pStyle w:val="TableBodyText"/>
                    <w:rPr>
                      <w:rFonts w:cs="Arial"/>
                      <w:sz w:val="20"/>
                    </w:rPr>
                  </w:pPr>
                  <w:r w:rsidRPr="004E1C69">
                    <w:rPr>
                      <w:rFonts w:cs="Arial"/>
                      <w:color w:val="000000"/>
                      <w:sz w:val="20"/>
                    </w:rPr>
                    <w:t>2 371 421</w:t>
                  </w:r>
                </w:p>
              </w:tc>
              <w:tc>
                <w:tcPr>
                  <w:tcW w:w="833" w:type="pct"/>
                  <w:vAlign w:val="bottom"/>
                </w:tcPr>
                <w:p w14:paraId="6B65C1DD" w14:textId="3422877B" w:rsidR="00DC3EAE" w:rsidRPr="004E1C69" w:rsidRDefault="00DC3EAE" w:rsidP="00315AE7">
                  <w:pPr>
                    <w:pStyle w:val="TableBodyText"/>
                    <w:rPr>
                      <w:rFonts w:cs="Arial"/>
                      <w:color w:val="000000"/>
                      <w:sz w:val="20"/>
                    </w:rPr>
                  </w:pPr>
                  <w:r w:rsidRPr="004E1C69">
                    <w:rPr>
                      <w:rFonts w:cs="Arial"/>
                      <w:color w:val="000000"/>
                      <w:sz w:val="20"/>
                    </w:rPr>
                    <w:t xml:space="preserve"> 739 703</w:t>
                  </w:r>
                </w:p>
              </w:tc>
              <w:tc>
                <w:tcPr>
                  <w:tcW w:w="1246" w:type="pct"/>
                  <w:vAlign w:val="bottom"/>
                </w:tcPr>
                <w:p w14:paraId="51069269" w14:textId="16514DB0" w:rsidR="00DC3EAE" w:rsidRPr="004E1C69" w:rsidRDefault="00DC3EAE" w:rsidP="00315AE7">
                  <w:pPr>
                    <w:pStyle w:val="TableBodyText"/>
                    <w:ind w:right="6"/>
                    <w:rPr>
                      <w:rFonts w:cs="Arial"/>
                      <w:color w:val="000000"/>
                      <w:sz w:val="20"/>
                    </w:rPr>
                  </w:pPr>
                  <w:r w:rsidRPr="004E1C69">
                    <w:rPr>
                      <w:rFonts w:cs="Arial"/>
                      <w:color w:val="000000"/>
                      <w:sz w:val="20"/>
                    </w:rPr>
                    <w:t>9 292 534</w:t>
                  </w:r>
                </w:p>
              </w:tc>
            </w:tr>
            <w:tr w:rsidR="00DC3EAE" w14:paraId="07E3D816" w14:textId="77777777" w:rsidTr="004E1C69">
              <w:tc>
                <w:tcPr>
                  <w:tcW w:w="1255" w:type="pct"/>
                  <w:vAlign w:val="bottom"/>
                </w:tcPr>
                <w:p w14:paraId="1119A35E" w14:textId="04060F68" w:rsidR="00DC3EAE" w:rsidRPr="004E1C69" w:rsidRDefault="00DC3EAE" w:rsidP="00315AE7">
                  <w:pPr>
                    <w:pStyle w:val="TableBodyText"/>
                    <w:jc w:val="left"/>
                    <w:rPr>
                      <w:rFonts w:cs="Arial"/>
                      <w:sz w:val="20"/>
                    </w:rPr>
                  </w:pPr>
                  <w:r w:rsidRPr="004E1C69">
                    <w:rPr>
                      <w:rFonts w:cs="Arial"/>
                      <w:color w:val="000000"/>
                      <w:sz w:val="20"/>
                    </w:rPr>
                    <w:t>2011</w:t>
                  </w:r>
                </w:p>
              </w:tc>
              <w:tc>
                <w:tcPr>
                  <w:tcW w:w="833" w:type="pct"/>
                  <w:vAlign w:val="bottom"/>
                </w:tcPr>
                <w:p w14:paraId="1F9D03A0" w14:textId="7789BD4E" w:rsidR="00DC3EAE" w:rsidRPr="004E1C69" w:rsidRDefault="00DC3EAE" w:rsidP="00315AE7">
                  <w:pPr>
                    <w:pStyle w:val="TableBodyText"/>
                    <w:rPr>
                      <w:rFonts w:cs="Arial"/>
                      <w:sz w:val="20"/>
                    </w:rPr>
                  </w:pPr>
                  <w:r w:rsidRPr="004E1C69">
                    <w:rPr>
                      <w:rFonts w:cs="Arial"/>
                      <w:color w:val="000000"/>
                      <w:sz w:val="20"/>
                    </w:rPr>
                    <w:t>2 647 391</w:t>
                  </w:r>
                </w:p>
              </w:tc>
              <w:tc>
                <w:tcPr>
                  <w:tcW w:w="833" w:type="pct"/>
                  <w:vAlign w:val="bottom"/>
                </w:tcPr>
                <w:p w14:paraId="65A0C69F" w14:textId="7A303FD6" w:rsidR="00DC3EAE" w:rsidRPr="004E1C69" w:rsidRDefault="00DC3EAE" w:rsidP="00315AE7">
                  <w:pPr>
                    <w:pStyle w:val="TableBodyText"/>
                    <w:rPr>
                      <w:rFonts w:cs="Arial"/>
                      <w:sz w:val="20"/>
                    </w:rPr>
                  </w:pPr>
                  <w:r w:rsidRPr="004E1C69">
                    <w:rPr>
                      <w:rFonts w:cs="Arial"/>
                      <w:color w:val="000000"/>
                      <w:sz w:val="20"/>
                    </w:rPr>
                    <w:t>2 327 262</w:t>
                  </w:r>
                </w:p>
              </w:tc>
              <w:tc>
                <w:tcPr>
                  <w:tcW w:w="833" w:type="pct"/>
                  <w:vAlign w:val="bottom"/>
                </w:tcPr>
                <w:p w14:paraId="6DDC1DC0" w14:textId="2BB457CC" w:rsidR="00DC3EAE" w:rsidRPr="004E1C69" w:rsidRDefault="00DC3EAE" w:rsidP="00315AE7">
                  <w:pPr>
                    <w:pStyle w:val="TableBodyText"/>
                    <w:rPr>
                      <w:rFonts w:cs="Arial"/>
                      <w:color w:val="000000"/>
                      <w:sz w:val="20"/>
                    </w:rPr>
                  </w:pPr>
                  <w:r w:rsidRPr="004E1C69">
                    <w:rPr>
                      <w:rFonts w:cs="Arial"/>
                      <w:color w:val="000000"/>
                      <w:sz w:val="20"/>
                    </w:rPr>
                    <w:t xml:space="preserve"> 742 966</w:t>
                  </w:r>
                </w:p>
              </w:tc>
              <w:tc>
                <w:tcPr>
                  <w:tcW w:w="1246" w:type="pct"/>
                  <w:vAlign w:val="bottom"/>
                </w:tcPr>
                <w:p w14:paraId="79086F6D" w14:textId="481E1CE6" w:rsidR="00DC3EAE" w:rsidRPr="004E1C69" w:rsidRDefault="00DC3EAE" w:rsidP="00315AE7">
                  <w:pPr>
                    <w:pStyle w:val="TableBodyText"/>
                    <w:ind w:right="6"/>
                    <w:rPr>
                      <w:rFonts w:cs="Arial"/>
                      <w:color w:val="000000"/>
                      <w:sz w:val="20"/>
                    </w:rPr>
                  </w:pPr>
                  <w:r w:rsidRPr="004E1C69">
                    <w:rPr>
                      <w:rFonts w:cs="Arial"/>
                      <w:color w:val="000000"/>
                      <w:sz w:val="20"/>
                    </w:rPr>
                    <w:t>9 290 727</w:t>
                  </w:r>
                </w:p>
              </w:tc>
            </w:tr>
            <w:tr w:rsidR="00DC3EAE" w14:paraId="3AA654B5" w14:textId="77777777" w:rsidTr="004E1C69">
              <w:tc>
                <w:tcPr>
                  <w:tcW w:w="1255" w:type="pct"/>
                  <w:vAlign w:val="bottom"/>
                </w:tcPr>
                <w:p w14:paraId="4AE57D63" w14:textId="280DE12A" w:rsidR="00DC3EAE" w:rsidRPr="004E1C69" w:rsidRDefault="00DC3EAE" w:rsidP="00315AE7">
                  <w:pPr>
                    <w:pStyle w:val="TableBodyText"/>
                    <w:jc w:val="left"/>
                    <w:rPr>
                      <w:rFonts w:cs="Arial"/>
                      <w:sz w:val="20"/>
                    </w:rPr>
                  </w:pPr>
                  <w:r w:rsidRPr="004E1C69">
                    <w:rPr>
                      <w:rFonts w:cs="Arial"/>
                      <w:color w:val="000000"/>
                      <w:sz w:val="20"/>
                    </w:rPr>
                    <w:t>2012</w:t>
                  </w:r>
                </w:p>
              </w:tc>
              <w:tc>
                <w:tcPr>
                  <w:tcW w:w="833" w:type="pct"/>
                  <w:vAlign w:val="bottom"/>
                </w:tcPr>
                <w:p w14:paraId="61081E0C" w14:textId="3783DBCE" w:rsidR="00DC3EAE" w:rsidRPr="004E1C69" w:rsidRDefault="00DC3EAE" w:rsidP="00315AE7">
                  <w:pPr>
                    <w:pStyle w:val="TableBodyText"/>
                    <w:rPr>
                      <w:rFonts w:cs="Arial"/>
                      <w:sz w:val="20"/>
                    </w:rPr>
                  </w:pPr>
                  <w:r w:rsidRPr="004E1C69">
                    <w:rPr>
                      <w:rFonts w:cs="Arial"/>
                      <w:color w:val="000000"/>
                      <w:sz w:val="20"/>
                    </w:rPr>
                    <w:t>2 635 631</w:t>
                  </w:r>
                </w:p>
              </w:tc>
              <w:tc>
                <w:tcPr>
                  <w:tcW w:w="833" w:type="pct"/>
                  <w:vAlign w:val="bottom"/>
                </w:tcPr>
                <w:p w14:paraId="0F759F75" w14:textId="5894359E" w:rsidR="00DC3EAE" w:rsidRPr="004E1C69" w:rsidRDefault="00DC3EAE" w:rsidP="00315AE7">
                  <w:pPr>
                    <w:pStyle w:val="TableBodyText"/>
                    <w:rPr>
                      <w:rFonts w:cs="Arial"/>
                      <w:sz w:val="20"/>
                    </w:rPr>
                  </w:pPr>
                  <w:r w:rsidRPr="004E1C69">
                    <w:rPr>
                      <w:rFonts w:cs="Arial"/>
                      <w:color w:val="000000"/>
                      <w:sz w:val="20"/>
                    </w:rPr>
                    <w:t>2 354 279</w:t>
                  </w:r>
                </w:p>
              </w:tc>
              <w:tc>
                <w:tcPr>
                  <w:tcW w:w="833" w:type="pct"/>
                  <w:vAlign w:val="bottom"/>
                </w:tcPr>
                <w:p w14:paraId="3AD4B948" w14:textId="4098E5FB" w:rsidR="00DC3EAE" w:rsidRPr="004E1C69" w:rsidRDefault="00DC3EAE" w:rsidP="00315AE7">
                  <w:pPr>
                    <w:pStyle w:val="TableBodyText"/>
                    <w:rPr>
                      <w:rFonts w:cs="Arial"/>
                      <w:color w:val="000000"/>
                      <w:sz w:val="20"/>
                    </w:rPr>
                  </w:pPr>
                  <w:r w:rsidRPr="004E1C69">
                    <w:rPr>
                      <w:rFonts w:cs="Arial"/>
                      <w:color w:val="000000"/>
                      <w:sz w:val="20"/>
                    </w:rPr>
                    <w:t xml:space="preserve"> 743 163</w:t>
                  </w:r>
                </w:p>
              </w:tc>
              <w:tc>
                <w:tcPr>
                  <w:tcW w:w="1246" w:type="pct"/>
                  <w:vAlign w:val="bottom"/>
                </w:tcPr>
                <w:p w14:paraId="7FD66747" w14:textId="464773BA" w:rsidR="00DC3EAE" w:rsidRPr="004E1C69" w:rsidRDefault="00DC3EAE" w:rsidP="00315AE7">
                  <w:pPr>
                    <w:pStyle w:val="TableBodyText"/>
                    <w:ind w:right="6"/>
                    <w:rPr>
                      <w:rFonts w:cs="Arial"/>
                      <w:color w:val="000000"/>
                      <w:sz w:val="20"/>
                    </w:rPr>
                  </w:pPr>
                  <w:r w:rsidRPr="004E1C69">
                    <w:rPr>
                      <w:rFonts w:cs="Arial"/>
                      <w:color w:val="000000"/>
                      <w:sz w:val="20"/>
                    </w:rPr>
                    <w:t>9 288 779</w:t>
                  </w:r>
                </w:p>
              </w:tc>
            </w:tr>
            <w:tr w:rsidR="00DC3EAE" w14:paraId="69682B8A" w14:textId="77777777" w:rsidTr="004E1C69">
              <w:tc>
                <w:tcPr>
                  <w:tcW w:w="1255" w:type="pct"/>
                  <w:vAlign w:val="bottom"/>
                </w:tcPr>
                <w:p w14:paraId="1A0C7F2B" w14:textId="48D9C8B0" w:rsidR="00DC3EAE" w:rsidRPr="004E1C69" w:rsidRDefault="00DC3EAE" w:rsidP="00315AE7">
                  <w:pPr>
                    <w:pStyle w:val="TableBodyText"/>
                    <w:jc w:val="left"/>
                    <w:rPr>
                      <w:rFonts w:cs="Arial"/>
                      <w:sz w:val="20"/>
                    </w:rPr>
                  </w:pPr>
                  <w:r w:rsidRPr="004E1C69">
                    <w:rPr>
                      <w:rFonts w:cs="Arial"/>
                      <w:color w:val="000000"/>
                      <w:sz w:val="20"/>
                    </w:rPr>
                    <w:t>2013</w:t>
                  </w:r>
                </w:p>
              </w:tc>
              <w:tc>
                <w:tcPr>
                  <w:tcW w:w="833" w:type="pct"/>
                  <w:vAlign w:val="bottom"/>
                </w:tcPr>
                <w:p w14:paraId="6C775F2C" w14:textId="65F4DD0E" w:rsidR="00DC3EAE" w:rsidRPr="004E1C69" w:rsidRDefault="00DC3EAE" w:rsidP="00315AE7">
                  <w:pPr>
                    <w:pStyle w:val="TableBodyText"/>
                    <w:rPr>
                      <w:rFonts w:cs="Arial"/>
                      <w:sz w:val="20"/>
                    </w:rPr>
                  </w:pPr>
                  <w:r w:rsidRPr="004E1C69">
                    <w:rPr>
                      <w:rFonts w:cs="Arial"/>
                      <w:color w:val="000000"/>
                      <w:sz w:val="20"/>
                    </w:rPr>
                    <w:t>2 610 828</w:t>
                  </w:r>
                </w:p>
              </w:tc>
              <w:tc>
                <w:tcPr>
                  <w:tcW w:w="833" w:type="pct"/>
                  <w:vAlign w:val="bottom"/>
                </w:tcPr>
                <w:p w14:paraId="3A8B10EC" w14:textId="7DD1491C" w:rsidR="00DC3EAE" w:rsidRPr="004E1C69" w:rsidRDefault="00DC3EAE" w:rsidP="00315AE7">
                  <w:pPr>
                    <w:pStyle w:val="TableBodyText"/>
                    <w:rPr>
                      <w:rFonts w:cs="Arial"/>
                      <w:sz w:val="20"/>
                    </w:rPr>
                  </w:pPr>
                  <w:r w:rsidRPr="004E1C69">
                    <w:rPr>
                      <w:rFonts w:cs="Arial"/>
                      <w:color w:val="000000"/>
                      <w:sz w:val="20"/>
                    </w:rPr>
                    <w:t>2 395 962</w:t>
                  </w:r>
                </w:p>
              </w:tc>
              <w:tc>
                <w:tcPr>
                  <w:tcW w:w="833" w:type="pct"/>
                  <w:vAlign w:val="bottom"/>
                </w:tcPr>
                <w:p w14:paraId="37C1A943" w14:textId="44BBA2DA" w:rsidR="00DC3EAE" w:rsidRPr="004E1C69" w:rsidRDefault="00DC3EAE" w:rsidP="00315AE7">
                  <w:pPr>
                    <w:pStyle w:val="TableBodyText"/>
                    <w:rPr>
                      <w:rFonts w:cs="Arial"/>
                      <w:color w:val="000000"/>
                      <w:sz w:val="20"/>
                    </w:rPr>
                  </w:pPr>
                  <w:r w:rsidRPr="004E1C69">
                    <w:rPr>
                      <w:rFonts w:cs="Arial"/>
                      <w:color w:val="000000"/>
                      <w:sz w:val="20"/>
                    </w:rPr>
                    <w:t xml:space="preserve"> 746 587</w:t>
                  </w:r>
                </w:p>
              </w:tc>
              <w:tc>
                <w:tcPr>
                  <w:tcW w:w="1246" w:type="pct"/>
                  <w:vAlign w:val="bottom"/>
                </w:tcPr>
                <w:p w14:paraId="1A86F84D" w14:textId="3E2F8E0C" w:rsidR="00DC3EAE" w:rsidRPr="004E1C69" w:rsidRDefault="00DC3EAE" w:rsidP="00315AE7">
                  <w:pPr>
                    <w:pStyle w:val="TableBodyText"/>
                    <w:ind w:right="6"/>
                    <w:rPr>
                      <w:rFonts w:cs="Arial"/>
                      <w:color w:val="000000"/>
                      <w:sz w:val="20"/>
                    </w:rPr>
                  </w:pPr>
                  <w:r w:rsidRPr="004E1C69">
                    <w:rPr>
                      <w:rFonts w:cs="Arial"/>
                      <w:color w:val="000000"/>
                      <w:sz w:val="20"/>
                    </w:rPr>
                    <w:t>9 287 540</w:t>
                  </w:r>
                </w:p>
              </w:tc>
            </w:tr>
            <w:tr w:rsidR="00DC3EAE" w14:paraId="1C457D29" w14:textId="77777777" w:rsidTr="004E1C69">
              <w:tc>
                <w:tcPr>
                  <w:tcW w:w="1255" w:type="pct"/>
                  <w:vAlign w:val="bottom"/>
                </w:tcPr>
                <w:p w14:paraId="364CB4E3" w14:textId="665175BB" w:rsidR="00DC3EAE" w:rsidRPr="004E1C69" w:rsidRDefault="00DC3EAE" w:rsidP="00315AE7">
                  <w:pPr>
                    <w:pStyle w:val="TableBodyText"/>
                    <w:jc w:val="left"/>
                    <w:rPr>
                      <w:rFonts w:cs="Arial"/>
                      <w:sz w:val="20"/>
                    </w:rPr>
                  </w:pPr>
                  <w:r w:rsidRPr="004E1C69">
                    <w:rPr>
                      <w:rFonts w:cs="Arial"/>
                      <w:color w:val="000000"/>
                      <w:sz w:val="20"/>
                    </w:rPr>
                    <w:t>2014</w:t>
                  </w:r>
                </w:p>
              </w:tc>
              <w:tc>
                <w:tcPr>
                  <w:tcW w:w="833" w:type="pct"/>
                  <w:vAlign w:val="bottom"/>
                </w:tcPr>
                <w:p w14:paraId="37C43D36" w14:textId="5E1E675D" w:rsidR="00DC3EAE" w:rsidRPr="004E1C69" w:rsidRDefault="00DC3EAE" w:rsidP="00315AE7">
                  <w:pPr>
                    <w:pStyle w:val="TableBodyText"/>
                    <w:rPr>
                      <w:rFonts w:cs="Arial"/>
                      <w:sz w:val="20"/>
                    </w:rPr>
                  </w:pPr>
                  <w:r w:rsidRPr="004E1C69">
                    <w:rPr>
                      <w:rFonts w:cs="Arial"/>
                      <w:color w:val="000000"/>
                      <w:sz w:val="20"/>
                    </w:rPr>
                    <w:t>2 611 070</w:t>
                  </w:r>
                </w:p>
              </w:tc>
              <w:tc>
                <w:tcPr>
                  <w:tcW w:w="833" w:type="pct"/>
                  <w:vAlign w:val="bottom"/>
                </w:tcPr>
                <w:p w14:paraId="7E6D04CC" w14:textId="4F705238" w:rsidR="00DC3EAE" w:rsidRPr="004E1C69" w:rsidRDefault="00DC3EAE" w:rsidP="00315AE7">
                  <w:pPr>
                    <w:pStyle w:val="TableBodyText"/>
                    <w:rPr>
                      <w:rFonts w:cs="Arial"/>
                      <w:sz w:val="20"/>
                    </w:rPr>
                  </w:pPr>
                  <w:r w:rsidRPr="004E1C69">
                    <w:rPr>
                      <w:rFonts w:cs="Arial"/>
                      <w:color w:val="000000"/>
                      <w:sz w:val="20"/>
                    </w:rPr>
                    <w:t>2 466 064</w:t>
                  </w:r>
                </w:p>
              </w:tc>
              <w:tc>
                <w:tcPr>
                  <w:tcW w:w="833" w:type="pct"/>
                  <w:vAlign w:val="bottom"/>
                </w:tcPr>
                <w:p w14:paraId="49D1FD2B" w14:textId="6D6368C6" w:rsidR="00DC3EAE" w:rsidRPr="004E1C69" w:rsidRDefault="00DC3EAE" w:rsidP="00315AE7">
                  <w:pPr>
                    <w:pStyle w:val="TableBodyText"/>
                    <w:rPr>
                      <w:rFonts w:cs="Arial"/>
                      <w:color w:val="000000"/>
                      <w:sz w:val="20"/>
                    </w:rPr>
                  </w:pPr>
                  <w:r w:rsidRPr="004E1C69">
                    <w:rPr>
                      <w:rFonts w:cs="Arial"/>
                      <w:color w:val="000000"/>
                      <w:sz w:val="20"/>
                    </w:rPr>
                    <w:t xml:space="preserve"> 764 795</w:t>
                  </w:r>
                </w:p>
              </w:tc>
              <w:tc>
                <w:tcPr>
                  <w:tcW w:w="1246" w:type="pct"/>
                  <w:vAlign w:val="bottom"/>
                </w:tcPr>
                <w:p w14:paraId="798A414B" w14:textId="41693648" w:rsidR="00DC3EAE" w:rsidRPr="004E1C69" w:rsidRDefault="00DC3EAE" w:rsidP="00315AE7">
                  <w:pPr>
                    <w:pStyle w:val="TableBodyText"/>
                    <w:ind w:right="6"/>
                    <w:rPr>
                      <w:rFonts w:cs="Arial"/>
                      <w:color w:val="000000"/>
                      <w:sz w:val="20"/>
                    </w:rPr>
                  </w:pPr>
                  <w:r w:rsidRPr="004E1C69">
                    <w:rPr>
                      <w:rFonts w:cs="Arial"/>
                      <w:color w:val="000000"/>
                      <w:sz w:val="20"/>
                    </w:rPr>
                    <w:t>9 285 988</w:t>
                  </w:r>
                </w:p>
              </w:tc>
            </w:tr>
            <w:tr w:rsidR="00DC3EAE" w14:paraId="1B5B5973" w14:textId="77777777" w:rsidTr="004E1C69">
              <w:tc>
                <w:tcPr>
                  <w:tcW w:w="1255" w:type="pct"/>
                  <w:vAlign w:val="bottom"/>
                </w:tcPr>
                <w:p w14:paraId="5C5B2FBD" w14:textId="60EEAE02" w:rsidR="00DC3EAE" w:rsidRPr="004E1C69" w:rsidRDefault="00DC3EAE" w:rsidP="00315AE7">
                  <w:pPr>
                    <w:pStyle w:val="TableBodyText"/>
                    <w:jc w:val="left"/>
                    <w:rPr>
                      <w:rFonts w:cs="Arial"/>
                      <w:sz w:val="20"/>
                    </w:rPr>
                  </w:pPr>
                  <w:r w:rsidRPr="004E1C69">
                    <w:rPr>
                      <w:rFonts w:cs="Arial"/>
                      <w:color w:val="000000"/>
                      <w:sz w:val="20"/>
                    </w:rPr>
                    <w:t>2015</w:t>
                  </w:r>
                </w:p>
              </w:tc>
              <w:tc>
                <w:tcPr>
                  <w:tcW w:w="833" w:type="pct"/>
                  <w:vAlign w:val="bottom"/>
                </w:tcPr>
                <w:p w14:paraId="31434100" w14:textId="3F965FDD" w:rsidR="00DC3EAE" w:rsidRPr="004E1C69" w:rsidRDefault="00DC3EAE" w:rsidP="00315AE7">
                  <w:pPr>
                    <w:pStyle w:val="TableBodyText"/>
                    <w:rPr>
                      <w:rFonts w:cs="Arial"/>
                      <w:sz w:val="20"/>
                    </w:rPr>
                  </w:pPr>
                  <w:r w:rsidRPr="004E1C69">
                    <w:rPr>
                      <w:rFonts w:cs="Arial"/>
                      <w:color w:val="000000"/>
                      <w:sz w:val="20"/>
                    </w:rPr>
                    <w:t>2 609 961</w:t>
                  </w:r>
                </w:p>
              </w:tc>
              <w:tc>
                <w:tcPr>
                  <w:tcW w:w="833" w:type="pct"/>
                  <w:vAlign w:val="bottom"/>
                </w:tcPr>
                <w:p w14:paraId="7C216095" w14:textId="06E872A9" w:rsidR="00DC3EAE" w:rsidRPr="004E1C69" w:rsidRDefault="00DC3EAE" w:rsidP="00315AE7">
                  <w:pPr>
                    <w:pStyle w:val="TableBodyText"/>
                    <w:rPr>
                      <w:rFonts w:cs="Arial"/>
                      <w:sz w:val="20"/>
                    </w:rPr>
                  </w:pPr>
                  <w:r w:rsidRPr="004E1C69">
                    <w:rPr>
                      <w:rFonts w:cs="Arial"/>
                      <w:color w:val="000000"/>
                      <w:sz w:val="20"/>
                    </w:rPr>
                    <w:t>2 480 758</w:t>
                  </w:r>
                </w:p>
              </w:tc>
              <w:tc>
                <w:tcPr>
                  <w:tcW w:w="833" w:type="pct"/>
                  <w:vAlign w:val="bottom"/>
                </w:tcPr>
                <w:p w14:paraId="418EE5B8" w14:textId="19B75D22" w:rsidR="00DC3EAE" w:rsidRPr="004E1C69" w:rsidRDefault="00DC3EAE" w:rsidP="00315AE7">
                  <w:pPr>
                    <w:pStyle w:val="TableBodyText"/>
                    <w:rPr>
                      <w:rFonts w:cs="Arial"/>
                      <w:color w:val="000000"/>
                      <w:sz w:val="20"/>
                    </w:rPr>
                  </w:pPr>
                  <w:r w:rsidRPr="004E1C69">
                    <w:rPr>
                      <w:rFonts w:cs="Arial"/>
                      <w:color w:val="000000"/>
                      <w:sz w:val="20"/>
                    </w:rPr>
                    <w:t xml:space="preserve"> 786 929</w:t>
                  </w:r>
                </w:p>
              </w:tc>
              <w:tc>
                <w:tcPr>
                  <w:tcW w:w="1246" w:type="pct"/>
                  <w:vAlign w:val="bottom"/>
                </w:tcPr>
                <w:p w14:paraId="05A4F8A1" w14:textId="7C542C6A" w:rsidR="00DC3EAE" w:rsidRPr="004E1C69" w:rsidRDefault="00DC3EAE" w:rsidP="00315AE7">
                  <w:pPr>
                    <w:pStyle w:val="TableBodyText"/>
                    <w:ind w:right="6"/>
                    <w:rPr>
                      <w:rFonts w:cs="Arial"/>
                      <w:color w:val="000000"/>
                      <w:sz w:val="20"/>
                    </w:rPr>
                  </w:pPr>
                  <w:r w:rsidRPr="004E1C69">
                    <w:rPr>
                      <w:rFonts w:cs="Arial"/>
                      <w:color w:val="000000"/>
                      <w:sz w:val="20"/>
                    </w:rPr>
                    <w:t>9 284 562</w:t>
                  </w:r>
                </w:p>
              </w:tc>
            </w:tr>
            <w:tr w:rsidR="00DC3EAE" w14:paraId="75917761" w14:textId="77777777" w:rsidTr="004E1C69">
              <w:tc>
                <w:tcPr>
                  <w:tcW w:w="1255" w:type="pct"/>
                  <w:vAlign w:val="bottom"/>
                </w:tcPr>
                <w:p w14:paraId="1A836287" w14:textId="1E837AEA" w:rsidR="00DC3EAE" w:rsidRPr="004E1C69" w:rsidRDefault="00DC3EAE" w:rsidP="00315AE7">
                  <w:pPr>
                    <w:pStyle w:val="TableBodyText"/>
                    <w:jc w:val="left"/>
                    <w:rPr>
                      <w:rFonts w:cs="Arial"/>
                      <w:sz w:val="20"/>
                    </w:rPr>
                  </w:pPr>
                  <w:r w:rsidRPr="004E1C69">
                    <w:rPr>
                      <w:rFonts w:cs="Arial"/>
                      <w:color w:val="000000"/>
                      <w:sz w:val="20"/>
                    </w:rPr>
                    <w:t>2016</w:t>
                  </w:r>
                </w:p>
              </w:tc>
              <w:tc>
                <w:tcPr>
                  <w:tcW w:w="833" w:type="pct"/>
                  <w:vAlign w:val="bottom"/>
                </w:tcPr>
                <w:p w14:paraId="3D678F0A" w14:textId="350F1B5B" w:rsidR="00DC3EAE" w:rsidRPr="004E1C69" w:rsidRDefault="00DC3EAE" w:rsidP="00315AE7">
                  <w:pPr>
                    <w:pStyle w:val="TableBodyText"/>
                    <w:rPr>
                      <w:rFonts w:cs="Arial"/>
                      <w:sz w:val="20"/>
                    </w:rPr>
                  </w:pPr>
                  <w:r w:rsidRPr="004E1C69">
                    <w:rPr>
                      <w:rFonts w:cs="Arial"/>
                      <w:color w:val="000000"/>
                      <w:sz w:val="20"/>
                    </w:rPr>
                    <w:t>2 664 696</w:t>
                  </w:r>
                </w:p>
              </w:tc>
              <w:tc>
                <w:tcPr>
                  <w:tcW w:w="833" w:type="pct"/>
                  <w:vAlign w:val="bottom"/>
                </w:tcPr>
                <w:p w14:paraId="48E73CBD" w14:textId="1F993C51" w:rsidR="00DC3EAE" w:rsidRPr="004E1C69" w:rsidRDefault="00DC3EAE" w:rsidP="00315AE7">
                  <w:pPr>
                    <w:pStyle w:val="TableBodyText"/>
                    <w:rPr>
                      <w:rFonts w:cs="Arial"/>
                      <w:sz w:val="20"/>
                    </w:rPr>
                  </w:pPr>
                  <w:r w:rsidRPr="004E1C69">
                    <w:rPr>
                      <w:rFonts w:cs="Arial"/>
                      <w:color w:val="000000"/>
                      <w:sz w:val="20"/>
                    </w:rPr>
                    <w:t>2 734 614</w:t>
                  </w:r>
                </w:p>
              </w:tc>
              <w:tc>
                <w:tcPr>
                  <w:tcW w:w="833" w:type="pct"/>
                  <w:vAlign w:val="bottom"/>
                </w:tcPr>
                <w:p w14:paraId="75D400C5" w14:textId="2A7C95BA" w:rsidR="00DC3EAE" w:rsidRPr="004E1C69" w:rsidRDefault="00DC3EAE" w:rsidP="00315AE7">
                  <w:pPr>
                    <w:pStyle w:val="TableBodyText"/>
                    <w:rPr>
                      <w:rFonts w:cs="Arial"/>
                      <w:color w:val="000000"/>
                      <w:sz w:val="20"/>
                    </w:rPr>
                  </w:pPr>
                  <w:r w:rsidRPr="004E1C69">
                    <w:rPr>
                      <w:rFonts w:cs="Arial"/>
                      <w:color w:val="000000"/>
                      <w:sz w:val="20"/>
                    </w:rPr>
                    <w:t xml:space="preserve"> 771 629</w:t>
                  </w:r>
                </w:p>
              </w:tc>
              <w:tc>
                <w:tcPr>
                  <w:tcW w:w="1246" w:type="pct"/>
                  <w:vAlign w:val="bottom"/>
                </w:tcPr>
                <w:p w14:paraId="4619AE27" w14:textId="4438CA8E" w:rsidR="00DC3EAE" w:rsidRPr="004E1C69" w:rsidRDefault="00DC3EAE" w:rsidP="00315AE7">
                  <w:pPr>
                    <w:pStyle w:val="TableBodyText"/>
                    <w:ind w:right="6"/>
                    <w:rPr>
                      <w:rFonts w:cs="Arial"/>
                      <w:color w:val="000000"/>
                      <w:sz w:val="20"/>
                    </w:rPr>
                  </w:pPr>
                  <w:r w:rsidRPr="004E1C69">
                    <w:rPr>
                      <w:rFonts w:cs="Arial"/>
                      <w:color w:val="000000"/>
                      <w:sz w:val="20"/>
                    </w:rPr>
                    <w:t>9 283 612</w:t>
                  </w:r>
                </w:p>
              </w:tc>
            </w:tr>
            <w:tr w:rsidR="00DC3EAE" w14:paraId="4DBC9F4A" w14:textId="77777777" w:rsidTr="004E1C69">
              <w:tc>
                <w:tcPr>
                  <w:tcW w:w="1255" w:type="pct"/>
                  <w:vAlign w:val="bottom"/>
                </w:tcPr>
                <w:p w14:paraId="689DC0FE" w14:textId="54ABA320" w:rsidR="00DC3EAE" w:rsidRPr="004E1C69" w:rsidRDefault="00DC3EAE" w:rsidP="00315AE7">
                  <w:pPr>
                    <w:pStyle w:val="TableBodyText"/>
                    <w:jc w:val="left"/>
                    <w:rPr>
                      <w:rFonts w:cs="Arial"/>
                      <w:sz w:val="20"/>
                    </w:rPr>
                  </w:pPr>
                  <w:r w:rsidRPr="004E1C69">
                    <w:rPr>
                      <w:rFonts w:cs="Arial"/>
                      <w:color w:val="000000"/>
                      <w:sz w:val="20"/>
                    </w:rPr>
                    <w:t>2017</w:t>
                  </w:r>
                </w:p>
              </w:tc>
              <w:tc>
                <w:tcPr>
                  <w:tcW w:w="833" w:type="pct"/>
                  <w:vAlign w:val="bottom"/>
                </w:tcPr>
                <w:p w14:paraId="0701BAC0" w14:textId="579DE933" w:rsidR="00DC3EAE" w:rsidRPr="004E1C69" w:rsidRDefault="00DC3EAE" w:rsidP="00315AE7">
                  <w:pPr>
                    <w:pStyle w:val="TableBodyText"/>
                    <w:rPr>
                      <w:rFonts w:cs="Arial"/>
                      <w:sz w:val="20"/>
                    </w:rPr>
                  </w:pPr>
                  <w:r w:rsidRPr="004E1C69">
                    <w:rPr>
                      <w:rFonts w:cs="Arial"/>
                      <w:color w:val="000000"/>
                      <w:sz w:val="20"/>
                    </w:rPr>
                    <w:t>2 707 977</w:t>
                  </w:r>
                </w:p>
              </w:tc>
              <w:tc>
                <w:tcPr>
                  <w:tcW w:w="833" w:type="pct"/>
                  <w:vAlign w:val="bottom"/>
                </w:tcPr>
                <w:p w14:paraId="68660F7F" w14:textId="60083CEA" w:rsidR="00DC3EAE" w:rsidRPr="004E1C69" w:rsidRDefault="00DC3EAE" w:rsidP="00315AE7">
                  <w:pPr>
                    <w:pStyle w:val="TableBodyText"/>
                    <w:rPr>
                      <w:rFonts w:cs="Arial"/>
                      <w:sz w:val="20"/>
                    </w:rPr>
                  </w:pPr>
                  <w:r w:rsidRPr="004E1C69">
                    <w:rPr>
                      <w:rFonts w:cs="Arial"/>
                      <w:color w:val="000000"/>
                      <w:sz w:val="20"/>
                    </w:rPr>
                    <w:t>2 798 271</w:t>
                  </w:r>
                </w:p>
              </w:tc>
              <w:tc>
                <w:tcPr>
                  <w:tcW w:w="833" w:type="pct"/>
                  <w:vAlign w:val="bottom"/>
                </w:tcPr>
                <w:p w14:paraId="44AFE34E" w14:textId="0888D924" w:rsidR="00DC3EAE" w:rsidRPr="004E1C69" w:rsidRDefault="00DC3EAE" w:rsidP="00315AE7">
                  <w:pPr>
                    <w:pStyle w:val="TableBodyText"/>
                    <w:rPr>
                      <w:rFonts w:cs="Arial"/>
                      <w:color w:val="000000"/>
                      <w:sz w:val="20"/>
                    </w:rPr>
                  </w:pPr>
                  <w:r w:rsidRPr="004E1C69">
                    <w:rPr>
                      <w:rFonts w:cs="Arial"/>
                      <w:color w:val="000000"/>
                      <w:sz w:val="20"/>
                    </w:rPr>
                    <w:t xml:space="preserve"> 798 445</w:t>
                  </w:r>
                </w:p>
              </w:tc>
              <w:tc>
                <w:tcPr>
                  <w:tcW w:w="1246" w:type="pct"/>
                  <w:vAlign w:val="bottom"/>
                </w:tcPr>
                <w:p w14:paraId="31FD9D5B" w14:textId="51BF80BA" w:rsidR="00DC3EAE" w:rsidRPr="004E1C69" w:rsidRDefault="00DC3EAE" w:rsidP="00315AE7">
                  <w:pPr>
                    <w:pStyle w:val="TableBodyText"/>
                    <w:ind w:right="6"/>
                    <w:rPr>
                      <w:rFonts w:cs="Arial"/>
                      <w:color w:val="000000"/>
                      <w:sz w:val="20"/>
                    </w:rPr>
                  </w:pPr>
                  <w:r w:rsidRPr="004E1C69">
                    <w:rPr>
                      <w:rFonts w:cs="Arial"/>
                      <w:color w:val="000000"/>
                      <w:sz w:val="20"/>
                    </w:rPr>
                    <w:t>9 281 710</w:t>
                  </w:r>
                </w:p>
              </w:tc>
            </w:tr>
            <w:tr w:rsidR="00AB4ECE" w14:paraId="146DF259" w14:textId="77777777" w:rsidTr="004E1C69">
              <w:tc>
                <w:tcPr>
                  <w:tcW w:w="1255" w:type="pct"/>
                  <w:vAlign w:val="bottom"/>
                </w:tcPr>
                <w:p w14:paraId="0991F627" w14:textId="683472E4" w:rsidR="00AB4ECE" w:rsidRPr="004E1C69" w:rsidRDefault="00AB4ECE" w:rsidP="00AB4ECE">
                  <w:pPr>
                    <w:pStyle w:val="TableBodyText"/>
                    <w:jc w:val="left"/>
                    <w:rPr>
                      <w:rFonts w:cs="Arial"/>
                      <w:color w:val="000000"/>
                      <w:sz w:val="20"/>
                    </w:rPr>
                  </w:pPr>
                  <w:r w:rsidRPr="004E1C69">
                    <w:rPr>
                      <w:rFonts w:cs="Arial"/>
                      <w:color w:val="000000"/>
                      <w:sz w:val="20"/>
                    </w:rPr>
                    <w:t>2018</w:t>
                  </w:r>
                </w:p>
              </w:tc>
              <w:tc>
                <w:tcPr>
                  <w:tcW w:w="833" w:type="pct"/>
                  <w:vAlign w:val="bottom"/>
                </w:tcPr>
                <w:p w14:paraId="3F9CEF1D" w14:textId="3F288B97" w:rsidR="00AB4ECE" w:rsidRPr="004E1C69" w:rsidRDefault="00AB4ECE" w:rsidP="00AB4ECE">
                  <w:pPr>
                    <w:pStyle w:val="TableBodyText"/>
                    <w:rPr>
                      <w:rFonts w:cs="Arial"/>
                      <w:color w:val="000000"/>
                      <w:sz w:val="20"/>
                    </w:rPr>
                  </w:pPr>
                  <w:r w:rsidRPr="004E1C69">
                    <w:rPr>
                      <w:rFonts w:cs="Arial"/>
                      <w:color w:val="000000"/>
                      <w:sz w:val="20"/>
                    </w:rPr>
                    <w:t>2 726 096</w:t>
                  </w:r>
                </w:p>
              </w:tc>
              <w:tc>
                <w:tcPr>
                  <w:tcW w:w="833" w:type="pct"/>
                  <w:vAlign w:val="bottom"/>
                </w:tcPr>
                <w:p w14:paraId="028E072D" w14:textId="117FF5E0" w:rsidR="00AB4ECE" w:rsidRPr="004E1C69" w:rsidRDefault="00AB4ECE" w:rsidP="00AB4ECE">
                  <w:pPr>
                    <w:pStyle w:val="TableBodyText"/>
                    <w:rPr>
                      <w:rFonts w:cs="Arial"/>
                      <w:color w:val="000000"/>
                      <w:sz w:val="20"/>
                    </w:rPr>
                  </w:pPr>
                  <w:r w:rsidRPr="004E1C69">
                    <w:rPr>
                      <w:rFonts w:cs="Arial"/>
                      <w:color w:val="000000"/>
                      <w:sz w:val="20"/>
                    </w:rPr>
                    <w:t>2 815 139</w:t>
                  </w:r>
                </w:p>
              </w:tc>
              <w:tc>
                <w:tcPr>
                  <w:tcW w:w="833" w:type="pct"/>
                  <w:vAlign w:val="bottom"/>
                </w:tcPr>
                <w:p w14:paraId="1DB60272" w14:textId="750859EE" w:rsidR="00AB4ECE" w:rsidRPr="004E1C69" w:rsidRDefault="00AB4ECE" w:rsidP="00AB4ECE">
                  <w:pPr>
                    <w:pStyle w:val="TableBodyText"/>
                    <w:rPr>
                      <w:rFonts w:cs="Arial"/>
                      <w:color w:val="000000"/>
                      <w:sz w:val="20"/>
                    </w:rPr>
                  </w:pPr>
                  <w:r w:rsidRPr="004E1C69">
                    <w:rPr>
                      <w:rFonts w:cs="Arial"/>
                      <w:color w:val="000000"/>
                      <w:sz w:val="20"/>
                    </w:rPr>
                    <w:t xml:space="preserve"> 786 085</w:t>
                  </w:r>
                </w:p>
              </w:tc>
              <w:tc>
                <w:tcPr>
                  <w:tcW w:w="1246" w:type="pct"/>
                  <w:vAlign w:val="bottom"/>
                </w:tcPr>
                <w:p w14:paraId="6A8892A0" w14:textId="5C6EEB35" w:rsidR="00AB4ECE" w:rsidRPr="004E1C69" w:rsidRDefault="00AB4ECE" w:rsidP="00AB4ECE">
                  <w:pPr>
                    <w:pStyle w:val="TableBodyText"/>
                    <w:ind w:right="6"/>
                    <w:rPr>
                      <w:rFonts w:cs="Arial"/>
                      <w:color w:val="000000"/>
                      <w:sz w:val="20"/>
                    </w:rPr>
                  </w:pPr>
                  <w:r w:rsidRPr="004E1C69">
                    <w:rPr>
                      <w:rFonts w:cs="Arial"/>
                      <w:color w:val="000000"/>
                      <w:sz w:val="20"/>
                    </w:rPr>
                    <w:t>9 280 209</w:t>
                  </w:r>
                </w:p>
              </w:tc>
            </w:tr>
            <w:tr w:rsidR="00DC3EAE" w14:paraId="68179AE0" w14:textId="77777777" w:rsidTr="004E1C69">
              <w:tc>
                <w:tcPr>
                  <w:tcW w:w="1255" w:type="pct"/>
                  <w:tcBorders>
                    <w:bottom w:val="single" w:sz="4" w:space="0" w:color="BFBFBF"/>
                  </w:tcBorders>
                  <w:shd w:val="clear" w:color="auto" w:fill="auto"/>
                  <w:vAlign w:val="bottom"/>
                </w:tcPr>
                <w:p w14:paraId="5837C315" w14:textId="7DE98915" w:rsidR="00DC3EAE" w:rsidRPr="004E1C69" w:rsidRDefault="00DC3EAE" w:rsidP="00315AE7">
                  <w:pPr>
                    <w:pStyle w:val="TableBodyText"/>
                    <w:jc w:val="left"/>
                    <w:rPr>
                      <w:rFonts w:cs="Arial"/>
                      <w:sz w:val="20"/>
                    </w:rPr>
                  </w:pPr>
                  <w:r w:rsidRPr="004E1C69">
                    <w:rPr>
                      <w:rFonts w:cs="Arial"/>
                      <w:color w:val="000000"/>
                      <w:sz w:val="20"/>
                    </w:rPr>
                    <w:t>201</w:t>
                  </w:r>
                  <w:r w:rsidR="00AB4ECE" w:rsidRPr="004E1C69">
                    <w:rPr>
                      <w:rFonts w:cs="Arial"/>
                      <w:color w:val="000000"/>
                      <w:sz w:val="20"/>
                    </w:rPr>
                    <w:t>9</w:t>
                  </w:r>
                </w:p>
              </w:tc>
              <w:tc>
                <w:tcPr>
                  <w:tcW w:w="833" w:type="pct"/>
                  <w:tcBorders>
                    <w:bottom w:val="single" w:sz="4" w:space="0" w:color="BFBFBF"/>
                  </w:tcBorders>
                  <w:shd w:val="clear" w:color="auto" w:fill="auto"/>
                  <w:vAlign w:val="bottom"/>
                </w:tcPr>
                <w:p w14:paraId="6E43D75D" w14:textId="139035F6" w:rsidR="00DC3EAE" w:rsidRPr="004E1C69" w:rsidRDefault="00CA5E1D" w:rsidP="00315AE7">
                  <w:pPr>
                    <w:pStyle w:val="TableBodyText"/>
                    <w:rPr>
                      <w:rFonts w:cs="Arial"/>
                      <w:sz w:val="20"/>
                    </w:rPr>
                  </w:pPr>
                  <w:r w:rsidRPr="004E1C69">
                    <w:rPr>
                      <w:rFonts w:cs="Arial"/>
                      <w:color w:val="000000"/>
                      <w:sz w:val="20"/>
                    </w:rPr>
                    <w:t>2 570 422</w:t>
                  </w:r>
                </w:p>
              </w:tc>
              <w:tc>
                <w:tcPr>
                  <w:tcW w:w="833" w:type="pct"/>
                  <w:tcBorders>
                    <w:bottom w:val="single" w:sz="4" w:space="0" w:color="BFBFBF"/>
                  </w:tcBorders>
                  <w:shd w:val="clear" w:color="auto" w:fill="auto"/>
                  <w:vAlign w:val="bottom"/>
                </w:tcPr>
                <w:p w14:paraId="3BAA09B7" w14:textId="0C119EB9" w:rsidR="00DC3EAE" w:rsidRPr="004E1C69" w:rsidRDefault="00B2473B" w:rsidP="00315AE7">
                  <w:pPr>
                    <w:pStyle w:val="TableBodyText"/>
                    <w:rPr>
                      <w:rFonts w:cs="Arial"/>
                      <w:sz w:val="20"/>
                    </w:rPr>
                  </w:pPr>
                  <w:r w:rsidRPr="004E1C69">
                    <w:rPr>
                      <w:rFonts w:cs="Arial"/>
                      <w:sz w:val="20"/>
                    </w:rPr>
                    <w:t>-</w:t>
                  </w:r>
                </w:p>
              </w:tc>
              <w:tc>
                <w:tcPr>
                  <w:tcW w:w="833" w:type="pct"/>
                  <w:tcBorders>
                    <w:bottom w:val="single" w:sz="4" w:space="0" w:color="BFBFBF"/>
                  </w:tcBorders>
                  <w:vAlign w:val="bottom"/>
                </w:tcPr>
                <w:p w14:paraId="623AC36A" w14:textId="451EDCD4" w:rsidR="00DC3EAE" w:rsidRPr="004E1C69" w:rsidRDefault="00990C92" w:rsidP="00315AE7">
                  <w:pPr>
                    <w:pStyle w:val="TableBodyText"/>
                    <w:rPr>
                      <w:rFonts w:cs="Arial"/>
                      <w:color w:val="000000"/>
                      <w:sz w:val="20"/>
                    </w:rPr>
                  </w:pPr>
                  <w:r w:rsidRPr="004E1C69">
                    <w:rPr>
                      <w:rFonts w:cs="Arial"/>
                      <w:color w:val="000000"/>
                      <w:sz w:val="20"/>
                    </w:rPr>
                    <w:t>731 132</w:t>
                  </w:r>
                </w:p>
              </w:tc>
              <w:tc>
                <w:tcPr>
                  <w:tcW w:w="1246" w:type="pct"/>
                  <w:tcBorders>
                    <w:bottom w:val="single" w:sz="4" w:space="0" w:color="BFBFBF"/>
                  </w:tcBorders>
                  <w:vAlign w:val="bottom"/>
                </w:tcPr>
                <w:p w14:paraId="5277E31A" w14:textId="75328B60" w:rsidR="00DC3EAE" w:rsidRPr="004E1C69" w:rsidRDefault="00990C92" w:rsidP="00315AE7">
                  <w:pPr>
                    <w:pStyle w:val="TableBodyText"/>
                    <w:ind w:right="6"/>
                    <w:rPr>
                      <w:rFonts w:cs="Arial"/>
                      <w:color w:val="000000"/>
                      <w:sz w:val="20"/>
                    </w:rPr>
                  </w:pPr>
                  <w:r w:rsidRPr="004E1C69">
                    <w:rPr>
                      <w:rFonts w:cs="Arial"/>
                      <w:color w:val="000000"/>
                      <w:sz w:val="20"/>
                    </w:rPr>
                    <w:t>9 279 772</w:t>
                  </w:r>
                </w:p>
              </w:tc>
            </w:tr>
          </w:tbl>
          <w:p w14:paraId="6C9D6561" w14:textId="77777777" w:rsidR="003238EF" w:rsidRDefault="003238EF" w:rsidP="00A1443C">
            <w:pPr>
              <w:pStyle w:val="Box"/>
            </w:pPr>
          </w:p>
        </w:tc>
      </w:tr>
      <w:tr w:rsidR="003238EF" w14:paraId="12FEDBD2" w14:textId="77777777" w:rsidTr="00A1443C">
        <w:tc>
          <w:tcPr>
            <w:tcW w:w="5000" w:type="pct"/>
            <w:tcBorders>
              <w:top w:val="nil"/>
              <w:left w:val="nil"/>
              <w:bottom w:val="nil"/>
              <w:right w:val="nil"/>
            </w:tcBorders>
            <w:shd w:val="clear" w:color="auto" w:fill="auto"/>
          </w:tcPr>
          <w:p w14:paraId="48738695" w14:textId="77777777" w:rsidR="003238EF" w:rsidRDefault="00CA0047">
            <w:pPr>
              <w:pStyle w:val="Source"/>
            </w:pPr>
            <w:r>
              <w:rPr>
                <w:i/>
              </w:rPr>
              <w:t>Source</w:t>
            </w:r>
            <w:r w:rsidR="003238EF" w:rsidRPr="00167F06">
              <w:t xml:space="preserve">: </w:t>
            </w:r>
            <w:r w:rsidR="00B23341">
              <w:t xml:space="preserve">Commission estimates using the </w:t>
            </w:r>
            <w:r w:rsidR="00B23341" w:rsidRPr="00B23341">
              <w:t>Business Longitudinal Analysis Data Environment (BLADE)</w:t>
            </w:r>
            <w:r w:rsidR="00B23341">
              <w:t>.</w:t>
            </w:r>
          </w:p>
        </w:tc>
      </w:tr>
      <w:tr w:rsidR="003238EF" w14:paraId="01D086D1" w14:textId="77777777" w:rsidTr="00A1443C">
        <w:tc>
          <w:tcPr>
            <w:tcW w:w="5000" w:type="pct"/>
            <w:tcBorders>
              <w:top w:val="nil"/>
              <w:left w:val="nil"/>
              <w:bottom w:val="single" w:sz="6" w:space="0" w:color="78A22F"/>
              <w:right w:val="nil"/>
            </w:tcBorders>
            <w:shd w:val="clear" w:color="auto" w:fill="auto"/>
          </w:tcPr>
          <w:p w14:paraId="5643CB06" w14:textId="77777777" w:rsidR="003238EF" w:rsidRDefault="003238EF" w:rsidP="00A1443C">
            <w:pPr>
              <w:pStyle w:val="Box"/>
              <w:spacing w:before="0" w:line="120" w:lineRule="exact"/>
            </w:pPr>
          </w:p>
        </w:tc>
      </w:tr>
      <w:tr w:rsidR="003238EF" w:rsidRPr="000863A5" w14:paraId="5AA4FD6E" w14:textId="77777777" w:rsidTr="00A1443C">
        <w:tc>
          <w:tcPr>
            <w:tcW w:w="5000" w:type="pct"/>
            <w:tcBorders>
              <w:top w:val="single" w:sz="6" w:space="0" w:color="78A22F"/>
              <w:left w:val="nil"/>
              <w:bottom w:val="nil"/>
              <w:right w:val="nil"/>
            </w:tcBorders>
          </w:tcPr>
          <w:p w14:paraId="37D0A70A" w14:textId="6D8E12D9" w:rsidR="003238EF" w:rsidRPr="00626D32" w:rsidRDefault="003238EF" w:rsidP="00A1443C">
            <w:pPr>
              <w:pStyle w:val="BoxSpaceBelow"/>
            </w:pPr>
          </w:p>
        </w:tc>
      </w:tr>
    </w:tbl>
    <w:p w14:paraId="069B4ACB" w14:textId="77777777" w:rsidR="00FC64A5" w:rsidRDefault="00607C9F" w:rsidP="00EC3BC0">
      <w:pPr>
        <w:pStyle w:val="Heading3"/>
      </w:pPr>
      <w:r>
        <w:lastRenderedPageBreak/>
        <w:t>Modules</w:t>
      </w:r>
    </w:p>
    <w:p w14:paraId="0E90FB75" w14:textId="21B01C17" w:rsidR="00F91A52" w:rsidRDefault="00F91A52" w:rsidP="00A84062">
      <w:pPr>
        <w:pStyle w:val="BodyText"/>
      </w:pPr>
      <w:r>
        <w:t xml:space="preserve">BLADE also contains ‘modules’ which link the core data to ABS surveys or administrative datasets from other </w:t>
      </w:r>
      <w:r w:rsidR="00C93BDA">
        <w:t>agencies</w:t>
      </w:r>
      <w:r>
        <w:t>, including:</w:t>
      </w:r>
    </w:p>
    <w:p w14:paraId="6B0B6356" w14:textId="77777777" w:rsidR="00A84062" w:rsidRPr="004617C4" w:rsidRDefault="00C93BDA" w:rsidP="004617C4">
      <w:pPr>
        <w:pStyle w:val="ListBullet"/>
      </w:pPr>
      <w:r w:rsidRPr="004617C4">
        <w:t xml:space="preserve">Business Characteristics Survey </w:t>
      </w:r>
      <w:r w:rsidR="00787C54">
        <w:t>(BCS)</w:t>
      </w:r>
    </w:p>
    <w:p w14:paraId="2EEEBE0C" w14:textId="77777777" w:rsidR="00C93BDA" w:rsidRPr="004617C4" w:rsidRDefault="00C93BDA" w:rsidP="004617C4">
      <w:pPr>
        <w:pStyle w:val="ListBullet"/>
      </w:pPr>
      <w:r w:rsidRPr="004617C4">
        <w:t xml:space="preserve">Business Characteristics Survey: Management Capability Module </w:t>
      </w:r>
      <w:r w:rsidR="002672EF">
        <w:t>(</w:t>
      </w:r>
      <w:r w:rsidR="00787C54">
        <w:t xml:space="preserve">BCSM, </w:t>
      </w:r>
      <w:r w:rsidR="00FC18A9">
        <w:t>2016 only)</w:t>
      </w:r>
    </w:p>
    <w:p w14:paraId="17FDAA1A" w14:textId="77777777" w:rsidR="00C93BDA" w:rsidRPr="004617C4" w:rsidRDefault="00C93BDA" w:rsidP="004617C4">
      <w:pPr>
        <w:pStyle w:val="ListBullet"/>
      </w:pPr>
      <w:r w:rsidRPr="004617C4">
        <w:t xml:space="preserve">Business Expenditure on Research &amp; Development </w:t>
      </w:r>
      <w:r w:rsidR="00D573E8">
        <w:t>(BERD)</w:t>
      </w:r>
    </w:p>
    <w:p w14:paraId="797375D1" w14:textId="0DB92726" w:rsidR="00C93BDA" w:rsidRPr="004617C4" w:rsidRDefault="00C93BDA" w:rsidP="004617C4">
      <w:pPr>
        <w:pStyle w:val="ListBullet"/>
      </w:pPr>
      <w:r w:rsidRPr="004617C4">
        <w:t>Private Non</w:t>
      </w:r>
      <w:r w:rsidR="009F728D">
        <w:noBreakHyphen/>
      </w:r>
      <w:r w:rsidRPr="004617C4">
        <w:t xml:space="preserve">profit Expenditure on Research and Development </w:t>
      </w:r>
      <w:r w:rsidR="00D573E8">
        <w:t>(NERD)</w:t>
      </w:r>
    </w:p>
    <w:p w14:paraId="5D7BD2FA" w14:textId="77777777" w:rsidR="00C93BDA" w:rsidRPr="004617C4" w:rsidRDefault="00C93BDA" w:rsidP="004617C4">
      <w:pPr>
        <w:pStyle w:val="ListBullet"/>
      </w:pPr>
      <w:r w:rsidRPr="004617C4">
        <w:t xml:space="preserve">Economic Activity Survey </w:t>
      </w:r>
      <w:r w:rsidR="00787C54">
        <w:t>(EAS)</w:t>
      </w:r>
    </w:p>
    <w:p w14:paraId="7259AAFE" w14:textId="77777777" w:rsidR="00C93BDA" w:rsidRPr="004617C4" w:rsidRDefault="00C93BDA" w:rsidP="004617C4">
      <w:pPr>
        <w:pStyle w:val="ListBullet"/>
      </w:pPr>
      <w:r w:rsidRPr="004617C4">
        <w:t xml:space="preserve">Government Expenditure on Research &amp; Development </w:t>
      </w:r>
      <w:r w:rsidR="00D573E8">
        <w:t>(GERD)</w:t>
      </w:r>
    </w:p>
    <w:p w14:paraId="7501BADF" w14:textId="3ED51CD6" w:rsidR="00C93BDA" w:rsidRDefault="00C93BDA" w:rsidP="004617C4">
      <w:pPr>
        <w:pStyle w:val="ListBullet"/>
      </w:pPr>
      <w:r w:rsidRPr="004617C4">
        <w:t>Intellectual Property Longitudinal Research Data</w:t>
      </w:r>
      <w:r w:rsidR="003E05F2">
        <w:t xml:space="preserve"> (administrative data from IP Australia)</w:t>
      </w:r>
    </w:p>
    <w:p w14:paraId="257113A1" w14:textId="231767FA" w:rsidR="00B535CF" w:rsidRDefault="00B535CF" w:rsidP="004617C4">
      <w:pPr>
        <w:pStyle w:val="ListBullet"/>
      </w:pPr>
      <w:r>
        <w:t xml:space="preserve">Merchandise imports and exports </w:t>
      </w:r>
    </w:p>
    <w:p w14:paraId="53FCB6CA" w14:textId="06E0AC1C" w:rsidR="009550A8" w:rsidRDefault="008B7151" w:rsidP="004617C4">
      <w:pPr>
        <w:pStyle w:val="ListBullet"/>
      </w:pPr>
      <w:r>
        <w:t>Energy, Water and Environment Survey</w:t>
      </w:r>
    </w:p>
    <w:p w14:paraId="77382569" w14:textId="11452A3D" w:rsidR="00A33C9A" w:rsidRPr="004617C4" w:rsidRDefault="009550A8" w:rsidP="004617C4">
      <w:pPr>
        <w:pStyle w:val="ListBullet"/>
      </w:pPr>
      <w:r>
        <w:t>Locations (SA1 level; experimental)</w:t>
      </w:r>
      <w:r w:rsidR="003B7F73">
        <w:t xml:space="preserve"> (figure 2)</w:t>
      </w:r>
      <w:r w:rsidR="00B06F4C">
        <w:t>.</w:t>
      </w:r>
    </w:p>
    <w:p w14:paraId="5CBA5C8F" w14:textId="0B65C432" w:rsidR="00A633BD" w:rsidRDefault="00992879" w:rsidP="00C93BDA">
      <w:pPr>
        <w:pStyle w:val="BodyText"/>
      </w:pPr>
      <w:r>
        <w:t>M</w:t>
      </w:r>
      <w:r w:rsidR="002C733B">
        <w:t xml:space="preserve">any </w:t>
      </w:r>
      <w:r>
        <w:t>of BLADE’s modules</w:t>
      </w:r>
      <w:r w:rsidR="00B83F3B">
        <w:t xml:space="preserve"> are not yet widely used in literature</w:t>
      </w:r>
      <w:r w:rsidR="007A7242">
        <w:t xml:space="preserve"> </w:t>
      </w:r>
      <w:r w:rsidR="00EF1F29">
        <w:t xml:space="preserve">— </w:t>
      </w:r>
      <w:r w:rsidR="007A7242">
        <w:t>particularly as more are added with each BLADE revision</w:t>
      </w:r>
      <w:r w:rsidR="00A633BD">
        <w:t xml:space="preserve">. </w:t>
      </w:r>
    </w:p>
    <w:p w14:paraId="4708952E" w14:textId="7E760105" w:rsidR="00CC45B1" w:rsidRDefault="00CC45B1" w:rsidP="00CC45B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C45B1" w14:paraId="251DA2F5" w14:textId="77777777" w:rsidTr="5C9ACA0F">
        <w:trPr>
          <w:tblHeader/>
        </w:trPr>
        <w:tc>
          <w:tcPr>
            <w:tcW w:w="5000" w:type="pct"/>
            <w:tcBorders>
              <w:top w:val="single" w:sz="6" w:space="0" w:color="78A22F" w:themeColor="accent1"/>
              <w:left w:val="nil"/>
              <w:bottom w:val="nil"/>
              <w:right w:val="nil"/>
            </w:tcBorders>
            <w:shd w:val="clear" w:color="auto" w:fill="auto"/>
          </w:tcPr>
          <w:p w14:paraId="2F4FD7FC" w14:textId="06033DA1" w:rsidR="00CC45B1" w:rsidRPr="00176D3F" w:rsidRDefault="00CC45B1" w:rsidP="002A12F5">
            <w:pPr>
              <w:pStyle w:val="FigureTitle"/>
            </w:pPr>
            <w:r w:rsidRPr="00784A05">
              <w:rPr>
                <w:b w:val="0"/>
              </w:rPr>
              <w:t xml:space="preserve">Figure </w:t>
            </w:r>
            <w:r w:rsidR="00935012">
              <w:rPr>
                <w:b w:val="0"/>
              </w:rPr>
              <w:t>2</w:t>
            </w:r>
            <w:r>
              <w:tab/>
            </w:r>
            <w:r w:rsidR="002A12F5">
              <w:t>BLADE</w:t>
            </w:r>
            <w:r w:rsidR="00F51D84">
              <w:t xml:space="preserve"> module coverage</w:t>
            </w:r>
          </w:p>
        </w:tc>
      </w:tr>
      <w:tr w:rsidR="00CC45B1" w14:paraId="00F9F0DD" w14:textId="77777777" w:rsidTr="5C9ACA0F">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CC45B1" w:rsidRPr="00B1465D" w14:paraId="397E1CE0" w14:textId="77777777" w:rsidTr="5C9ACA0F">
              <w:trPr>
                <w:tblHeader/>
                <w:jc w:val="center"/>
              </w:trPr>
              <w:tc>
                <w:tcPr>
                  <w:tcW w:w="8505" w:type="dxa"/>
                  <w:tcBorders>
                    <w:top w:val="nil"/>
                    <w:bottom w:val="nil"/>
                  </w:tcBorders>
                </w:tcPr>
                <w:p w14:paraId="7D01649F" w14:textId="1098687D" w:rsidR="00CC45B1" w:rsidRPr="00B1465D" w:rsidRDefault="00041B3C" w:rsidP="00CC45B1">
                  <w:pPr>
                    <w:pStyle w:val="Figure"/>
                    <w:spacing w:before="60" w:after="60"/>
                    <w:rPr>
                      <w:rFonts w:ascii="Arial" w:hAnsi="Arial" w:cs="Arial"/>
                      <w:sz w:val="18"/>
                      <w:szCs w:val="18"/>
                    </w:rPr>
                  </w:pPr>
                  <w:r w:rsidRPr="00041B3C">
                    <w:rPr>
                      <w:rFonts w:ascii="Arial" w:hAnsi="Arial" w:cs="Arial"/>
                      <w:noProof/>
                      <w:sz w:val="18"/>
                      <w:szCs w:val="18"/>
                    </w:rPr>
                    <w:drawing>
                      <wp:inline distT="0" distB="0" distL="0" distR="0" wp14:anchorId="7BE982EB" wp14:editId="464D4144">
                        <wp:extent cx="5248275" cy="3060370"/>
                        <wp:effectExtent l="0" t="0" r="0" b="6985"/>
                        <wp:docPr id="18" name="Picture 18" descr="BLADE core has consistent reporting over time whereas the modules are more pat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BLADE core has consistent reporting over time whereas the modules are more patchy"/>
                                <pic:cNvPicPr>
                                  <a:picLocks noChangeAspect="1" noChangeArrowheads="1"/>
                                </pic:cNvPicPr>
                              </pic:nvPicPr>
                              <pic:blipFill rotWithShape="1">
                                <a:blip r:embed="rId24">
                                  <a:extLst>
                                    <a:ext uri="{28A0092B-C50C-407E-A947-70E740481C1C}">
                                      <a14:useLocalDpi xmlns:a14="http://schemas.microsoft.com/office/drawing/2010/main" val="0"/>
                                    </a:ext>
                                  </a:extLst>
                                </a:blip>
                                <a:srcRect t="5500"/>
                                <a:stretch/>
                              </pic:blipFill>
                              <pic:spPr bwMode="auto">
                                <a:xfrm>
                                  <a:off x="0" y="0"/>
                                  <a:ext cx="5248275" cy="306037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626939E" w14:textId="77777777" w:rsidR="00CC45B1" w:rsidRDefault="00CC45B1" w:rsidP="00CC45B1">
            <w:pPr>
              <w:pStyle w:val="Figure"/>
            </w:pPr>
          </w:p>
        </w:tc>
      </w:tr>
      <w:tr w:rsidR="00CC45B1" w:rsidRPr="00176D3F" w14:paraId="23171DF2" w14:textId="77777777" w:rsidTr="5C9ACA0F">
        <w:tc>
          <w:tcPr>
            <w:tcW w:w="5000" w:type="pct"/>
            <w:tcBorders>
              <w:top w:val="nil"/>
              <w:left w:val="nil"/>
              <w:bottom w:val="nil"/>
              <w:right w:val="nil"/>
            </w:tcBorders>
            <w:shd w:val="clear" w:color="auto" w:fill="auto"/>
          </w:tcPr>
          <w:p w14:paraId="0F9A074F" w14:textId="29C9FDBF" w:rsidR="00CC45B1" w:rsidRPr="00176D3F" w:rsidRDefault="00983C88" w:rsidP="00CC45B1">
            <w:pPr>
              <w:pStyle w:val="Source"/>
            </w:pPr>
            <w:r>
              <w:rPr>
                <w:i/>
              </w:rPr>
              <w:t>S</w:t>
            </w:r>
            <w:r w:rsidR="00CC45B1" w:rsidRPr="00784A05">
              <w:rPr>
                <w:i/>
              </w:rPr>
              <w:t>ource</w:t>
            </w:r>
            <w:r w:rsidR="00CC45B1" w:rsidRPr="00176D3F">
              <w:t xml:space="preserve">: </w:t>
            </w:r>
            <w:r w:rsidR="00F51D84">
              <w:t>ABS BLADE data item list (unpublished</w:t>
            </w:r>
            <w:r w:rsidR="00A11E35">
              <w:t>.</w:t>
            </w:r>
          </w:p>
        </w:tc>
      </w:tr>
      <w:tr w:rsidR="00CC45B1" w14:paraId="03110791" w14:textId="77777777" w:rsidTr="5C9ACA0F">
        <w:tc>
          <w:tcPr>
            <w:tcW w:w="5000" w:type="pct"/>
            <w:tcBorders>
              <w:top w:val="nil"/>
              <w:left w:val="nil"/>
              <w:bottom w:val="single" w:sz="6" w:space="0" w:color="78A22F" w:themeColor="accent1"/>
              <w:right w:val="nil"/>
            </w:tcBorders>
            <w:shd w:val="clear" w:color="auto" w:fill="auto"/>
          </w:tcPr>
          <w:p w14:paraId="48E48D64" w14:textId="77777777" w:rsidR="00CC45B1" w:rsidRDefault="00CC45B1" w:rsidP="00CC45B1">
            <w:pPr>
              <w:pStyle w:val="Figurespace"/>
            </w:pPr>
          </w:p>
        </w:tc>
      </w:tr>
      <w:tr w:rsidR="00CC45B1" w:rsidRPr="000863A5" w14:paraId="4594C8CD" w14:textId="77777777" w:rsidTr="5C9ACA0F">
        <w:tc>
          <w:tcPr>
            <w:tcW w:w="5000" w:type="pct"/>
            <w:tcBorders>
              <w:top w:val="single" w:sz="6" w:space="0" w:color="78A22F" w:themeColor="accent1"/>
              <w:left w:val="nil"/>
              <w:bottom w:val="nil"/>
              <w:right w:val="nil"/>
            </w:tcBorders>
          </w:tcPr>
          <w:p w14:paraId="3F5BF362" w14:textId="10121621" w:rsidR="00CC45B1" w:rsidRPr="00626D32" w:rsidRDefault="00CC45B1" w:rsidP="00CC45B1">
            <w:pPr>
              <w:pStyle w:val="BoxSpaceBelow"/>
            </w:pPr>
          </w:p>
        </w:tc>
      </w:tr>
    </w:tbl>
    <w:p w14:paraId="77E834EA" w14:textId="77777777" w:rsidR="00A84062" w:rsidRDefault="00CC45B1" w:rsidP="00A84062">
      <w:pPr>
        <w:pStyle w:val="Heading2"/>
      </w:pPr>
      <w:bookmarkStart w:id="13" w:name="_Toc70321927"/>
      <w:r>
        <w:lastRenderedPageBreak/>
        <w:t>BLADE’s capabilities</w:t>
      </w:r>
      <w:bookmarkEnd w:id="13"/>
    </w:p>
    <w:p w14:paraId="2242EA0C" w14:textId="77777777" w:rsidR="00ED1F35" w:rsidRDefault="00ED1F35" w:rsidP="00BB5E50">
      <w:pPr>
        <w:pStyle w:val="Heading3"/>
        <w:spacing w:before="280"/>
      </w:pPr>
      <w:r>
        <w:t>Type</w:t>
      </w:r>
      <w:r w:rsidR="00787C54">
        <w:t>s</w:t>
      </w:r>
      <w:r>
        <w:t xml:space="preserve"> of data </w:t>
      </w:r>
    </w:p>
    <w:p w14:paraId="7C199DB5" w14:textId="0733EA23" w:rsidR="00A1204E" w:rsidRDefault="00ED1F35" w:rsidP="009A19DE">
      <w:pPr>
        <w:pStyle w:val="BodyText"/>
      </w:pPr>
      <w:r>
        <w:t xml:space="preserve">BLADE core contains </w:t>
      </w:r>
      <w:r w:rsidR="00A1443C">
        <w:t>longitudin</w:t>
      </w:r>
      <w:r>
        <w:t>al administrative tax data on every GST</w:t>
      </w:r>
      <w:r>
        <w:noBreakHyphen/>
        <w:t>paying firm between 2001</w:t>
      </w:r>
      <w:r w:rsidR="009F728D">
        <w:noBreakHyphen/>
      </w:r>
      <w:r>
        <w:t xml:space="preserve">02 </w:t>
      </w:r>
      <w:r w:rsidR="00185DC3">
        <w:t xml:space="preserve">and </w:t>
      </w:r>
      <w:r w:rsidR="004A34EF">
        <w:t>2018</w:t>
      </w:r>
      <w:r w:rsidR="009F728D">
        <w:noBreakHyphen/>
      </w:r>
      <w:r w:rsidR="004A34EF">
        <w:t>19</w:t>
      </w:r>
      <w:r w:rsidR="00A96675">
        <w:t xml:space="preserve"> (ongoing)</w:t>
      </w:r>
      <w:r>
        <w:t xml:space="preserve">. </w:t>
      </w:r>
      <w:r w:rsidR="00625C6B">
        <w:t>The main variable types include</w:t>
      </w:r>
      <w:r w:rsidR="00A1204E">
        <w:t>:</w:t>
      </w:r>
    </w:p>
    <w:p w14:paraId="7DC4104D" w14:textId="77777777" w:rsidR="00A1204E" w:rsidRDefault="000C40E5" w:rsidP="00BB5E50">
      <w:pPr>
        <w:pStyle w:val="ListBullet"/>
      </w:pPr>
      <w:r>
        <w:t>income statement information</w:t>
      </w:r>
      <w:r w:rsidR="00A1204E">
        <w:t>,</w:t>
      </w:r>
      <w:r>
        <w:t xml:space="preserve"> such as</w:t>
      </w:r>
      <w:r w:rsidR="00ED1F35">
        <w:t xml:space="preserve"> revenues</w:t>
      </w:r>
      <w:r w:rsidR="00A1204E">
        <w:t xml:space="preserve"> (</w:t>
      </w:r>
      <w:r w:rsidR="00696C90">
        <w:t>split between income from domestic sales and exports</w:t>
      </w:r>
      <w:r w:rsidR="00A1204E">
        <w:t>)</w:t>
      </w:r>
      <w:r w:rsidR="00ED1F35">
        <w:t>, expenses (</w:t>
      </w:r>
      <w:r>
        <w:t>for example</w:t>
      </w:r>
      <w:r w:rsidR="00ED1F35">
        <w:t xml:space="preserve"> wages, depreciation and interest)</w:t>
      </w:r>
    </w:p>
    <w:p w14:paraId="65B25B5F" w14:textId="77777777" w:rsidR="00A1204E" w:rsidRDefault="000C40E5" w:rsidP="00BB5E50">
      <w:pPr>
        <w:pStyle w:val="ListBullet"/>
      </w:pPr>
      <w:r>
        <w:t xml:space="preserve">balance sheet information, such </w:t>
      </w:r>
      <w:r w:rsidR="00696C90">
        <w:t>as assets, liabilities etc.</w:t>
      </w:r>
      <w:r>
        <w:t xml:space="preserve"> </w:t>
      </w:r>
    </w:p>
    <w:p w14:paraId="37147C92" w14:textId="367C9CDD" w:rsidR="00E25C51" w:rsidRDefault="00A1204E" w:rsidP="00184D97">
      <w:pPr>
        <w:pStyle w:val="ListBullet"/>
      </w:pPr>
      <w:r>
        <w:t>employment</w:t>
      </w:r>
      <w:r w:rsidR="000C40E5">
        <w:t xml:space="preserve"> for some firms, including the employee headcount and the number of full</w:t>
      </w:r>
      <w:r w:rsidR="00BE2D33">
        <w:noBreakHyphen/>
      </w:r>
      <w:r w:rsidR="000C40E5">
        <w:t>time equivalents (FTE)</w:t>
      </w:r>
    </w:p>
    <w:p w14:paraId="686D1153" w14:textId="6D4D6E10" w:rsidR="00ED1F35" w:rsidRDefault="00E25C51" w:rsidP="006C313A">
      <w:pPr>
        <w:pStyle w:val="ListBullet"/>
      </w:pPr>
      <w:r>
        <w:t>miscellaneous information such as foreign ownership, use of R&amp;D tax incentives, and location of the main office</w:t>
      </w:r>
      <w:r w:rsidR="000C40E5">
        <w:t>.</w:t>
      </w:r>
      <w:r w:rsidR="00787C54">
        <w:t xml:space="preserve"> </w:t>
      </w:r>
    </w:p>
    <w:p w14:paraId="3B3E939D" w14:textId="0D060629" w:rsidR="00625C6B" w:rsidRDefault="00625C6B" w:rsidP="009A19DE">
      <w:pPr>
        <w:pStyle w:val="BodyText"/>
      </w:pPr>
      <w:r>
        <w:t>Appendix</w:t>
      </w:r>
      <w:r w:rsidR="00C119BA">
        <w:t> </w:t>
      </w:r>
      <w:r>
        <w:t xml:space="preserve">B provides more detailed information on the specific variables contained within each dataset. </w:t>
      </w:r>
    </w:p>
    <w:p w14:paraId="32F50506" w14:textId="6DA9F430" w:rsidR="00A01429" w:rsidRDefault="00787C54" w:rsidP="00C6604F">
      <w:pPr>
        <w:pStyle w:val="BodyText"/>
      </w:pPr>
      <w:r>
        <w:t xml:space="preserve">The BLADE modules contain much more information. </w:t>
      </w:r>
      <w:r w:rsidR="00236F04">
        <w:t>T</w:t>
      </w:r>
      <w:r>
        <w:t xml:space="preserve">he ABS surveys (such as </w:t>
      </w:r>
      <w:r w:rsidR="003F6F2E">
        <w:t>BCS</w:t>
      </w:r>
      <w:r>
        <w:t>, and EAS) follow only a</w:t>
      </w:r>
      <w:r w:rsidR="00987CD8">
        <w:t xml:space="preserve"> rotating</w:t>
      </w:r>
      <w:r>
        <w:t xml:space="preserve"> subset of firms, while the other administrative datasets (such as the IP Australia data) have much broader coverage. </w:t>
      </w:r>
    </w:p>
    <w:p w14:paraId="6395C2A9" w14:textId="163885CF" w:rsidR="008279AC" w:rsidRDefault="00537B2E" w:rsidP="00E1469D">
      <w:pPr>
        <w:pStyle w:val="BodyText"/>
      </w:pPr>
      <w:r>
        <w:t>R</w:t>
      </w:r>
      <w:r w:rsidR="009E4521">
        <w:t xml:space="preserve">esearchers </w:t>
      </w:r>
      <w:r w:rsidR="009300D9">
        <w:t xml:space="preserve">may </w:t>
      </w:r>
      <w:r>
        <w:t>use</w:t>
      </w:r>
      <w:r w:rsidR="009300D9">
        <w:t xml:space="preserve"> modules</w:t>
      </w:r>
      <w:r w:rsidR="005603A9">
        <w:t xml:space="preserve"> </w:t>
      </w:r>
      <w:r>
        <w:t>if the sample is adequate for their projects. Th</w:t>
      </w:r>
      <w:r w:rsidR="009300D9">
        <w:t xml:space="preserve">ey </w:t>
      </w:r>
      <w:r w:rsidR="00AE7108">
        <w:t>may</w:t>
      </w:r>
      <w:r>
        <w:t xml:space="preserve"> also </w:t>
      </w:r>
      <w:r w:rsidR="00AE7108">
        <w:t xml:space="preserve">be useful </w:t>
      </w:r>
      <w:r w:rsidR="009300D9">
        <w:t xml:space="preserve">for value imputation. </w:t>
      </w:r>
      <w:r>
        <w:t>That is, w</w:t>
      </w:r>
      <w:r w:rsidR="009300D9">
        <w:t>hen imputing values not available in BLADE core, these more granular surveys could be used to verify output (or as train/validate/test datasets for imputation)</w:t>
      </w:r>
      <w:r w:rsidR="007507D1">
        <w:t xml:space="preserve">. </w:t>
      </w:r>
    </w:p>
    <w:p w14:paraId="1887C20E" w14:textId="77777777" w:rsidR="00ED1F35" w:rsidRDefault="00ED1F35" w:rsidP="00184D97">
      <w:pPr>
        <w:pStyle w:val="Heading3"/>
      </w:pPr>
      <w:r>
        <w:t>Potential uses</w:t>
      </w:r>
    </w:p>
    <w:p w14:paraId="2B2C5AF2" w14:textId="4A492D2F" w:rsidR="001D39B3" w:rsidRDefault="001D39B3" w:rsidP="00787C54">
      <w:pPr>
        <w:pStyle w:val="BodyText"/>
      </w:pPr>
      <w:r>
        <w:t xml:space="preserve">BLADE has numerous potential </w:t>
      </w:r>
      <w:proofErr w:type="gramStart"/>
      <w:r>
        <w:t>research</w:t>
      </w:r>
      <w:proofErr w:type="gramEnd"/>
      <w:r>
        <w:t xml:space="preserve"> uses</w:t>
      </w:r>
      <w:r w:rsidR="00E833F3">
        <w:t>:</w:t>
      </w:r>
    </w:p>
    <w:p w14:paraId="5FA9B0CE" w14:textId="0F1C7480" w:rsidR="001D39B3" w:rsidRDefault="00AC0B90" w:rsidP="00BB5E50">
      <w:pPr>
        <w:pStyle w:val="ListBullet"/>
      </w:pPr>
      <w:r>
        <w:rPr>
          <w:i/>
        </w:rPr>
        <w:t>P</w:t>
      </w:r>
      <w:r w:rsidR="001D39B3" w:rsidRPr="00BB5E50">
        <w:rPr>
          <w:i/>
        </w:rPr>
        <w:t>roductivity analysis</w:t>
      </w:r>
      <w:r w:rsidR="001D39B3">
        <w:t xml:space="preserve">: despite the dataset lacking information on prices, volumes and capital stocks, many papers have attempted to </w:t>
      </w:r>
      <w:r w:rsidR="00CF7ED4">
        <w:t xml:space="preserve">estimate </w:t>
      </w:r>
      <w:r w:rsidR="001D39B3">
        <w:t>firm</w:t>
      </w:r>
      <w:r w:rsidR="001D39B3">
        <w:noBreakHyphen/>
        <w:t>level productivity. This has included: labour productivity, multifactor productivity and analysis of the dispersion of productivity over time</w:t>
      </w:r>
      <w:r>
        <w:t>.</w:t>
      </w:r>
    </w:p>
    <w:p w14:paraId="722CFE10" w14:textId="23EDA2C7" w:rsidR="0085313C" w:rsidRDefault="0085313C" w:rsidP="00BB5E50">
      <w:pPr>
        <w:pStyle w:val="ListBullet"/>
      </w:pPr>
      <w:r w:rsidRPr="5C9ACA0F">
        <w:rPr>
          <w:i/>
          <w:iCs/>
        </w:rPr>
        <w:t>Program evaluation</w:t>
      </w:r>
      <w:r>
        <w:t xml:space="preserve">: users </w:t>
      </w:r>
      <w:r w:rsidR="131122B1">
        <w:t>can</w:t>
      </w:r>
      <w:r>
        <w:t xml:space="preserve"> link administrative data on which businesses participate in government business support programs </w:t>
      </w:r>
      <w:r w:rsidR="00161010">
        <w:t xml:space="preserve">with </w:t>
      </w:r>
      <w:r>
        <w:t>BLADE dataset</w:t>
      </w:r>
      <w:r w:rsidR="00FE04E8">
        <w:t>s</w:t>
      </w:r>
      <w:r>
        <w:t>. This can allow a before and after assessment of growth in sales, employment and productivity.</w:t>
      </w:r>
    </w:p>
    <w:p w14:paraId="0BF0C633" w14:textId="77777777" w:rsidR="00A372A2" w:rsidRPr="00BB5E50" w:rsidRDefault="00A372A2" w:rsidP="00BB5E50">
      <w:pPr>
        <w:pStyle w:val="ListBullet"/>
      </w:pPr>
      <w:r w:rsidRPr="00BB5E50">
        <w:rPr>
          <w:i/>
        </w:rPr>
        <w:t>Characteristics of small business</w:t>
      </w:r>
      <w:r w:rsidR="00A0208D">
        <w:rPr>
          <w:i/>
        </w:rPr>
        <w:t>es</w:t>
      </w:r>
      <w:r w:rsidRPr="00BB5E50">
        <w:rPr>
          <w:i/>
        </w:rPr>
        <w:t xml:space="preserve"> and sole traders</w:t>
      </w:r>
      <w:r>
        <w:t>: BLADE contains far more</w:t>
      </w:r>
      <w:r w:rsidR="005D0ADF">
        <w:t xml:space="preserve"> information on</w:t>
      </w:r>
      <w:r>
        <w:t xml:space="preserve"> sole trader</w:t>
      </w:r>
      <w:r w:rsidR="005D0ADF">
        <w:t>s</w:t>
      </w:r>
      <w:r>
        <w:t xml:space="preserve"> and small business</w:t>
      </w:r>
      <w:r w:rsidR="005D0ADF">
        <w:t>es</w:t>
      </w:r>
      <w:r>
        <w:t xml:space="preserve"> than most datasets of its kind. This allows much more detailed analysis of the (longitudinal) characteristics of small firms and sole traders. </w:t>
      </w:r>
    </w:p>
    <w:p w14:paraId="2EF05391" w14:textId="77777777" w:rsidR="001D39B3" w:rsidRPr="00BB5E50" w:rsidRDefault="00AC0B90" w:rsidP="00BB5E50">
      <w:pPr>
        <w:pStyle w:val="ListBullet"/>
      </w:pPr>
      <w:r>
        <w:rPr>
          <w:i/>
        </w:rPr>
        <w:lastRenderedPageBreak/>
        <w:t>P</w:t>
      </w:r>
      <w:r w:rsidR="001D39B3" w:rsidRPr="00BB5E50">
        <w:rPr>
          <w:i/>
        </w:rPr>
        <w:t>rofitability and firm growth</w:t>
      </w:r>
      <w:r w:rsidR="001D39B3">
        <w:t xml:space="preserve">: </w:t>
      </w:r>
      <w:r w:rsidR="00A11B4D">
        <w:t xml:space="preserve">many papers have looked at the growth of firm turnover and profitability over time. </w:t>
      </w:r>
    </w:p>
    <w:p w14:paraId="54C2AEA0" w14:textId="6E8A5FC4" w:rsidR="001D39B3" w:rsidRPr="00BB5E50" w:rsidRDefault="00AC0B90" w:rsidP="00BB5E50">
      <w:pPr>
        <w:pStyle w:val="ListBullet"/>
      </w:pPr>
      <w:r>
        <w:rPr>
          <w:i/>
        </w:rPr>
        <w:t>Fi</w:t>
      </w:r>
      <w:r w:rsidR="001D39B3" w:rsidRPr="00BB5E50">
        <w:rPr>
          <w:i/>
        </w:rPr>
        <w:t>rm entry and exit</w:t>
      </w:r>
      <w:r w:rsidR="001D39B3">
        <w:t xml:space="preserve">: </w:t>
      </w:r>
      <w:r w:rsidR="005D0ADF">
        <w:t xml:space="preserve">BLADE </w:t>
      </w:r>
      <w:proofErr w:type="gramStart"/>
      <w:r w:rsidR="005D0ADF">
        <w:t>contains</w:t>
      </w:r>
      <w:proofErr w:type="gramEnd"/>
      <w:r w:rsidR="00A11B4D">
        <w:t xml:space="preserve"> granular information on firm entry and exit. For example, some research has looked at the changing characteristics of firms entering and exiting, the effect this has on productivity and the effect this has on competition.</w:t>
      </w:r>
    </w:p>
    <w:p w14:paraId="4BB21EDE" w14:textId="4D88DA3D" w:rsidR="001D39B3" w:rsidRDefault="00AC0B90" w:rsidP="00184D97">
      <w:pPr>
        <w:pStyle w:val="ListBullet"/>
      </w:pPr>
      <w:r w:rsidRPr="5C9ACA0F">
        <w:rPr>
          <w:i/>
          <w:iCs/>
        </w:rPr>
        <w:t>C</w:t>
      </w:r>
      <w:r w:rsidR="001D39B3" w:rsidRPr="5C9ACA0F">
        <w:rPr>
          <w:i/>
          <w:iCs/>
        </w:rPr>
        <w:t>ompetition and concentration</w:t>
      </w:r>
      <w:r w:rsidR="001D39B3">
        <w:t xml:space="preserve">: </w:t>
      </w:r>
      <w:r w:rsidR="001A4322">
        <w:t xml:space="preserve">because turnover </w:t>
      </w:r>
      <w:proofErr w:type="gramStart"/>
      <w:r w:rsidR="001A4322">
        <w:t>is</w:t>
      </w:r>
      <w:proofErr w:type="gramEnd"/>
      <w:r w:rsidR="001A4322">
        <w:t xml:space="preserve"> known for almost all firms in a particular industry, concentration can be measured at a </w:t>
      </w:r>
      <w:r w:rsidR="72285D9E">
        <w:t>granular</w:t>
      </w:r>
      <w:r w:rsidR="001A4322">
        <w:t xml:space="preserve"> level</w:t>
      </w:r>
      <w:r>
        <w:t xml:space="preserve"> (four digit industry definition</w:t>
      </w:r>
      <w:r w:rsidR="00172E13">
        <w:t xml:space="preserve"> and </w:t>
      </w:r>
      <w:r w:rsidR="00A21509">
        <w:t>SA1 geography</w:t>
      </w:r>
      <w:r>
        <w:t>).</w:t>
      </w:r>
      <w:r w:rsidR="00EE7319">
        <w:t xml:space="preserve"> BCS also contains subjective judgements of managers on the degree of competition in a market.</w:t>
      </w:r>
      <w:r>
        <w:t xml:space="preserve"> Some research has also attempted to estimate the </w:t>
      </w:r>
      <w:proofErr w:type="spellStart"/>
      <w:r>
        <w:t>markup</w:t>
      </w:r>
      <w:r w:rsidR="008B5160">
        <w:t>s</w:t>
      </w:r>
      <w:proofErr w:type="spellEnd"/>
      <w:r>
        <w:t xml:space="preserve"> at a firm level over time.</w:t>
      </w:r>
      <w:r w:rsidR="00EE7319">
        <w:t xml:space="preserve"> </w:t>
      </w:r>
    </w:p>
    <w:p w14:paraId="0B571653" w14:textId="4517C230" w:rsidR="001D39B3" w:rsidRDefault="00AC0B90" w:rsidP="00184D97">
      <w:pPr>
        <w:pStyle w:val="ListBullet"/>
      </w:pPr>
      <w:r>
        <w:rPr>
          <w:i/>
        </w:rPr>
        <w:t>E</w:t>
      </w:r>
      <w:r w:rsidR="001D39B3">
        <w:rPr>
          <w:i/>
        </w:rPr>
        <w:t>xport and foreign ownership</w:t>
      </w:r>
      <w:r w:rsidR="001D39B3">
        <w:t xml:space="preserve">: </w:t>
      </w:r>
      <w:r w:rsidR="00BF766B">
        <w:t xml:space="preserve">BLADE </w:t>
      </w:r>
      <w:proofErr w:type="gramStart"/>
      <w:r w:rsidR="00065F95">
        <w:t>contains</w:t>
      </w:r>
      <w:proofErr w:type="gramEnd"/>
      <w:r w:rsidR="00065F95">
        <w:t xml:space="preserve"> </w:t>
      </w:r>
      <w:r w:rsidR="00BF766B">
        <w:t>information on foreign ownership, debt, export sales</w:t>
      </w:r>
      <w:r w:rsidR="004C6B51">
        <w:t xml:space="preserve"> and detailed information on specific merchandise imports and exports. </w:t>
      </w:r>
    </w:p>
    <w:p w14:paraId="2700224E" w14:textId="77777777" w:rsidR="001D39B3" w:rsidRDefault="00AC0B90" w:rsidP="00664ABC">
      <w:pPr>
        <w:pStyle w:val="ListBullet"/>
      </w:pPr>
      <w:r>
        <w:rPr>
          <w:i/>
        </w:rPr>
        <w:t>W</w:t>
      </w:r>
      <w:r w:rsidR="001D39B3">
        <w:rPr>
          <w:i/>
        </w:rPr>
        <w:t>ages and labour share of income analysis</w:t>
      </w:r>
      <w:r w:rsidR="001D39B3" w:rsidRPr="00BB5E50">
        <w:t>:</w:t>
      </w:r>
      <w:r w:rsidR="001D39B3">
        <w:t xml:space="preserve"> </w:t>
      </w:r>
      <w:r>
        <w:t>because information on the total wage bill and the number of full</w:t>
      </w:r>
      <w:r>
        <w:noBreakHyphen/>
        <w:t>time equivalent employees is known for many firms both average wages and the labour share of income can be estimated at a firm level.</w:t>
      </w:r>
    </w:p>
    <w:p w14:paraId="4B30CDFF" w14:textId="4805F7F5" w:rsidR="00EE7319" w:rsidRDefault="00EE7319" w:rsidP="00E80378">
      <w:pPr>
        <w:pStyle w:val="ListBullet"/>
      </w:pPr>
      <w:r w:rsidRPr="00BB5E50">
        <w:rPr>
          <w:i/>
        </w:rPr>
        <w:t>Availability of credit</w:t>
      </w:r>
      <w:r>
        <w:t xml:space="preserve">: the BCS contains information on whether firms </w:t>
      </w:r>
      <w:r w:rsidR="00A0208D">
        <w:t>applied for and were able to obtain credit. This can be linked to data on financial health</w:t>
      </w:r>
      <w:r w:rsidR="005617CB">
        <w:t xml:space="preserve"> (debt to equity and other ratios)</w:t>
      </w:r>
      <w:r w:rsidR="00A0208D">
        <w:t>, management characteristics etc.</w:t>
      </w:r>
    </w:p>
    <w:p w14:paraId="2A5B8A4D" w14:textId="2BE21A0F" w:rsidR="001D39B3" w:rsidRDefault="00AC0B90" w:rsidP="00B5557B">
      <w:pPr>
        <w:pStyle w:val="ListBullet"/>
      </w:pPr>
      <w:r>
        <w:rPr>
          <w:i/>
        </w:rPr>
        <w:t>Financial</w:t>
      </w:r>
      <w:r w:rsidR="001D39B3">
        <w:rPr>
          <w:i/>
        </w:rPr>
        <w:t xml:space="preserve"> health</w:t>
      </w:r>
      <w:r w:rsidR="001D39B3" w:rsidRPr="00BB5E50">
        <w:t>:</w:t>
      </w:r>
      <w:r w:rsidR="001D39B3">
        <w:t xml:space="preserve"> </w:t>
      </w:r>
      <w:r w:rsidR="00CF35CC">
        <w:t>BLADE has the required variables to monitor key debt and income ratios which can help identify firms unable to meet their debt obligations</w:t>
      </w:r>
      <w:r w:rsidR="00360188">
        <w:t xml:space="preserve">. </w:t>
      </w:r>
    </w:p>
    <w:p w14:paraId="14D57D93" w14:textId="3B819550" w:rsidR="008A0D2A" w:rsidRDefault="008A0D2A" w:rsidP="00FB7D22">
      <w:pPr>
        <w:pStyle w:val="ListBullet"/>
      </w:pPr>
      <w:r w:rsidRPr="5C9ACA0F">
        <w:rPr>
          <w:i/>
          <w:iCs/>
        </w:rPr>
        <w:t xml:space="preserve">Uptake and effect of intellectual </w:t>
      </w:r>
      <w:proofErr w:type="gramStart"/>
      <w:r w:rsidRPr="5C9ACA0F">
        <w:rPr>
          <w:i/>
          <w:iCs/>
        </w:rPr>
        <w:t>property</w:t>
      </w:r>
      <w:r>
        <w:t>:</w:t>
      </w:r>
      <w:proofErr w:type="gramEnd"/>
      <w:r>
        <w:t xml:space="preserve"> </w:t>
      </w:r>
      <w:r w:rsidR="004647CC">
        <w:t xml:space="preserve">given that </w:t>
      </w:r>
      <w:r w:rsidR="7EBDBBB3">
        <w:t>most</w:t>
      </w:r>
      <w:r w:rsidR="004647CC">
        <w:t xml:space="preserve"> corporate IP information is contained in BLADE, </w:t>
      </w:r>
      <w:r w:rsidR="00661D02">
        <w:t>which</w:t>
      </w:r>
      <w:r w:rsidR="004647CC">
        <w:t xml:space="preserve"> can be linked with important financial metrics. </w:t>
      </w:r>
    </w:p>
    <w:p w14:paraId="5D3F1C75" w14:textId="0C3DE0C2" w:rsidR="00EE7319" w:rsidRDefault="00EE7319" w:rsidP="00E259EC">
      <w:pPr>
        <w:pStyle w:val="ListBullet"/>
      </w:pPr>
      <w:r w:rsidRPr="00BB5E50">
        <w:rPr>
          <w:i/>
        </w:rPr>
        <w:t>Innovation activities other than IP</w:t>
      </w:r>
      <w:r>
        <w:t xml:space="preserve">: BCS and BERD asks firms numerous questions about innovation and R&amp;D activity. </w:t>
      </w:r>
    </w:p>
    <w:p w14:paraId="3CE43623" w14:textId="57499312" w:rsidR="003B3CCC" w:rsidRDefault="003B3CCC" w:rsidP="00E259EC">
      <w:pPr>
        <w:pStyle w:val="ListBullet"/>
      </w:pPr>
      <w:r>
        <w:rPr>
          <w:i/>
        </w:rPr>
        <w:t>Custom data integration</w:t>
      </w:r>
      <w:r w:rsidR="00F65CCE" w:rsidRPr="00891291">
        <w:t>:</w:t>
      </w:r>
      <w:r w:rsidR="00F65CCE">
        <w:t xml:space="preserve"> </w:t>
      </w:r>
      <w:r w:rsidR="00E60852">
        <w:t>researcher</w:t>
      </w:r>
      <w:r w:rsidR="00DA29B9">
        <w:t>s</w:t>
      </w:r>
      <w:r w:rsidR="00E60852">
        <w:t xml:space="preserve"> can apply to create a data integration project which links BLADE to some other useful dataset. For example, ABARES has lin</w:t>
      </w:r>
      <w:r w:rsidR="00DA29B9">
        <w:t>k</w:t>
      </w:r>
      <w:r w:rsidR="00E60852">
        <w:t xml:space="preserve">ed BLADE to farm data </w:t>
      </w:r>
      <w:r w:rsidR="00DA29B9">
        <w:t xml:space="preserve">to </w:t>
      </w:r>
      <w:r w:rsidR="00CE6927">
        <w:t>gauge</w:t>
      </w:r>
      <w:r w:rsidR="00DA29B9">
        <w:t xml:space="preserve"> financial impacts of </w:t>
      </w:r>
      <w:r w:rsidR="00CE6927">
        <w:t xml:space="preserve">changes in weather </w:t>
      </w:r>
      <w:r w:rsidR="00593E67" w:rsidRPr="00593E67">
        <w:rPr>
          <w:szCs w:val="24"/>
        </w:rPr>
        <w:t>(ABARES 2019)</w:t>
      </w:r>
      <w:r w:rsidR="00CE6927">
        <w:t xml:space="preserve">. </w:t>
      </w:r>
    </w:p>
    <w:p w14:paraId="5933AD36" w14:textId="6599203F" w:rsidR="00ED1F35" w:rsidRDefault="00787C54">
      <w:pPr>
        <w:pStyle w:val="BodyText"/>
      </w:pPr>
      <w:r>
        <w:t>Appendix</w:t>
      </w:r>
      <w:r w:rsidR="00C119BA">
        <w:t> </w:t>
      </w:r>
      <w:r>
        <w:t xml:space="preserve">A provides an overview of BLADE research as a guide to which organisations are using which approaches. </w:t>
      </w:r>
    </w:p>
    <w:p w14:paraId="568462B9" w14:textId="53FE3ACE" w:rsidR="003A0345" w:rsidRPr="00F72B6D" w:rsidRDefault="003A0345" w:rsidP="003A0345">
      <w:pPr>
        <w:pStyle w:val="Heading3"/>
      </w:pPr>
      <w:r>
        <w:t>Better coverage</w:t>
      </w:r>
      <w:r w:rsidR="007A670D">
        <w:t xml:space="preserve"> of sole traders</w:t>
      </w:r>
      <w:r>
        <w:t xml:space="preserve"> than most firm</w:t>
      </w:r>
      <w:r>
        <w:noBreakHyphen/>
        <w:t xml:space="preserve">level datasets </w:t>
      </w:r>
    </w:p>
    <w:p w14:paraId="2FCC318B" w14:textId="2279B5FB" w:rsidR="003A0345" w:rsidRPr="00F72B6D" w:rsidRDefault="003A0345" w:rsidP="003A0345">
      <w:pPr>
        <w:pStyle w:val="BodyText"/>
      </w:pPr>
      <w:r>
        <w:t>BLADE covers all GST paying firms</w:t>
      </w:r>
      <w:r w:rsidR="00537B2E">
        <w:t>. As</w:t>
      </w:r>
      <w:r>
        <w:t xml:space="preserve"> </w:t>
      </w:r>
      <w:r w:rsidR="00537B2E">
        <w:t>all</w:t>
      </w:r>
      <w:r>
        <w:t xml:space="preserve"> firms </w:t>
      </w:r>
      <w:r w:rsidR="00537B2E">
        <w:t>with</w:t>
      </w:r>
      <w:r w:rsidR="000B00E6">
        <w:t xml:space="preserve"> GST</w:t>
      </w:r>
      <w:r w:rsidR="00537B2E">
        <w:t xml:space="preserve"> turnover</w:t>
      </w:r>
      <w:r w:rsidR="000B00E6">
        <w:t xml:space="preserve"> (gross income minus GST)</w:t>
      </w:r>
      <w:r w:rsidR="00537B2E">
        <w:t xml:space="preserve"> of $75</w:t>
      </w:r>
      <w:r w:rsidR="00283F53">
        <w:t> </w:t>
      </w:r>
      <w:r w:rsidR="00537B2E">
        <w:t xml:space="preserve">000 per year or more </w:t>
      </w:r>
      <w:r>
        <w:t>must report GST</w:t>
      </w:r>
      <w:r w:rsidR="000B00E6">
        <w:t xml:space="preserve"> </w:t>
      </w:r>
      <w:r w:rsidR="00E6756D" w:rsidRPr="00E6756D">
        <w:rPr>
          <w:szCs w:val="24"/>
        </w:rPr>
        <w:t>(ATO 2021)</w:t>
      </w:r>
      <w:r>
        <w:t>, the BLADE dataset contains a greater number of small firms (especially sole traders</w:t>
      </w:r>
      <w:r w:rsidR="00537B2E">
        <w:t>)</w:t>
      </w:r>
      <w:r>
        <w:t xml:space="preserve"> than </w:t>
      </w:r>
      <w:r w:rsidR="00537B2E">
        <w:t xml:space="preserve">comparable </w:t>
      </w:r>
      <w:r>
        <w:t xml:space="preserve">overseas </w:t>
      </w:r>
      <w:r w:rsidR="00537B2E">
        <w:t>datasets</w:t>
      </w:r>
      <w:r>
        <w:t xml:space="preserve">. For example, the United States’ </w:t>
      </w:r>
      <w:r w:rsidRPr="00BB5E50">
        <w:rPr>
          <w:i/>
        </w:rPr>
        <w:t>Longitudinal Business Database</w:t>
      </w:r>
      <w:r>
        <w:t xml:space="preserve"> only covers businesses with paid employees</w:t>
      </w:r>
      <w:r w:rsidR="0047606F">
        <w:t xml:space="preserve"> </w:t>
      </w:r>
      <w:r w:rsidR="0047606F" w:rsidRPr="0047606F">
        <w:rPr>
          <w:szCs w:val="24"/>
        </w:rPr>
        <w:t>(United States Census Bureau 2021)</w:t>
      </w:r>
      <w:r>
        <w:t>.</w:t>
      </w:r>
    </w:p>
    <w:p w14:paraId="47956F46" w14:textId="77777777" w:rsidR="003B2458" w:rsidRDefault="00DE7A44" w:rsidP="003B2458">
      <w:pPr>
        <w:pStyle w:val="Heading2"/>
      </w:pPr>
      <w:bookmarkStart w:id="14" w:name="_Toc70321928"/>
      <w:r>
        <w:lastRenderedPageBreak/>
        <w:t>Conceptual l</w:t>
      </w:r>
      <w:r w:rsidR="003B2458">
        <w:t>imitations</w:t>
      </w:r>
      <w:bookmarkEnd w:id="14"/>
    </w:p>
    <w:p w14:paraId="4ADA98BC" w14:textId="77777777" w:rsidR="0067271A" w:rsidRDefault="00ED1027" w:rsidP="00BB5E50">
      <w:pPr>
        <w:pStyle w:val="Heading3"/>
        <w:spacing w:before="280"/>
      </w:pPr>
      <w:r w:rsidRPr="00BC4D3C">
        <w:t xml:space="preserve">Few </w:t>
      </w:r>
      <w:proofErr w:type="gramStart"/>
      <w:r w:rsidRPr="00BC4D3C">
        <w:t>v</w:t>
      </w:r>
      <w:r w:rsidR="0067271A" w:rsidRPr="00BC4D3C">
        <w:t>olume</w:t>
      </w:r>
      <w:proofErr w:type="gramEnd"/>
      <w:r w:rsidR="0067271A">
        <w:t xml:space="preserve"> </w:t>
      </w:r>
      <w:r>
        <w:t>and no price measures</w:t>
      </w:r>
    </w:p>
    <w:p w14:paraId="3F224900" w14:textId="5803CD36" w:rsidR="0067271A" w:rsidRDefault="00ED1027" w:rsidP="00BB5E50">
      <w:pPr>
        <w:pStyle w:val="BodyText"/>
        <w:tabs>
          <w:tab w:val="left" w:pos="1837"/>
        </w:tabs>
      </w:pPr>
      <w:r>
        <w:t xml:space="preserve">Almost all core BLADE information </w:t>
      </w:r>
      <w:r w:rsidR="003530CB">
        <w:t>consists of accounting values, collected for tax purposes</w:t>
      </w:r>
      <w:r>
        <w:t>. This means that there is little information on the physical quantities</w:t>
      </w:r>
      <w:r w:rsidR="00EB3592">
        <w:t xml:space="preserve"> or </w:t>
      </w:r>
      <w:r w:rsidR="00191B53">
        <w:t xml:space="preserve">prices of outputs </w:t>
      </w:r>
      <w:r w:rsidR="00EB3592">
        <w:t xml:space="preserve">and </w:t>
      </w:r>
      <w:r w:rsidR="003022C4">
        <w:t>inputs</w:t>
      </w:r>
      <w:r>
        <w:t>. The sole exception to this is the information on employee headcount</w:t>
      </w:r>
      <w:r w:rsidR="002E1030">
        <w:rPr>
          <w:rStyle w:val="FootnoteReference"/>
        </w:rPr>
        <w:footnoteReference w:id="2"/>
      </w:r>
      <w:r>
        <w:t xml:space="preserve"> in the PAYG summary, which </w:t>
      </w:r>
      <w:r w:rsidR="00191B53">
        <w:t>can</w:t>
      </w:r>
      <w:r>
        <w:t xml:space="preserve"> be used to </w:t>
      </w:r>
      <w:r w:rsidR="00F93C41">
        <w:t>calculate</w:t>
      </w:r>
      <w:r w:rsidR="008010D8">
        <w:t xml:space="preserve"> average</w:t>
      </w:r>
      <w:r w:rsidR="00F93C41">
        <w:t xml:space="preserve"> </w:t>
      </w:r>
      <w:r>
        <w:t>wages</w:t>
      </w:r>
      <w:r w:rsidR="004366DE">
        <w:t xml:space="preserve"> per employee</w:t>
      </w:r>
      <w:r w:rsidR="0093266E">
        <w:t xml:space="preserve"> (or other variables on a per employee basis)</w:t>
      </w:r>
      <w:r>
        <w:t xml:space="preserve">. </w:t>
      </w:r>
    </w:p>
    <w:p w14:paraId="36182CAE" w14:textId="77777777" w:rsidR="0036178D" w:rsidRDefault="00ED1027" w:rsidP="00184D97">
      <w:pPr>
        <w:pStyle w:val="BodyText"/>
        <w:tabs>
          <w:tab w:val="left" w:pos="1837"/>
        </w:tabs>
      </w:pPr>
      <w:r>
        <w:t xml:space="preserve">This absence of price or volume information makes </w:t>
      </w:r>
      <w:r w:rsidR="005B1BF3">
        <w:t xml:space="preserve">BLADE difficult to use for certain purposes, such as estimating </w:t>
      </w:r>
      <w:r w:rsidR="009D6AFC">
        <w:t xml:space="preserve">firm-level </w:t>
      </w:r>
      <w:r w:rsidR="005B1BF3">
        <w:t xml:space="preserve">productivity </w:t>
      </w:r>
      <w:r w:rsidR="009D6AFC">
        <w:t xml:space="preserve">or </w:t>
      </w:r>
      <w:r w:rsidR="005B1BF3">
        <w:t>mark</w:t>
      </w:r>
      <w:r w:rsidR="005B1BF3">
        <w:noBreakHyphen/>
        <w:t xml:space="preserve">up. </w:t>
      </w:r>
      <w:r w:rsidR="007C2AAE">
        <w:t xml:space="preserve">Usually, in order to estimate productivity changes over time, prices of output must be held constant </w:t>
      </w:r>
      <w:r w:rsidR="00801D98">
        <w:t>to prevent non</w:t>
      </w:r>
      <w:r w:rsidR="00091CF0">
        <w:noBreakHyphen/>
      </w:r>
      <w:r w:rsidR="00801D98">
        <w:t xml:space="preserve">productivity related issues from affecting measures of output. </w:t>
      </w:r>
      <w:r w:rsidR="001034C4">
        <w:t xml:space="preserve">For example, </w:t>
      </w:r>
      <w:r w:rsidR="007C186B">
        <w:t xml:space="preserve">if one does not hold prices constant </w:t>
      </w:r>
      <w:r w:rsidR="008D5C51">
        <w:t>then</w:t>
      </w:r>
      <w:r w:rsidR="007C186B">
        <w:t xml:space="preserve"> changes in output (measured in terms of revenue</w:t>
      </w:r>
      <w:r w:rsidR="0021705C">
        <w:t xml:space="preserve"> minus intermediate input costs</w:t>
      </w:r>
      <w:r w:rsidR="007C186B">
        <w:t xml:space="preserve">) </w:t>
      </w:r>
      <w:r w:rsidR="008D5C51">
        <w:t xml:space="preserve">may reflect </w:t>
      </w:r>
      <w:r w:rsidR="00B86AA2">
        <w:t>changes in consumer demand</w:t>
      </w:r>
      <w:r w:rsidR="008D5C51">
        <w:t xml:space="preserve"> or the degree of competition in the market. </w:t>
      </w:r>
    </w:p>
    <w:p w14:paraId="22B06210" w14:textId="3A0578C7" w:rsidR="00F15648" w:rsidRDefault="0036178D" w:rsidP="00184D97">
      <w:pPr>
        <w:pStyle w:val="BodyText"/>
        <w:tabs>
          <w:tab w:val="left" w:pos="1837"/>
        </w:tabs>
      </w:pPr>
      <w:r>
        <w:t>There is a literature which examines the implications of using revenue as an output measure</w:t>
      </w:r>
      <w:r w:rsidR="00EE1918">
        <w:t xml:space="preserve"> for productivity </w:t>
      </w:r>
      <w:proofErr w:type="gramStart"/>
      <w:r w:rsidR="00EE1918">
        <w:t>estimation</w:t>
      </w:r>
      <w:r>
        <w:t>, and</w:t>
      </w:r>
      <w:proofErr w:type="gramEnd"/>
      <w:r>
        <w:t xml:space="preserve"> shows output- and revenue-based measures of productivity are correlated</w:t>
      </w:r>
      <w:r w:rsidR="00957749">
        <w:t xml:space="preserve"> </w:t>
      </w:r>
      <w:r w:rsidR="008807F1" w:rsidRPr="008807F1">
        <w:rPr>
          <w:szCs w:val="24"/>
        </w:rPr>
        <w:t xml:space="preserve">(Foster, </w:t>
      </w:r>
      <w:proofErr w:type="spellStart"/>
      <w:r w:rsidR="008807F1" w:rsidRPr="008807F1">
        <w:rPr>
          <w:szCs w:val="24"/>
        </w:rPr>
        <w:t>Haltiwanger</w:t>
      </w:r>
      <w:proofErr w:type="spellEnd"/>
      <w:r w:rsidR="008807F1" w:rsidRPr="008807F1">
        <w:rPr>
          <w:szCs w:val="24"/>
        </w:rPr>
        <w:t xml:space="preserve"> and </w:t>
      </w:r>
      <w:proofErr w:type="spellStart"/>
      <w:r w:rsidR="008807F1" w:rsidRPr="008807F1">
        <w:rPr>
          <w:szCs w:val="24"/>
        </w:rPr>
        <w:t>Syverson</w:t>
      </w:r>
      <w:proofErr w:type="spellEnd"/>
      <w:r w:rsidR="008807F1" w:rsidRPr="008807F1">
        <w:rPr>
          <w:szCs w:val="24"/>
        </w:rPr>
        <w:t> 2008)</w:t>
      </w:r>
      <w:r>
        <w:t xml:space="preserve">. </w:t>
      </w:r>
      <w:r w:rsidR="00EE1918">
        <w:t xml:space="preserve">However, the conceptual issue remains, since revenue is </w:t>
      </w:r>
      <w:r w:rsidR="00EE1918">
        <w:rPr>
          <w:i/>
        </w:rPr>
        <w:t xml:space="preserve">by definition </w:t>
      </w:r>
      <w:r w:rsidR="00EE1918">
        <w:t>correlated with output (since revenue equals price times output).</w:t>
      </w:r>
      <w:r w:rsidR="00E2462E">
        <w:t xml:space="preserve"> Moreover, in some papers, physical productivity has found to be inversely related to output price</w:t>
      </w:r>
      <w:r w:rsidR="00541A8F">
        <w:t xml:space="preserve"> </w:t>
      </w:r>
      <w:r w:rsidR="00541A8F" w:rsidRPr="00541A8F">
        <w:rPr>
          <w:szCs w:val="24"/>
        </w:rPr>
        <w:t xml:space="preserve">(Foster, </w:t>
      </w:r>
      <w:proofErr w:type="spellStart"/>
      <w:r w:rsidR="00541A8F" w:rsidRPr="00541A8F">
        <w:rPr>
          <w:szCs w:val="24"/>
        </w:rPr>
        <w:t>Haltiwanger</w:t>
      </w:r>
      <w:proofErr w:type="spellEnd"/>
      <w:r w:rsidR="00541A8F" w:rsidRPr="00541A8F">
        <w:rPr>
          <w:szCs w:val="24"/>
        </w:rPr>
        <w:t xml:space="preserve"> and </w:t>
      </w:r>
      <w:proofErr w:type="spellStart"/>
      <w:r w:rsidR="00541A8F" w:rsidRPr="00541A8F">
        <w:rPr>
          <w:szCs w:val="24"/>
        </w:rPr>
        <w:t>Syverson</w:t>
      </w:r>
      <w:proofErr w:type="spellEnd"/>
      <w:r w:rsidR="00541A8F" w:rsidRPr="00541A8F">
        <w:rPr>
          <w:szCs w:val="24"/>
        </w:rPr>
        <w:t> 2008)</w:t>
      </w:r>
      <w:r w:rsidR="00957749">
        <w:t xml:space="preserve">. </w:t>
      </w:r>
    </w:p>
    <w:p w14:paraId="16EBC0CB" w14:textId="4E094622" w:rsidR="0023333F" w:rsidRPr="00C812BA" w:rsidRDefault="0021705C" w:rsidP="00184D97">
      <w:pPr>
        <w:pStyle w:val="BodyText"/>
        <w:tabs>
          <w:tab w:val="left" w:pos="1837"/>
        </w:tabs>
        <w:rPr>
          <w:spacing w:val="-2"/>
        </w:rPr>
      </w:pPr>
      <w:r w:rsidRPr="00C812BA">
        <w:rPr>
          <w:spacing w:val="-2"/>
        </w:rPr>
        <w:t xml:space="preserve">Some researchers </w:t>
      </w:r>
      <w:r w:rsidR="009B65FD" w:rsidRPr="00C812BA">
        <w:rPr>
          <w:spacing w:val="-2"/>
        </w:rPr>
        <w:t xml:space="preserve">use aggregate </w:t>
      </w:r>
      <w:r w:rsidR="001B633C" w:rsidRPr="00C812BA">
        <w:rPr>
          <w:spacing w:val="-2"/>
        </w:rPr>
        <w:t>price indices (</w:t>
      </w:r>
      <w:r w:rsidR="00A450AF" w:rsidRPr="00C812BA">
        <w:rPr>
          <w:spacing w:val="-2"/>
        </w:rPr>
        <w:t>for example,</w:t>
      </w:r>
      <w:r w:rsidR="001B633C" w:rsidRPr="00C812BA">
        <w:rPr>
          <w:spacing w:val="-2"/>
        </w:rPr>
        <w:t xml:space="preserve"> at the division level) </w:t>
      </w:r>
      <w:r w:rsidR="00A450AF" w:rsidRPr="00C812BA">
        <w:rPr>
          <w:spacing w:val="-2"/>
        </w:rPr>
        <w:t>to deflate firm level revenues</w:t>
      </w:r>
      <w:r w:rsidR="008F039D" w:rsidRPr="00C812BA">
        <w:rPr>
          <w:spacing w:val="-2"/>
        </w:rPr>
        <w:t xml:space="preserve"> </w:t>
      </w:r>
      <w:r w:rsidR="00E27224" w:rsidRPr="00C812BA">
        <w:rPr>
          <w:spacing w:val="-2"/>
          <w:szCs w:val="24"/>
        </w:rPr>
        <w:t>(Andrews and Hansell 2019)</w:t>
      </w:r>
      <w:r w:rsidR="001B3600" w:rsidRPr="00C812BA">
        <w:rPr>
          <w:spacing w:val="-2"/>
        </w:rPr>
        <w:t xml:space="preserve"> </w:t>
      </w:r>
      <w:r w:rsidR="00A450AF" w:rsidRPr="00C812BA">
        <w:rPr>
          <w:spacing w:val="-2"/>
        </w:rPr>
        <w:t xml:space="preserve">but this </w:t>
      </w:r>
      <w:r w:rsidR="000A3227" w:rsidRPr="00C812BA">
        <w:rPr>
          <w:spacing w:val="-2"/>
        </w:rPr>
        <w:t>will only be the equivalent of deflating by firm</w:t>
      </w:r>
      <w:r w:rsidR="00242418" w:rsidRPr="00C812BA">
        <w:rPr>
          <w:spacing w:val="-2"/>
        </w:rPr>
        <w:noBreakHyphen/>
      </w:r>
      <w:r w:rsidR="000A3227" w:rsidRPr="00C812BA">
        <w:rPr>
          <w:spacing w:val="-2"/>
        </w:rPr>
        <w:t xml:space="preserve">level prices if all firms in the industry </w:t>
      </w:r>
      <w:r w:rsidR="00F15648" w:rsidRPr="00C812BA">
        <w:rPr>
          <w:spacing w:val="-2"/>
        </w:rPr>
        <w:t>provide</w:t>
      </w:r>
      <w:r w:rsidR="00137A74" w:rsidRPr="00C812BA">
        <w:rPr>
          <w:spacing w:val="-2"/>
        </w:rPr>
        <w:t xml:space="preserve"> single</w:t>
      </w:r>
      <w:r w:rsidR="00F15648" w:rsidRPr="00C812BA">
        <w:rPr>
          <w:spacing w:val="-2"/>
        </w:rPr>
        <w:t xml:space="preserve"> products that are perfectly substitutable. That is, under perfect competition. </w:t>
      </w:r>
      <w:r w:rsidR="00A47555" w:rsidRPr="00C812BA">
        <w:rPr>
          <w:spacing w:val="-2"/>
        </w:rPr>
        <w:t xml:space="preserve">If goods are not perfect substitutes </w:t>
      </w:r>
      <w:r w:rsidR="003A59FA" w:rsidRPr="00C812BA">
        <w:rPr>
          <w:spacing w:val="-2"/>
        </w:rPr>
        <w:t xml:space="preserve">in a particular industry, then aggregate price deflators may not reflect important firm-specific factors such as market power, </w:t>
      </w:r>
      <w:r w:rsidR="009C367B" w:rsidRPr="00C812BA">
        <w:rPr>
          <w:spacing w:val="-2"/>
        </w:rPr>
        <w:t>or changes in the mix of goods that the firm provides</w:t>
      </w:r>
      <w:r w:rsidR="006A3116" w:rsidRPr="00C812BA">
        <w:rPr>
          <w:spacing w:val="-2"/>
        </w:rPr>
        <w:t xml:space="preserve"> (industries are normally defined broadly enough to encompass multiple distinct products)</w:t>
      </w:r>
      <w:r w:rsidR="00242418" w:rsidRPr="00C812BA">
        <w:rPr>
          <w:spacing w:val="-2"/>
        </w:rPr>
        <w:t>.</w:t>
      </w:r>
      <w:r w:rsidR="0023333F" w:rsidRPr="00C812BA">
        <w:rPr>
          <w:spacing w:val="-2"/>
        </w:rPr>
        <w:t xml:space="preserve"> Aggregate price indices might be appropriate if </w:t>
      </w:r>
      <w:r w:rsidR="00DF615A" w:rsidRPr="00C812BA">
        <w:rPr>
          <w:spacing w:val="-2"/>
        </w:rPr>
        <w:t xml:space="preserve">differences in firm prices reflect only quality differences, such that, on a quality-adjusted basis, goods in the same industry are perfect substitutes. But this will only be appropriate for single output firms under a narrow industry definition. </w:t>
      </w:r>
    </w:p>
    <w:p w14:paraId="166714D8" w14:textId="10433911" w:rsidR="003E7F0B" w:rsidRDefault="00034B0E" w:rsidP="003E7F0B">
      <w:pPr>
        <w:pStyle w:val="Heading3"/>
      </w:pPr>
      <w:r>
        <w:t>Multifactor productivity</w:t>
      </w:r>
    </w:p>
    <w:p w14:paraId="0B976010" w14:textId="3825F730" w:rsidR="001972A1" w:rsidRDefault="006507D5" w:rsidP="003E7F0B">
      <w:pPr>
        <w:pStyle w:val="BodyText"/>
      </w:pPr>
      <w:r>
        <w:t xml:space="preserve">Estimating multifactor productivity in BLADE is complicated by </w:t>
      </w:r>
      <w:r w:rsidR="00A568C1">
        <w:t>several</w:t>
      </w:r>
      <w:r>
        <w:t xml:space="preserve"> factors: the absence of prices, or measures of physical units</w:t>
      </w:r>
      <w:r w:rsidR="004C195E">
        <w:t xml:space="preserve"> (above), the </w:t>
      </w:r>
      <w:r w:rsidR="00162F15">
        <w:t>absence</w:t>
      </w:r>
      <w:r w:rsidR="004C195E">
        <w:t xml:space="preserve"> of measures of capital</w:t>
      </w:r>
      <w:r w:rsidR="00A568C1">
        <w:t xml:space="preserve"> and a </w:t>
      </w:r>
      <w:r w:rsidR="00A94F58">
        <w:t xml:space="preserve">potential </w:t>
      </w:r>
      <w:r w:rsidR="00A568C1">
        <w:t>for negative value add at the firm level</w:t>
      </w:r>
      <w:r w:rsidR="004C195E">
        <w:t>.</w:t>
      </w:r>
      <w:r w:rsidR="00152E12">
        <w:t xml:space="preserve"> However, </w:t>
      </w:r>
      <w:r w:rsidR="001972A1">
        <w:t>BLADE</w:t>
      </w:r>
      <w:r w:rsidR="00152E12">
        <w:t xml:space="preserve"> does</w:t>
      </w:r>
      <w:r w:rsidR="001972A1">
        <w:t xml:space="preserve"> contain</w:t>
      </w:r>
      <w:r w:rsidR="00BC4D3C">
        <w:t xml:space="preserve"> detailed information on investment and the tax deductions for depreciation</w:t>
      </w:r>
      <w:r w:rsidR="001972A1">
        <w:t xml:space="preserve"> over a reasonable time </w:t>
      </w:r>
      <w:r w:rsidR="001972A1">
        <w:lastRenderedPageBreak/>
        <w:t>frame</w:t>
      </w:r>
      <w:r w:rsidR="00BC4D3C">
        <w:t xml:space="preserve">, </w:t>
      </w:r>
      <w:r w:rsidR="001972A1">
        <w:t xml:space="preserve">meaning researchers </w:t>
      </w:r>
      <w:r w:rsidR="00EB3BB6">
        <w:t>could</w:t>
      </w:r>
      <w:r w:rsidR="001972A1">
        <w:t xml:space="preserve"> estimate capital via perpetual inventory methods. As of the end of 2019, the ABS have also added termination values of tangible and intangible assets</w:t>
      </w:r>
      <w:r w:rsidR="00EB3BB6">
        <w:t xml:space="preserve"> opening new avenues for capital calculation</w:t>
      </w:r>
      <w:r w:rsidR="001972A1">
        <w:t>.</w:t>
      </w:r>
      <w:r w:rsidR="00197ADA">
        <w:rPr>
          <w:rStyle w:val="FootnoteReference"/>
        </w:rPr>
        <w:footnoteReference w:id="3"/>
      </w:r>
    </w:p>
    <w:p w14:paraId="73E01C14" w14:textId="7B1478A3" w:rsidR="00CB2D26" w:rsidRDefault="00CB2D26" w:rsidP="003E7F0B">
      <w:pPr>
        <w:pStyle w:val="BodyText"/>
      </w:pPr>
      <w:r>
        <w:t>Modern productivity analysis at an industry level normally begins by accumulating investment data over long periods of time and assuming rates of depreciation for each asset class in order to produce estimates of a net capital stock.</w:t>
      </w:r>
      <w:r>
        <w:rPr>
          <w:rStyle w:val="FootnoteReference"/>
        </w:rPr>
        <w:footnoteReference w:id="4"/>
      </w:r>
      <w:r>
        <w:t xml:space="preserve"> This approach is called a </w:t>
      </w:r>
      <w:r w:rsidR="00B56B23">
        <w:t>‘</w:t>
      </w:r>
      <w:r>
        <w:t>perpetual inventory model</w:t>
      </w:r>
      <w:r w:rsidR="00B56B23">
        <w:t>’</w:t>
      </w:r>
      <w:r w:rsidR="00C2287F">
        <w:t xml:space="preserve"> </w:t>
      </w:r>
      <w:r w:rsidR="00ED7FC9" w:rsidRPr="00ED7FC9">
        <w:rPr>
          <w:szCs w:val="24"/>
        </w:rPr>
        <w:t>(ABS 2015, p. 361)</w:t>
      </w:r>
      <w:r>
        <w:t>.</w:t>
      </w:r>
    </w:p>
    <w:p w14:paraId="1B9C3DDB" w14:textId="001AC727" w:rsidR="00CB2D26" w:rsidRDefault="001972A1" w:rsidP="003E7F0B">
      <w:pPr>
        <w:pStyle w:val="BodyText"/>
      </w:pPr>
      <w:r>
        <w:t xml:space="preserve">While perpetual inventory calculations </w:t>
      </w:r>
      <w:r w:rsidR="00D52CC0">
        <w:t>are theoretically possible in BLADE</w:t>
      </w:r>
      <w:r>
        <w:t xml:space="preserve">, </w:t>
      </w:r>
      <w:r w:rsidR="00CB2D26">
        <w:t>the</w:t>
      </w:r>
      <w:r w:rsidR="00D52CC0">
        <w:t xml:space="preserve"> practical</w:t>
      </w:r>
      <w:r w:rsidR="00CB2D26">
        <w:t xml:space="preserve"> difficulties are greater than for industry estimates. In particular, while industry estimates in the national accounts </w:t>
      </w:r>
      <w:r w:rsidR="000B7113">
        <w:t>use</w:t>
      </w:r>
      <w:r w:rsidR="00CB2D26">
        <w:t xml:space="preserve"> investment data </w:t>
      </w:r>
      <w:r w:rsidR="000B7113">
        <w:t>spanning over</w:t>
      </w:r>
      <w:r w:rsidR="00CB2D26">
        <w:t xml:space="preserve"> 60 years, the BLADE dataset contains only 16 years of data. Firm entries, exits, mergers and data non-reporting mean the effective timeframe</w:t>
      </w:r>
      <w:r w:rsidR="00A46E5E">
        <w:t xml:space="preserve"> for most businesses</w:t>
      </w:r>
      <w:r w:rsidR="00CB2D26">
        <w:t xml:space="preserve"> is even shorter. </w:t>
      </w:r>
      <w:r w:rsidR="004C0BB9">
        <w:t xml:space="preserve">Moreover, </w:t>
      </w:r>
      <w:r w:rsidR="00331D92">
        <w:t xml:space="preserve">the investment data does not differentiate between different types of capital (as in the National Accounts), so </w:t>
      </w:r>
      <w:r w:rsidR="00BC68E5">
        <w:t xml:space="preserve">different assets cannot be given different weights (via the rates of return) and different </w:t>
      </w:r>
      <w:r w:rsidR="00FA6D58">
        <w:t xml:space="preserve">rates of </w:t>
      </w:r>
      <w:r w:rsidR="00111738">
        <w:t>depreciation</w:t>
      </w:r>
      <w:r w:rsidR="00BC68E5">
        <w:t xml:space="preserve"> as is standard practice. </w:t>
      </w:r>
    </w:p>
    <w:p w14:paraId="494D0520" w14:textId="2F63709A" w:rsidR="00927614" w:rsidRDefault="00034B0E" w:rsidP="003E7F0B">
      <w:pPr>
        <w:pStyle w:val="BodyText"/>
      </w:pPr>
      <w:r>
        <w:t>Output measures may also limit the ability to calculate multifactor productivity. While</w:t>
      </w:r>
      <w:r w:rsidR="00C14DCC">
        <w:t>,</w:t>
      </w:r>
      <w:r>
        <w:t xml:space="preserve"> in aggregate, industries will have positive value add</w:t>
      </w:r>
      <w:r w:rsidR="00C14DCC">
        <w:t>ed</w:t>
      </w:r>
      <w:r w:rsidR="006528DB">
        <w:t>,</w:t>
      </w:r>
      <w:r>
        <w:t xml:space="preserve"> this does not hold at the firm level. Negative value added can occur where </w:t>
      </w:r>
      <w:proofErr w:type="spellStart"/>
      <w:r>
        <w:t>startups</w:t>
      </w:r>
      <w:proofErr w:type="spellEnd"/>
      <w:r>
        <w:t xml:space="preserve"> are developing their business model, due to adverse shocks such as drought, due to financial transfers between related businesses, due to poor business outcomes or due to data misreporting.</w:t>
      </w:r>
      <w:r w:rsidRPr="00034B0E">
        <w:t xml:space="preserve"> </w:t>
      </w:r>
      <w:r>
        <w:t xml:space="preserve">Many firms also lack labour </w:t>
      </w:r>
      <w:r w:rsidR="00526E73">
        <w:t>and investment data</w:t>
      </w:r>
      <w:r>
        <w:t>.</w:t>
      </w:r>
    </w:p>
    <w:p w14:paraId="2ACA891F" w14:textId="6D22A738" w:rsidR="003E7F0B" w:rsidRPr="00C812BA" w:rsidRDefault="00EB3BB6" w:rsidP="003E7F0B">
      <w:pPr>
        <w:pStyle w:val="BodyText"/>
        <w:rPr>
          <w:spacing w:val="-2"/>
        </w:rPr>
      </w:pPr>
      <w:proofErr w:type="gramStart"/>
      <w:r w:rsidRPr="00C812BA">
        <w:rPr>
          <w:spacing w:val="-2"/>
        </w:rPr>
        <w:t>Prof.</w:t>
      </w:r>
      <w:r w:rsidR="00BC4D3C" w:rsidRPr="00C812BA">
        <w:rPr>
          <w:spacing w:val="-2"/>
        </w:rPr>
        <w:t xml:space="preserve"> Keven Fox,</w:t>
      </w:r>
      <w:proofErr w:type="gramEnd"/>
      <w:r w:rsidR="00BC4D3C" w:rsidRPr="00C812BA">
        <w:rPr>
          <w:spacing w:val="-2"/>
        </w:rPr>
        <w:t xml:space="preserve"> </w:t>
      </w:r>
      <w:r w:rsidRPr="00C812BA">
        <w:rPr>
          <w:spacing w:val="-2"/>
        </w:rPr>
        <w:t>is currently leading research into a systematic approach to the imputation and output measurement issues surrounding capital and multifactor productivity estimation in BLADE</w:t>
      </w:r>
      <w:r w:rsidR="00436D99" w:rsidRPr="00C812BA">
        <w:rPr>
          <w:spacing w:val="-2"/>
        </w:rPr>
        <w:t>.</w:t>
      </w:r>
      <w:r w:rsidRPr="00C812BA">
        <w:rPr>
          <w:spacing w:val="-2"/>
        </w:rPr>
        <w:t xml:space="preserve"> Prof. Fox’s work and code base was set for release in 2019 but has been delayed</w:t>
      </w:r>
      <w:r w:rsidR="00642E32" w:rsidRPr="00C812BA">
        <w:rPr>
          <w:spacing w:val="-2"/>
        </w:rPr>
        <w:t xml:space="preserve"> </w:t>
      </w:r>
      <w:r w:rsidR="002E1599" w:rsidRPr="00C812BA">
        <w:rPr>
          <w:spacing w:val="-2"/>
          <w:szCs w:val="24"/>
        </w:rPr>
        <w:t>(Fox 2019)</w:t>
      </w:r>
      <w:r w:rsidRPr="00C812BA">
        <w:rPr>
          <w:spacing w:val="-2"/>
        </w:rPr>
        <w:t>.</w:t>
      </w:r>
    </w:p>
    <w:p w14:paraId="36FB44B3" w14:textId="77777777" w:rsidR="003B2458" w:rsidRDefault="003B2458" w:rsidP="00BB5E50">
      <w:pPr>
        <w:pStyle w:val="Heading3"/>
        <w:tabs>
          <w:tab w:val="left" w:pos="2695"/>
        </w:tabs>
      </w:pPr>
      <w:r>
        <w:t xml:space="preserve">Identifying a </w:t>
      </w:r>
      <w:r w:rsidR="00105A15">
        <w:t>business unit</w:t>
      </w:r>
    </w:p>
    <w:p w14:paraId="0FB1D7DA" w14:textId="41778084" w:rsidR="000B7113" w:rsidRPr="00F20013" w:rsidRDefault="00034B0E" w:rsidP="00EC3BC0">
      <w:pPr>
        <w:pStyle w:val="BodyText"/>
      </w:pPr>
      <w:r>
        <w:t>Ideally</w:t>
      </w:r>
      <w:r w:rsidR="003B2458">
        <w:t xml:space="preserve">, researchers would be able to identify </w:t>
      </w:r>
      <w:r w:rsidR="003B2458" w:rsidRPr="5C9ACA0F">
        <w:rPr>
          <w:i/>
          <w:iCs/>
        </w:rPr>
        <w:t>every</w:t>
      </w:r>
      <w:r w:rsidR="003B2458">
        <w:t xml:space="preserve"> firm in a way that distinguishes between business arms in different industries, that is, an economic firm definition rather than a legal classifier. </w:t>
      </w:r>
      <w:r w:rsidR="00E909BE">
        <w:t>In practice, this is rarely the case</w:t>
      </w:r>
      <w:r w:rsidR="003B2458">
        <w:t xml:space="preserve">. </w:t>
      </w:r>
      <w:r w:rsidR="00523F08">
        <w:t xml:space="preserve">BLADE suffers from the same difficulties in defining a business unit that </w:t>
      </w:r>
      <w:r w:rsidR="004C03A5">
        <w:t>plague</w:t>
      </w:r>
      <w:r w:rsidR="00554130">
        <w:t xml:space="preserve"> most</w:t>
      </w:r>
      <w:r w:rsidR="00523F08">
        <w:t xml:space="preserve"> other economic statistics, including the national accounts. </w:t>
      </w:r>
      <w:r w:rsidR="006F7D32">
        <w:t>Many firms are multi</w:t>
      </w:r>
      <w:r w:rsidR="00E108F0">
        <w:t>-</w:t>
      </w:r>
      <w:r w:rsidR="006F7D32">
        <w:t xml:space="preserve">industry conglomerates that need to be subdivided for the purposes of economic statistics. Even relatively simple firms may </w:t>
      </w:r>
      <w:r w:rsidR="24978515">
        <w:t>operate</w:t>
      </w:r>
      <w:r w:rsidR="006F7D32">
        <w:t xml:space="preserve"> across multiple industries. For example, a computer repair </w:t>
      </w:r>
      <w:r w:rsidR="008E4F09">
        <w:t>shop may</w:t>
      </w:r>
      <w:r w:rsidR="006F7D32">
        <w:t xml:space="preserve"> </w:t>
      </w:r>
      <w:r w:rsidR="008E4F09">
        <w:t>primarily engage in computer repairs (part of ‘other services’) but also sell</w:t>
      </w:r>
      <w:r w:rsidR="006334FF">
        <w:t xml:space="preserve"> </w:t>
      </w:r>
      <w:r w:rsidR="008E4F09">
        <w:t xml:space="preserve">computer parts (part of ‘retail trade’). Ideally, the </w:t>
      </w:r>
      <w:r w:rsidR="008E4F09">
        <w:lastRenderedPageBreak/>
        <w:t>researcher would be able to apportion the</w:t>
      </w:r>
      <w:r w:rsidR="00CC628F">
        <w:t xml:space="preserve"> output and inputs of the</w:t>
      </w:r>
      <w:r w:rsidR="008E4F09">
        <w:t xml:space="preserve"> </w:t>
      </w:r>
      <w:r w:rsidR="00371122">
        <w:t>business</w:t>
      </w:r>
      <w:r w:rsidR="008E4F09">
        <w:t xml:space="preserve"> between </w:t>
      </w:r>
      <w:r w:rsidR="00371122">
        <w:t xml:space="preserve">its various </w:t>
      </w:r>
      <w:r w:rsidR="40890F88">
        <w:t>activities,</w:t>
      </w:r>
      <w:r w:rsidR="00371122">
        <w:t xml:space="preserve"> but </w:t>
      </w:r>
      <w:r w:rsidR="00773F97">
        <w:t xml:space="preserve">usually </w:t>
      </w:r>
      <w:r w:rsidR="008C0012">
        <w:t>statistical agencies classify</w:t>
      </w:r>
      <w:r w:rsidR="00773F97">
        <w:t xml:space="preserve"> </w:t>
      </w:r>
      <w:r w:rsidR="00F20013">
        <w:t>business</w:t>
      </w:r>
      <w:r w:rsidR="008C0012">
        <w:t>es</w:t>
      </w:r>
      <w:r w:rsidR="00F20013">
        <w:t xml:space="preserve"> </w:t>
      </w:r>
      <w:r w:rsidR="008C0012">
        <w:t>by the activity that constitutes the largest portion of its value add</w:t>
      </w:r>
      <w:r w:rsidR="00592E57">
        <w:t xml:space="preserve"> </w:t>
      </w:r>
      <w:r w:rsidR="008C0012">
        <w:t>(ABS 2006, p. 21)</w:t>
      </w:r>
      <w:r w:rsidR="00F20013">
        <w:t xml:space="preserve">. </w:t>
      </w:r>
    </w:p>
    <w:p w14:paraId="60876A15" w14:textId="2C1729F8" w:rsidR="003B2458" w:rsidRDefault="003B2458" w:rsidP="00EC3BC0">
      <w:pPr>
        <w:pStyle w:val="BodyText"/>
      </w:pPr>
      <w:r>
        <w:t>In BLADE, firms are measured by Australian Business Number (ABN), which is limited in a few key features:</w:t>
      </w:r>
    </w:p>
    <w:p w14:paraId="45FD866A" w14:textId="513DCE2C" w:rsidR="003B2458" w:rsidRDefault="00FF016C" w:rsidP="003B2458">
      <w:pPr>
        <w:pStyle w:val="ListBullet"/>
      </w:pPr>
      <w:r>
        <w:t xml:space="preserve">not </w:t>
      </w:r>
      <w:r w:rsidR="003B2458">
        <w:t>every ABN is present in every dataset</w:t>
      </w:r>
    </w:p>
    <w:p w14:paraId="2A1A61BB" w14:textId="4B1B3C95" w:rsidR="003B2458" w:rsidRDefault="00FF016C" w:rsidP="003B2458">
      <w:pPr>
        <w:pStyle w:val="ListBullet"/>
      </w:pPr>
      <w:r>
        <w:t xml:space="preserve">networks </w:t>
      </w:r>
      <w:r w:rsidR="003B2458">
        <w:t>of ABNs can obscure the boundaries and functions of firms</w:t>
      </w:r>
    </w:p>
    <w:p w14:paraId="512418E0" w14:textId="446B3E7B" w:rsidR="003B2458" w:rsidRDefault="003B2458" w:rsidP="003B2458">
      <w:pPr>
        <w:pStyle w:val="ListBullet"/>
      </w:pPr>
      <w:r>
        <w:t xml:space="preserve">ABN data does not identify mergers and acquisitions in </w:t>
      </w:r>
      <w:r w:rsidR="00105A15">
        <w:t>a clear</w:t>
      </w:r>
      <w:r>
        <w:t xml:space="preserve"> way</w:t>
      </w:r>
      <w:r w:rsidR="00FF016C">
        <w:t>.</w:t>
      </w:r>
    </w:p>
    <w:p w14:paraId="70DB3053" w14:textId="6048B9BA" w:rsidR="000346DA" w:rsidRDefault="000346DA" w:rsidP="00EC3BC0">
      <w:pPr>
        <w:pStyle w:val="BodyText"/>
      </w:pPr>
      <w:r>
        <w:t>The ABS solution to some of these problems is a scheme of detailed profiling of larger firms to determine ‘</w:t>
      </w:r>
      <w:r w:rsidRPr="000346DA">
        <w:t>type of activity units</w:t>
      </w:r>
      <w:r>
        <w:t>’ or TAUs. TAUs are designed to measure an economic producer, rather than a legal entity or ABN. TAUs are defined by type of production and can have n:n relationships with ABNs.</w:t>
      </w:r>
      <w:r w:rsidR="00FE6C04">
        <w:t xml:space="preserve"> All firms which are not </w:t>
      </w:r>
      <w:r w:rsidR="00583EE5">
        <w:t>profiled are assumed to have a 1 to 1 relationship with ABN.</w:t>
      </w:r>
    </w:p>
    <w:p w14:paraId="23D9D006" w14:textId="02EED164" w:rsidR="00583787" w:rsidRDefault="00583787" w:rsidP="00EC3BC0">
      <w:pPr>
        <w:pStyle w:val="BodyText"/>
      </w:pPr>
      <w:r>
        <w:t>Thou</w:t>
      </w:r>
      <w:r w:rsidR="00862DAD">
        <w:t>gh</w:t>
      </w:r>
      <w:r>
        <w:t xml:space="preserve"> TAUs aid in firm identification, they suffer from a common BLADE problem</w:t>
      </w:r>
      <w:r w:rsidR="00957B9F">
        <w:t>:</w:t>
      </w:r>
      <w:r>
        <w:t xml:space="preserve"> </w:t>
      </w:r>
      <w:r w:rsidR="00BC37E7">
        <w:t>incomplete coverage</w:t>
      </w:r>
      <w:r>
        <w:t>. Profiling organisations for TAUs is a tedious</w:t>
      </w:r>
      <w:r w:rsidR="00957B9F">
        <w:t>,</w:t>
      </w:r>
      <w:r>
        <w:t xml:space="preserve"> manual job and </w:t>
      </w:r>
      <w:r w:rsidR="008B3655">
        <w:t xml:space="preserve">it would be impractical for the </w:t>
      </w:r>
      <w:r>
        <w:t>ABS to fully profile the Australian economy.</w:t>
      </w:r>
    </w:p>
    <w:p w14:paraId="760E30FF" w14:textId="77777777" w:rsidR="00DE7A44" w:rsidRDefault="00DE7A44" w:rsidP="00DE7A44">
      <w:pPr>
        <w:pStyle w:val="Heading3"/>
      </w:pPr>
      <w:r>
        <w:t>Tax data vs financial data vs management data vs economic data</w:t>
      </w:r>
    </w:p>
    <w:p w14:paraId="197A9708" w14:textId="1621E58E" w:rsidR="00DE7A44" w:rsidRDefault="00AC1288" w:rsidP="00DE7A44">
      <w:pPr>
        <w:pStyle w:val="BodyText"/>
      </w:pPr>
      <w:r>
        <w:t xml:space="preserve">Large companies calculate profits differently for different purposes. </w:t>
      </w:r>
      <w:r w:rsidR="00063BAB">
        <w:t>Reported</w:t>
      </w:r>
      <w:r>
        <w:t xml:space="preserve"> profits for tax purposes </w:t>
      </w:r>
      <w:r w:rsidR="00063BAB">
        <w:t xml:space="preserve">may </w:t>
      </w:r>
      <w:r>
        <w:t xml:space="preserve">not align with profits for financial reporting purposes, which in turn </w:t>
      </w:r>
      <w:r w:rsidR="00063BAB">
        <w:t xml:space="preserve">may </w:t>
      </w:r>
      <w:r>
        <w:t xml:space="preserve">not align with books kept for internal managerial purposes. </w:t>
      </w:r>
      <w:r w:rsidR="00063BAB">
        <w:t>There can</w:t>
      </w:r>
      <w:r w:rsidR="006479C1">
        <w:t xml:space="preserve"> also</w:t>
      </w:r>
      <w:r w:rsidR="00063BAB">
        <w:t xml:space="preserve"> be important differences between financial data and economic concepts. For example, depreciation calculated for financial reporting need not reflect economic depreciation (i.e. the fall in usefulness of an asset over time).</w:t>
      </w:r>
      <w:r w:rsidR="000175A8">
        <w:t xml:space="preserve"> </w:t>
      </w:r>
      <w:r w:rsidR="00CC12E4">
        <w:t xml:space="preserve">In </w:t>
      </w:r>
      <w:r w:rsidR="00063BAB">
        <w:t>addition</w:t>
      </w:r>
      <w:r w:rsidR="00CC12E4">
        <w:t xml:space="preserve">, tax rules surrounding depreciation </w:t>
      </w:r>
      <w:r w:rsidR="00063BAB">
        <w:t xml:space="preserve">may </w:t>
      </w:r>
      <w:r w:rsidR="006100DA">
        <w:t>lead</w:t>
      </w:r>
      <w:r w:rsidR="00CC12E4">
        <w:t xml:space="preserve"> to deductable depreciation</w:t>
      </w:r>
      <w:r w:rsidR="00881579">
        <w:t xml:space="preserve"> being brought forward</w:t>
      </w:r>
      <w:r w:rsidR="00CC12E4">
        <w:t xml:space="preserve">. </w:t>
      </w:r>
    </w:p>
    <w:p w14:paraId="5B940C34" w14:textId="30C190A0" w:rsidR="008D3FDD" w:rsidRDefault="00271ECA" w:rsidP="00DE7A44">
      <w:pPr>
        <w:pStyle w:val="BodyText"/>
      </w:pPr>
      <w:r>
        <w:t>These</w:t>
      </w:r>
      <w:r w:rsidR="008D3FDD">
        <w:t xml:space="preserve"> complications mean that </w:t>
      </w:r>
      <w:r w:rsidR="004E3017">
        <w:t xml:space="preserve"> correspondence</w:t>
      </w:r>
      <w:r w:rsidR="00E90041">
        <w:t>s can be missing</w:t>
      </w:r>
      <w:r w:rsidR="004E3017">
        <w:t xml:space="preserve"> between a variable in BLADE</w:t>
      </w:r>
      <w:r w:rsidR="00416682">
        <w:t xml:space="preserve"> and the economic </w:t>
      </w:r>
      <w:r w:rsidR="00C26355">
        <w:t>phenomena</w:t>
      </w:r>
      <w:r w:rsidR="00416682">
        <w:t xml:space="preserve"> the researcher is investigating.</w:t>
      </w:r>
    </w:p>
    <w:p w14:paraId="2DADFFC1" w14:textId="73FE0711" w:rsidR="00BC4D3C" w:rsidRDefault="00BC4D3C" w:rsidP="00BB5E50">
      <w:pPr>
        <w:pStyle w:val="Heading3"/>
      </w:pPr>
      <w:r>
        <w:t xml:space="preserve">How well does </w:t>
      </w:r>
      <w:r w:rsidR="00391CE0">
        <w:t xml:space="preserve">microdata </w:t>
      </w:r>
      <w:r w:rsidR="0093393C">
        <w:t>fit with aggregate national</w:t>
      </w:r>
      <w:r>
        <w:t xml:space="preserve"> </w:t>
      </w:r>
      <w:r w:rsidR="00A31AAA">
        <w:t xml:space="preserve">accounts </w:t>
      </w:r>
      <w:r>
        <w:t>data?</w:t>
      </w:r>
    </w:p>
    <w:p w14:paraId="07395B05" w14:textId="01A41733" w:rsidR="00BC4D3C" w:rsidRDefault="00391CE0">
      <w:pPr>
        <w:pStyle w:val="BodyText"/>
      </w:pPr>
      <w:r>
        <w:t>Despite the potential discrepancies between data used for tax administration, and their interpretation to represent economic concepts, most research indicates that firm-level administrative data do track national accounts data relatively well.</w:t>
      </w:r>
    </w:p>
    <w:p w14:paraId="0F1AA811" w14:textId="1D11BBDE" w:rsidR="008D70A3" w:rsidRPr="00391CE0" w:rsidRDefault="008135A7">
      <w:pPr>
        <w:pStyle w:val="BodyText"/>
      </w:pPr>
      <w:r>
        <w:t xml:space="preserve">Unpublished work from the Treasury </w:t>
      </w:r>
      <w:r w:rsidR="005D0A24">
        <w:t xml:space="preserve">and Australian Bureau of Statistics </w:t>
      </w:r>
      <w:r>
        <w:t xml:space="preserve">has compared BLADE aggregates to national accounts </w:t>
      </w:r>
      <w:r w:rsidR="00713A74">
        <w:t>supply use tables.</w:t>
      </w:r>
      <w:r w:rsidR="00214EBA">
        <w:rPr>
          <w:rStyle w:val="FootnoteReference"/>
        </w:rPr>
        <w:footnoteReference w:id="5"/>
      </w:r>
      <w:r w:rsidR="00713A74">
        <w:t xml:space="preserve"> </w:t>
      </w:r>
      <w:r w:rsidR="006063C2">
        <w:t>BLADE variables</w:t>
      </w:r>
      <w:r w:rsidR="00300044">
        <w:t xml:space="preserve"> —</w:t>
      </w:r>
      <w:r w:rsidR="006063C2">
        <w:t xml:space="preserve"> such as </w:t>
      </w:r>
      <w:r w:rsidR="00E963B2">
        <w:lastRenderedPageBreak/>
        <w:t xml:space="preserve">total sales </w:t>
      </w:r>
      <w:r w:rsidR="00794417">
        <w:t>and non-capital purchases</w:t>
      </w:r>
      <w:r w:rsidR="00300044">
        <w:t xml:space="preserve"> —</w:t>
      </w:r>
      <w:r w:rsidR="00794417">
        <w:t xml:space="preserve"> were used to proxy output</w:t>
      </w:r>
      <w:r w:rsidR="00EA06A0">
        <w:t>,</w:t>
      </w:r>
      <w:r w:rsidR="00794417">
        <w:t xml:space="preserve"> intermediate use</w:t>
      </w:r>
      <w:r w:rsidR="00EA06A0">
        <w:t xml:space="preserve"> and value added</w:t>
      </w:r>
      <w:r w:rsidR="00794417">
        <w:t xml:space="preserve">. </w:t>
      </w:r>
      <w:r w:rsidR="008C0EDC">
        <w:t xml:space="preserve">Most </w:t>
      </w:r>
      <w:r w:rsidR="002F7165">
        <w:t xml:space="preserve">BLADE industry divisions </w:t>
      </w:r>
      <w:r w:rsidR="00EA06A0">
        <w:t xml:space="preserve">aggregates </w:t>
      </w:r>
      <w:r w:rsidR="0022523F">
        <w:t>showed substantial correlation in level</w:t>
      </w:r>
      <w:r w:rsidR="000476C4">
        <w:t xml:space="preserve"> </w:t>
      </w:r>
      <w:proofErr w:type="gramStart"/>
      <w:r w:rsidR="000476C4">
        <w:t>comparisons</w:t>
      </w:r>
      <w:proofErr w:type="gramEnd"/>
      <w:r w:rsidR="0022523F">
        <w:t xml:space="preserve"> </w:t>
      </w:r>
      <w:r w:rsidR="003E770D">
        <w:t xml:space="preserve">but growth rates were far less correlated. </w:t>
      </w:r>
      <w:r w:rsidR="00B059B1">
        <w:t>Almost a</w:t>
      </w:r>
      <w:r w:rsidR="00414E5B">
        <w:t xml:space="preserve">ll </w:t>
      </w:r>
      <w:r w:rsidR="003E17C0">
        <w:t>industry divisions presented a</w:t>
      </w:r>
      <w:r w:rsidR="006A16D3">
        <w:t>n</w:t>
      </w:r>
      <w:r w:rsidR="003E17C0">
        <w:t xml:space="preserve"> </w:t>
      </w:r>
      <w:r w:rsidR="00B059B1">
        <w:t>output</w:t>
      </w:r>
      <w:r w:rsidR="006A16D3">
        <w:t xml:space="preserve"> level</w:t>
      </w:r>
      <w:r w:rsidR="00B059B1">
        <w:t xml:space="preserve"> </w:t>
      </w:r>
      <w:r w:rsidR="003E17C0">
        <w:t>correlation higher than 0.9</w:t>
      </w:r>
      <w:r w:rsidR="005E1D44">
        <w:t xml:space="preserve"> and value added </w:t>
      </w:r>
      <w:r w:rsidR="00CF56E3">
        <w:t>higher than 0.8.</w:t>
      </w:r>
      <w:r w:rsidR="003E17C0">
        <w:t xml:space="preserve"> </w:t>
      </w:r>
      <w:r w:rsidR="00EE7968">
        <w:t>However</w:t>
      </w:r>
      <w:r w:rsidR="00CF56E3">
        <w:t>, the analysis</w:t>
      </w:r>
      <w:r w:rsidR="00431E89">
        <w:t xml:space="preserve"> also</w:t>
      </w:r>
      <w:r w:rsidR="00CF56E3">
        <w:t xml:space="preserve"> found</w:t>
      </w:r>
      <w:r w:rsidR="00431E89">
        <w:t xml:space="preserve"> that</w:t>
      </w:r>
      <w:r w:rsidR="00CF56E3">
        <w:t xml:space="preserve"> finance and</w:t>
      </w:r>
      <w:r w:rsidR="0083456D">
        <w:t xml:space="preserve"> public administration did not track national accounts well.</w:t>
      </w:r>
    </w:p>
    <w:p w14:paraId="574728CA" w14:textId="290F4A61" w:rsidR="00DE7A44" w:rsidRPr="00C812BA" w:rsidRDefault="00DD5C4C">
      <w:pPr>
        <w:pStyle w:val="BodyText"/>
        <w:rPr>
          <w:spacing w:val="-2"/>
        </w:rPr>
      </w:pPr>
      <w:r w:rsidRPr="00C812BA">
        <w:rPr>
          <w:spacing w:val="-2"/>
        </w:rPr>
        <w:t xml:space="preserve">Kevin </w:t>
      </w:r>
      <w:r w:rsidR="00DE7A44" w:rsidRPr="00C812BA">
        <w:rPr>
          <w:spacing w:val="-2"/>
        </w:rPr>
        <w:t xml:space="preserve">Fox’s research — </w:t>
      </w:r>
      <w:r w:rsidR="005658A8" w:rsidRPr="00C812BA">
        <w:rPr>
          <w:spacing w:val="-2"/>
        </w:rPr>
        <w:t xml:space="preserve">to be published, </w:t>
      </w:r>
      <w:r w:rsidR="00DE7A44" w:rsidRPr="00C812BA">
        <w:rPr>
          <w:spacing w:val="-2"/>
        </w:rPr>
        <w:t xml:space="preserve">presented at </w:t>
      </w:r>
      <w:r w:rsidR="00A94F5B" w:rsidRPr="00C812BA">
        <w:rPr>
          <w:spacing w:val="-2"/>
        </w:rPr>
        <w:t>the 2019</w:t>
      </w:r>
      <w:r w:rsidR="00DE7A44" w:rsidRPr="00C812BA">
        <w:rPr>
          <w:spacing w:val="-2"/>
        </w:rPr>
        <w:t xml:space="preserve"> Economic </w:t>
      </w:r>
      <w:r w:rsidR="00A31AAA" w:rsidRPr="00C812BA">
        <w:rPr>
          <w:spacing w:val="-2"/>
        </w:rPr>
        <w:t xml:space="preserve">Measurement </w:t>
      </w:r>
      <w:r w:rsidR="00DE7A44" w:rsidRPr="00C812BA">
        <w:rPr>
          <w:spacing w:val="-2"/>
        </w:rPr>
        <w:t xml:space="preserve">Group conference — compared industry level estimates of multifactor productivity obtained </w:t>
      </w:r>
      <w:r w:rsidR="005658A8" w:rsidRPr="00C812BA">
        <w:rPr>
          <w:spacing w:val="-2"/>
        </w:rPr>
        <w:t>using BLADE to ABS national accounts data and found they were broadly in line (though there were anomalies, such as finance, with weak correlation across the two datasets)</w:t>
      </w:r>
      <w:r w:rsidR="00A82FAB" w:rsidRPr="00C812BA">
        <w:rPr>
          <w:spacing w:val="-2"/>
        </w:rPr>
        <w:t xml:space="preserve"> </w:t>
      </w:r>
      <w:r w:rsidR="00FD2DEC" w:rsidRPr="00C812BA">
        <w:rPr>
          <w:spacing w:val="-2"/>
          <w:szCs w:val="24"/>
        </w:rPr>
        <w:t>(Fox 2019)</w:t>
      </w:r>
      <w:r w:rsidR="005658A8" w:rsidRPr="00C812BA">
        <w:rPr>
          <w:spacing w:val="-2"/>
        </w:rPr>
        <w:t xml:space="preserve">. </w:t>
      </w:r>
    </w:p>
    <w:p w14:paraId="5FF4A2A6" w14:textId="77777777" w:rsidR="00190AFE" w:rsidRDefault="00D93E7D" w:rsidP="00190AFE">
      <w:pPr>
        <w:pStyle w:val="Heading2"/>
      </w:pPr>
      <w:bookmarkStart w:id="15" w:name="_Toc70321929"/>
      <w:r>
        <w:t>T</w:t>
      </w:r>
      <w:r w:rsidR="00190AFE">
        <w:t xml:space="preserve">echnical </w:t>
      </w:r>
      <w:r>
        <w:t>limitations</w:t>
      </w:r>
      <w:bookmarkEnd w:id="15"/>
    </w:p>
    <w:p w14:paraId="4710AF45" w14:textId="05476F51" w:rsidR="006F6859" w:rsidRDefault="00A94F5B" w:rsidP="00BB5E50">
      <w:pPr>
        <w:pStyle w:val="Heading3"/>
        <w:spacing w:before="280"/>
      </w:pPr>
      <w:r>
        <w:t>Administrative formats</w:t>
      </w:r>
      <w:r w:rsidR="006F6859">
        <w:t xml:space="preserve"> and difficulty handling the size of the data</w:t>
      </w:r>
    </w:p>
    <w:p w14:paraId="6620B24C" w14:textId="4839ED0D" w:rsidR="006F6859" w:rsidRDefault="006F6859" w:rsidP="00BB5E50">
      <w:pPr>
        <w:pStyle w:val="BodyText"/>
      </w:pPr>
      <w:r>
        <w:t xml:space="preserve">The dataset as given by the ABS </w:t>
      </w:r>
      <w:r w:rsidR="001F653E">
        <w:t>are</w:t>
      </w:r>
      <w:r>
        <w:t xml:space="preserve"> a series </w:t>
      </w:r>
      <w:r w:rsidR="009856FF">
        <w:t>of</w:t>
      </w:r>
      <w:r w:rsidR="00023D82">
        <w:t xml:space="preserve"> comm</w:t>
      </w:r>
      <w:r w:rsidR="00B515A0">
        <w:t>a</w:t>
      </w:r>
      <w:r w:rsidR="00023D82">
        <w:t xml:space="preserve"> separated value</w:t>
      </w:r>
      <w:r w:rsidR="009856FF">
        <w:t xml:space="preserve"> </w:t>
      </w:r>
      <w:r w:rsidR="00205B77">
        <w:t>(</w:t>
      </w:r>
      <w:r w:rsidR="009856FF">
        <w:t>CSV</w:t>
      </w:r>
      <w:r w:rsidR="00205B77">
        <w:t>)</w:t>
      </w:r>
      <w:r w:rsidR="009856FF">
        <w:t xml:space="preserve"> files; one for each financial year and </w:t>
      </w:r>
      <w:r w:rsidR="00346927">
        <w:t>for component of the core and modules</w:t>
      </w:r>
      <w:r w:rsidR="009856FF">
        <w:t xml:space="preserve"> </w:t>
      </w:r>
      <w:r w:rsidR="003F682D">
        <w:t xml:space="preserve">that </w:t>
      </w:r>
      <w:r w:rsidR="009856FF">
        <w:t>must be combined and cleaned before use</w:t>
      </w:r>
      <w:r>
        <w:t xml:space="preserve">. This process of combining and cleaning the datasets is time consuming and is so taxing on computation power that most researchers cannot even use the full core datasets of BLADE, and instead use an </w:t>
      </w:r>
      <w:r w:rsidR="00AB5CDD">
        <w:t>abridged</w:t>
      </w:r>
      <w:r>
        <w:t xml:space="preserve"> version of core BLADE with fewer variables (</w:t>
      </w:r>
      <w:r w:rsidR="00AB5CDD">
        <w:t>referred</w:t>
      </w:r>
      <w:r>
        <w:t xml:space="preserve"> to as ‘baby BLADE’).</w:t>
      </w:r>
      <w:r w:rsidR="00AB5CDD">
        <w:t xml:space="preserve"> </w:t>
      </w:r>
    </w:p>
    <w:p w14:paraId="0F64EB59" w14:textId="086A38A0" w:rsidR="00F02307" w:rsidRDefault="00F02307" w:rsidP="00BB5E50">
      <w:pPr>
        <w:pStyle w:val="BodyText"/>
      </w:pPr>
      <w:r>
        <w:t xml:space="preserve">In practice, a full outer join of BLADE may not fit within a </w:t>
      </w:r>
      <w:proofErr w:type="spellStart"/>
      <w:r>
        <w:t>Datalab</w:t>
      </w:r>
      <w:proofErr w:type="spellEnd"/>
      <w:r>
        <w:t xml:space="preserve"> </w:t>
      </w:r>
      <w:r w:rsidR="005E6FF7">
        <w:t>(</w:t>
      </w:r>
      <w:r w:rsidR="00CE4E85">
        <w:t xml:space="preserve">which the ABS </w:t>
      </w:r>
      <w:proofErr w:type="gramStart"/>
      <w:r w:rsidR="00CE4E85">
        <w:t>uses</w:t>
      </w:r>
      <w:proofErr w:type="gramEnd"/>
      <w:r w:rsidR="00CE4E85">
        <w:t xml:space="preserve"> to host BLADE)</w:t>
      </w:r>
      <w:r>
        <w:t xml:space="preserve"> server memory (100 to 200GB) and will not fit when using software such as Stata or </w:t>
      </w:r>
      <w:proofErr w:type="spellStart"/>
      <w:r>
        <w:t>Eviews</w:t>
      </w:r>
      <w:proofErr w:type="spellEnd"/>
      <w:r>
        <w:t xml:space="preserve">. Out of memory solutions are also difficult as Python and R </w:t>
      </w:r>
      <w:r w:rsidR="00A94F5B">
        <w:t xml:space="preserve">often </w:t>
      </w:r>
      <w:r>
        <w:t xml:space="preserve">rely on external </w:t>
      </w:r>
      <w:r w:rsidR="00A94F5B">
        <w:t xml:space="preserve">database </w:t>
      </w:r>
      <w:r>
        <w:t xml:space="preserve">software such as SQL or Apache Spark for large </w:t>
      </w:r>
      <w:r w:rsidR="00A94F5B">
        <w:t>data</w:t>
      </w:r>
      <w:r>
        <w:t xml:space="preserve">. </w:t>
      </w:r>
      <w:r w:rsidR="00A94F5B">
        <w:t xml:space="preserve">SAS provides one out of memory solution, however, </w:t>
      </w:r>
      <w:proofErr w:type="spellStart"/>
      <w:r w:rsidR="00A94F5B">
        <w:t>Datalab</w:t>
      </w:r>
      <w:proofErr w:type="spellEnd"/>
      <w:r w:rsidR="00A94F5B">
        <w:t xml:space="preserve"> storage suffers from slow </w:t>
      </w:r>
      <w:r w:rsidR="00B27596">
        <w:t xml:space="preserve">disk </w:t>
      </w:r>
      <w:r w:rsidR="00A94F5B">
        <w:t>transfer speeds which can push out execution times</w:t>
      </w:r>
      <w:r>
        <w:t>.</w:t>
      </w:r>
    </w:p>
    <w:p w14:paraId="6E0AF929" w14:textId="1D37A70C" w:rsidR="00CD7374" w:rsidRDefault="0011241C" w:rsidP="00BB5E50">
      <w:pPr>
        <w:pStyle w:val="BodyText"/>
      </w:pPr>
      <w:r>
        <w:t xml:space="preserve">As of </w:t>
      </w:r>
      <w:r w:rsidR="00C765E5">
        <w:t xml:space="preserve">2020, the ABS has begun transitioning </w:t>
      </w:r>
      <w:proofErr w:type="spellStart"/>
      <w:r w:rsidR="00C765E5">
        <w:t>Datalab</w:t>
      </w:r>
      <w:proofErr w:type="spellEnd"/>
      <w:r w:rsidR="00C765E5">
        <w:t xml:space="preserve"> projects to new cloud-based infrastructure </w:t>
      </w:r>
      <w:r w:rsidR="007E4CD4">
        <w:t>to provide gre</w:t>
      </w:r>
      <w:r w:rsidR="0038186A">
        <w:t>a</w:t>
      </w:r>
      <w:r w:rsidR="007E4CD4">
        <w:t xml:space="preserve">ter flexibility in </w:t>
      </w:r>
      <w:r w:rsidR="0008582E">
        <w:t>analytical</w:t>
      </w:r>
      <w:r w:rsidR="007E4CD4">
        <w:t xml:space="preserve"> tools and </w:t>
      </w:r>
      <w:r w:rsidR="00F21227">
        <w:t>server scaling</w:t>
      </w:r>
      <w:r w:rsidR="007E4CD4">
        <w:t xml:space="preserve"> for la</w:t>
      </w:r>
      <w:r w:rsidR="0038186A">
        <w:t>rge data projects such as BLADE.</w:t>
      </w:r>
      <w:r w:rsidR="00CE1B47">
        <w:t xml:space="preserve"> As </w:t>
      </w:r>
      <w:r w:rsidR="00E2629B">
        <w:t>the rollout continues</w:t>
      </w:r>
      <w:r w:rsidR="00AB174C">
        <w:t>, researchers will be able to provide better solutions to</w:t>
      </w:r>
      <w:r w:rsidR="00F21227">
        <w:t xml:space="preserve"> BLADE</w:t>
      </w:r>
      <w:r w:rsidR="00AB174C">
        <w:t xml:space="preserve"> </w:t>
      </w:r>
      <w:r w:rsidR="0037495E">
        <w:t xml:space="preserve">data management. </w:t>
      </w:r>
    </w:p>
    <w:p w14:paraId="3F08AF7B" w14:textId="14B623B0" w:rsidR="00F6265E" w:rsidRDefault="00F6265E" w:rsidP="00184D97">
      <w:pPr>
        <w:pStyle w:val="BodyText"/>
      </w:pPr>
      <w:r>
        <w:t>An additional issue is that the ABS</w:t>
      </w:r>
      <w:r w:rsidR="00A31AAA">
        <w:t>, admirably,</w:t>
      </w:r>
      <w:r>
        <w:t xml:space="preserve"> </w:t>
      </w:r>
      <w:r w:rsidR="00D51024">
        <w:t xml:space="preserve">produces </w:t>
      </w:r>
      <w:r w:rsidR="00A31AAA">
        <w:t xml:space="preserve">regular updates to the BLADE dataset, and the accompanying changes in formats </w:t>
      </w:r>
      <w:r w:rsidR="00D51024">
        <w:t>can break existing code</w:t>
      </w:r>
      <w:r>
        <w:t>.</w:t>
      </w:r>
      <w:r w:rsidR="002448E1">
        <w:t xml:space="preserve"> For example, in past releases, FRAME only </w:t>
      </w:r>
      <w:r w:rsidR="00D51024">
        <w:t xml:space="preserve">contained </w:t>
      </w:r>
      <w:r w:rsidR="002448E1">
        <w:t xml:space="preserve">active firms but now it contains every firm from every time period in every financial year dataset. </w:t>
      </w:r>
    </w:p>
    <w:p w14:paraId="136047C6" w14:textId="18EB8BA3" w:rsidR="008A0651" w:rsidRDefault="00173B9C" w:rsidP="00184D97">
      <w:pPr>
        <w:pStyle w:val="Heading3"/>
        <w:spacing w:before="280"/>
      </w:pPr>
      <w:r>
        <w:t>Missing data</w:t>
      </w:r>
    </w:p>
    <w:p w14:paraId="6FAE459A" w14:textId="2A83C40C" w:rsidR="00173B9C" w:rsidRDefault="0021645D" w:rsidP="008A0651">
      <w:pPr>
        <w:pStyle w:val="BodyText"/>
      </w:pPr>
      <w:r>
        <w:t>Many important variables are missing for a very large number of observations</w:t>
      </w:r>
      <w:r w:rsidR="00276C7F">
        <w:t xml:space="preserve"> (figure 3)</w:t>
      </w:r>
      <w:r>
        <w:t>.</w:t>
      </w:r>
      <w:r w:rsidR="00B16CDB">
        <w:t xml:space="preserve"> This does not necessarily mean that the value is genuinely missing </w:t>
      </w:r>
      <w:r w:rsidR="007B04E2">
        <w:t>—</w:t>
      </w:r>
      <w:r w:rsidR="00B16CDB">
        <w:t xml:space="preserve"> firms are not liable to </w:t>
      </w:r>
      <w:r w:rsidR="00B16CDB">
        <w:lastRenderedPageBreak/>
        <w:t xml:space="preserve">complete every </w:t>
      </w:r>
      <w:r w:rsidR="0029726F">
        <w:t>section of every tax form.</w:t>
      </w:r>
      <w:r>
        <w:t xml:space="preserve"> Most of the missing data is because the BIT and PAYG datasets do not cover all BAS submitting firms, and so all the variables contained in these (such as employee headcount and firm assets) are missing for many firms. Even where a firm has completed all three tax forms, there are often cases of them omitting a particular </w:t>
      </w:r>
      <w:proofErr w:type="gramStart"/>
      <w:r>
        <w:t>variable, or</w:t>
      </w:r>
      <w:proofErr w:type="gramEnd"/>
      <w:r>
        <w:t xml:space="preserve"> setting it as zero where this does not make sense (</w:t>
      </w:r>
      <w:proofErr w:type="spellStart"/>
      <w:r w:rsidR="00CD3187">
        <w:t>eg.</w:t>
      </w:r>
      <w:proofErr w:type="spellEnd"/>
      <w:r>
        <w:t xml:space="preserve"> </w:t>
      </w:r>
      <w:r w:rsidR="00ED1027">
        <w:t>reporting</w:t>
      </w:r>
      <w:r>
        <w:t xml:space="preserve"> their wage bill </w:t>
      </w:r>
      <w:r w:rsidR="00ED1027">
        <w:t>as</w:t>
      </w:r>
      <w:r>
        <w:t xml:space="preserve"> zero when they report a positive employee headcount). </w:t>
      </w:r>
    </w:p>
    <w:p w14:paraId="6ADDCB74" w14:textId="6580B9AA" w:rsidR="008935B2" w:rsidRDefault="008935B2" w:rsidP="008A0651">
      <w:pPr>
        <w:pStyle w:val="BodyText"/>
      </w:pPr>
      <w:r>
        <w:t xml:space="preserve">In many cases, even though a firm </w:t>
      </w:r>
      <w:r w:rsidR="002406C7">
        <w:t xml:space="preserve">is not obligated to fill out a particular tax form (such as BIT or PAYG), </w:t>
      </w:r>
      <w:r w:rsidR="00923D9F">
        <w:t>this does not mean that</w:t>
      </w:r>
      <w:r w:rsidR="00705E54">
        <w:t xml:space="preserve"> the relevant information does not exist for that firm. For example, even though a </w:t>
      </w:r>
      <w:r w:rsidR="005531BB">
        <w:t xml:space="preserve">firm </w:t>
      </w:r>
      <w:r w:rsidR="00705E54">
        <w:t xml:space="preserve">may not have to </w:t>
      </w:r>
      <w:r w:rsidR="00463C54">
        <w:t xml:space="preserve">fill in a BIT form, the firm will likely still have revenue, profits, assets and liabilities but the researcher </w:t>
      </w:r>
      <w:r w:rsidR="008F3124">
        <w:t>will have</w:t>
      </w:r>
      <w:r w:rsidR="00D35B21">
        <w:t xml:space="preserve"> no</w:t>
      </w:r>
      <w:r w:rsidR="008F3124">
        <w:t xml:space="preserve"> information about these. </w:t>
      </w:r>
      <w:r w:rsidR="00923D9F">
        <w:t xml:space="preserve">In this sense, even though the tax data does not exist, from the </w:t>
      </w:r>
      <w:proofErr w:type="gramStart"/>
      <w:r w:rsidR="00923D9F">
        <w:t>researchers</w:t>
      </w:r>
      <w:proofErr w:type="gramEnd"/>
      <w:r w:rsidR="00923D9F">
        <w:t xml:space="preserve"> perspective the </w:t>
      </w:r>
      <w:r w:rsidR="00D95310">
        <w:t xml:space="preserve">information is ‘missing’ for that firm. </w:t>
      </w:r>
    </w:p>
    <w:p w14:paraId="0BB11A83" w14:textId="541E38A4" w:rsidR="007005BE" w:rsidRDefault="00ED1027" w:rsidP="008A0651">
      <w:pPr>
        <w:pStyle w:val="BodyText"/>
      </w:pPr>
      <w:r>
        <w:t>There is little consensus on how to deal with these issues of missing variables</w:t>
      </w:r>
      <w:r w:rsidR="00AB5B15">
        <w:t xml:space="preserve"> </w:t>
      </w:r>
      <w:r w:rsidR="002A4216">
        <w:t>in BLADE or other datasets</w:t>
      </w:r>
      <w:r w:rsidR="007C6490">
        <w:t xml:space="preserve"> </w:t>
      </w:r>
      <w:r w:rsidR="00C86C2F" w:rsidRPr="00C86C2F">
        <w:rPr>
          <w:szCs w:val="24"/>
        </w:rPr>
        <w:t>(Little and Rubin 2019)</w:t>
      </w:r>
      <w:r>
        <w:t>. Some researchers have tended to omit observations with missing variables while others have attempted to impute them</w:t>
      </w:r>
      <w:r w:rsidR="007C6490">
        <w:t xml:space="preserve"> </w:t>
      </w:r>
      <w:r w:rsidR="008F5383" w:rsidRPr="008F5383">
        <w:rPr>
          <w:szCs w:val="24"/>
        </w:rPr>
        <w:t>(Suresh et al. 2019)</w:t>
      </w:r>
      <w:r>
        <w:t xml:space="preserve">. </w:t>
      </w:r>
      <w:r w:rsidR="00436D99">
        <w:t>Keven Fox</w:t>
      </w:r>
      <w:r w:rsidR="008C597E">
        <w:t xml:space="preserve"> </w:t>
      </w:r>
      <w:r w:rsidR="002259B9" w:rsidRPr="002259B9">
        <w:t>(2019)</w:t>
      </w:r>
      <w:r w:rsidR="00436D99">
        <w:t xml:space="preserve"> </w:t>
      </w:r>
      <w:r w:rsidR="00E957B8">
        <w:t xml:space="preserve">has demonstrated the need for a </w:t>
      </w:r>
      <w:r w:rsidR="00890D18">
        <w:t xml:space="preserve">more comprehensive approach to </w:t>
      </w:r>
      <w:r w:rsidR="000A35AF">
        <w:t xml:space="preserve">how missing </w:t>
      </w:r>
      <w:r w:rsidR="00031ABC">
        <w:t>variables and</w:t>
      </w:r>
      <w:r w:rsidR="00890D18">
        <w:t xml:space="preserve"> </w:t>
      </w:r>
      <w:r w:rsidR="00E7173D">
        <w:t xml:space="preserve">other common problems (e.g. negative value </w:t>
      </w:r>
      <w:r w:rsidR="00420D51">
        <w:t xml:space="preserve">add) </w:t>
      </w:r>
      <w:r w:rsidR="00DB0BEC">
        <w:t xml:space="preserve">are handled in the construction of BLADE productivity statistics. </w:t>
      </w:r>
      <w:r w:rsidR="0057692E">
        <w:t xml:space="preserve">At time of presentation, Fox intended the release of the framework </w:t>
      </w:r>
      <w:r w:rsidR="00EF587E">
        <w:t>to harmonise how researchers approach these common problems</w:t>
      </w:r>
      <w:r w:rsidR="00436D99">
        <w:t xml:space="preserve">. </w:t>
      </w:r>
    </w:p>
    <w:p w14:paraId="2452C6EB" w14:textId="332C4BEF" w:rsidR="00961007" w:rsidRDefault="00961007" w:rsidP="001E1D1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61007" w14:paraId="0FBAC688" w14:textId="77777777" w:rsidTr="5C9ACA0F">
        <w:trPr>
          <w:tblHeader/>
        </w:trPr>
        <w:tc>
          <w:tcPr>
            <w:tcW w:w="5000" w:type="pct"/>
            <w:tcBorders>
              <w:top w:val="single" w:sz="6" w:space="0" w:color="78A22F" w:themeColor="accent1"/>
              <w:left w:val="nil"/>
              <w:bottom w:val="nil"/>
              <w:right w:val="nil"/>
            </w:tcBorders>
            <w:shd w:val="clear" w:color="auto" w:fill="auto"/>
          </w:tcPr>
          <w:p w14:paraId="16A5E91C" w14:textId="6F8D4CA0" w:rsidR="00961007" w:rsidRDefault="00961007" w:rsidP="001E1D1B">
            <w:pPr>
              <w:pStyle w:val="FigureTitle"/>
            </w:pPr>
            <w:r w:rsidRPr="00784A05">
              <w:rPr>
                <w:b w:val="0"/>
              </w:rPr>
              <w:t xml:space="preserve">Figure </w:t>
            </w:r>
            <w:r w:rsidR="00276C7F">
              <w:rPr>
                <w:b w:val="0"/>
              </w:rPr>
              <w:t>3</w:t>
            </w:r>
            <w:r>
              <w:tab/>
              <w:t>Gaps in key BLADE variables</w:t>
            </w:r>
          </w:p>
          <w:p w14:paraId="75EC9270" w14:textId="77777777" w:rsidR="00961007" w:rsidRPr="00176D3F" w:rsidRDefault="00AB285A">
            <w:pPr>
              <w:pStyle w:val="Subtitle"/>
            </w:pPr>
            <w:r w:rsidRPr="002A619B">
              <w:t>Sparsity denotes the extent of missing</w:t>
            </w:r>
            <w:r w:rsidR="009856FF" w:rsidRPr="002A619B">
              <w:t xml:space="preserve"> entries</w:t>
            </w:r>
            <w:r w:rsidRPr="002A619B">
              <w:t xml:space="preserve"> for each variable</w:t>
            </w:r>
          </w:p>
        </w:tc>
      </w:tr>
      <w:tr w:rsidR="00961007" w14:paraId="1222075D" w14:textId="77777777" w:rsidTr="5C9ACA0F">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61007" w:rsidRPr="00B1465D" w14:paraId="55F5F5AC" w14:textId="77777777" w:rsidTr="5C9ACA0F">
              <w:trPr>
                <w:tblHeader/>
                <w:jc w:val="center"/>
              </w:trPr>
              <w:tc>
                <w:tcPr>
                  <w:tcW w:w="5000" w:type="pct"/>
                  <w:tcBorders>
                    <w:top w:val="nil"/>
                    <w:bottom w:val="nil"/>
                  </w:tcBorders>
                </w:tcPr>
                <w:p w14:paraId="0B5EFBFE" w14:textId="77777777" w:rsidR="00961007" w:rsidRPr="00B1465D" w:rsidRDefault="00961007" w:rsidP="001E1D1B">
                  <w:pPr>
                    <w:pStyle w:val="Figure"/>
                    <w:spacing w:before="60" w:after="60"/>
                    <w:rPr>
                      <w:rFonts w:ascii="Arial" w:hAnsi="Arial" w:cs="Arial"/>
                      <w:sz w:val="18"/>
                      <w:szCs w:val="18"/>
                    </w:rPr>
                  </w:pPr>
                  <w:r w:rsidRPr="00961007">
                    <w:rPr>
                      <w:rFonts w:ascii="Arial" w:hAnsi="Arial" w:cs="Arial"/>
                      <w:noProof/>
                      <w:sz w:val="18"/>
                      <w:szCs w:val="18"/>
                    </w:rPr>
                    <w:drawing>
                      <wp:inline distT="0" distB="0" distL="0" distR="0" wp14:anchorId="0BFFD32B" wp14:editId="521F1369">
                        <wp:extent cx="5400000" cy="2847083"/>
                        <wp:effectExtent l="0" t="0" r="0" b="0"/>
                        <wp:docPr id="8" name="Picture 8" descr="FRAME variables such as industry or postcode have good coverage but tax information is pat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RAME variables such as industry or postcode have good coverage but tax information is patch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000" cy="2847083"/>
                                </a:xfrm>
                                <a:prstGeom prst="rect">
                                  <a:avLst/>
                                </a:prstGeom>
                                <a:noFill/>
                                <a:ln>
                                  <a:noFill/>
                                </a:ln>
                              </pic:spPr>
                            </pic:pic>
                          </a:graphicData>
                        </a:graphic>
                      </wp:inline>
                    </w:drawing>
                  </w:r>
                </w:p>
              </w:tc>
            </w:tr>
          </w:tbl>
          <w:p w14:paraId="57DE9C61" w14:textId="77777777" w:rsidR="00961007" w:rsidRDefault="00961007" w:rsidP="001E1D1B">
            <w:pPr>
              <w:pStyle w:val="Figure"/>
            </w:pPr>
          </w:p>
        </w:tc>
      </w:tr>
      <w:tr w:rsidR="00961007" w:rsidRPr="00176D3F" w14:paraId="5666E21B" w14:textId="77777777" w:rsidTr="5C9ACA0F">
        <w:tc>
          <w:tcPr>
            <w:tcW w:w="5000" w:type="pct"/>
            <w:tcBorders>
              <w:top w:val="nil"/>
              <w:left w:val="nil"/>
              <w:bottom w:val="nil"/>
              <w:right w:val="nil"/>
            </w:tcBorders>
            <w:shd w:val="clear" w:color="auto" w:fill="auto"/>
          </w:tcPr>
          <w:p w14:paraId="3E813142" w14:textId="131F8FC2" w:rsidR="00FB108D" w:rsidRDefault="00961007" w:rsidP="00FB108D">
            <w:pPr>
              <w:pStyle w:val="Note"/>
            </w:pPr>
            <w:r>
              <w:rPr>
                <w:rStyle w:val="NoteLabel"/>
              </w:rPr>
              <w:t>a</w:t>
            </w:r>
            <w:r>
              <w:t xml:space="preserve"> </w:t>
            </w:r>
            <w:proofErr w:type="spellStart"/>
            <w:r w:rsidR="008725C5" w:rsidRPr="00E1469D">
              <w:rPr>
                <w:b/>
              </w:rPr>
              <w:t>birth_date</w:t>
            </w:r>
            <w:proofErr w:type="spellEnd"/>
            <w:r w:rsidR="008725C5">
              <w:t xml:space="preserve"> = date of firm creation; </w:t>
            </w:r>
            <w:proofErr w:type="spellStart"/>
            <w:r w:rsidR="008725C5" w:rsidRPr="00E1469D">
              <w:rPr>
                <w:b/>
              </w:rPr>
              <w:t>tsid</w:t>
            </w:r>
            <w:proofErr w:type="spellEnd"/>
            <w:r w:rsidR="008725C5" w:rsidRPr="00E1469D">
              <w:rPr>
                <w:b/>
              </w:rPr>
              <w:t xml:space="preserve"> </w:t>
            </w:r>
            <w:r w:rsidR="008725C5">
              <w:t xml:space="preserve">= time series id (date); </w:t>
            </w:r>
            <w:proofErr w:type="spellStart"/>
            <w:r w:rsidR="008725C5" w:rsidRPr="00E1469D">
              <w:rPr>
                <w:b/>
              </w:rPr>
              <w:t>x_state</w:t>
            </w:r>
            <w:proofErr w:type="spellEnd"/>
            <w:r w:rsidR="008725C5">
              <w:t xml:space="preserve"> = state; </w:t>
            </w:r>
            <w:proofErr w:type="spellStart"/>
            <w:r w:rsidR="008725C5" w:rsidRPr="00E1469D">
              <w:rPr>
                <w:b/>
              </w:rPr>
              <w:t>x_tolo</w:t>
            </w:r>
            <w:proofErr w:type="spellEnd"/>
            <w:r w:rsidR="008725C5">
              <w:t xml:space="preserve"> = type of legal organisation; </w:t>
            </w:r>
            <w:proofErr w:type="spellStart"/>
            <w:r w:rsidR="008725C5" w:rsidRPr="00E1469D">
              <w:rPr>
                <w:b/>
              </w:rPr>
              <w:t>x_pcode</w:t>
            </w:r>
            <w:proofErr w:type="spellEnd"/>
            <w:r w:rsidR="008725C5">
              <w:t xml:space="preserve"> = postcode; </w:t>
            </w:r>
            <w:proofErr w:type="spellStart"/>
            <w:r w:rsidR="008725C5" w:rsidRPr="00E1469D">
              <w:rPr>
                <w:b/>
              </w:rPr>
              <w:t>x_st_op</w:t>
            </w:r>
            <w:proofErr w:type="spellEnd"/>
            <w:r w:rsidR="008725C5">
              <w:t xml:space="preserve"> = states of operation</w:t>
            </w:r>
            <w:r w:rsidR="009657E2">
              <w:t xml:space="preserve">; </w:t>
            </w:r>
            <w:r w:rsidR="009657E2" w:rsidRPr="00E1469D">
              <w:rPr>
                <w:b/>
              </w:rPr>
              <w:t>x_anz</w:t>
            </w:r>
            <w:r w:rsidR="009F728D">
              <w:rPr>
                <w:b/>
              </w:rPr>
              <w:t>s</w:t>
            </w:r>
            <w:r w:rsidR="009657E2" w:rsidRPr="00E1469D">
              <w:rPr>
                <w:b/>
              </w:rPr>
              <w:t>ic06</w:t>
            </w:r>
            <w:r w:rsidR="009657E2">
              <w:t xml:space="preserve"> = 4 digit ANZIC code; </w:t>
            </w:r>
            <w:r w:rsidR="009657E2" w:rsidRPr="00E1469D">
              <w:rPr>
                <w:b/>
              </w:rPr>
              <w:t>X_SISCA08</w:t>
            </w:r>
            <w:r w:rsidR="009657E2">
              <w:t xml:space="preserve"> = SISCA industry sector; </w:t>
            </w:r>
            <w:r w:rsidR="009657E2" w:rsidRPr="00E1469D">
              <w:rPr>
                <w:b/>
              </w:rPr>
              <w:t>div</w:t>
            </w:r>
            <w:r w:rsidR="009657E2">
              <w:t xml:space="preserve"> = industry division; </w:t>
            </w:r>
            <w:r w:rsidR="00FB108D" w:rsidRPr="00E1469D">
              <w:rPr>
                <w:b/>
              </w:rPr>
              <w:t>TURNOVER</w:t>
            </w:r>
            <w:r w:rsidR="00FB108D">
              <w:t xml:space="preserve"> = turnover; </w:t>
            </w:r>
            <w:r w:rsidR="00FB108D" w:rsidRPr="00E1469D">
              <w:rPr>
                <w:b/>
              </w:rPr>
              <w:t>EXPORTS_AMT</w:t>
            </w:r>
            <w:r w:rsidR="00FB108D">
              <w:t xml:space="preserve"> = export sales; </w:t>
            </w:r>
            <w:r w:rsidR="00FB108D" w:rsidRPr="00E1469D">
              <w:rPr>
                <w:b/>
              </w:rPr>
              <w:t>CAPEX</w:t>
            </w:r>
            <w:r w:rsidR="00FB108D">
              <w:t xml:space="preserve"> = capital expenditure; </w:t>
            </w:r>
            <w:r w:rsidR="00FB108D" w:rsidRPr="00E1469D">
              <w:rPr>
                <w:b/>
              </w:rPr>
              <w:t>OEXP</w:t>
            </w:r>
            <w:r w:rsidR="00FB108D">
              <w:t xml:space="preserve"> = non-capital expenditure; </w:t>
            </w:r>
            <w:r w:rsidR="00FB108D" w:rsidRPr="00E1469D">
              <w:rPr>
                <w:b/>
              </w:rPr>
              <w:t>CREDIT_FOR_GST_PAID</w:t>
            </w:r>
            <w:r w:rsidR="00FB108D">
              <w:t xml:space="preserve"> = GST on purchases; </w:t>
            </w:r>
            <w:r w:rsidR="00FB108D" w:rsidRPr="00E1469D">
              <w:rPr>
                <w:b/>
              </w:rPr>
              <w:t>D_IMPRT_AMT</w:t>
            </w:r>
            <w:r w:rsidR="00FB108D">
              <w:t xml:space="preserve"> = Imported goods with GST deferred; </w:t>
            </w:r>
            <w:r w:rsidR="00FB108D" w:rsidRPr="00E1469D">
              <w:rPr>
                <w:b/>
              </w:rPr>
              <w:t>GST_PAYABLE</w:t>
            </w:r>
            <w:r w:rsidR="00FB108D">
              <w:t xml:space="preserve"> = GST on sales; </w:t>
            </w:r>
            <w:r w:rsidR="00FB108D" w:rsidRPr="00E1469D">
              <w:rPr>
                <w:b/>
              </w:rPr>
              <w:t>OTHER_GST_FREE_SALES</w:t>
            </w:r>
            <w:r w:rsidR="00FB108D">
              <w:t xml:space="preserve"> = GST-free sales; </w:t>
            </w:r>
            <w:r w:rsidR="00FB108D" w:rsidRPr="00E1469D">
              <w:rPr>
                <w:b/>
              </w:rPr>
              <w:t>WAGES</w:t>
            </w:r>
            <w:r w:rsidR="00FB108D">
              <w:t xml:space="preserve"> = total remuneration costs; </w:t>
            </w:r>
            <w:r w:rsidR="00FB108D" w:rsidRPr="00E1469D">
              <w:rPr>
                <w:b/>
              </w:rPr>
              <w:t>A_IT_W_AMT</w:t>
            </w:r>
            <w:r w:rsidR="00FB108D">
              <w:t xml:space="preserve"> = </w:t>
            </w:r>
            <w:r w:rsidR="00FB108D" w:rsidRPr="00FB108D">
              <w:t>payment</w:t>
            </w:r>
            <w:r w:rsidR="00FB108D">
              <w:t>s withheld</w:t>
            </w:r>
            <w:r w:rsidR="00FB108D" w:rsidRPr="00FB108D">
              <w:t xml:space="preserve"> </w:t>
            </w:r>
            <w:r w:rsidR="00FB108D">
              <w:t>for</w:t>
            </w:r>
            <w:r w:rsidR="00FB108D" w:rsidRPr="00FB108D">
              <w:t xml:space="preserve"> invoices where no ABN is quoted</w:t>
            </w:r>
            <w:r w:rsidR="00FB108D">
              <w:t xml:space="preserve">; </w:t>
            </w:r>
            <w:r w:rsidR="00FB108D" w:rsidRPr="00E1469D">
              <w:rPr>
                <w:b/>
              </w:rPr>
              <w:t>PAYG_TAX_WITHHELD</w:t>
            </w:r>
            <w:r w:rsidR="00FB108D">
              <w:t xml:space="preserve"> = PAYG tax; </w:t>
            </w:r>
            <w:r w:rsidR="00FB108D" w:rsidRPr="00E1469D">
              <w:rPr>
                <w:b/>
              </w:rPr>
              <w:t>P_WRK_AMT</w:t>
            </w:r>
            <w:r w:rsidR="00FB108D">
              <w:t xml:space="preserve"> = </w:t>
            </w:r>
            <w:r w:rsidR="00FB108D" w:rsidRPr="00FB108D">
              <w:t>amount withheld from salary, wages and other payments</w:t>
            </w:r>
            <w:r w:rsidR="00FB108D">
              <w:t xml:space="preserve">; </w:t>
            </w:r>
            <w:r w:rsidR="00FB108D" w:rsidRPr="00E1469D">
              <w:rPr>
                <w:b/>
              </w:rPr>
              <w:t>T_IT_W_AMT</w:t>
            </w:r>
            <w:r w:rsidR="00FB108D">
              <w:t xml:space="preserve"> = </w:t>
            </w:r>
          </w:p>
          <w:p w14:paraId="7D4B8CD6" w14:textId="77777777" w:rsidR="00961007" w:rsidRPr="00E1469D" w:rsidRDefault="00FB108D" w:rsidP="00E1469D">
            <w:pPr>
              <w:jc w:val="both"/>
              <w:rPr>
                <w:rFonts w:cs="Arial"/>
                <w:sz w:val="20"/>
              </w:rPr>
            </w:pPr>
            <w:r>
              <w:rPr>
                <w:rFonts w:ascii="Arial" w:hAnsi="Arial" w:cs="Arial"/>
                <w:sz w:val="20"/>
                <w:szCs w:val="20"/>
              </w:rPr>
              <w:t xml:space="preserve">amount withheld from investment distributions where no TFN is quoted; </w:t>
            </w:r>
            <w:r w:rsidRPr="00E1469D">
              <w:rPr>
                <w:rFonts w:ascii="Arial" w:hAnsi="Arial" w:cs="Arial"/>
                <w:b/>
                <w:sz w:val="20"/>
                <w:szCs w:val="20"/>
              </w:rPr>
              <w:t>I_INCM_AMT</w:t>
            </w:r>
            <w:r>
              <w:rPr>
                <w:rFonts w:ascii="Arial" w:hAnsi="Arial" w:cs="Arial"/>
                <w:sz w:val="20"/>
                <w:szCs w:val="20"/>
              </w:rPr>
              <w:t xml:space="preserve"> = PAYG instalment income; </w:t>
            </w:r>
            <w:r w:rsidR="00D20FA0" w:rsidRPr="00E1469D">
              <w:rPr>
                <w:rFonts w:ascii="Arial" w:hAnsi="Arial" w:cs="Arial"/>
                <w:b/>
                <w:sz w:val="20"/>
                <w:szCs w:val="20"/>
              </w:rPr>
              <w:t>PAYG_INSTMT</w:t>
            </w:r>
            <w:r w:rsidR="00D20FA0">
              <w:rPr>
                <w:rFonts w:ascii="Arial" w:hAnsi="Arial" w:cs="Arial"/>
                <w:sz w:val="20"/>
                <w:szCs w:val="20"/>
              </w:rPr>
              <w:t xml:space="preserve"> = PAYG income tax instalment; </w:t>
            </w:r>
            <w:proofErr w:type="spellStart"/>
            <w:r w:rsidR="00D20FA0" w:rsidRPr="00E1469D">
              <w:rPr>
                <w:rFonts w:ascii="Arial" w:hAnsi="Arial" w:cs="Arial"/>
                <w:b/>
                <w:sz w:val="20"/>
                <w:szCs w:val="20"/>
              </w:rPr>
              <w:t>fte</w:t>
            </w:r>
            <w:proofErr w:type="spellEnd"/>
            <w:r w:rsidR="00D20FA0">
              <w:rPr>
                <w:rFonts w:ascii="Arial" w:hAnsi="Arial" w:cs="Arial"/>
                <w:sz w:val="20"/>
                <w:szCs w:val="20"/>
              </w:rPr>
              <w:t xml:space="preserve"> = full time equivalent employees; </w:t>
            </w:r>
            <w:proofErr w:type="spellStart"/>
            <w:r w:rsidR="00D20FA0" w:rsidRPr="00E1469D">
              <w:rPr>
                <w:rFonts w:ascii="Arial" w:hAnsi="Arial" w:cs="Arial"/>
                <w:b/>
                <w:sz w:val="20"/>
                <w:szCs w:val="20"/>
              </w:rPr>
              <w:t>hcnt</w:t>
            </w:r>
            <w:proofErr w:type="spellEnd"/>
            <w:r w:rsidR="00D20FA0">
              <w:rPr>
                <w:rFonts w:ascii="Arial" w:hAnsi="Arial" w:cs="Arial"/>
                <w:sz w:val="20"/>
                <w:szCs w:val="20"/>
              </w:rPr>
              <w:t xml:space="preserve"> = headcount of employees; </w:t>
            </w:r>
            <w:proofErr w:type="spellStart"/>
            <w:r w:rsidR="00D20FA0" w:rsidRPr="00E1469D">
              <w:rPr>
                <w:rFonts w:ascii="Arial" w:hAnsi="Arial" w:cs="Arial"/>
                <w:b/>
                <w:sz w:val="20"/>
                <w:szCs w:val="20"/>
              </w:rPr>
              <w:t>bg</w:t>
            </w:r>
            <w:proofErr w:type="spellEnd"/>
            <w:r w:rsidR="00D20FA0">
              <w:rPr>
                <w:rFonts w:ascii="Arial" w:hAnsi="Arial" w:cs="Arial"/>
                <w:sz w:val="20"/>
                <w:szCs w:val="20"/>
              </w:rPr>
              <w:t xml:space="preserve"> = business group id. </w:t>
            </w:r>
          </w:p>
        </w:tc>
      </w:tr>
      <w:tr w:rsidR="00961007" w:rsidRPr="00176D3F" w14:paraId="5C6C8F07" w14:textId="77777777" w:rsidTr="5C9ACA0F">
        <w:tc>
          <w:tcPr>
            <w:tcW w:w="5000" w:type="pct"/>
            <w:tcBorders>
              <w:top w:val="nil"/>
              <w:left w:val="nil"/>
              <w:bottom w:val="nil"/>
              <w:right w:val="nil"/>
            </w:tcBorders>
            <w:shd w:val="clear" w:color="auto" w:fill="auto"/>
          </w:tcPr>
          <w:p w14:paraId="43FD0318" w14:textId="70D77F5F" w:rsidR="00961007" w:rsidRPr="00176D3F" w:rsidRDefault="00FB7D22" w:rsidP="00E1469D">
            <w:pPr>
              <w:pStyle w:val="Subtitle"/>
              <w:keepNext w:val="0"/>
              <w:spacing w:before="80" w:after="0" w:line="220" w:lineRule="exact"/>
              <w:ind w:left="0"/>
              <w:jc w:val="both"/>
            </w:pPr>
            <w:r>
              <w:rPr>
                <w:i/>
              </w:rPr>
              <w:t>S</w:t>
            </w:r>
            <w:r w:rsidR="00961007" w:rsidRPr="00784A05">
              <w:rPr>
                <w:i/>
              </w:rPr>
              <w:t>ource</w:t>
            </w:r>
            <w:r w:rsidR="00961007" w:rsidRPr="00176D3F">
              <w:t xml:space="preserve">: </w:t>
            </w:r>
            <w:r>
              <w:t xml:space="preserve">Suresh et al. </w:t>
            </w:r>
            <w:r w:rsidR="00EC3BC0" w:rsidRPr="00EC3BC0">
              <w:rPr>
                <w:rFonts w:cs="Arial"/>
              </w:rPr>
              <w:t>(2019)</w:t>
            </w:r>
          </w:p>
        </w:tc>
      </w:tr>
      <w:tr w:rsidR="00961007" w14:paraId="6760532B" w14:textId="77777777" w:rsidTr="5C9ACA0F">
        <w:tc>
          <w:tcPr>
            <w:tcW w:w="5000" w:type="pct"/>
            <w:tcBorders>
              <w:top w:val="nil"/>
              <w:left w:val="nil"/>
              <w:bottom w:val="single" w:sz="6" w:space="0" w:color="78A22F" w:themeColor="accent1"/>
              <w:right w:val="nil"/>
            </w:tcBorders>
            <w:shd w:val="clear" w:color="auto" w:fill="auto"/>
          </w:tcPr>
          <w:p w14:paraId="4BB7DB2E" w14:textId="77777777" w:rsidR="00961007" w:rsidRDefault="00961007" w:rsidP="001E1D1B">
            <w:pPr>
              <w:pStyle w:val="Figurespace"/>
            </w:pPr>
          </w:p>
        </w:tc>
      </w:tr>
      <w:tr w:rsidR="00961007" w:rsidRPr="000863A5" w14:paraId="05868F62" w14:textId="77777777" w:rsidTr="5C9ACA0F">
        <w:tc>
          <w:tcPr>
            <w:tcW w:w="5000" w:type="pct"/>
            <w:tcBorders>
              <w:top w:val="single" w:sz="6" w:space="0" w:color="78A22F" w:themeColor="accent1"/>
              <w:left w:val="nil"/>
              <w:bottom w:val="nil"/>
              <w:right w:val="nil"/>
            </w:tcBorders>
          </w:tcPr>
          <w:p w14:paraId="75638231" w14:textId="4569ED1C" w:rsidR="00961007" w:rsidRPr="00626D32" w:rsidRDefault="00961007" w:rsidP="001E1D1B">
            <w:pPr>
              <w:pStyle w:val="BoxSpaceBelow"/>
            </w:pPr>
          </w:p>
        </w:tc>
      </w:tr>
    </w:tbl>
    <w:p w14:paraId="5169AD09" w14:textId="74AF50C3" w:rsidR="007B404A" w:rsidRDefault="00E505D6" w:rsidP="00E1469D">
      <w:pPr>
        <w:pStyle w:val="BodyText"/>
      </w:pPr>
      <w:r>
        <w:t>Box</w:t>
      </w:r>
      <w:r w:rsidR="00C119BA">
        <w:t> </w:t>
      </w:r>
      <w:r w:rsidR="00CD1CCD">
        <w:t>1</w:t>
      </w:r>
      <w:r>
        <w:t xml:space="preserve"> provides some information on common </w:t>
      </w:r>
      <w:r w:rsidR="00FF6C29">
        <w:t>imputed variables</w:t>
      </w:r>
      <w:r>
        <w:t xml:space="preserve"> and new imputation methods in BLADE. </w:t>
      </w:r>
    </w:p>
    <w:p w14:paraId="6666727C" w14:textId="0BBA2A7C" w:rsidR="00FF6C29" w:rsidRDefault="00FF6C29" w:rsidP="00B1603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F6C29" w14:paraId="3892769A" w14:textId="77777777" w:rsidTr="0078061C">
        <w:trPr>
          <w:tblHeader/>
        </w:trPr>
        <w:tc>
          <w:tcPr>
            <w:tcW w:w="5000" w:type="pct"/>
            <w:tcBorders>
              <w:top w:val="single" w:sz="6" w:space="0" w:color="78A22F"/>
              <w:left w:val="nil"/>
              <w:bottom w:val="nil"/>
              <w:right w:val="nil"/>
            </w:tcBorders>
            <w:shd w:val="clear" w:color="auto" w:fill="F2F2F2"/>
          </w:tcPr>
          <w:p w14:paraId="0342E687" w14:textId="7680401F" w:rsidR="00FF6C29" w:rsidRDefault="00FF6C29">
            <w:pPr>
              <w:pStyle w:val="BoxTitle"/>
            </w:pPr>
            <w:r>
              <w:rPr>
                <w:b w:val="0"/>
              </w:rPr>
              <w:t xml:space="preserve">Box </w:t>
            </w:r>
            <w:r w:rsidR="00CD1CCD">
              <w:rPr>
                <w:b w:val="0"/>
              </w:rPr>
              <w:t>1</w:t>
            </w:r>
            <w:r>
              <w:tab/>
              <w:t>Imputation in BLADE</w:t>
            </w:r>
          </w:p>
        </w:tc>
      </w:tr>
      <w:tr w:rsidR="00FF6C29" w14:paraId="0B918E8E" w14:textId="77777777" w:rsidTr="0078061C">
        <w:tc>
          <w:tcPr>
            <w:tcW w:w="5000" w:type="pct"/>
            <w:tcBorders>
              <w:top w:val="nil"/>
              <w:left w:val="nil"/>
              <w:bottom w:val="single" w:sz="4" w:space="0" w:color="BFBFBF"/>
              <w:right w:val="nil"/>
            </w:tcBorders>
            <w:shd w:val="clear" w:color="auto" w:fill="F2F2F2"/>
          </w:tcPr>
          <w:p w14:paraId="65DCB635" w14:textId="77777777" w:rsidR="002130BF" w:rsidRDefault="006F0320" w:rsidP="00E1469D">
            <w:pPr>
              <w:pStyle w:val="Box"/>
              <w:jc w:val="left"/>
            </w:pPr>
            <w:r>
              <w:t xml:space="preserve">Researchers typically impute turnover or </w:t>
            </w:r>
            <w:proofErr w:type="gramStart"/>
            <w:r>
              <w:t>full time</w:t>
            </w:r>
            <w:proofErr w:type="gramEnd"/>
            <w:r>
              <w:t xml:space="preserve"> equivalent workers in BLADE when calculating labour productivity. Imputations have typically been fairly simplistic</w:t>
            </w:r>
            <w:r w:rsidR="002130BF">
              <w:t xml:space="preserve"> log-log linear regressions to compensate for long tails in both predictors and outcomes. For example, full time equivalents </w:t>
            </w:r>
            <w:proofErr w:type="gramStart"/>
            <w:r w:rsidR="002130BF">
              <w:t>is</w:t>
            </w:r>
            <w:proofErr w:type="gramEnd"/>
            <w:r w:rsidR="002130BF">
              <w:t xml:space="preserve"> often defined as:</w:t>
            </w:r>
          </w:p>
          <w:p w14:paraId="5F46EBF0" w14:textId="77777777" w:rsidR="002130BF" w:rsidRDefault="003B05C1" w:rsidP="00E1469D">
            <w:pPr>
              <w:pStyle w:val="Box"/>
              <w:jc w:val="left"/>
            </w:pPr>
            <m:oMathPara>
              <m:oMath>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full time equivalents</m:t>
                        </m:r>
                      </m:e>
                    </m:d>
                    <m:r>
                      <w:rPr>
                        <w:rFonts w:ascii="Cambria Math" w:hAnsi="Cambria Math"/>
                      </w:rPr>
                      <m:t>=α+β</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wages</m:t>
                            </m:r>
                          </m:e>
                        </m:d>
                      </m:e>
                    </m:func>
                    <m:r>
                      <w:rPr>
                        <w:rFonts w:ascii="Cambria Math" w:hAnsi="Cambria Math"/>
                      </w:rPr>
                      <m:t>+ϵ</m:t>
                    </m:r>
                  </m:e>
                </m:func>
              </m:oMath>
            </m:oMathPara>
          </w:p>
          <w:p w14:paraId="3ED64A7A" w14:textId="77777777" w:rsidR="00860A94" w:rsidRDefault="002130BF" w:rsidP="00E1469D">
            <w:pPr>
              <w:pStyle w:val="Box"/>
              <w:jc w:val="left"/>
            </w:pPr>
            <w:r>
              <w:t xml:space="preserve">While this approximation is a reasonably good fit of the data it restricts use of negative values and could be improved. Newer research has tested various machine learning methods to predict both turnover and </w:t>
            </w:r>
            <w:proofErr w:type="gramStart"/>
            <w:r>
              <w:t>full time</w:t>
            </w:r>
            <w:proofErr w:type="gramEnd"/>
            <w:r>
              <w:t xml:space="preserve"> </w:t>
            </w:r>
            <w:r w:rsidR="00860A94">
              <w:t>equivalents. This research found simpler models tended to overfit in a large dataset like BLADE but ensemble method with multiple sub-sampling could produce small errors and good fit. The following shows the mean average of 10 runs of each turnover prediction algorithm using a 90/10 train/test approach:</w:t>
            </w:r>
          </w:p>
          <w:p w14:paraId="3DF40090" w14:textId="77777777" w:rsidR="000A405B" w:rsidRDefault="000A405B" w:rsidP="00E1469D">
            <w:pPr>
              <w:pStyle w:val="Box"/>
              <w:jc w:val="left"/>
            </w:pPr>
          </w:p>
          <w:tbl>
            <w:tblPr>
              <w:tblW w:w="5000" w:type="pct"/>
              <w:tblCellMar>
                <w:left w:w="0" w:type="dxa"/>
                <w:right w:w="0" w:type="dxa"/>
              </w:tblCellMar>
              <w:tblLook w:val="0000" w:firstRow="0" w:lastRow="0" w:firstColumn="0" w:lastColumn="0" w:noHBand="0" w:noVBand="0"/>
            </w:tblPr>
            <w:tblGrid>
              <w:gridCol w:w="1687"/>
              <w:gridCol w:w="1268"/>
              <w:gridCol w:w="925"/>
              <w:gridCol w:w="925"/>
              <w:gridCol w:w="925"/>
              <w:gridCol w:w="925"/>
              <w:gridCol w:w="925"/>
              <w:gridCol w:w="925"/>
            </w:tblGrid>
            <w:tr w:rsidR="000A405B" w14:paraId="05095DE1" w14:textId="77777777" w:rsidTr="00C0518F">
              <w:tc>
                <w:tcPr>
                  <w:tcW w:w="991" w:type="pct"/>
                  <w:tcBorders>
                    <w:top w:val="single" w:sz="4" w:space="0" w:color="BFBFBF"/>
                    <w:bottom w:val="single" w:sz="4" w:space="0" w:color="BFBFBF"/>
                  </w:tcBorders>
                  <w:shd w:val="clear" w:color="auto" w:fill="auto"/>
                </w:tcPr>
                <w:p w14:paraId="54C670C6" w14:textId="77777777" w:rsidR="00860A94" w:rsidRDefault="00860A94" w:rsidP="00860A94">
                  <w:pPr>
                    <w:pStyle w:val="TableColumnHeading"/>
                    <w:jc w:val="left"/>
                  </w:pPr>
                  <w:r>
                    <w:t>Algorithm</w:t>
                  </w:r>
                </w:p>
              </w:tc>
              <w:tc>
                <w:tcPr>
                  <w:tcW w:w="745" w:type="pct"/>
                  <w:tcBorders>
                    <w:top w:val="single" w:sz="4" w:space="0" w:color="BFBFBF"/>
                    <w:bottom w:val="single" w:sz="4" w:space="0" w:color="BFBFBF"/>
                  </w:tcBorders>
                  <w:shd w:val="clear" w:color="auto" w:fill="auto"/>
                </w:tcPr>
                <w:p w14:paraId="5BE13B50" w14:textId="77777777" w:rsidR="00860A94" w:rsidRDefault="00860A94" w:rsidP="00860A94">
                  <w:pPr>
                    <w:pStyle w:val="TableColumnHeading"/>
                  </w:pPr>
                  <w:r>
                    <w:t>No. Features</w:t>
                  </w:r>
                </w:p>
              </w:tc>
              <w:tc>
                <w:tcPr>
                  <w:tcW w:w="544" w:type="pct"/>
                  <w:tcBorders>
                    <w:top w:val="single" w:sz="4" w:space="0" w:color="BFBFBF"/>
                    <w:bottom w:val="single" w:sz="4" w:space="0" w:color="BFBFBF"/>
                  </w:tcBorders>
                  <w:shd w:val="clear" w:color="auto" w:fill="auto"/>
                </w:tcPr>
                <w:p w14:paraId="6AAD4EAA" w14:textId="77777777" w:rsidR="00860A94" w:rsidRDefault="00860A94" w:rsidP="00860A94">
                  <w:pPr>
                    <w:pStyle w:val="TableColumnHeading"/>
                  </w:pPr>
                  <w:r>
                    <w:t>MAE</w:t>
                  </w:r>
                </w:p>
              </w:tc>
              <w:tc>
                <w:tcPr>
                  <w:tcW w:w="544" w:type="pct"/>
                  <w:tcBorders>
                    <w:top w:val="single" w:sz="4" w:space="0" w:color="BFBFBF"/>
                    <w:bottom w:val="single" w:sz="4" w:space="0" w:color="BFBFBF"/>
                  </w:tcBorders>
                  <w:shd w:val="clear" w:color="auto" w:fill="auto"/>
                </w:tcPr>
                <w:p w14:paraId="15AFD176" w14:textId="77777777" w:rsidR="00860A94" w:rsidRDefault="00860A94" w:rsidP="00860A94">
                  <w:pPr>
                    <w:pStyle w:val="TableColumnHeading"/>
                  </w:pPr>
                  <w:r>
                    <w:t>RMSE</w:t>
                  </w:r>
                </w:p>
              </w:tc>
              <w:tc>
                <w:tcPr>
                  <w:tcW w:w="544" w:type="pct"/>
                  <w:tcBorders>
                    <w:top w:val="single" w:sz="4" w:space="0" w:color="BFBFBF"/>
                    <w:bottom w:val="single" w:sz="4" w:space="0" w:color="BFBFBF"/>
                  </w:tcBorders>
                  <w:shd w:val="clear" w:color="auto" w:fill="auto"/>
                </w:tcPr>
                <w:p w14:paraId="15035F75" w14:textId="77777777" w:rsidR="00860A94" w:rsidRDefault="00860A94" w:rsidP="00860A94">
                  <w:pPr>
                    <w:pStyle w:val="TableColumnHeading"/>
                  </w:pPr>
                  <w:proofErr w:type="spellStart"/>
                  <w:r>
                    <w:t>sMAPE</w:t>
                  </w:r>
                  <w:proofErr w:type="spellEnd"/>
                </w:p>
              </w:tc>
              <w:tc>
                <w:tcPr>
                  <w:tcW w:w="544" w:type="pct"/>
                  <w:tcBorders>
                    <w:top w:val="single" w:sz="4" w:space="0" w:color="BFBFBF"/>
                    <w:bottom w:val="single" w:sz="4" w:space="0" w:color="BFBFBF"/>
                  </w:tcBorders>
                  <w:shd w:val="clear" w:color="auto" w:fill="auto"/>
                </w:tcPr>
                <w:p w14:paraId="3D71B8D6" w14:textId="77777777" w:rsidR="00860A94" w:rsidRDefault="00860A94" w:rsidP="00860A94">
                  <w:pPr>
                    <w:pStyle w:val="TableColumnHeading"/>
                  </w:pPr>
                  <w:r>
                    <w:t>MSE</w:t>
                  </w:r>
                </w:p>
              </w:tc>
              <w:tc>
                <w:tcPr>
                  <w:tcW w:w="544" w:type="pct"/>
                  <w:tcBorders>
                    <w:top w:val="single" w:sz="4" w:space="0" w:color="BFBFBF"/>
                    <w:bottom w:val="single" w:sz="4" w:space="0" w:color="BFBFBF"/>
                  </w:tcBorders>
                  <w:shd w:val="clear" w:color="auto" w:fill="auto"/>
                </w:tcPr>
                <w:p w14:paraId="4ECCBF76" w14:textId="77777777" w:rsidR="00860A94" w:rsidRPr="000A405B" w:rsidRDefault="003B05C1">
                  <w:pPr>
                    <w:pStyle w:val="TableColumnHeading"/>
                  </w:pPr>
                  <m:oMathPara>
                    <m:oMathParaPr>
                      <m:jc m:val="right"/>
                    </m:oMathParaPr>
                    <m:oMath>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544" w:type="pct"/>
                  <w:tcBorders>
                    <w:top w:val="single" w:sz="4" w:space="0" w:color="BFBFBF"/>
                    <w:bottom w:val="single" w:sz="4" w:space="0" w:color="BFBFBF"/>
                  </w:tcBorders>
                  <w:shd w:val="clear" w:color="auto" w:fill="auto"/>
                </w:tcPr>
                <w:p w14:paraId="1FD9E3EA" w14:textId="77777777" w:rsidR="00860A94" w:rsidRDefault="00860A94" w:rsidP="00860A94">
                  <w:pPr>
                    <w:pStyle w:val="TableColumnHeading"/>
                    <w:ind w:right="6"/>
                  </w:pPr>
                  <w:r>
                    <w:t>Time (s)</w:t>
                  </w:r>
                </w:p>
              </w:tc>
            </w:tr>
            <w:tr w:rsidR="000A405B" w14:paraId="315D9E70" w14:textId="77777777" w:rsidTr="00C0518F">
              <w:tc>
                <w:tcPr>
                  <w:tcW w:w="991" w:type="pct"/>
                  <w:tcBorders>
                    <w:top w:val="single" w:sz="4" w:space="0" w:color="BFBFBF"/>
                  </w:tcBorders>
                </w:tcPr>
                <w:p w14:paraId="53633A5B" w14:textId="77777777" w:rsidR="00860A94" w:rsidRDefault="00860A94" w:rsidP="00860A94">
                  <w:pPr>
                    <w:pStyle w:val="TableUnitsRow"/>
                    <w:jc w:val="left"/>
                  </w:pPr>
                  <w:r>
                    <w:t>Linear Regression</w:t>
                  </w:r>
                </w:p>
              </w:tc>
              <w:tc>
                <w:tcPr>
                  <w:tcW w:w="745" w:type="pct"/>
                  <w:tcBorders>
                    <w:top w:val="single" w:sz="4" w:space="0" w:color="BFBFBF"/>
                  </w:tcBorders>
                </w:tcPr>
                <w:p w14:paraId="20C2A90D" w14:textId="77777777" w:rsidR="00860A94" w:rsidRDefault="00860A94" w:rsidP="00860A94">
                  <w:pPr>
                    <w:pStyle w:val="TableUnitsRow"/>
                  </w:pPr>
                  <w:r>
                    <w:t>14</w:t>
                  </w:r>
                </w:p>
              </w:tc>
              <w:tc>
                <w:tcPr>
                  <w:tcW w:w="544" w:type="pct"/>
                  <w:tcBorders>
                    <w:top w:val="single" w:sz="4" w:space="0" w:color="BFBFBF"/>
                  </w:tcBorders>
                </w:tcPr>
                <w:p w14:paraId="66DC1217" w14:textId="77777777" w:rsidR="00860A94" w:rsidRDefault="00860A94" w:rsidP="00860A94">
                  <w:pPr>
                    <w:pStyle w:val="TableUnitsRow"/>
                  </w:pPr>
                  <w:r>
                    <w:t>0.253</w:t>
                  </w:r>
                </w:p>
              </w:tc>
              <w:tc>
                <w:tcPr>
                  <w:tcW w:w="544" w:type="pct"/>
                  <w:tcBorders>
                    <w:top w:val="single" w:sz="4" w:space="0" w:color="BFBFBF"/>
                  </w:tcBorders>
                </w:tcPr>
                <w:p w14:paraId="23AEE94E" w14:textId="77777777" w:rsidR="00860A94" w:rsidRDefault="00860A94" w:rsidP="00860A94">
                  <w:pPr>
                    <w:pStyle w:val="TableUnitsRow"/>
                  </w:pPr>
                  <w:r>
                    <w:t>0.381</w:t>
                  </w:r>
                </w:p>
              </w:tc>
              <w:tc>
                <w:tcPr>
                  <w:tcW w:w="544" w:type="pct"/>
                  <w:tcBorders>
                    <w:top w:val="single" w:sz="4" w:space="0" w:color="BFBFBF"/>
                  </w:tcBorders>
                </w:tcPr>
                <w:p w14:paraId="08390CDD" w14:textId="77777777" w:rsidR="00860A94" w:rsidRDefault="00860A94" w:rsidP="00860A94">
                  <w:pPr>
                    <w:pStyle w:val="TableUnitsRow"/>
                  </w:pPr>
                  <w:r>
                    <w:t>4.62%</w:t>
                  </w:r>
                </w:p>
              </w:tc>
              <w:tc>
                <w:tcPr>
                  <w:tcW w:w="544" w:type="pct"/>
                  <w:tcBorders>
                    <w:top w:val="single" w:sz="4" w:space="0" w:color="BFBFBF"/>
                  </w:tcBorders>
                </w:tcPr>
                <w:p w14:paraId="0FAF1E41" w14:textId="77777777" w:rsidR="00860A94" w:rsidRDefault="00860A94" w:rsidP="00860A94">
                  <w:pPr>
                    <w:pStyle w:val="TableUnitsRow"/>
                  </w:pPr>
                  <w:r>
                    <w:t>0.145</w:t>
                  </w:r>
                </w:p>
              </w:tc>
              <w:tc>
                <w:tcPr>
                  <w:tcW w:w="544" w:type="pct"/>
                  <w:tcBorders>
                    <w:top w:val="single" w:sz="4" w:space="0" w:color="BFBFBF"/>
                  </w:tcBorders>
                </w:tcPr>
                <w:p w14:paraId="4C285E48" w14:textId="77777777" w:rsidR="00860A94" w:rsidRDefault="00860A94" w:rsidP="00860A94">
                  <w:pPr>
                    <w:pStyle w:val="TableUnitsRow"/>
                  </w:pPr>
                  <w:r>
                    <w:t>70.82%</w:t>
                  </w:r>
                </w:p>
              </w:tc>
              <w:tc>
                <w:tcPr>
                  <w:tcW w:w="544" w:type="pct"/>
                  <w:tcBorders>
                    <w:top w:val="single" w:sz="4" w:space="0" w:color="BFBFBF"/>
                  </w:tcBorders>
                </w:tcPr>
                <w:p w14:paraId="43B5D29D" w14:textId="77777777" w:rsidR="00860A94" w:rsidRDefault="00860A94" w:rsidP="00860A94">
                  <w:pPr>
                    <w:pStyle w:val="TableUnitsRow"/>
                    <w:ind w:right="6"/>
                  </w:pPr>
                  <w:r>
                    <w:t>333</w:t>
                  </w:r>
                </w:p>
              </w:tc>
            </w:tr>
            <w:tr w:rsidR="000A405B" w14:paraId="007DED71" w14:textId="77777777" w:rsidTr="00E1469D">
              <w:tc>
                <w:tcPr>
                  <w:tcW w:w="991" w:type="pct"/>
                </w:tcPr>
                <w:p w14:paraId="6F93FA83" w14:textId="77777777" w:rsidR="00860A94" w:rsidRDefault="00860A94" w:rsidP="00860A94">
                  <w:pPr>
                    <w:pStyle w:val="TableBodyText"/>
                    <w:jc w:val="left"/>
                  </w:pPr>
                  <w:r>
                    <w:t>Decision Tree</w:t>
                  </w:r>
                </w:p>
              </w:tc>
              <w:tc>
                <w:tcPr>
                  <w:tcW w:w="745" w:type="pct"/>
                </w:tcPr>
                <w:p w14:paraId="1AFE6CE7" w14:textId="77777777" w:rsidR="00860A94" w:rsidRDefault="00860A94" w:rsidP="00860A94">
                  <w:pPr>
                    <w:pStyle w:val="TableBodyText"/>
                  </w:pPr>
                  <w:r>
                    <w:t>14</w:t>
                  </w:r>
                </w:p>
              </w:tc>
              <w:tc>
                <w:tcPr>
                  <w:tcW w:w="544" w:type="pct"/>
                </w:tcPr>
                <w:p w14:paraId="2DA49064" w14:textId="77777777" w:rsidR="00860A94" w:rsidRDefault="00860A94" w:rsidP="00860A94">
                  <w:pPr>
                    <w:pStyle w:val="TableBodyText"/>
                  </w:pPr>
                  <w:r>
                    <w:t>0.071</w:t>
                  </w:r>
                </w:p>
              </w:tc>
              <w:tc>
                <w:tcPr>
                  <w:tcW w:w="544" w:type="pct"/>
                </w:tcPr>
                <w:p w14:paraId="1D442831" w14:textId="77777777" w:rsidR="00860A94" w:rsidRDefault="00860A94" w:rsidP="00860A94">
                  <w:pPr>
                    <w:pStyle w:val="TableBodyText"/>
                  </w:pPr>
                  <w:r>
                    <w:t>0.236</w:t>
                  </w:r>
                </w:p>
              </w:tc>
              <w:tc>
                <w:tcPr>
                  <w:tcW w:w="544" w:type="pct"/>
                </w:tcPr>
                <w:p w14:paraId="5AC6ADCD" w14:textId="77777777" w:rsidR="00860A94" w:rsidRDefault="00860A94" w:rsidP="00860A94">
                  <w:pPr>
                    <w:pStyle w:val="TableBodyText"/>
                  </w:pPr>
                  <w:r>
                    <w:t>1.39%</w:t>
                  </w:r>
                </w:p>
              </w:tc>
              <w:tc>
                <w:tcPr>
                  <w:tcW w:w="544" w:type="pct"/>
                </w:tcPr>
                <w:p w14:paraId="13066EB0" w14:textId="77777777" w:rsidR="00860A94" w:rsidRDefault="00860A94" w:rsidP="00860A94">
                  <w:pPr>
                    <w:pStyle w:val="TableBodyText"/>
                  </w:pPr>
                  <w:r>
                    <w:t>0.056</w:t>
                  </w:r>
                </w:p>
              </w:tc>
              <w:tc>
                <w:tcPr>
                  <w:tcW w:w="544" w:type="pct"/>
                </w:tcPr>
                <w:p w14:paraId="78D107E9" w14:textId="77777777" w:rsidR="00860A94" w:rsidRDefault="00860A94" w:rsidP="00860A94">
                  <w:pPr>
                    <w:pStyle w:val="TableBodyText"/>
                  </w:pPr>
                  <w:r>
                    <w:t>88.79%</w:t>
                  </w:r>
                </w:p>
              </w:tc>
              <w:tc>
                <w:tcPr>
                  <w:tcW w:w="544" w:type="pct"/>
                </w:tcPr>
                <w:p w14:paraId="06297BC5" w14:textId="75E014C4" w:rsidR="00860A94" w:rsidRDefault="00860A94" w:rsidP="00860A94">
                  <w:pPr>
                    <w:pStyle w:val="TableBodyText"/>
                    <w:ind w:right="6"/>
                  </w:pPr>
                  <w:r>
                    <w:t>2</w:t>
                  </w:r>
                  <w:r w:rsidR="00E008C4">
                    <w:t> </w:t>
                  </w:r>
                  <w:r>
                    <w:t>003</w:t>
                  </w:r>
                </w:p>
              </w:tc>
            </w:tr>
            <w:tr w:rsidR="000A405B" w14:paraId="3C7CE417" w14:textId="77777777" w:rsidTr="00E1469D">
              <w:tc>
                <w:tcPr>
                  <w:tcW w:w="991" w:type="pct"/>
                </w:tcPr>
                <w:p w14:paraId="7A0AB65A" w14:textId="77777777" w:rsidR="00860A94" w:rsidRDefault="00860A94" w:rsidP="00860A94">
                  <w:pPr>
                    <w:pStyle w:val="TableBodyText"/>
                    <w:jc w:val="left"/>
                  </w:pPr>
                  <w:r>
                    <w:t>Ridge Regression</w:t>
                  </w:r>
                </w:p>
              </w:tc>
              <w:tc>
                <w:tcPr>
                  <w:tcW w:w="745" w:type="pct"/>
                </w:tcPr>
                <w:p w14:paraId="0802A4A5" w14:textId="77777777" w:rsidR="00860A94" w:rsidRDefault="00860A94" w:rsidP="00860A94">
                  <w:pPr>
                    <w:pStyle w:val="TableBodyText"/>
                  </w:pPr>
                  <w:r>
                    <w:t>14</w:t>
                  </w:r>
                </w:p>
              </w:tc>
              <w:tc>
                <w:tcPr>
                  <w:tcW w:w="544" w:type="pct"/>
                </w:tcPr>
                <w:p w14:paraId="6872F607" w14:textId="77777777" w:rsidR="00860A94" w:rsidRDefault="00860A94" w:rsidP="00860A94">
                  <w:pPr>
                    <w:pStyle w:val="TableBodyText"/>
                  </w:pPr>
                  <w:r>
                    <w:t>0.253</w:t>
                  </w:r>
                </w:p>
              </w:tc>
              <w:tc>
                <w:tcPr>
                  <w:tcW w:w="544" w:type="pct"/>
                </w:tcPr>
                <w:p w14:paraId="1D554B34" w14:textId="77777777" w:rsidR="00860A94" w:rsidRDefault="00860A94" w:rsidP="00860A94">
                  <w:pPr>
                    <w:pStyle w:val="TableBodyText"/>
                  </w:pPr>
                  <w:r>
                    <w:t>0.381</w:t>
                  </w:r>
                </w:p>
              </w:tc>
              <w:tc>
                <w:tcPr>
                  <w:tcW w:w="544" w:type="pct"/>
                </w:tcPr>
                <w:p w14:paraId="6C32C981" w14:textId="77777777" w:rsidR="00860A94" w:rsidRDefault="00860A94" w:rsidP="00860A94">
                  <w:pPr>
                    <w:pStyle w:val="TableBodyText"/>
                  </w:pPr>
                  <w:r>
                    <w:t>4.62%</w:t>
                  </w:r>
                </w:p>
              </w:tc>
              <w:tc>
                <w:tcPr>
                  <w:tcW w:w="544" w:type="pct"/>
                </w:tcPr>
                <w:p w14:paraId="73693BDE" w14:textId="77777777" w:rsidR="00860A94" w:rsidRDefault="00860A94" w:rsidP="00860A94">
                  <w:pPr>
                    <w:pStyle w:val="TableBodyText"/>
                  </w:pPr>
                  <w:r>
                    <w:t>0.145</w:t>
                  </w:r>
                </w:p>
              </w:tc>
              <w:tc>
                <w:tcPr>
                  <w:tcW w:w="544" w:type="pct"/>
                </w:tcPr>
                <w:p w14:paraId="272AA3F8" w14:textId="77777777" w:rsidR="00860A94" w:rsidRDefault="00860A94" w:rsidP="00860A94">
                  <w:pPr>
                    <w:pStyle w:val="TableBodyText"/>
                  </w:pPr>
                  <w:r>
                    <w:t>70.82%</w:t>
                  </w:r>
                </w:p>
              </w:tc>
              <w:tc>
                <w:tcPr>
                  <w:tcW w:w="544" w:type="pct"/>
                </w:tcPr>
                <w:p w14:paraId="29E11F5C" w14:textId="77777777" w:rsidR="00860A94" w:rsidRDefault="00860A94" w:rsidP="00860A94">
                  <w:pPr>
                    <w:pStyle w:val="TableBodyText"/>
                    <w:ind w:right="6"/>
                  </w:pPr>
                  <w:r>
                    <w:t>58</w:t>
                  </w:r>
                </w:p>
              </w:tc>
            </w:tr>
            <w:tr w:rsidR="000A405B" w14:paraId="520D619A" w14:textId="77777777" w:rsidTr="00E1469D">
              <w:tc>
                <w:tcPr>
                  <w:tcW w:w="991" w:type="pct"/>
                </w:tcPr>
                <w:p w14:paraId="1E470DC4" w14:textId="77777777" w:rsidR="00860A94" w:rsidRDefault="00860A94" w:rsidP="00860A94">
                  <w:pPr>
                    <w:pStyle w:val="TableBodyText"/>
                    <w:jc w:val="left"/>
                  </w:pPr>
                  <w:r>
                    <w:t>Bayesian Ridge</w:t>
                  </w:r>
                </w:p>
              </w:tc>
              <w:tc>
                <w:tcPr>
                  <w:tcW w:w="745" w:type="pct"/>
                </w:tcPr>
                <w:p w14:paraId="26E7CFA7" w14:textId="77777777" w:rsidR="00860A94" w:rsidRDefault="00860A94" w:rsidP="00860A94">
                  <w:pPr>
                    <w:pStyle w:val="TableBodyText"/>
                  </w:pPr>
                  <w:r>
                    <w:t>14</w:t>
                  </w:r>
                </w:p>
              </w:tc>
              <w:tc>
                <w:tcPr>
                  <w:tcW w:w="544" w:type="pct"/>
                </w:tcPr>
                <w:p w14:paraId="2615FD08" w14:textId="77777777" w:rsidR="00860A94" w:rsidRDefault="00860A94" w:rsidP="00860A94">
                  <w:pPr>
                    <w:pStyle w:val="TableBodyText"/>
                  </w:pPr>
                  <w:r>
                    <w:t>0.253</w:t>
                  </w:r>
                </w:p>
              </w:tc>
              <w:tc>
                <w:tcPr>
                  <w:tcW w:w="544" w:type="pct"/>
                </w:tcPr>
                <w:p w14:paraId="3498DAB2" w14:textId="77777777" w:rsidR="00860A94" w:rsidRDefault="00860A94" w:rsidP="00860A94">
                  <w:pPr>
                    <w:pStyle w:val="TableBodyText"/>
                  </w:pPr>
                  <w:r>
                    <w:t>0.381</w:t>
                  </w:r>
                </w:p>
              </w:tc>
              <w:tc>
                <w:tcPr>
                  <w:tcW w:w="544" w:type="pct"/>
                </w:tcPr>
                <w:p w14:paraId="670AC0BE" w14:textId="77777777" w:rsidR="00860A94" w:rsidRDefault="00860A94" w:rsidP="00860A94">
                  <w:pPr>
                    <w:pStyle w:val="TableBodyText"/>
                  </w:pPr>
                  <w:r>
                    <w:t>4.62%</w:t>
                  </w:r>
                </w:p>
              </w:tc>
              <w:tc>
                <w:tcPr>
                  <w:tcW w:w="544" w:type="pct"/>
                </w:tcPr>
                <w:p w14:paraId="22913050" w14:textId="77777777" w:rsidR="00860A94" w:rsidRDefault="00860A94" w:rsidP="00860A94">
                  <w:pPr>
                    <w:pStyle w:val="TableBodyText"/>
                  </w:pPr>
                  <w:r>
                    <w:t>0.145</w:t>
                  </w:r>
                </w:p>
              </w:tc>
              <w:tc>
                <w:tcPr>
                  <w:tcW w:w="544" w:type="pct"/>
                </w:tcPr>
                <w:p w14:paraId="36F72722" w14:textId="77777777" w:rsidR="00860A94" w:rsidRDefault="00860A94" w:rsidP="00860A94">
                  <w:pPr>
                    <w:pStyle w:val="TableBodyText"/>
                  </w:pPr>
                  <w:r>
                    <w:t>70.82%</w:t>
                  </w:r>
                </w:p>
              </w:tc>
              <w:tc>
                <w:tcPr>
                  <w:tcW w:w="544" w:type="pct"/>
                </w:tcPr>
                <w:p w14:paraId="42A5146D" w14:textId="77777777" w:rsidR="00860A94" w:rsidRDefault="00860A94" w:rsidP="00860A94">
                  <w:pPr>
                    <w:pStyle w:val="TableBodyText"/>
                    <w:ind w:right="6"/>
                  </w:pPr>
                  <w:r>
                    <w:t>416</w:t>
                  </w:r>
                </w:p>
              </w:tc>
            </w:tr>
            <w:tr w:rsidR="000A405B" w14:paraId="2DEF9B77" w14:textId="77777777" w:rsidTr="00E1469D">
              <w:tc>
                <w:tcPr>
                  <w:tcW w:w="991" w:type="pct"/>
                </w:tcPr>
                <w:p w14:paraId="66664023" w14:textId="77777777" w:rsidR="00860A94" w:rsidRDefault="00860A94" w:rsidP="00860A94">
                  <w:pPr>
                    <w:pStyle w:val="TableBodyText"/>
                    <w:jc w:val="left"/>
                  </w:pPr>
                  <w:proofErr w:type="spellStart"/>
                  <w:r>
                    <w:t>LassoCV</w:t>
                  </w:r>
                  <w:proofErr w:type="spellEnd"/>
                </w:p>
              </w:tc>
              <w:tc>
                <w:tcPr>
                  <w:tcW w:w="745" w:type="pct"/>
                </w:tcPr>
                <w:p w14:paraId="7BB76DD5" w14:textId="77777777" w:rsidR="00860A94" w:rsidRDefault="00860A94" w:rsidP="00860A94">
                  <w:pPr>
                    <w:pStyle w:val="TableBodyText"/>
                  </w:pPr>
                  <w:r>
                    <w:t>14</w:t>
                  </w:r>
                </w:p>
              </w:tc>
              <w:tc>
                <w:tcPr>
                  <w:tcW w:w="544" w:type="pct"/>
                </w:tcPr>
                <w:p w14:paraId="46FD6C87" w14:textId="77777777" w:rsidR="00860A94" w:rsidRDefault="00860A94" w:rsidP="00860A94">
                  <w:pPr>
                    <w:pStyle w:val="TableBodyText"/>
                  </w:pPr>
                  <w:r>
                    <w:t>0.253</w:t>
                  </w:r>
                </w:p>
              </w:tc>
              <w:tc>
                <w:tcPr>
                  <w:tcW w:w="544" w:type="pct"/>
                </w:tcPr>
                <w:p w14:paraId="03396378" w14:textId="77777777" w:rsidR="00860A94" w:rsidRDefault="00860A94" w:rsidP="00860A94">
                  <w:pPr>
                    <w:pStyle w:val="TableBodyText"/>
                  </w:pPr>
                  <w:r>
                    <w:t>0.381</w:t>
                  </w:r>
                </w:p>
              </w:tc>
              <w:tc>
                <w:tcPr>
                  <w:tcW w:w="544" w:type="pct"/>
                </w:tcPr>
                <w:p w14:paraId="4BA99FB3" w14:textId="77777777" w:rsidR="00860A94" w:rsidRDefault="00860A94" w:rsidP="00860A94">
                  <w:pPr>
                    <w:pStyle w:val="TableBodyText"/>
                  </w:pPr>
                  <w:r>
                    <w:t>4.62%</w:t>
                  </w:r>
                </w:p>
              </w:tc>
              <w:tc>
                <w:tcPr>
                  <w:tcW w:w="544" w:type="pct"/>
                </w:tcPr>
                <w:p w14:paraId="45607D35" w14:textId="77777777" w:rsidR="00860A94" w:rsidRDefault="00860A94" w:rsidP="00860A94">
                  <w:pPr>
                    <w:pStyle w:val="TableBodyText"/>
                  </w:pPr>
                  <w:r>
                    <w:t>0.145</w:t>
                  </w:r>
                </w:p>
              </w:tc>
              <w:tc>
                <w:tcPr>
                  <w:tcW w:w="544" w:type="pct"/>
                </w:tcPr>
                <w:p w14:paraId="21B0294E" w14:textId="77777777" w:rsidR="00860A94" w:rsidRDefault="00860A94" w:rsidP="00860A94">
                  <w:pPr>
                    <w:pStyle w:val="TableBodyText"/>
                  </w:pPr>
                  <w:r>
                    <w:t>70.82%</w:t>
                  </w:r>
                </w:p>
              </w:tc>
              <w:tc>
                <w:tcPr>
                  <w:tcW w:w="544" w:type="pct"/>
                </w:tcPr>
                <w:p w14:paraId="7E2D6103" w14:textId="30898C67" w:rsidR="00860A94" w:rsidRDefault="00860A94" w:rsidP="00860A94">
                  <w:pPr>
                    <w:pStyle w:val="TableBodyText"/>
                    <w:ind w:right="6"/>
                  </w:pPr>
                  <w:r>
                    <w:t>1</w:t>
                  </w:r>
                  <w:r w:rsidR="00E008C4">
                    <w:t> </w:t>
                  </w:r>
                  <w:r>
                    <w:t>407</w:t>
                  </w:r>
                </w:p>
              </w:tc>
            </w:tr>
            <w:tr w:rsidR="000A405B" w14:paraId="12F9CAEF" w14:textId="77777777" w:rsidTr="00E1469D">
              <w:tc>
                <w:tcPr>
                  <w:tcW w:w="991" w:type="pct"/>
                </w:tcPr>
                <w:p w14:paraId="5C2BE2F2" w14:textId="77777777" w:rsidR="00860A94" w:rsidRDefault="00860A94" w:rsidP="00860A94">
                  <w:pPr>
                    <w:pStyle w:val="TableBodyText"/>
                    <w:jc w:val="left"/>
                  </w:pPr>
                  <w:proofErr w:type="spellStart"/>
                  <w:r>
                    <w:t>OMPursuitCV</w:t>
                  </w:r>
                  <w:proofErr w:type="spellEnd"/>
                </w:p>
              </w:tc>
              <w:tc>
                <w:tcPr>
                  <w:tcW w:w="745" w:type="pct"/>
                </w:tcPr>
                <w:p w14:paraId="1AAE3908" w14:textId="77777777" w:rsidR="00860A94" w:rsidRDefault="00860A94" w:rsidP="00860A94">
                  <w:pPr>
                    <w:pStyle w:val="TableBodyText"/>
                  </w:pPr>
                  <w:r>
                    <w:t>14</w:t>
                  </w:r>
                </w:p>
              </w:tc>
              <w:tc>
                <w:tcPr>
                  <w:tcW w:w="544" w:type="pct"/>
                </w:tcPr>
                <w:p w14:paraId="28CE9697" w14:textId="77777777" w:rsidR="00860A94" w:rsidRDefault="00860A94" w:rsidP="00860A94">
                  <w:pPr>
                    <w:pStyle w:val="TableBodyText"/>
                  </w:pPr>
                  <w:r>
                    <w:t>0.262</w:t>
                  </w:r>
                </w:p>
              </w:tc>
              <w:tc>
                <w:tcPr>
                  <w:tcW w:w="544" w:type="pct"/>
                </w:tcPr>
                <w:p w14:paraId="1873D88E" w14:textId="77777777" w:rsidR="00860A94" w:rsidRDefault="00860A94" w:rsidP="00860A94">
                  <w:pPr>
                    <w:pStyle w:val="TableBodyText"/>
                  </w:pPr>
                  <w:r>
                    <w:t>0.392</w:t>
                  </w:r>
                </w:p>
              </w:tc>
              <w:tc>
                <w:tcPr>
                  <w:tcW w:w="544" w:type="pct"/>
                </w:tcPr>
                <w:p w14:paraId="2F476DD1" w14:textId="77777777" w:rsidR="00860A94" w:rsidRDefault="00860A94" w:rsidP="00860A94">
                  <w:pPr>
                    <w:pStyle w:val="TableBodyText"/>
                  </w:pPr>
                  <w:r>
                    <w:t>4.79%</w:t>
                  </w:r>
                </w:p>
              </w:tc>
              <w:tc>
                <w:tcPr>
                  <w:tcW w:w="544" w:type="pct"/>
                </w:tcPr>
                <w:p w14:paraId="624CC789" w14:textId="77777777" w:rsidR="00860A94" w:rsidRDefault="00860A94" w:rsidP="00860A94">
                  <w:pPr>
                    <w:pStyle w:val="TableBodyText"/>
                  </w:pPr>
                  <w:r>
                    <w:t>0.154</w:t>
                  </w:r>
                </w:p>
              </w:tc>
              <w:tc>
                <w:tcPr>
                  <w:tcW w:w="544" w:type="pct"/>
                </w:tcPr>
                <w:p w14:paraId="368FC017" w14:textId="77777777" w:rsidR="00860A94" w:rsidRDefault="00860A94" w:rsidP="00860A94">
                  <w:pPr>
                    <w:pStyle w:val="TableBodyText"/>
                  </w:pPr>
                  <w:r>
                    <w:t>69.05%</w:t>
                  </w:r>
                </w:p>
              </w:tc>
              <w:tc>
                <w:tcPr>
                  <w:tcW w:w="544" w:type="pct"/>
                </w:tcPr>
                <w:p w14:paraId="43C90CB8" w14:textId="77777777" w:rsidR="00860A94" w:rsidRDefault="00860A94" w:rsidP="00860A94">
                  <w:pPr>
                    <w:pStyle w:val="TableBodyText"/>
                    <w:ind w:right="6"/>
                  </w:pPr>
                  <w:r>
                    <w:t>672</w:t>
                  </w:r>
                </w:p>
              </w:tc>
            </w:tr>
            <w:tr w:rsidR="000A405B" w14:paraId="0EC43064" w14:textId="77777777" w:rsidTr="00E1469D">
              <w:tc>
                <w:tcPr>
                  <w:tcW w:w="991" w:type="pct"/>
                </w:tcPr>
                <w:p w14:paraId="13EAEF5F" w14:textId="77777777" w:rsidR="00860A94" w:rsidRDefault="00860A94" w:rsidP="00860A94">
                  <w:pPr>
                    <w:pStyle w:val="TableBodyText"/>
                    <w:jc w:val="left"/>
                  </w:pPr>
                  <w:r>
                    <w:t>Bagging</w:t>
                  </w:r>
                </w:p>
              </w:tc>
              <w:tc>
                <w:tcPr>
                  <w:tcW w:w="745" w:type="pct"/>
                </w:tcPr>
                <w:p w14:paraId="36EDB9FF" w14:textId="77777777" w:rsidR="00860A94" w:rsidRDefault="00860A94" w:rsidP="00860A94">
                  <w:pPr>
                    <w:pStyle w:val="TableBodyText"/>
                  </w:pPr>
                  <w:r>
                    <w:t>14</w:t>
                  </w:r>
                </w:p>
              </w:tc>
              <w:tc>
                <w:tcPr>
                  <w:tcW w:w="544" w:type="pct"/>
                </w:tcPr>
                <w:p w14:paraId="5905451A" w14:textId="77777777" w:rsidR="00860A94" w:rsidRDefault="00860A94" w:rsidP="00860A94">
                  <w:pPr>
                    <w:pStyle w:val="TableBodyText"/>
                  </w:pPr>
                  <w:r>
                    <w:t>0.06</w:t>
                  </w:r>
                </w:p>
              </w:tc>
              <w:tc>
                <w:tcPr>
                  <w:tcW w:w="544" w:type="pct"/>
                </w:tcPr>
                <w:p w14:paraId="3A38CBA4" w14:textId="77777777" w:rsidR="00860A94" w:rsidRDefault="00860A94" w:rsidP="00860A94">
                  <w:pPr>
                    <w:pStyle w:val="TableBodyText"/>
                  </w:pPr>
                  <w:r>
                    <w:t>0.177</w:t>
                  </w:r>
                </w:p>
              </w:tc>
              <w:tc>
                <w:tcPr>
                  <w:tcW w:w="544" w:type="pct"/>
                </w:tcPr>
                <w:p w14:paraId="2FE91A36" w14:textId="77777777" w:rsidR="00860A94" w:rsidRDefault="00860A94" w:rsidP="00860A94">
                  <w:pPr>
                    <w:pStyle w:val="TableBodyText"/>
                  </w:pPr>
                  <w:r>
                    <w:t>1.16%</w:t>
                  </w:r>
                </w:p>
              </w:tc>
              <w:tc>
                <w:tcPr>
                  <w:tcW w:w="544" w:type="pct"/>
                </w:tcPr>
                <w:p w14:paraId="1C9F55F9" w14:textId="77777777" w:rsidR="00860A94" w:rsidRDefault="00860A94" w:rsidP="00860A94">
                  <w:pPr>
                    <w:pStyle w:val="TableBodyText"/>
                  </w:pPr>
                  <w:r>
                    <w:t>0.031</w:t>
                  </w:r>
                </w:p>
              </w:tc>
              <w:tc>
                <w:tcPr>
                  <w:tcW w:w="544" w:type="pct"/>
                </w:tcPr>
                <w:p w14:paraId="27B1E875" w14:textId="77777777" w:rsidR="00860A94" w:rsidRDefault="00860A94" w:rsidP="00860A94">
                  <w:pPr>
                    <w:pStyle w:val="TableBodyText"/>
                  </w:pPr>
                  <w:r>
                    <w:t>93.69%</w:t>
                  </w:r>
                </w:p>
              </w:tc>
              <w:tc>
                <w:tcPr>
                  <w:tcW w:w="544" w:type="pct"/>
                </w:tcPr>
                <w:p w14:paraId="6F2F906A" w14:textId="27DC2628" w:rsidR="00860A94" w:rsidRDefault="00860A94" w:rsidP="00860A94">
                  <w:pPr>
                    <w:pStyle w:val="TableBodyText"/>
                    <w:ind w:right="6"/>
                  </w:pPr>
                  <w:r>
                    <w:t>18</w:t>
                  </w:r>
                  <w:r w:rsidR="00E008C4">
                    <w:t> </w:t>
                  </w:r>
                  <w:r>
                    <w:t>348</w:t>
                  </w:r>
                </w:p>
              </w:tc>
            </w:tr>
            <w:tr w:rsidR="000A405B" w14:paraId="46BE44AD" w14:textId="77777777" w:rsidTr="00B1603E">
              <w:tc>
                <w:tcPr>
                  <w:tcW w:w="991" w:type="pct"/>
                  <w:shd w:val="clear" w:color="auto" w:fill="auto"/>
                </w:tcPr>
                <w:p w14:paraId="178125CD" w14:textId="77777777" w:rsidR="00860A94" w:rsidRDefault="00860A94" w:rsidP="00860A94">
                  <w:pPr>
                    <w:pStyle w:val="TableBodyText"/>
                    <w:jc w:val="left"/>
                  </w:pPr>
                  <w:r>
                    <w:t>Extra Trees</w:t>
                  </w:r>
                </w:p>
              </w:tc>
              <w:tc>
                <w:tcPr>
                  <w:tcW w:w="745" w:type="pct"/>
                  <w:shd w:val="clear" w:color="auto" w:fill="auto"/>
                </w:tcPr>
                <w:p w14:paraId="5093E929" w14:textId="77777777" w:rsidR="00860A94" w:rsidRDefault="00860A94" w:rsidP="00860A94">
                  <w:pPr>
                    <w:pStyle w:val="TableBodyText"/>
                  </w:pPr>
                  <w:r>
                    <w:t>14</w:t>
                  </w:r>
                </w:p>
              </w:tc>
              <w:tc>
                <w:tcPr>
                  <w:tcW w:w="544" w:type="pct"/>
                  <w:shd w:val="clear" w:color="auto" w:fill="auto"/>
                </w:tcPr>
                <w:p w14:paraId="5564B2DE" w14:textId="77777777" w:rsidR="00860A94" w:rsidRDefault="00860A94" w:rsidP="00860A94">
                  <w:pPr>
                    <w:pStyle w:val="TableBodyText"/>
                  </w:pPr>
                  <w:r>
                    <w:t>0.063</w:t>
                  </w:r>
                </w:p>
              </w:tc>
              <w:tc>
                <w:tcPr>
                  <w:tcW w:w="544" w:type="pct"/>
                  <w:shd w:val="clear" w:color="auto" w:fill="auto"/>
                </w:tcPr>
                <w:p w14:paraId="132EDAD9" w14:textId="77777777" w:rsidR="00860A94" w:rsidRDefault="00860A94" w:rsidP="00860A94">
                  <w:pPr>
                    <w:pStyle w:val="TableBodyText"/>
                  </w:pPr>
                  <w:r>
                    <w:t>0.174</w:t>
                  </w:r>
                </w:p>
              </w:tc>
              <w:tc>
                <w:tcPr>
                  <w:tcW w:w="544" w:type="pct"/>
                  <w:shd w:val="clear" w:color="auto" w:fill="auto"/>
                </w:tcPr>
                <w:p w14:paraId="078E7567" w14:textId="77777777" w:rsidR="00860A94" w:rsidRDefault="00860A94" w:rsidP="00860A94">
                  <w:pPr>
                    <w:pStyle w:val="TableBodyText"/>
                  </w:pPr>
                  <w:r>
                    <w:t>1.21%</w:t>
                  </w:r>
                </w:p>
              </w:tc>
              <w:tc>
                <w:tcPr>
                  <w:tcW w:w="544" w:type="pct"/>
                  <w:shd w:val="clear" w:color="auto" w:fill="auto"/>
                </w:tcPr>
                <w:p w14:paraId="7F3A973A" w14:textId="77777777" w:rsidR="00860A94" w:rsidRDefault="00860A94" w:rsidP="00860A94">
                  <w:pPr>
                    <w:pStyle w:val="TableBodyText"/>
                  </w:pPr>
                  <w:r>
                    <w:t>0.03</w:t>
                  </w:r>
                </w:p>
              </w:tc>
              <w:tc>
                <w:tcPr>
                  <w:tcW w:w="544" w:type="pct"/>
                  <w:shd w:val="clear" w:color="auto" w:fill="auto"/>
                </w:tcPr>
                <w:p w14:paraId="05C88FB9" w14:textId="77777777" w:rsidR="00860A94" w:rsidRDefault="00860A94" w:rsidP="00860A94">
                  <w:pPr>
                    <w:pStyle w:val="TableBodyText"/>
                  </w:pPr>
                  <w:r>
                    <w:t>93.90%</w:t>
                  </w:r>
                </w:p>
              </w:tc>
              <w:tc>
                <w:tcPr>
                  <w:tcW w:w="544" w:type="pct"/>
                  <w:shd w:val="clear" w:color="auto" w:fill="auto"/>
                </w:tcPr>
                <w:p w14:paraId="7A3E6539" w14:textId="43B0A519" w:rsidR="00860A94" w:rsidRDefault="00860A94" w:rsidP="00860A94">
                  <w:pPr>
                    <w:pStyle w:val="TableBodyText"/>
                    <w:ind w:right="6"/>
                  </w:pPr>
                  <w:r>
                    <w:t>5</w:t>
                  </w:r>
                  <w:r w:rsidR="00E008C4">
                    <w:t> </w:t>
                  </w:r>
                  <w:r>
                    <w:t>709</w:t>
                  </w:r>
                </w:p>
              </w:tc>
            </w:tr>
            <w:tr w:rsidR="000A405B" w14:paraId="3B31A40D" w14:textId="77777777" w:rsidTr="00E1469D">
              <w:tc>
                <w:tcPr>
                  <w:tcW w:w="991" w:type="pct"/>
                </w:tcPr>
                <w:p w14:paraId="0C5D7C30" w14:textId="77777777" w:rsidR="00860A94" w:rsidRDefault="00860A94" w:rsidP="00860A94">
                  <w:pPr>
                    <w:pStyle w:val="TableBodyText"/>
                    <w:jc w:val="left"/>
                  </w:pPr>
                  <w:r>
                    <w:t>Gradient Boosting</w:t>
                  </w:r>
                </w:p>
              </w:tc>
              <w:tc>
                <w:tcPr>
                  <w:tcW w:w="745" w:type="pct"/>
                </w:tcPr>
                <w:p w14:paraId="79720105" w14:textId="77777777" w:rsidR="00860A94" w:rsidRDefault="00860A94" w:rsidP="00860A94">
                  <w:pPr>
                    <w:pStyle w:val="TableBodyText"/>
                  </w:pPr>
                  <w:r>
                    <w:t>14</w:t>
                  </w:r>
                </w:p>
              </w:tc>
              <w:tc>
                <w:tcPr>
                  <w:tcW w:w="544" w:type="pct"/>
                </w:tcPr>
                <w:p w14:paraId="259E16E0" w14:textId="77777777" w:rsidR="00860A94" w:rsidRDefault="00860A94" w:rsidP="00860A94">
                  <w:pPr>
                    <w:pStyle w:val="TableBodyText"/>
                  </w:pPr>
                  <w:r>
                    <w:t>0.074</w:t>
                  </w:r>
                </w:p>
              </w:tc>
              <w:tc>
                <w:tcPr>
                  <w:tcW w:w="544" w:type="pct"/>
                </w:tcPr>
                <w:p w14:paraId="3CE0652B" w14:textId="77777777" w:rsidR="00860A94" w:rsidRDefault="00860A94" w:rsidP="00860A94">
                  <w:pPr>
                    <w:pStyle w:val="TableBodyText"/>
                  </w:pPr>
                  <w:r>
                    <w:t>0.191</w:t>
                  </w:r>
                </w:p>
              </w:tc>
              <w:tc>
                <w:tcPr>
                  <w:tcW w:w="544" w:type="pct"/>
                </w:tcPr>
                <w:p w14:paraId="0795FBA4" w14:textId="77777777" w:rsidR="00860A94" w:rsidRDefault="00860A94" w:rsidP="00860A94">
                  <w:pPr>
                    <w:pStyle w:val="TableBodyText"/>
                  </w:pPr>
                  <w:r>
                    <w:t>1.41%</w:t>
                  </w:r>
                </w:p>
              </w:tc>
              <w:tc>
                <w:tcPr>
                  <w:tcW w:w="544" w:type="pct"/>
                </w:tcPr>
                <w:p w14:paraId="1FE36DF7" w14:textId="77777777" w:rsidR="00860A94" w:rsidRDefault="00860A94" w:rsidP="00860A94">
                  <w:pPr>
                    <w:pStyle w:val="TableBodyText"/>
                  </w:pPr>
                  <w:r>
                    <w:t>0.037</w:t>
                  </w:r>
                </w:p>
              </w:tc>
              <w:tc>
                <w:tcPr>
                  <w:tcW w:w="544" w:type="pct"/>
                </w:tcPr>
                <w:p w14:paraId="72FE56B9" w14:textId="77777777" w:rsidR="00860A94" w:rsidRDefault="00860A94" w:rsidP="00860A94">
                  <w:pPr>
                    <w:pStyle w:val="TableBodyText"/>
                  </w:pPr>
                  <w:r>
                    <w:t>92.63%</w:t>
                  </w:r>
                </w:p>
              </w:tc>
              <w:tc>
                <w:tcPr>
                  <w:tcW w:w="544" w:type="pct"/>
                </w:tcPr>
                <w:p w14:paraId="2251E7AD" w14:textId="6ABA7E61" w:rsidR="00860A94" w:rsidRDefault="00860A94" w:rsidP="00860A94">
                  <w:pPr>
                    <w:pStyle w:val="TableBodyText"/>
                    <w:ind w:right="6"/>
                  </w:pPr>
                  <w:r>
                    <w:t>16</w:t>
                  </w:r>
                  <w:r w:rsidR="00E008C4">
                    <w:t> </w:t>
                  </w:r>
                  <w:r>
                    <w:t>725</w:t>
                  </w:r>
                </w:p>
              </w:tc>
            </w:tr>
            <w:tr w:rsidR="000A405B" w14:paraId="2A43F93F" w14:textId="77777777" w:rsidTr="00E1469D">
              <w:tc>
                <w:tcPr>
                  <w:tcW w:w="991" w:type="pct"/>
                </w:tcPr>
                <w:p w14:paraId="7A6F5625" w14:textId="77777777" w:rsidR="00860A94" w:rsidRDefault="00860A94" w:rsidP="00860A94">
                  <w:pPr>
                    <w:pStyle w:val="TableBodyText"/>
                    <w:jc w:val="left"/>
                  </w:pPr>
                  <w:r>
                    <w:t>Random Forest</w:t>
                  </w:r>
                </w:p>
              </w:tc>
              <w:tc>
                <w:tcPr>
                  <w:tcW w:w="745" w:type="pct"/>
                </w:tcPr>
                <w:p w14:paraId="1C48B7F7" w14:textId="77777777" w:rsidR="00860A94" w:rsidRDefault="00860A94" w:rsidP="00860A94">
                  <w:pPr>
                    <w:pStyle w:val="TableBodyText"/>
                  </w:pPr>
                  <w:r>
                    <w:t>14</w:t>
                  </w:r>
                </w:p>
              </w:tc>
              <w:tc>
                <w:tcPr>
                  <w:tcW w:w="544" w:type="pct"/>
                </w:tcPr>
                <w:p w14:paraId="2CC62F36" w14:textId="77777777" w:rsidR="00860A94" w:rsidRDefault="00860A94" w:rsidP="00860A94">
                  <w:pPr>
                    <w:pStyle w:val="TableBodyText"/>
                  </w:pPr>
                  <w:r>
                    <w:t>0.06</w:t>
                  </w:r>
                </w:p>
              </w:tc>
              <w:tc>
                <w:tcPr>
                  <w:tcW w:w="544" w:type="pct"/>
                </w:tcPr>
                <w:p w14:paraId="4A0DF219" w14:textId="77777777" w:rsidR="00860A94" w:rsidRDefault="00860A94" w:rsidP="00860A94">
                  <w:pPr>
                    <w:pStyle w:val="TableBodyText"/>
                  </w:pPr>
                  <w:r>
                    <w:t>0.177</w:t>
                  </w:r>
                </w:p>
              </w:tc>
              <w:tc>
                <w:tcPr>
                  <w:tcW w:w="544" w:type="pct"/>
                </w:tcPr>
                <w:p w14:paraId="140D8DDD" w14:textId="77777777" w:rsidR="00860A94" w:rsidRDefault="00860A94" w:rsidP="00860A94">
                  <w:pPr>
                    <w:pStyle w:val="TableBodyText"/>
                  </w:pPr>
                  <w:r>
                    <w:t>1.16%</w:t>
                  </w:r>
                </w:p>
              </w:tc>
              <w:tc>
                <w:tcPr>
                  <w:tcW w:w="544" w:type="pct"/>
                </w:tcPr>
                <w:p w14:paraId="67081686" w14:textId="77777777" w:rsidR="00860A94" w:rsidRDefault="00860A94" w:rsidP="00860A94">
                  <w:pPr>
                    <w:pStyle w:val="TableBodyText"/>
                  </w:pPr>
                  <w:r>
                    <w:t>0.031</w:t>
                  </w:r>
                </w:p>
              </w:tc>
              <w:tc>
                <w:tcPr>
                  <w:tcW w:w="544" w:type="pct"/>
                </w:tcPr>
                <w:p w14:paraId="3C54F835" w14:textId="77777777" w:rsidR="00860A94" w:rsidRDefault="00860A94" w:rsidP="00860A94">
                  <w:pPr>
                    <w:pStyle w:val="TableBodyText"/>
                  </w:pPr>
                  <w:r>
                    <w:t>93.70%</w:t>
                  </w:r>
                </w:p>
              </w:tc>
              <w:tc>
                <w:tcPr>
                  <w:tcW w:w="544" w:type="pct"/>
                </w:tcPr>
                <w:p w14:paraId="22C2E7D1" w14:textId="0F8F4853" w:rsidR="00860A94" w:rsidRDefault="00860A94" w:rsidP="00860A94">
                  <w:pPr>
                    <w:pStyle w:val="TableBodyText"/>
                    <w:ind w:right="6"/>
                  </w:pPr>
                  <w:r>
                    <w:t>17</w:t>
                  </w:r>
                  <w:r w:rsidR="00E008C4">
                    <w:t> </w:t>
                  </w:r>
                  <w:r>
                    <w:t>527</w:t>
                  </w:r>
                </w:p>
              </w:tc>
            </w:tr>
            <w:tr w:rsidR="000A405B" w14:paraId="40051F11" w14:textId="77777777" w:rsidTr="000A405B">
              <w:tc>
                <w:tcPr>
                  <w:tcW w:w="991" w:type="pct"/>
                </w:tcPr>
                <w:p w14:paraId="0CBDA1D5" w14:textId="77777777" w:rsidR="00860A94" w:rsidRDefault="00860A94" w:rsidP="00860A94">
                  <w:pPr>
                    <w:pStyle w:val="TableBodyText"/>
                    <w:jc w:val="left"/>
                  </w:pPr>
                  <w:r>
                    <w:t>MLP</w:t>
                  </w:r>
                </w:p>
              </w:tc>
              <w:tc>
                <w:tcPr>
                  <w:tcW w:w="745" w:type="pct"/>
                </w:tcPr>
                <w:p w14:paraId="61F627D7" w14:textId="77777777" w:rsidR="00860A94" w:rsidRDefault="00860A94" w:rsidP="00860A94">
                  <w:pPr>
                    <w:pStyle w:val="TableBodyText"/>
                  </w:pPr>
                  <w:r>
                    <w:t>14</w:t>
                  </w:r>
                </w:p>
              </w:tc>
              <w:tc>
                <w:tcPr>
                  <w:tcW w:w="544" w:type="pct"/>
                </w:tcPr>
                <w:p w14:paraId="3B635D8A" w14:textId="77777777" w:rsidR="00860A94" w:rsidRDefault="00860A94" w:rsidP="00860A94">
                  <w:pPr>
                    <w:pStyle w:val="TableBodyText"/>
                  </w:pPr>
                  <w:r>
                    <w:t>0.078</w:t>
                  </w:r>
                </w:p>
              </w:tc>
              <w:tc>
                <w:tcPr>
                  <w:tcW w:w="544" w:type="pct"/>
                </w:tcPr>
                <w:p w14:paraId="6E084954" w14:textId="77777777" w:rsidR="00860A94" w:rsidRDefault="00860A94" w:rsidP="00860A94">
                  <w:pPr>
                    <w:pStyle w:val="TableBodyText"/>
                  </w:pPr>
                  <w:r>
                    <w:t>0.185</w:t>
                  </w:r>
                </w:p>
              </w:tc>
              <w:tc>
                <w:tcPr>
                  <w:tcW w:w="544" w:type="pct"/>
                </w:tcPr>
                <w:p w14:paraId="4EF1FF52" w14:textId="77777777" w:rsidR="00860A94" w:rsidRDefault="00860A94" w:rsidP="00860A94">
                  <w:pPr>
                    <w:pStyle w:val="TableBodyText"/>
                  </w:pPr>
                  <w:r>
                    <w:t>1.48%</w:t>
                  </w:r>
                </w:p>
              </w:tc>
              <w:tc>
                <w:tcPr>
                  <w:tcW w:w="544" w:type="pct"/>
                </w:tcPr>
                <w:p w14:paraId="34DCC488" w14:textId="77777777" w:rsidR="00860A94" w:rsidRDefault="00860A94" w:rsidP="00860A94">
                  <w:pPr>
                    <w:pStyle w:val="TableBodyText"/>
                  </w:pPr>
                  <w:r>
                    <w:t>0.034</w:t>
                  </w:r>
                </w:p>
              </w:tc>
              <w:tc>
                <w:tcPr>
                  <w:tcW w:w="544" w:type="pct"/>
                </w:tcPr>
                <w:p w14:paraId="146C63C9" w14:textId="77777777" w:rsidR="00860A94" w:rsidRDefault="00860A94" w:rsidP="00860A94">
                  <w:pPr>
                    <w:pStyle w:val="TableBodyText"/>
                  </w:pPr>
                  <w:r>
                    <w:t>93.35%</w:t>
                  </w:r>
                </w:p>
              </w:tc>
              <w:tc>
                <w:tcPr>
                  <w:tcW w:w="544" w:type="pct"/>
                </w:tcPr>
                <w:p w14:paraId="1D3CC959" w14:textId="06D66003" w:rsidR="00860A94" w:rsidRDefault="00860A94" w:rsidP="00860A94">
                  <w:pPr>
                    <w:pStyle w:val="TableBodyText"/>
                    <w:ind w:right="6"/>
                  </w:pPr>
                  <w:r>
                    <w:t>85</w:t>
                  </w:r>
                  <w:r w:rsidR="00E008C4">
                    <w:t> </w:t>
                  </w:r>
                  <w:r>
                    <w:t>805</w:t>
                  </w:r>
                </w:p>
              </w:tc>
            </w:tr>
            <w:tr w:rsidR="000A405B" w14:paraId="2BD6E1EB" w14:textId="77777777" w:rsidTr="00C0518F">
              <w:tc>
                <w:tcPr>
                  <w:tcW w:w="991" w:type="pct"/>
                  <w:tcBorders>
                    <w:bottom w:val="single" w:sz="4" w:space="0" w:color="BFBFBF"/>
                  </w:tcBorders>
                  <w:shd w:val="clear" w:color="auto" w:fill="auto"/>
                </w:tcPr>
                <w:p w14:paraId="1F85B0CF" w14:textId="77777777" w:rsidR="00860A94" w:rsidRDefault="00860A94" w:rsidP="00860A94">
                  <w:pPr>
                    <w:pStyle w:val="TableBodyText"/>
                    <w:jc w:val="left"/>
                  </w:pPr>
                  <w:r>
                    <w:t>GAM</w:t>
                  </w:r>
                </w:p>
              </w:tc>
              <w:tc>
                <w:tcPr>
                  <w:tcW w:w="745" w:type="pct"/>
                  <w:tcBorders>
                    <w:bottom w:val="single" w:sz="4" w:space="0" w:color="BFBFBF"/>
                  </w:tcBorders>
                  <w:shd w:val="clear" w:color="auto" w:fill="auto"/>
                </w:tcPr>
                <w:p w14:paraId="66DCC2AC" w14:textId="77777777" w:rsidR="00860A94" w:rsidRDefault="00860A94" w:rsidP="00860A94">
                  <w:pPr>
                    <w:pStyle w:val="TableBodyText"/>
                  </w:pPr>
                  <w:r>
                    <w:t>14</w:t>
                  </w:r>
                </w:p>
              </w:tc>
              <w:tc>
                <w:tcPr>
                  <w:tcW w:w="544" w:type="pct"/>
                  <w:tcBorders>
                    <w:bottom w:val="single" w:sz="4" w:space="0" w:color="BFBFBF"/>
                  </w:tcBorders>
                  <w:shd w:val="clear" w:color="auto" w:fill="auto"/>
                </w:tcPr>
                <w:p w14:paraId="3E2539A5" w14:textId="77777777" w:rsidR="00860A94" w:rsidRDefault="00860A94" w:rsidP="00860A94">
                  <w:pPr>
                    <w:pStyle w:val="TableBodyText"/>
                  </w:pPr>
                  <w:r>
                    <w:t>0.134</w:t>
                  </w:r>
                </w:p>
              </w:tc>
              <w:tc>
                <w:tcPr>
                  <w:tcW w:w="544" w:type="pct"/>
                  <w:tcBorders>
                    <w:bottom w:val="single" w:sz="4" w:space="0" w:color="BFBFBF"/>
                  </w:tcBorders>
                  <w:shd w:val="clear" w:color="auto" w:fill="auto"/>
                </w:tcPr>
                <w:p w14:paraId="35213DC4" w14:textId="77777777" w:rsidR="00860A94" w:rsidRDefault="00860A94" w:rsidP="00860A94">
                  <w:pPr>
                    <w:pStyle w:val="TableBodyText"/>
                  </w:pPr>
                  <w:r>
                    <w:t>0.244</w:t>
                  </w:r>
                </w:p>
              </w:tc>
              <w:tc>
                <w:tcPr>
                  <w:tcW w:w="544" w:type="pct"/>
                  <w:tcBorders>
                    <w:bottom w:val="single" w:sz="4" w:space="0" w:color="BFBFBF"/>
                  </w:tcBorders>
                  <w:shd w:val="clear" w:color="auto" w:fill="auto"/>
                </w:tcPr>
                <w:p w14:paraId="574B6557" w14:textId="77777777" w:rsidR="00860A94" w:rsidRDefault="00860A94" w:rsidP="00860A94">
                  <w:pPr>
                    <w:pStyle w:val="TableBodyText"/>
                  </w:pPr>
                  <w:r>
                    <w:t>2.47%</w:t>
                  </w:r>
                </w:p>
              </w:tc>
              <w:tc>
                <w:tcPr>
                  <w:tcW w:w="544" w:type="pct"/>
                  <w:tcBorders>
                    <w:bottom w:val="single" w:sz="4" w:space="0" w:color="BFBFBF"/>
                  </w:tcBorders>
                  <w:shd w:val="clear" w:color="auto" w:fill="auto"/>
                </w:tcPr>
                <w:p w14:paraId="027B8BFB" w14:textId="77777777" w:rsidR="00860A94" w:rsidRDefault="00860A94" w:rsidP="00860A94">
                  <w:pPr>
                    <w:pStyle w:val="TableBodyText"/>
                  </w:pPr>
                  <w:r>
                    <w:t>0.06</w:t>
                  </w:r>
                </w:p>
              </w:tc>
              <w:tc>
                <w:tcPr>
                  <w:tcW w:w="544" w:type="pct"/>
                  <w:tcBorders>
                    <w:bottom w:val="single" w:sz="4" w:space="0" w:color="BFBFBF"/>
                  </w:tcBorders>
                  <w:shd w:val="clear" w:color="auto" w:fill="auto"/>
                </w:tcPr>
                <w:p w14:paraId="58B5D9B3" w14:textId="77777777" w:rsidR="00860A94" w:rsidRDefault="00860A94" w:rsidP="00860A94">
                  <w:pPr>
                    <w:pStyle w:val="TableBodyText"/>
                  </w:pPr>
                  <w:r>
                    <w:t>87.98%</w:t>
                  </w:r>
                </w:p>
              </w:tc>
              <w:tc>
                <w:tcPr>
                  <w:tcW w:w="544" w:type="pct"/>
                  <w:tcBorders>
                    <w:bottom w:val="single" w:sz="4" w:space="0" w:color="BFBFBF"/>
                  </w:tcBorders>
                  <w:shd w:val="clear" w:color="auto" w:fill="auto"/>
                </w:tcPr>
                <w:p w14:paraId="536D86BD" w14:textId="692E0DFB" w:rsidR="00860A94" w:rsidRDefault="00860A94" w:rsidP="00860A94">
                  <w:pPr>
                    <w:pStyle w:val="TableBodyText"/>
                    <w:ind w:right="6"/>
                  </w:pPr>
                  <w:r>
                    <w:t>9</w:t>
                  </w:r>
                  <w:r w:rsidR="00E008C4">
                    <w:t> </w:t>
                  </w:r>
                  <w:r>
                    <w:t>472</w:t>
                  </w:r>
                </w:p>
              </w:tc>
            </w:tr>
          </w:tbl>
          <w:p w14:paraId="6DA5C55E" w14:textId="77777777" w:rsidR="00FF6C29" w:rsidRPr="00B5557B" w:rsidRDefault="00FF6C29" w:rsidP="00E1469D">
            <w:pPr>
              <w:pStyle w:val="Box"/>
              <w:jc w:val="left"/>
            </w:pPr>
          </w:p>
        </w:tc>
      </w:tr>
      <w:tr w:rsidR="00860A94" w14:paraId="7CD97ABA" w14:textId="77777777" w:rsidTr="0078061C">
        <w:tc>
          <w:tcPr>
            <w:tcW w:w="5000" w:type="pct"/>
            <w:tcBorders>
              <w:top w:val="single" w:sz="4" w:space="0" w:color="BFBFBF"/>
              <w:left w:val="nil"/>
              <w:bottom w:val="nil"/>
              <w:right w:val="nil"/>
            </w:tcBorders>
            <w:shd w:val="clear" w:color="auto" w:fill="F2F2F2"/>
          </w:tcPr>
          <w:p w14:paraId="6A16842C" w14:textId="77777777" w:rsidR="00860A94" w:rsidRDefault="002A0F65">
            <w:pPr>
              <w:pStyle w:val="BoxSource"/>
            </w:pPr>
            <w:r>
              <w:rPr>
                <w:rStyle w:val="NoteLabel"/>
              </w:rPr>
              <w:t>a</w:t>
            </w:r>
            <w:r>
              <w:t xml:space="preserve"> </w:t>
            </w:r>
            <w:r>
              <w:rPr>
                <w:b/>
              </w:rPr>
              <w:t>MAE</w:t>
            </w:r>
            <w:r>
              <w:t xml:space="preserve"> = </w:t>
            </w:r>
            <w:r w:rsidRPr="002A0F65">
              <w:t>Mean Absolute Error</w:t>
            </w:r>
            <w:r>
              <w:t xml:space="preserve">; </w:t>
            </w:r>
            <w:r>
              <w:rPr>
                <w:b/>
              </w:rPr>
              <w:t>RMSE</w:t>
            </w:r>
            <w:r>
              <w:t xml:space="preserve"> = </w:t>
            </w:r>
            <w:r w:rsidRPr="002A0F65">
              <w:t>Root Mean Squared Error</w:t>
            </w:r>
            <w:r>
              <w:t xml:space="preserve">; </w:t>
            </w:r>
            <w:proofErr w:type="spellStart"/>
            <w:r>
              <w:rPr>
                <w:b/>
              </w:rPr>
              <w:t>sMAPE</w:t>
            </w:r>
            <w:proofErr w:type="spellEnd"/>
            <w:r>
              <w:t xml:space="preserve"> = symmetric Mean Absolute Percentage Error.</w:t>
            </w:r>
          </w:p>
        </w:tc>
      </w:tr>
      <w:tr w:rsidR="00FF6C29" w14:paraId="22DCAE1D" w14:textId="77777777" w:rsidTr="005073A2">
        <w:tc>
          <w:tcPr>
            <w:tcW w:w="5000" w:type="pct"/>
            <w:tcBorders>
              <w:top w:val="nil"/>
              <w:left w:val="nil"/>
              <w:bottom w:val="nil"/>
              <w:right w:val="nil"/>
            </w:tcBorders>
            <w:shd w:val="clear" w:color="auto" w:fill="F2F2F2"/>
          </w:tcPr>
          <w:p w14:paraId="3E461D3E" w14:textId="1BC8639C" w:rsidR="00FF6C29" w:rsidRDefault="000A405B" w:rsidP="005073A2">
            <w:pPr>
              <w:pStyle w:val="BoxSource"/>
            </w:pPr>
            <w:r>
              <w:t xml:space="preserve">Source: Suresh et al. </w:t>
            </w:r>
            <w:r w:rsidR="00EC3BC0" w:rsidRPr="00EC3BC0">
              <w:rPr>
                <w:rFonts w:cs="Arial"/>
              </w:rPr>
              <w:t>(2019)</w:t>
            </w:r>
            <w:r w:rsidR="00527FA1">
              <w:t>.</w:t>
            </w:r>
          </w:p>
        </w:tc>
      </w:tr>
      <w:tr w:rsidR="00FF6C29" w14:paraId="193976CD" w14:textId="77777777" w:rsidTr="005073A2">
        <w:tc>
          <w:tcPr>
            <w:tcW w:w="5000" w:type="pct"/>
            <w:tcBorders>
              <w:top w:val="nil"/>
              <w:left w:val="nil"/>
              <w:bottom w:val="single" w:sz="6" w:space="0" w:color="78A22F"/>
              <w:right w:val="nil"/>
            </w:tcBorders>
            <w:shd w:val="clear" w:color="auto" w:fill="F2F2F2"/>
          </w:tcPr>
          <w:p w14:paraId="0710592B" w14:textId="77777777" w:rsidR="00FF6C29" w:rsidRDefault="00FF6C29" w:rsidP="005073A2">
            <w:pPr>
              <w:pStyle w:val="Box"/>
              <w:spacing w:before="0" w:line="120" w:lineRule="exact"/>
            </w:pPr>
          </w:p>
        </w:tc>
      </w:tr>
      <w:tr w:rsidR="00FF6C29" w:rsidRPr="000863A5" w14:paraId="34A6AC51" w14:textId="77777777" w:rsidTr="005073A2">
        <w:tc>
          <w:tcPr>
            <w:tcW w:w="5000" w:type="pct"/>
            <w:tcBorders>
              <w:top w:val="single" w:sz="6" w:space="0" w:color="78A22F"/>
              <w:left w:val="nil"/>
              <w:bottom w:val="nil"/>
              <w:right w:val="nil"/>
            </w:tcBorders>
          </w:tcPr>
          <w:p w14:paraId="4C8F6872" w14:textId="7FFC8C51" w:rsidR="00FF6C29" w:rsidRPr="00626D32" w:rsidRDefault="00FF6C29" w:rsidP="005073A2">
            <w:pPr>
              <w:pStyle w:val="BoxSpaceBelow"/>
            </w:pPr>
          </w:p>
        </w:tc>
      </w:tr>
    </w:tbl>
    <w:p w14:paraId="792D5D2A" w14:textId="77777777" w:rsidR="008F0884" w:rsidRDefault="007E69B6" w:rsidP="003B2458">
      <w:pPr>
        <w:pStyle w:val="Heading3"/>
      </w:pPr>
      <w:r>
        <w:t>Omitted firms</w:t>
      </w:r>
    </w:p>
    <w:p w14:paraId="5C5C07DF" w14:textId="77777777" w:rsidR="00D93E7D" w:rsidRDefault="008F0884" w:rsidP="00D93E7D">
      <w:pPr>
        <w:pStyle w:val="BodyText"/>
      </w:pPr>
      <w:r>
        <w:t>All ABS firm data, not just BLADE, omit</w:t>
      </w:r>
      <w:r w:rsidR="00ED1027">
        <w:t xml:space="preserve"> some</w:t>
      </w:r>
      <w:r>
        <w:t xml:space="preserve"> small firms.</w:t>
      </w:r>
      <w:bookmarkStart w:id="16" w:name="_Ref19175791"/>
      <w:r>
        <w:rPr>
          <w:rStyle w:val="FootnoteReference"/>
        </w:rPr>
        <w:footnoteReference w:id="6"/>
      </w:r>
      <w:bookmarkEnd w:id="16"/>
      <w:r>
        <w:t xml:space="preserve"> To some extent, the ABS has no choice in the matter — businesses which earn less than $75 000 in revenue per annum are not required to register an ABN (though there are other incentives to register for these firms).</w:t>
      </w:r>
      <w:r>
        <w:rPr>
          <w:rStyle w:val="FootnoteReference"/>
        </w:rPr>
        <w:footnoteReference w:id="7"/>
      </w:r>
      <w:r w:rsidR="002E4D1E" w:rsidDel="002E4D1E">
        <w:rPr>
          <w:rStyle w:val="FootnoteReference"/>
        </w:rPr>
        <w:t xml:space="preserve"> </w:t>
      </w:r>
      <w:r>
        <w:t xml:space="preserve"> By their nature, businesses without ABNs are not recorded in government administrative data.</w:t>
      </w:r>
    </w:p>
    <w:p w14:paraId="51A6DA57" w14:textId="13CECC10" w:rsidR="008F0884" w:rsidRDefault="008F0884" w:rsidP="008F0884">
      <w:pPr>
        <w:pStyle w:val="BodyText"/>
        <w:rPr>
          <w:szCs w:val="24"/>
        </w:rPr>
      </w:pPr>
      <w:r>
        <w:lastRenderedPageBreak/>
        <w:t xml:space="preserve">The impact of excluding firms without an ABN is not clear as </w:t>
      </w:r>
      <w:r w:rsidR="00ED1027">
        <w:t>‘</w:t>
      </w:r>
      <w:r>
        <w:t>t</w:t>
      </w:r>
      <w:r w:rsidRPr="004D4847">
        <w:t>he number of businesses in this category is currently unknown to the ABS</w:t>
      </w:r>
      <w:r w:rsidR="00ED1027">
        <w:t>’</w:t>
      </w:r>
      <w:r w:rsidR="00EC3BC0" w:rsidRPr="00EC3BC0">
        <w:rPr>
          <w:szCs w:val="24"/>
        </w:rPr>
        <w:t>(ABS 2019)</w:t>
      </w:r>
      <w:r>
        <w:t>.</w:t>
      </w:r>
      <w:r>
        <w:rPr>
          <w:szCs w:val="24"/>
        </w:rPr>
        <w:t xml:space="preserve"> Furthermore, the exclusion rule for these firms is a function of size meaning that the population of excluded firms is not the same as the population of included firms. This is particularly important for entry and exit measures as new entrants are likely to start small and may exit before meeting reporting thresholds. Many papers using BLADE thus far have focused on labour productivity using full</w:t>
      </w:r>
      <w:r w:rsidR="00D46789">
        <w:rPr>
          <w:szCs w:val="24"/>
        </w:rPr>
        <w:noBreakHyphen/>
      </w:r>
      <w:r>
        <w:rPr>
          <w:szCs w:val="24"/>
        </w:rPr>
        <w:t xml:space="preserve">time equivalent </w:t>
      </w:r>
      <w:r w:rsidR="00D46789">
        <w:rPr>
          <w:szCs w:val="24"/>
        </w:rPr>
        <w:t xml:space="preserve">employment </w:t>
      </w:r>
      <w:r>
        <w:rPr>
          <w:szCs w:val="24"/>
        </w:rPr>
        <w:t>variables. As many of the low revenue firms do not employ (sole traders and similar), exclusion of these firms has not been as problematic.</w:t>
      </w:r>
      <w:r>
        <w:rPr>
          <w:rStyle w:val="FootnoteReference"/>
          <w:szCs w:val="24"/>
        </w:rPr>
        <w:footnoteReference w:id="8"/>
      </w:r>
      <w:r>
        <w:rPr>
          <w:szCs w:val="24"/>
        </w:rPr>
        <w:t xml:space="preserve"> </w:t>
      </w:r>
    </w:p>
    <w:p w14:paraId="09131DC4" w14:textId="53B6E0A5" w:rsidR="008F0884" w:rsidRDefault="008F0884" w:rsidP="008F0884">
      <w:pPr>
        <w:pStyle w:val="BodyText"/>
      </w:pPr>
      <w:r>
        <w:t xml:space="preserve">At this stage, identifying businesses by ABN with over $75 000 revenue in BLADE is acknowledged but accepted as a limitation. There would also be little value in adding firms with less than $75 000 in revenue and an ABN as these firms do not have any reporting liability (e.g. BAS) — i.e. there would be no data for these firms. Given </w:t>
      </w:r>
      <w:r w:rsidR="007814E8">
        <w:t xml:space="preserve">that BLADE will be mostly used to </w:t>
      </w:r>
      <w:r>
        <w:t>conduc</w:t>
      </w:r>
      <w:r w:rsidR="007814E8">
        <w:t>t</w:t>
      </w:r>
      <w:r>
        <w:t xml:space="preserve"> firm level analysis, not something more aggregated, simply identifying the existence of additional firm</w:t>
      </w:r>
      <w:r w:rsidR="00EA6404">
        <w:t>s</w:t>
      </w:r>
      <w:r>
        <w:t xml:space="preserve"> without any of</w:t>
      </w:r>
      <w:r w:rsidR="00EA6404">
        <w:t xml:space="preserve"> their</w:t>
      </w:r>
      <w:r>
        <w:t xml:space="preserve"> characteristics would</w:t>
      </w:r>
      <w:r w:rsidR="00EA6404">
        <w:t xml:space="preserve"> not</w:t>
      </w:r>
      <w:r>
        <w:t xml:space="preserve"> </w:t>
      </w:r>
      <w:r w:rsidR="00EA6404">
        <w:t>add meaningful information to the dataset</w:t>
      </w:r>
      <w:r>
        <w:t xml:space="preserve">. </w:t>
      </w:r>
    </w:p>
    <w:p w14:paraId="6A561185" w14:textId="690F2308" w:rsidR="009A19DE" w:rsidRDefault="009A19DE" w:rsidP="00C6604F">
      <w:pPr>
        <w:rPr>
          <w:szCs w:val="20"/>
        </w:rPr>
      </w:pPr>
      <w:r>
        <w:br w:type="page"/>
      </w:r>
    </w:p>
    <w:p w14:paraId="02EB183A" w14:textId="779B3F40" w:rsidR="003B2770" w:rsidRDefault="003B2770" w:rsidP="009A19DE">
      <w:pPr>
        <w:pStyle w:val="Heading2"/>
      </w:pPr>
      <w:bookmarkStart w:id="17" w:name="_Toc70321930"/>
      <w:r>
        <w:lastRenderedPageBreak/>
        <w:t>Appendix</w:t>
      </w:r>
      <w:r w:rsidR="00C119BA">
        <w:t> </w:t>
      </w:r>
      <w:r>
        <w:t xml:space="preserve">A: </w:t>
      </w:r>
      <w:r w:rsidR="00A51E6C">
        <w:t>Who’s doing what with BLADE?</w:t>
      </w:r>
      <w:bookmarkEnd w:id="17"/>
    </w:p>
    <w:p w14:paraId="100D14AF" w14:textId="16A00540" w:rsidR="000D440B" w:rsidRDefault="000D440B" w:rsidP="00AE628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D440B" w14:paraId="2545BD58" w14:textId="77777777" w:rsidTr="00AE6282">
        <w:trPr>
          <w:tblHeader/>
        </w:trPr>
        <w:tc>
          <w:tcPr>
            <w:tcW w:w="5000" w:type="pct"/>
            <w:tcBorders>
              <w:top w:val="single" w:sz="6" w:space="0" w:color="78A22F"/>
              <w:left w:val="nil"/>
              <w:bottom w:val="nil"/>
              <w:right w:val="nil"/>
            </w:tcBorders>
            <w:shd w:val="clear" w:color="auto" w:fill="auto"/>
          </w:tcPr>
          <w:p w14:paraId="60DF261C" w14:textId="62254CA8" w:rsidR="000D440B" w:rsidRDefault="000D440B" w:rsidP="00AE6282">
            <w:pPr>
              <w:pStyle w:val="TableTitle"/>
            </w:pPr>
            <w:r>
              <w:rPr>
                <w:b w:val="0"/>
              </w:rPr>
              <w:t xml:space="preserve">Table </w:t>
            </w:r>
            <w:r w:rsidR="00A44367">
              <w:rPr>
                <w:b w:val="0"/>
              </w:rPr>
              <w:t>A.1</w:t>
            </w:r>
            <w:r>
              <w:tab/>
            </w:r>
            <w:r w:rsidR="00EA6404">
              <w:t xml:space="preserve">BLADE research </w:t>
            </w:r>
            <w:r w:rsidR="00E366BF">
              <w:t>overview</w:t>
            </w:r>
          </w:p>
          <w:p w14:paraId="6BC5FB47" w14:textId="23F241D1" w:rsidR="000D440B" w:rsidRPr="00784A05" w:rsidRDefault="00E366BF" w:rsidP="00AE6282">
            <w:pPr>
              <w:pStyle w:val="Subtitle"/>
            </w:pPr>
            <w:r>
              <w:t>Select c</w:t>
            </w:r>
            <w:r w:rsidR="00D8204F">
              <w:t>urrent and past BLADE research papers</w:t>
            </w:r>
          </w:p>
        </w:tc>
      </w:tr>
      <w:tr w:rsidR="000D440B" w14:paraId="3494D404" w14:textId="77777777" w:rsidTr="00AE6282">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200"/>
              <w:gridCol w:w="1571"/>
              <w:gridCol w:w="2250"/>
              <w:gridCol w:w="3484"/>
            </w:tblGrid>
            <w:tr w:rsidR="00071E87" w14:paraId="7CA289A2" w14:textId="77777777" w:rsidTr="00000AB9">
              <w:tc>
                <w:tcPr>
                  <w:tcW w:w="705" w:type="pct"/>
                  <w:tcBorders>
                    <w:top w:val="single" w:sz="6" w:space="0" w:color="BFBFBF"/>
                    <w:bottom w:val="single" w:sz="6" w:space="0" w:color="BFBFBF"/>
                  </w:tcBorders>
                  <w:shd w:val="clear" w:color="auto" w:fill="auto"/>
                </w:tcPr>
                <w:p w14:paraId="7F7D97D4" w14:textId="77777777" w:rsidR="00071E87" w:rsidRDefault="00071E87" w:rsidP="000D440B">
                  <w:pPr>
                    <w:pStyle w:val="TableColumnHeading"/>
                    <w:jc w:val="left"/>
                  </w:pPr>
                  <w:r>
                    <w:t>Organisation</w:t>
                  </w:r>
                </w:p>
              </w:tc>
              <w:tc>
                <w:tcPr>
                  <w:tcW w:w="923" w:type="pct"/>
                  <w:tcBorders>
                    <w:top w:val="single" w:sz="6" w:space="0" w:color="BFBFBF"/>
                    <w:bottom w:val="single" w:sz="6" w:space="0" w:color="BFBFBF"/>
                  </w:tcBorders>
                  <w:shd w:val="clear" w:color="auto" w:fill="auto"/>
                </w:tcPr>
                <w:p w14:paraId="1036AF6E" w14:textId="77777777" w:rsidR="00071E87" w:rsidRDefault="00A0208D" w:rsidP="00C812BA">
                  <w:pPr>
                    <w:pStyle w:val="TableColumnHeading"/>
                    <w:jc w:val="left"/>
                  </w:pPr>
                  <w:r>
                    <w:t>Topic</w:t>
                  </w:r>
                </w:p>
              </w:tc>
              <w:tc>
                <w:tcPr>
                  <w:tcW w:w="1323" w:type="pct"/>
                  <w:tcBorders>
                    <w:top w:val="single" w:sz="6" w:space="0" w:color="BFBFBF"/>
                    <w:bottom w:val="single" w:sz="6" w:space="0" w:color="BFBFBF"/>
                  </w:tcBorders>
                </w:tcPr>
                <w:p w14:paraId="1CF4DBEA" w14:textId="025BEB84" w:rsidR="00071E87" w:rsidRDefault="00900F29" w:rsidP="00C812BA">
                  <w:pPr>
                    <w:pStyle w:val="TableColumnHeading"/>
                    <w:jc w:val="left"/>
                  </w:pPr>
                  <w:r>
                    <w:t>Citation</w:t>
                  </w:r>
                </w:p>
              </w:tc>
              <w:tc>
                <w:tcPr>
                  <w:tcW w:w="2048" w:type="pct"/>
                  <w:tcBorders>
                    <w:top w:val="single" w:sz="6" w:space="0" w:color="BFBFBF"/>
                    <w:bottom w:val="single" w:sz="6" w:space="0" w:color="BFBFBF"/>
                  </w:tcBorders>
                  <w:shd w:val="clear" w:color="auto" w:fill="auto"/>
                </w:tcPr>
                <w:p w14:paraId="78A56863" w14:textId="77777777" w:rsidR="00071E87" w:rsidRDefault="00A0208D" w:rsidP="00C812BA">
                  <w:pPr>
                    <w:pStyle w:val="TableColumnHeading"/>
                    <w:ind w:right="28"/>
                    <w:jc w:val="left"/>
                  </w:pPr>
                  <w:r>
                    <w:t>Description</w:t>
                  </w:r>
                </w:p>
              </w:tc>
            </w:tr>
            <w:tr w:rsidR="00CF35CC" w14:paraId="2835FA52" w14:textId="77777777" w:rsidTr="00000AB9">
              <w:tc>
                <w:tcPr>
                  <w:tcW w:w="705" w:type="pct"/>
                  <w:tcBorders>
                    <w:top w:val="single" w:sz="6" w:space="0" w:color="BFBFBF"/>
                  </w:tcBorders>
                </w:tcPr>
                <w:p w14:paraId="02870CCF" w14:textId="7D32ADE0" w:rsidR="00CF35CC" w:rsidRDefault="00CF35CC" w:rsidP="00CF35CC">
                  <w:pPr>
                    <w:pStyle w:val="TableUnitsRow"/>
                    <w:jc w:val="left"/>
                  </w:pPr>
                  <w:r>
                    <w:t>Treasury</w:t>
                  </w:r>
                </w:p>
              </w:tc>
              <w:tc>
                <w:tcPr>
                  <w:tcW w:w="923" w:type="pct"/>
                  <w:tcBorders>
                    <w:top w:val="single" w:sz="6" w:space="0" w:color="BFBFBF"/>
                  </w:tcBorders>
                </w:tcPr>
                <w:p w14:paraId="1203058B" w14:textId="1C455ED1" w:rsidR="00CF35CC" w:rsidRDefault="00CF35CC" w:rsidP="00CF35CC">
                  <w:pPr>
                    <w:pStyle w:val="TableUnitsRow"/>
                    <w:jc w:val="left"/>
                  </w:pPr>
                  <w:r>
                    <w:t>Productivity Dispersion</w:t>
                  </w:r>
                </w:p>
              </w:tc>
              <w:tc>
                <w:tcPr>
                  <w:tcW w:w="1323" w:type="pct"/>
                  <w:tcBorders>
                    <w:top w:val="single" w:sz="6" w:space="0" w:color="BFBFBF"/>
                  </w:tcBorders>
                </w:tcPr>
                <w:p w14:paraId="18F85CA6" w14:textId="2C5335E5" w:rsidR="00CF35CC" w:rsidRDefault="00CF35CC" w:rsidP="00CF35CC">
                  <w:pPr>
                    <w:pStyle w:val="TableUnitsRow"/>
                    <w:jc w:val="left"/>
                  </w:pPr>
                  <w:r w:rsidRPr="00C40F4E">
                    <w:rPr>
                      <w:rFonts w:cs="Arial"/>
                      <w:szCs w:val="24"/>
                    </w:rPr>
                    <w:t xml:space="preserve">(Campbell, </w:t>
                  </w:r>
                  <w:proofErr w:type="spellStart"/>
                  <w:r w:rsidRPr="00C40F4E">
                    <w:rPr>
                      <w:rFonts w:cs="Arial"/>
                      <w:szCs w:val="24"/>
                    </w:rPr>
                    <w:t>Sibelle</w:t>
                  </w:r>
                  <w:proofErr w:type="spellEnd"/>
                  <w:r w:rsidRPr="00C40F4E">
                    <w:rPr>
                      <w:rFonts w:cs="Arial"/>
                      <w:szCs w:val="24"/>
                    </w:rPr>
                    <w:t xml:space="preserve"> and Soriano 2019)</w:t>
                  </w:r>
                </w:p>
              </w:tc>
              <w:tc>
                <w:tcPr>
                  <w:tcW w:w="2048" w:type="pct"/>
                  <w:tcBorders>
                    <w:top w:val="single" w:sz="6" w:space="0" w:color="BFBFBF"/>
                  </w:tcBorders>
                </w:tcPr>
                <w:p w14:paraId="0B070ACC" w14:textId="0F474DFD" w:rsidR="00CF35CC" w:rsidRDefault="00CF35CC" w:rsidP="00CF35CC">
                  <w:pPr>
                    <w:pStyle w:val="TableUnitsRow"/>
                    <w:ind w:right="28"/>
                    <w:jc w:val="left"/>
                  </w:pPr>
                  <w:r>
                    <w:t>Measured the dispersion of labour productivity across firms and across time and found increasing dispersion and evidence of laggards.</w:t>
                  </w:r>
                </w:p>
              </w:tc>
            </w:tr>
            <w:tr w:rsidR="00071E87" w14:paraId="655468AD" w14:textId="77777777" w:rsidTr="00000AB9">
              <w:tc>
                <w:tcPr>
                  <w:tcW w:w="705" w:type="pct"/>
                </w:tcPr>
                <w:p w14:paraId="70722C81" w14:textId="77777777" w:rsidR="00071E87" w:rsidRDefault="00071E87" w:rsidP="00CF7B32">
                  <w:pPr>
                    <w:pStyle w:val="TableBodyText"/>
                    <w:jc w:val="left"/>
                  </w:pPr>
                  <w:r>
                    <w:t>ABS/UNSW</w:t>
                  </w:r>
                </w:p>
              </w:tc>
              <w:tc>
                <w:tcPr>
                  <w:tcW w:w="923" w:type="pct"/>
                </w:tcPr>
                <w:p w14:paraId="6722557C" w14:textId="77777777" w:rsidR="00071E87" w:rsidRDefault="00071E87" w:rsidP="00CF7B32">
                  <w:pPr>
                    <w:pStyle w:val="TableBodyText"/>
                    <w:jc w:val="left"/>
                  </w:pPr>
                  <w:r>
                    <w:t xml:space="preserve">Capital </w:t>
                  </w:r>
                  <w:r w:rsidR="00A0208D">
                    <w:t>measurement and MFP estimation</w:t>
                  </w:r>
                </w:p>
              </w:tc>
              <w:tc>
                <w:tcPr>
                  <w:tcW w:w="1323" w:type="pct"/>
                </w:tcPr>
                <w:p w14:paraId="2B36635E" w14:textId="55187126" w:rsidR="00071E87" w:rsidRDefault="00AB319B" w:rsidP="00CF7B32">
                  <w:pPr>
                    <w:pStyle w:val="TableUnitsRow"/>
                    <w:spacing w:before="0"/>
                    <w:jc w:val="left"/>
                  </w:pPr>
                  <w:r>
                    <w:t>Unpublished</w:t>
                  </w:r>
                </w:p>
              </w:tc>
              <w:tc>
                <w:tcPr>
                  <w:tcW w:w="2048" w:type="pct"/>
                </w:tcPr>
                <w:p w14:paraId="608EE783" w14:textId="77777777" w:rsidR="00071E87" w:rsidRDefault="00071E87" w:rsidP="00C812BA">
                  <w:pPr>
                    <w:pStyle w:val="TableBodyText"/>
                    <w:ind w:right="28"/>
                    <w:jc w:val="left"/>
                  </w:pPr>
                  <w:r>
                    <w:t>Attempted to estimate capital stocks and multifactor productivity levels at a firm level. Also attempted to systematise the methodology of dealing with missing data and variables in BLADE.</w:t>
                  </w:r>
                </w:p>
              </w:tc>
            </w:tr>
            <w:tr w:rsidR="00071E87" w14:paraId="1EBDD1ED" w14:textId="77777777" w:rsidTr="00000AB9">
              <w:tc>
                <w:tcPr>
                  <w:tcW w:w="705" w:type="pct"/>
                </w:tcPr>
                <w:p w14:paraId="724097C0" w14:textId="77777777" w:rsidR="00071E87" w:rsidRDefault="001E716E" w:rsidP="00CF7B32">
                  <w:pPr>
                    <w:pStyle w:val="TableBodyText"/>
                    <w:jc w:val="left"/>
                  </w:pPr>
                  <w:r>
                    <w:t>Treasury</w:t>
                  </w:r>
                </w:p>
              </w:tc>
              <w:tc>
                <w:tcPr>
                  <w:tcW w:w="923" w:type="pct"/>
                </w:tcPr>
                <w:p w14:paraId="330A97F6" w14:textId="77777777" w:rsidR="00071E87" w:rsidRDefault="001E716E" w:rsidP="00CF7B32">
                  <w:pPr>
                    <w:pStyle w:val="TableBodyText"/>
                    <w:jc w:val="left"/>
                  </w:pPr>
                  <w:r>
                    <w:t>Wage stagnation</w:t>
                  </w:r>
                </w:p>
              </w:tc>
              <w:tc>
                <w:tcPr>
                  <w:tcW w:w="1323" w:type="pct"/>
                </w:tcPr>
                <w:p w14:paraId="387491E8" w14:textId="182519BE" w:rsidR="00071E87" w:rsidRDefault="001D0A6F" w:rsidP="00CF7B32">
                  <w:pPr>
                    <w:pStyle w:val="TableUnitsRow"/>
                    <w:spacing w:before="0"/>
                    <w:jc w:val="left"/>
                  </w:pPr>
                  <w:r w:rsidRPr="001D0A6F">
                    <w:rPr>
                      <w:rFonts w:cs="Arial"/>
                      <w:szCs w:val="24"/>
                    </w:rPr>
                    <w:t>(Andrews et al. 2019)</w:t>
                  </w:r>
                </w:p>
              </w:tc>
              <w:tc>
                <w:tcPr>
                  <w:tcW w:w="2048" w:type="pct"/>
                </w:tcPr>
                <w:p w14:paraId="6B0E4D71" w14:textId="77777777" w:rsidR="00071E87" w:rsidRDefault="001E716E" w:rsidP="00C812BA">
                  <w:pPr>
                    <w:pStyle w:val="TableBodyText"/>
                    <w:ind w:right="28"/>
                    <w:jc w:val="left"/>
                  </w:pPr>
                  <w:r>
                    <w:t>Found that the recent slowdown in wage growth coincided with a breaking of the link between productivity growth and wage growth at a firm level.</w:t>
                  </w:r>
                </w:p>
              </w:tc>
            </w:tr>
            <w:tr w:rsidR="00071E87" w14:paraId="6680AA6E" w14:textId="77777777" w:rsidTr="00000AB9">
              <w:tc>
                <w:tcPr>
                  <w:tcW w:w="705" w:type="pct"/>
                </w:tcPr>
                <w:p w14:paraId="732B3DE5" w14:textId="77777777" w:rsidR="00071E87" w:rsidRDefault="00A0208D" w:rsidP="00CF7B32">
                  <w:pPr>
                    <w:pStyle w:val="TableBodyText"/>
                    <w:jc w:val="left"/>
                  </w:pPr>
                  <w:r>
                    <w:t>Industry</w:t>
                  </w:r>
                </w:p>
              </w:tc>
              <w:tc>
                <w:tcPr>
                  <w:tcW w:w="923" w:type="pct"/>
                </w:tcPr>
                <w:p w14:paraId="5CF2815C" w14:textId="77777777" w:rsidR="00071E87" w:rsidRDefault="00A0208D" w:rsidP="00CF7B32">
                  <w:pPr>
                    <w:pStyle w:val="TableBodyText"/>
                    <w:jc w:val="left"/>
                  </w:pPr>
                  <w:r>
                    <w:t>Management capability</w:t>
                  </w:r>
                </w:p>
              </w:tc>
              <w:tc>
                <w:tcPr>
                  <w:tcW w:w="1323" w:type="pct"/>
                </w:tcPr>
                <w:p w14:paraId="5E599A56" w14:textId="7AA717F1" w:rsidR="00071E87" w:rsidRDefault="001B55F2" w:rsidP="00CF7B32">
                  <w:pPr>
                    <w:pStyle w:val="TableUnitsRow"/>
                    <w:spacing w:before="0"/>
                    <w:jc w:val="left"/>
                  </w:pPr>
                  <w:r w:rsidRPr="001B55F2">
                    <w:rPr>
                      <w:rFonts w:cs="Arial"/>
                      <w:szCs w:val="24"/>
                    </w:rPr>
                    <w:t>(Agarwal et al. 2019)</w:t>
                  </w:r>
                </w:p>
              </w:tc>
              <w:tc>
                <w:tcPr>
                  <w:tcW w:w="2048" w:type="pct"/>
                </w:tcPr>
                <w:p w14:paraId="2E82AF02" w14:textId="77777777" w:rsidR="00071E87" w:rsidRDefault="005614DB" w:rsidP="00C812BA">
                  <w:pPr>
                    <w:pStyle w:val="TableBodyText"/>
                    <w:ind w:right="28"/>
                    <w:jc w:val="left"/>
                  </w:pPr>
                  <w:r>
                    <w:t xml:space="preserve">Industry developed several indices of management capability based on the </w:t>
                  </w:r>
                  <w:proofErr w:type="gramStart"/>
                  <w:r>
                    <w:t>BCSM, and</w:t>
                  </w:r>
                  <w:proofErr w:type="gramEnd"/>
                  <w:r>
                    <w:t xml:space="preserve"> compared this with similar metrics in the United States and found Australia firms to be lacking.</w:t>
                  </w:r>
                </w:p>
              </w:tc>
            </w:tr>
            <w:tr w:rsidR="00211F94" w14:paraId="09F1DB09" w14:textId="77777777" w:rsidTr="00000AB9">
              <w:tc>
                <w:tcPr>
                  <w:tcW w:w="705" w:type="pct"/>
                </w:tcPr>
                <w:p w14:paraId="71171B78" w14:textId="77777777" w:rsidR="00211F94" w:rsidRDefault="0026406F" w:rsidP="00CF7B32">
                  <w:pPr>
                    <w:pStyle w:val="TableBodyText"/>
                    <w:jc w:val="left"/>
                  </w:pPr>
                  <w:r>
                    <w:t>Industry</w:t>
                  </w:r>
                </w:p>
              </w:tc>
              <w:tc>
                <w:tcPr>
                  <w:tcW w:w="923" w:type="pct"/>
                </w:tcPr>
                <w:p w14:paraId="1E85BECF" w14:textId="77777777" w:rsidR="00211F94" w:rsidRDefault="0026406F" w:rsidP="00CF7B32">
                  <w:pPr>
                    <w:pStyle w:val="TableBodyText"/>
                    <w:jc w:val="left"/>
                  </w:pPr>
                  <w:r>
                    <w:t>Productivity in the manufacturing sector</w:t>
                  </w:r>
                </w:p>
              </w:tc>
              <w:tc>
                <w:tcPr>
                  <w:tcW w:w="1323" w:type="pct"/>
                </w:tcPr>
                <w:p w14:paraId="0BF5DA8D" w14:textId="0628663E" w:rsidR="00211F94" w:rsidRDefault="00A2296F" w:rsidP="00CF7B32">
                  <w:pPr>
                    <w:pStyle w:val="TableUnitsRow"/>
                    <w:spacing w:before="0"/>
                    <w:jc w:val="left"/>
                  </w:pPr>
                  <w:r w:rsidRPr="00A2296F">
                    <w:rPr>
                      <w:rFonts w:cs="Arial"/>
                      <w:szCs w:val="24"/>
                    </w:rPr>
                    <w:t>(Bakhtiari 2019)</w:t>
                  </w:r>
                </w:p>
              </w:tc>
              <w:tc>
                <w:tcPr>
                  <w:tcW w:w="2048" w:type="pct"/>
                </w:tcPr>
                <w:p w14:paraId="71CE1468" w14:textId="77777777" w:rsidR="00211F94" w:rsidRDefault="0026406F" w:rsidP="00C812BA">
                  <w:pPr>
                    <w:pStyle w:val="TableBodyText"/>
                    <w:ind w:right="28"/>
                    <w:jc w:val="left"/>
                  </w:pPr>
                  <w:r>
                    <w:t xml:space="preserve">Looked at the productivity characteristics of </w:t>
                  </w:r>
                  <w:proofErr w:type="gramStart"/>
                  <w:r>
                    <w:t>entrants</w:t>
                  </w:r>
                  <w:proofErr w:type="gramEnd"/>
                  <w:r>
                    <w:t xml:space="preserve"> vs incumbents in the manufacturing industry. </w:t>
                  </w:r>
                  <w:proofErr w:type="spellStart"/>
                  <w:r>
                    <w:t>Noteable</w:t>
                  </w:r>
                  <w:proofErr w:type="spellEnd"/>
                  <w:r>
                    <w:t xml:space="preserve"> as the first attempt to estimate capital stocks and MFP at a firm level in BLADE. </w:t>
                  </w:r>
                </w:p>
              </w:tc>
            </w:tr>
            <w:tr w:rsidR="00071E87" w14:paraId="4FD8535C" w14:textId="77777777" w:rsidTr="00000AB9">
              <w:tc>
                <w:tcPr>
                  <w:tcW w:w="705" w:type="pct"/>
                </w:tcPr>
                <w:p w14:paraId="1E6CA87C" w14:textId="77777777" w:rsidR="00071E87" w:rsidRDefault="00A372A2" w:rsidP="00CF7B32">
                  <w:pPr>
                    <w:pStyle w:val="TableBodyText"/>
                    <w:jc w:val="left"/>
                  </w:pPr>
                  <w:r>
                    <w:t>RBA</w:t>
                  </w:r>
                </w:p>
              </w:tc>
              <w:tc>
                <w:tcPr>
                  <w:tcW w:w="923" w:type="pct"/>
                </w:tcPr>
                <w:p w14:paraId="49886A13" w14:textId="77777777" w:rsidR="00071E87" w:rsidRDefault="00A372A2" w:rsidP="00CF7B32">
                  <w:pPr>
                    <w:pStyle w:val="TableBodyText"/>
                    <w:jc w:val="left"/>
                  </w:pPr>
                  <w:r>
                    <w:t>Credit availability</w:t>
                  </w:r>
                </w:p>
              </w:tc>
              <w:tc>
                <w:tcPr>
                  <w:tcW w:w="1323" w:type="pct"/>
                </w:tcPr>
                <w:p w14:paraId="115A2A41" w14:textId="4810F523" w:rsidR="00071E87" w:rsidRDefault="00C1313E" w:rsidP="00CF7B32">
                  <w:pPr>
                    <w:pStyle w:val="TableUnitsRow"/>
                    <w:spacing w:before="0"/>
                    <w:jc w:val="left"/>
                  </w:pPr>
                  <w:r w:rsidRPr="00C1313E">
                    <w:rPr>
                      <w:rFonts w:cs="Arial"/>
                      <w:szCs w:val="24"/>
                    </w:rPr>
                    <w:t xml:space="preserve">(Araujo and </w:t>
                  </w:r>
                  <w:proofErr w:type="spellStart"/>
                  <w:r w:rsidRPr="00C1313E">
                    <w:rPr>
                      <w:rFonts w:cs="Arial"/>
                      <w:szCs w:val="24"/>
                    </w:rPr>
                    <w:t>Hambur</w:t>
                  </w:r>
                  <w:proofErr w:type="spellEnd"/>
                  <w:r w:rsidRPr="00C1313E">
                    <w:rPr>
                      <w:rFonts w:cs="Arial"/>
                      <w:szCs w:val="24"/>
                    </w:rPr>
                    <w:t> 2018)</w:t>
                  </w:r>
                  <w:r w:rsidR="004E347E">
                    <w:t xml:space="preserve"> </w:t>
                  </w:r>
                </w:p>
              </w:tc>
              <w:tc>
                <w:tcPr>
                  <w:tcW w:w="2048" w:type="pct"/>
                </w:tcPr>
                <w:p w14:paraId="4B13C0CD" w14:textId="77777777" w:rsidR="00071E87" w:rsidRDefault="00A372A2" w:rsidP="00C812BA">
                  <w:pPr>
                    <w:pStyle w:val="TableBodyText"/>
                    <w:ind w:right="28"/>
                    <w:jc w:val="left"/>
                  </w:pPr>
                  <w:r>
                    <w:t>Using BCS and BIT, looked at the</w:t>
                  </w:r>
                  <w:r w:rsidR="00A6025D">
                    <w:t xml:space="preserve"> financial</w:t>
                  </w:r>
                  <w:r>
                    <w:t xml:space="preserve"> characteristics of firms that applied for credit and were either accepted or rejected.</w:t>
                  </w:r>
                </w:p>
              </w:tc>
            </w:tr>
            <w:tr w:rsidR="00071E87" w14:paraId="5D0A91C1" w14:textId="77777777" w:rsidTr="00000AB9">
              <w:tc>
                <w:tcPr>
                  <w:tcW w:w="705" w:type="pct"/>
                </w:tcPr>
                <w:p w14:paraId="3902D6ED" w14:textId="77777777" w:rsidR="00071E87" w:rsidRDefault="00D8204F" w:rsidP="00CF7B32">
                  <w:pPr>
                    <w:pStyle w:val="TableBodyText"/>
                    <w:jc w:val="left"/>
                  </w:pPr>
                  <w:r>
                    <w:t>RBA</w:t>
                  </w:r>
                </w:p>
              </w:tc>
              <w:tc>
                <w:tcPr>
                  <w:tcW w:w="923" w:type="pct"/>
                </w:tcPr>
                <w:p w14:paraId="3CFC0828" w14:textId="77777777" w:rsidR="00071E87" w:rsidRDefault="00D8204F" w:rsidP="00CF7B32">
                  <w:pPr>
                    <w:pStyle w:val="TableBodyText"/>
                    <w:jc w:val="left"/>
                  </w:pPr>
                  <w:r>
                    <w:t>Concentration and mark up in the retail sector</w:t>
                  </w:r>
                </w:p>
              </w:tc>
              <w:tc>
                <w:tcPr>
                  <w:tcW w:w="1323" w:type="pct"/>
                </w:tcPr>
                <w:p w14:paraId="2BD1BA01" w14:textId="06DBF4E5" w:rsidR="00071E87" w:rsidRDefault="002A2D07" w:rsidP="00CF7B32">
                  <w:pPr>
                    <w:pStyle w:val="TableUnitsRow"/>
                    <w:spacing w:before="0"/>
                    <w:jc w:val="left"/>
                  </w:pPr>
                  <w:r w:rsidRPr="002A2D07">
                    <w:rPr>
                      <w:rFonts w:cs="Arial"/>
                      <w:szCs w:val="24"/>
                    </w:rPr>
                    <w:t>(</w:t>
                  </w:r>
                  <w:proofErr w:type="spellStart"/>
                  <w:r w:rsidRPr="002A2D07">
                    <w:rPr>
                      <w:rFonts w:cs="Arial"/>
                      <w:szCs w:val="24"/>
                    </w:rPr>
                    <w:t>Hambur</w:t>
                  </w:r>
                  <w:proofErr w:type="spellEnd"/>
                  <w:r w:rsidRPr="002A2D07">
                    <w:rPr>
                      <w:rFonts w:cs="Arial"/>
                      <w:szCs w:val="24"/>
                    </w:rPr>
                    <w:t xml:space="preserve"> and La Cava 2018)</w:t>
                  </w:r>
                </w:p>
              </w:tc>
              <w:tc>
                <w:tcPr>
                  <w:tcW w:w="2048" w:type="pct"/>
                </w:tcPr>
                <w:p w14:paraId="27D9792E" w14:textId="77777777" w:rsidR="00071E87" w:rsidRDefault="00D8204F" w:rsidP="00C812BA">
                  <w:pPr>
                    <w:pStyle w:val="TableBodyText"/>
                    <w:ind w:right="28"/>
                    <w:jc w:val="left"/>
                  </w:pPr>
                  <w:r>
                    <w:t>Using an estimate of the production function, attempted to estima</w:t>
                  </w:r>
                  <w:r w:rsidR="00A6025D">
                    <w:t>te the mark-ups of retail firms</w:t>
                  </w:r>
                  <w:r>
                    <w:t>, finding evidence of declining competition in the retail sector.</w:t>
                  </w:r>
                </w:p>
              </w:tc>
            </w:tr>
            <w:tr w:rsidR="0026406F" w14:paraId="035AAF85" w14:textId="77777777" w:rsidTr="00000AB9">
              <w:tc>
                <w:tcPr>
                  <w:tcW w:w="705" w:type="pct"/>
                </w:tcPr>
                <w:p w14:paraId="79869438" w14:textId="77777777" w:rsidR="0026406F" w:rsidRDefault="0026406F" w:rsidP="00CF7B32">
                  <w:pPr>
                    <w:pStyle w:val="TableBodyText"/>
                    <w:jc w:val="left"/>
                  </w:pPr>
                  <w:r>
                    <w:t>Industry</w:t>
                  </w:r>
                </w:p>
              </w:tc>
              <w:tc>
                <w:tcPr>
                  <w:tcW w:w="923" w:type="pct"/>
                </w:tcPr>
                <w:p w14:paraId="3AF112E4" w14:textId="77777777" w:rsidR="0026406F" w:rsidRDefault="0026406F" w:rsidP="00CF7B32">
                  <w:pPr>
                    <w:pStyle w:val="TableBodyText"/>
                    <w:jc w:val="left"/>
                  </w:pPr>
                  <w:r>
                    <w:t>Effect of innovation on business growth</w:t>
                  </w:r>
                </w:p>
              </w:tc>
              <w:tc>
                <w:tcPr>
                  <w:tcW w:w="1323" w:type="pct"/>
                </w:tcPr>
                <w:p w14:paraId="4D6E9A0E" w14:textId="5F12651B" w:rsidR="0026406F" w:rsidRDefault="002475A7" w:rsidP="00CF7B32">
                  <w:pPr>
                    <w:pStyle w:val="TableUnitsRow"/>
                    <w:spacing w:before="0"/>
                    <w:jc w:val="left"/>
                  </w:pPr>
                  <w:r w:rsidRPr="002475A7">
                    <w:rPr>
                      <w:rFonts w:cs="Arial"/>
                      <w:szCs w:val="24"/>
                    </w:rPr>
                    <w:t>(Hendrickson et al. 2018)</w:t>
                  </w:r>
                </w:p>
              </w:tc>
              <w:tc>
                <w:tcPr>
                  <w:tcW w:w="2048" w:type="pct"/>
                </w:tcPr>
                <w:p w14:paraId="2718F423" w14:textId="77777777" w:rsidR="0026406F" w:rsidRDefault="0026406F" w:rsidP="00C812BA">
                  <w:pPr>
                    <w:pStyle w:val="TableBodyText"/>
                    <w:ind w:right="28"/>
                    <w:jc w:val="left"/>
                  </w:pPr>
                  <w:r>
                    <w:t xml:space="preserve">Using BCS and BLADE core, found that </w:t>
                  </w:r>
                  <w:r w:rsidRPr="0026406F">
                    <w:t>persistent innovators significantly outgrow their less persistent and non-innovator counterparts in terms of sales, value added, employment and profit growth</w:t>
                  </w:r>
                </w:p>
              </w:tc>
            </w:tr>
            <w:tr w:rsidR="00071E87" w14:paraId="1BDD127D" w14:textId="77777777" w:rsidTr="00000AB9">
              <w:tc>
                <w:tcPr>
                  <w:tcW w:w="705" w:type="pct"/>
                </w:tcPr>
                <w:p w14:paraId="490C3BC3" w14:textId="77777777" w:rsidR="00071E87" w:rsidRDefault="00A07B3F" w:rsidP="00CF7B32">
                  <w:pPr>
                    <w:pStyle w:val="TableBodyText"/>
                    <w:jc w:val="left"/>
                  </w:pPr>
                  <w:r>
                    <w:t>Industry</w:t>
                  </w:r>
                </w:p>
              </w:tc>
              <w:tc>
                <w:tcPr>
                  <w:tcW w:w="923" w:type="pct"/>
                </w:tcPr>
                <w:p w14:paraId="755D7563" w14:textId="77777777" w:rsidR="00071E87" w:rsidRDefault="00A07B3F" w:rsidP="00CF7B32">
                  <w:pPr>
                    <w:pStyle w:val="TableBodyText"/>
                    <w:jc w:val="left"/>
                  </w:pPr>
                  <w:r>
                    <w:t>Performance of firms using employee share schemes</w:t>
                  </w:r>
                </w:p>
              </w:tc>
              <w:tc>
                <w:tcPr>
                  <w:tcW w:w="1323" w:type="pct"/>
                </w:tcPr>
                <w:p w14:paraId="1D6D5718" w14:textId="2EC35056" w:rsidR="00071E87" w:rsidRDefault="000B2D8D" w:rsidP="00CF7B32">
                  <w:pPr>
                    <w:pStyle w:val="TableUnitsRow"/>
                    <w:spacing w:before="0"/>
                    <w:jc w:val="left"/>
                  </w:pPr>
                  <w:r w:rsidRPr="000B2D8D">
                    <w:rPr>
                      <w:rFonts w:cs="Arial"/>
                      <w:szCs w:val="24"/>
                    </w:rPr>
                    <w:t>(Hendrickson et al. 2017)</w:t>
                  </w:r>
                </w:p>
              </w:tc>
              <w:tc>
                <w:tcPr>
                  <w:tcW w:w="2048" w:type="pct"/>
                </w:tcPr>
                <w:p w14:paraId="06B2FE93" w14:textId="77777777" w:rsidR="00071E87" w:rsidRDefault="00A07B3F" w:rsidP="00C812BA">
                  <w:pPr>
                    <w:pStyle w:val="TableBodyText"/>
                    <w:ind w:right="28"/>
                    <w:jc w:val="left"/>
                  </w:pPr>
                  <w:r>
                    <w:t>Using EAS and BLADE core, found that SMEs were much more likely pay wages in the form of shares in profits. Further those that engaged in share schemes tended to have lower employee churn, higher wages and higher labour productivity.</w:t>
                  </w:r>
                </w:p>
              </w:tc>
            </w:tr>
            <w:tr w:rsidR="00071E87" w14:paraId="25686C52" w14:textId="77777777" w:rsidTr="00000AB9">
              <w:tc>
                <w:tcPr>
                  <w:tcW w:w="705" w:type="pct"/>
                </w:tcPr>
                <w:p w14:paraId="0B1B0B06" w14:textId="77777777" w:rsidR="00071E87" w:rsidRDefault="008C01F1" w:rsidP="00CF7B32">
                  <w:pPr>
                    <w:pStyle w:val="TableBodyText"/>
                    <w:jc w:val="left"/>
                  </w:pPr>
                  <w:r>
                    <w:t>Industry</w:t>
                  </w:r>
                </w:p>
              </w:tc>
              <w:tc>
                <w:tcPr>
                  <w:tcW w:w="923" w:type="pct"/>
                </w:tcPr>
                <w:p w14:paraId="27828ED7" w14:textId="77777777" w:rsidR="00071E87" w:rsidRDefault="008C01F1" w:rsidP="00CF7B32">
                  <w:pPr>
                    <w:pStyle w:val="TableBodyText"/>
                    <w:jc w:val="left"/>
                  </w:pPr>
                  <w:r>
                    <w:t>Exporter characteristics and performance</w:t>
                  </w:r>
                </w:p>
              </w:tc>
              <w:tc>
                <w:tcPr>
                  <w:tcW w:w="1323" w:type="pct"/>
                </w:tcPr>
                <w:p w14:paraId="56AEA7A5" w14:textId="1BEA3637" w:rsidR="00071E87" w:rsidRDefault="005B399F" w:rsidP="00CF7B32">
                  <w:pPr>
                    <w:pStyle w:val="TableUnitsRow"/>
                    <w:spacing w:before="0"/>
                    <w:jc w:val="left"/>
                  </w:pPr>
                  <w:r w:rsidRPr="005B399F">
                    <w:rPr>
                      <w:rFonts w:cs="Arial"/>
                      <w:szCs w:val="24"/>
                    </w:rPr>
                    <w:t>(</w:t>
                  </w:r>
                  <w:proofErr w:type="spellStart"/>
                  <w:r w:rsidRPr="005B399F">
                    <w:rPr>
                      <w:rFonts w:cs="Arial"/>
                      <w:szCs w:val="24"/>
                    </w:rPr>
                    <w:t>Tuhin</w:t>
                  </w:r>
                  <w:proofErr w:type="spellEnd"/>
                  <w:r w:rsidRPr="005B399F">
                    <w:rPr>
                      <w:rFonts w:cs="Arial"/>
                      <w:szCs w:val="24"/>
                    </w:rPr>
                    <w:t xml:space="preserve"> and Swanepoel 2017)</w:t>
                  </w:r>
                </w:p>
              </w:tc>
              <w:tc>
                <w:tcPr>
                  <w:tcW w:w="2048" w:type="pct"/>
                </w:tcPr>
                <w:p w14:paraId="0562411B" w14:textId="77777777" w:rsidR="00071E87" w:rsidRDefault="00D52C6D" w:rsidP="00C812BA">
                  <w:pPr>
                    <w:pStyle w:val="TableBodyText"/>
                    <w:ind w:right="28"/>
                    <w:jc w:val="left"/>
                  </w:pPr>
                  <w:r>
                    <w:t>Exporters tend to be larger and show superior growth performance prior to exporting, than non-exporters.</w:t>
                  </w:r>
                </w:p>
              </w:tc>
            </w:tr>
            <w:tr w:rsidR="00071E87" w14:paraId="6AD8EE90" w14:textId="77777777" w:rsidTr="00000AB9">
              <w:tc>
                <w:tcPr>
                  <w:tcW w:w="705" w:type="pct"/>
                  <w:tcBorders>
                    <w:bottom w:val="single" w:sz="6" w:space="0" w:color="BFBFBF"/>
                  </w:tcBorders>
                  <w:shd w:val="clear" w:color="auto" w:fill="auto"/>
                </w:tcPr>
                <w:p w14:paraId="32105284" w14:textId="77777777" w:rsidR="00071E87" w:rsidRDefault="00B56C5F" w:rsidP="00CF7B32">
                  <w:pPr>
                    <w:pStyle w:val="TableBodyText"/>
                    <w:jc w:val="left"/>
                  </w:pPr>
                  <w:r>
                    <w:t>Industry</w:t>
                  </w:r>
                </w:p>
              </w:tc>
              <w:tc>
                <w:tcPr>
                  <w:tcW w:w="923" w:type="pct"/>
                  <w:tcBorders>
                    <w:bottom w:val="single" w:sz="6" w:space="0" w:color="BFBFBF"/>
                  </w:tcBorders>
                  <w:shd w:val="clear" w:color="auto" w:fill="auto"/>
                </w:tcPr>
                <w:p w14:paraId="373A6BCB" w14:textId="77777777" w:rsidR="00071E87" w:rsidRDefault="00B56C5F" w:rsidP="00CF7B32">
                  <w:pPr>
                    <w:pStyle w:val="TableBodyText"/>
                    <w:jc w:val="left"/>
                  </w:pPr>
                  <w:r>
                    <w:t>The effect of age on Australian small</w:t>
                  </w:r>
                  <w:r>
                    <w:noBreakHyphen/>
                    <w:t>to</w:t>
                  </w:r>
                  <w:r>
                    <w:noBreakHyphen/>
                    <w:t>medium enterprises</w:t>
                  </w:r>
                </w:p>
              </w:tc>
              <w:tc>
                <w:tcPr>
                  <w:tcW w:w="1323" w:type="pct"/>
                  <w:tcBorders>
                    <w:bottom w:val="single" w:sz="6" w:space="0" w:color="BFBFBF"/>
                  </w:tcBorders>
                </w:tcPr>
                <w:p w14:paraId="57461C6B" w14:textId="2813323C" w:rsidR="00071E87" w:rsidRDefault="00900F29" w:rsidP="00CF7B32">
                  <w:pPr>
                    <w:pStyle w:val="TableUnitsRow"/>
                    <w:spacing w:before="0"/>
                    <w:jc w:val="left"/>
                  </w:pPr>
                  <w:r w:rsidRPr="00900F29">
                    <w:rPr>
                      <w:rFonts w:cs="Arial"/>
                      <w:szCs w:val="24"/>
                    </w:rPr>
                    <w:t>(Smith and Hendrickson 2016)</w:t>
                  </w:r>
                </w:p>
              </w:tc>
              <w:tc>
                <w:tcPr>
                  <w:tcW w:w="2048" w:type="pct"/>
                  <w:tcBorders>
                    <w:bottom w:val="single" w:sz="6" w:space="0" w:color="BFBFBF"/>
                  </w:tcBorders>
                  <w:shd w:val="clear" w:color="auto" w:fill="auto"/>
                </w:tcPr>
                <w:p w14:paraId="37BD0E43" w14:textId="77777777" w:rsidR="00071E87" w:rsidRDefault="00B56C5F" w:rsidP="00C812BA">
                  <w:pPr>
                    <w:pStyle w:val="TableBodyText"/>
                    <w:ind w:right="28"/>
                    <w:jc w:val="left"/>
                  </w:pPr>
                  <w:r>
                    <w:t>Younger SMEs are more likely to collaborate  and engage in innovative behaviour and this is associated with a range of growth variables, including: employment growth, sales growth and productivity and profitability.</w:t>
                  </w:r>
                </w:p>
              </w:tc>
            </w:tr>
          </w:tbl>
          <w:p w14:paraId="1F44FC6E" w14:textId="77777777" w:rsidR="000D440B" w:rsidRDefault="000D440B" w:rsidP="00AE6282">
            <w:pPr>
              <w:pStyle w:val="Box"/>
            </w:pPr>
          </w:p>
        </w:tc>
      </w:tr>
      <w:tr w:rsidR="000D440B" w14:paraId="3FC513F3" w14:textId="77777777" w:rsidTr="00AE6282">
        <w:tc>
          <w:tcPr>
            <w:tcW w:w="5000" w:type="pct"/>
            <w:tcBorders>
              <w:top w:val="nil"/>
              <w:left w:val="nil"/>
              <w:bottom w:val="single" w:sz="6" w:space="0" w:color="78A22F"/>
              <w:right w:val="nil"/>
            </w:tcBorders>
            <w:shd w:val="clear" w:color="auto" w:fill="auto"/>
          </w:tcPr>
          <w:p w14:paraId="4C965EF1" w14:textId="77777777" w:rsidR="000D440B" w:rsidRDefault="000D440B" w:rsidP="00AE6282">
            <w:pPr>
              <w:pStyle w:val="Box"/>
              <w:spacing w:before="0" w:line="120" w:lineRule="exact"/>
            </w:pPr>
          </w:p>
        </w:tc>
      </w:tr>
      <w:tr w:rsidR="000D440B" w:rsidRPr="000863A5" w14:paraId="093F562B" w14:textId="77777777" w:rsidTr="00AE6282">
        <w:tc>
          <w:tcPr>
            <w:tcW w:w="5000" w:type="pct"/>
            <w:tcBorders>
              <w:top w:val="single" w:sz="6" w:space="0" w:color="78A22F"/>
              <w:left w:val="nil"/>
              <w:bottom w:val="nil"/>
              <w:right w:val="nil"/>
            </w:tcBorders>
          </w:tcPr>
          <w:p w14:paraId="069B274D" w14:textId="13F62B9D" w:rsidR="000D440B" w:rsidRPr="00626D32" w:rsidRDefault="000D440B" w:rsidP="00AE6282">
            <w:pPr>
              <w:pStyle w:val="BoxSpaceBelow"/>
            </w:pPr>
          </w:p>
        </w:tc>
      </w:tr>
    </w:tbl>
    <w:p w14:paraId="6410AC5F" w14:textId="530512D2" w:rsidR="00A84062" w:rsidRDefault="009A19DE" w:rsidP="009A19DE">
      <w:pPr>
        <w:pStyle w:val="Heading2"/>
      </w:pPr>
      <w:bookmarkStart w:id="18" w:name="_Toc70321931"/>
      <w:r>
        <w:lastRenderedPageBreak/>
        <w:t>Appendix</w:t>
      </w:r>
      <w:r w:rsidR="00C119BA">
        <w:t> </w:t>
      </w:r>
      <w:r w:rsidR="003B2770">
        <w:t>B</w:t>
      </w:r>
      <w:r>
        <w:t xml:space="preserve">: </w:t>
      </w:r>
      <w:r w:rsidR="00474C2F">
        <w:t>BLADE core d</w:t>
      </w:r>
      <w:r>
        <w:t>ata item list</w:t>
      </w:r>
      <w:bookmarkEnd w:id="18"/>
    </w:p>
    <w:p w14:paraId="6EB1938C" w14:textId="77777777" w:rsidR="009A19DE" w:rsidRPr="00E1469D" w:rsidRDefault="00410397" w:rsidP="003B2458">
      <w:pPr>
        <w:pStyle w:val="Heading3"/>
        <w:rPr>
          <w:sz w:val="22"/>
        </w:rPr>
      </w:pPr>
      <w:r w:rsidRPr="00E1469D">
        <w:rPr>
          <w:sz w:val="22"/>
        </w:rPr>
        <w:t>Frame (information from the ABS business register)</w:t>
      </w:r>
    </w:p>
    <w:p w14:paraId="2D76564D" w14:textId="77777777" w:rsidR="00410397" w:rsidRPr="00E1469D" w:rsidRDefault="00410397" w:rsidP="00410397">
      <w:pPr>
        <w:pStyle w:val="ListBullet"/>
        <w:rPr>
          <w:sz w:val="16"/>
        </w:rPr>
        <w:sectPr w:rsidR="00410397" w:rsidRPr="00E1469D" w:rsidSect="004E347E">
          <w:headerReference w:type="even" r:id="rId26"/>
          <w:headerReference w:type="default" r:id="rId27"/>
          <w:footerReference w:type="even" r:id="rId28"/>
          <w:footerReference w:type="default" r:id="rId29"/>
          <w:pgSz w:w="11907" w:h="16840" w:code="9"/>
          <w:pgMar w:top="1985" w:right="1304" w:bottom="1247" w:left="1814" w:header="1701" w:footer="397" w:gutter="0"/>
          <w:pgNumType w:start="1" w:chapSep="period"/>
          <w:cols w:space="720"/>
        </w:sectPr>
      </w:pPr>
    </w:p>
    <w:p w14:paraId="2FD985F1" w14:textId="77777777" w:rsidR="00410397" w:rsidRPr="00E1469D" w:rsidRDefault="00410397" w:rsidP="00410397">
      <w:pPr>
        <w:pStyle w:val="ListBullet"/>
        <w:jc w:val="left"/>
        <w:rPr>
          <w:sz w:val="20"/>
        </w:rPr>
      </w:pPr>
      <w:r w:rsidRPr="00E1469D">
        <w:rPr>
          <w:sz w:val="20"/>
        </w:rPr>
        <w:t>BLADE Unit ID</w:t>
      </w:r>
    </w:p>
    <w:p w14:paraId="46F42A58" w14:textId="77777777" w:rsidR="00410397" w:rsidRPr="00E1469D" w:rsidRDefault="00410397" w:rsidP="00410397">
      <w:pPr>
        <w:pStyle w:val="ListBullet"/>
        <w:jc w:val="left"/>
        <w:rPr>
          <w:sz w:val="20"/>
        </w:rPr>
      </w:pPr>
      <w:r w:rsidRPr="00E1469D">
        <w:rPr>
          <w:sz w:val="20"/>
        </w:rPr>
        <w:t>BLADE Enterprise Group ID</w:t>
      </w:r>
    </w:p>
    <w:p w14:paraId="200949DD" w14:textId="77777777" w:rsidR="00410397" w:rsidRPr="00E1469D" w:rsidRDefault="00410397" w:rsidP="00410397">
      <w:pPr>
        <w:pStyle w:val="ListBullet"/>
        <w:jc w:val="left"/>
        <w:rPr>
          <w:sz w:val="20"/>
        </w:rPr>
      </w:pPr>
      <w:r w:rsidRPr="00E1469D">
        <w:rPr>
          <w:sz w:val="20"/>
        </w:rPr>
        <w:t xml:space="preserve">Time series ID </w:t>
      </w:r>
    </w:p>
    <w:p w14:paraId="1F63593C" w14:textId="77777777" w:rsidR="00410397" w:rsidRPr="00E1469D" w:rsidRDefault="00410397" w:rsidP="00410397">
      <w:pPr>
        <w:pStyle w:val="ListBullet"/>
        <w:jc w:val="left"/>
        <w:rPr>
          <w:sz w:val="20"/>
        </w:rPr>
      </w:pPr>
      <w:r w:rsidRPr="00E1469D">
        <w:rPr>
          <w:sz w:val="20"/>
        </w:rPr>
        <w:t>State</w:t>
      </w:r>
    </w:p>
    <w:p w14:paraId="4163243F" w14:textId="77777777" w:rsidR="00410397" w:rsidRPr="00E1469D" w:rsidRDefault="00410397" w:rsidP="00410397">
      <w:pPr>
        <w:pStyle w:val="ListBullet"/>
        <w:jc w:val="left"/>
        <w:rPr>
          <w:sz w:val="20"/>
        </w:rPr>
      </w:pPr>
      <w:r w:rsidRPr="00E1469D">
        <w:rPr>
          <w:sz w:val="20"/>
        </w:rPr>
        <w:t>Postcode</w:t>
      </w:r>
    </w:p>
    <w:p w14:paraId="13724960" w14:textId="77777777" w:rsidR="00410397" w:rsidRPr="00E1469D" w:rsidRDefault="00410397" w:rsidP="00410397">
      <w:pPr>
        <w:pStyle w:val="ListBullet"/>
        <w:jc w:val="left"/>
        <w:rPr>
          <w:sz w:val="20"/>
        </w:rPr>
      </w:pPr>
      <w:r w:rsidRPr="00E1469D">
        <w:rPr>
          <w:sz w:val="20"/>
        </w:rPr>
        <w:t>Industry Division 2006</w:t>
      </w:r>
    </w:p>
    <w:p w14:paraId="22759C1A" w14:textId="77777777" w:rsidR="00410397" w:rsidRPr="00E1469D" w:rsidRDefault="00410397" w:rsidP="00410397">
      <w:pPr>
        <w:pStyle w:val="ListBullet"/>
        <w:jc w:val="left"/>
        <w:rPr>
          <w:sz w:val="20"/>
        </w:rPr>
      </w:pPr>
      <w:r w:rsidRPr="00E1469D">
        <w:rPr>
          <w:sz w:val="20"/>
        </w:rPr>
        <w:t>Australian and New Zealand Standard Industrial Classification (ANZSIC),  2006</w:t>
      </w:r>
    </w:p>
    <w:p w14:paraId="14F25C14" w14:textId="77777777" w:rsidR="00410397" w:rsidRPr="00E1469D" w:rsidRDefault="00410397" w:rsidP="00410397">
      <w:pPr>
        <w:pStyle w:val="ListBullet"/>
        <w:jc w:val="left"/>
        <w:rPr>
          <w:sz w:val="20"/>
        </w:rPr>
      </w:pPr>
      <w:r w:rsidRPr="00E1469D">
        <w:rPr>
          <w:sz w:val="20"/>
        </w:rPr>
        <w:t>Standard Institutional Sector Classification of Australia (SISCA) 2008</w:t>
      </w:r>
    </w:p>
    <w:p w14:paraId="30C31B72" w14:textId="77777777" w:rsidR="00410397" w:rsidRPr="00E1469D" w:rsidRDefault="00410397" w:rsidP="00410397">
      <w:pPr>
        <w:pStyle w:val="ListBullet"/>
        <w:jc w:val="left"/>
        <w:rPr>
          <w:sz w:val="20"/>
        </w:rPr>
      </w:pPr>
      <w:r w:rsidRPr="00E1469D">
        <w:rPr>
          <w:sz w:val="20"/>
        </w:rPr>
        <w:t>Type of Legal Organisation (TOLO)</w:t>
      </w:r>
    </w:p>
    <w:p w14:paraId="4800B663" w14:textId="77777777" w:rsidR="00410397" w:rsidRPr="00E1469D" w:rsidRDefault="00410397" w:rsidP="00410397">
      <w:pPr>
        <w:pStyle w:val="ListBullet"/>
        <w:jc w:val="left"/>
        <w:rPr>
          <w:sz w:val="20"/>
        </w:rPr>
      </w:pPr>
      <w:r w:rsidRPr="00E1469D">
        <w:rPr>
          <w:sz w:val="20"/>
        </w:rPr>
        <w:t>Birth Date (year)</w:t>
      </w:r>
    </w:p>
    <w:p w14:paraId="5E61C2DD" w14:textId="77777777" w:rsidR="00410397" w:rsidRPr="00E1469D" w:rsidRDefault="00410397" w:rsidP="00410397">
      <w:pPr>
        <w:pStyle w:val="ListBullet"/>
        <w:jc w:val="left"/>
        <w:rPr>
          <w:sz w:val="20"/>
        </w:rPr>
      </w:pPr>
      <w:r w:rsidRPr="00E1469D">
        <w:rPr>
          <w:sz w:val="20"/>
        </w:rPr>
        <w:t>States of operation</w:t>
      </w:r>
    </w:p>
    <w:p w14:paraId="677D7C63" w14:textId="77777777" w:rsidR="00410397" w:rsidRPr="00E1469D" w:rsidRDefault="00410397" w:rsidP="00410397">
      <w:pPr>
        <w:pStyle w:val="ListBullet"/>
        <w:jc w:val="left"/>
        <w:rPr>
          <w:sz w:val="20"/>
        </w:rPr>
      </w:pPr>
      <w:r w:rsidRPr="00E1469D">
        <w:rPr>
          <w:sz w:val="20"/>
        </w:rPr>
        <w:t>Alive status</w:t>
      </w:r>
    </w:p>
    <w:p w14:paraId="5419D594" w14:textId="77777777" w:rsidR="00410397" w:rsidRPr="00E1469D" w:rsidRDefault="00410397" w:rsidP="00410397">
      <w:pPr>
        <w:pStyle w:val="ListBullet"/>
        <w:jc w:val="left"/>
        <w:rPr>
          <w:sz w:val="20"/>
        </w:rPr>
      </w:pPr>
      <w:proofErr w:type="gramStart"/>
      <w:r w:rsidRPr="00E1469D">
        <w:rPr>
          <w:sz w:val="20"/>
        </w:rPr>
        <w:t>Non Profit</w:t>
      </w:r>
      <w:proofErr w:type="gramEnd"/>
      <w:r w:rsidRPr="00E1469D">
        <w:rPr>
          <w:sz w:val="20"/>
        </w:rPr>
        <w:t xml:space="preserve"> Institution flag</w:t>
      </w:r>
    </w:p>
    <w:p w14:paraId="7E237304" w14:textId="77777777" w:rsidR="00410397" w:rsidRPr="00E1469D" w:rsidRDefault="00410397" w:rsidP="00410397">
      <w:pPr>
        <w:pStyle w:val="ListBullet"/>
        <w:jc w:val="left"/>
        <w:rPr>
          <w:sz w:val="20"/>
        </w:rPr>
      </w:pPr>
      <w:r w:rsidRPr="00E1469D">
        <w:rPr>
          <w:sz w:val="20"/>
        </w:rPr>
        <w:t>Private/Public indicator</w:t>
      </w:r>
    </w:p>
    <w:p w14:paraId="31006201" w14:textId="77777777" w:rsidR="00410397" w:rsidRPr="00E1469D" w:rsidRDefault="00410397" w:rsidP="00410397">
      <w:pPr>
        <w:pStyle w:val="Heading4"/>
        <w:rPr>
          <w:sz w:val="20"/>
        </w:rPr>
        <w:sectPr w:rsidR="00410397" w:rsidRPr="00E1469D" w:rsidSect="00410397">
          <w:type w:val="continuous"/>
          <w:pgSz w:w="11907" w:h="16840" w:code="9"/>
          <w:pgMar w:top="1985" w:right="1304" w:bottom="1247" w:left="1814" w:header="1701" w:footer="397" w:gutter="0"/>
          <w:pgNumType w:start="1" w:chapSep="period"/>
          <w:cols w:num="2" w:space="720"/>
        </w:sectPr>
      </w:pPr>
    </w:p>
    <w:p w14:paraId="76BC9C72" w14:textId="77777777" w:rsidR="00410397" w:rsidRPr="00E1469D" w:rsidRDefault="00410397" w:rsidP="003B2458">
      <w:pPr>
        <w:pStyle w:val="Heading3"/>
        <w:rPr>
          <w:sz w:val="22"/>
        </w:rPr>
      </w:pPr>
      <w:r w:rsidRPr="00E1469D">
        <w:rPr>
          <w:sz w:val="22"/>
        </w:rPr>
        <w:t>Business Activity Statement (BAS)</w:t>
      </w:r>
    </w:p>
    <w:p w14:paraId="3CCACAAF" w14:textId="77777777" w:rsidR="00410397" w:rsidRPr="00E1469D" w:rsidRDefault="00410397" w:rsidP="00410397">
      <w:pPr>
        <w:pStyle w:val="ListBullet"/>
        <w:rPr>
          <w:sz w:val="16"/>
        </w:rPr>
        <w:sectPr w:rsidR="00410397" w:rsidRPr="00E1469D" w:rsidSect="00410397">
          <w:type w:val="continuous"/>
          <w:pgSz w:w="11907" w:h="16840" w:code="9"/>
          <w:pgMar w:top="1985" w:right="1304" w:bottom="1247" w:left="1814" w:header="1701" w:footer="397" w:gutter="0"/>
          <w:pgNumType w:start="1" w:chapSep="period"/>
          <w:cols w:space="720"/>
        </w:sectPr>
      </w:pPr>
    </w:p>
    <w:p w14:paraId="4ACE6C6C" w14:textId="77777777" w:rsidR="00410397" w:rsidRPr="00E1469D" w:rsidRDefault="00410397" w:rsidP="00410397">
      <w:pPr>
        <w:pStyle w:val="ListBullet"/>
        <w:jc w:val="left"/>
        <w:rPr>
          <w:sz w:val="20"/>
        </w:rPr>
      </w:pPr>
      <w:r w:rsidRPr="00E1469D">
        <w:rPr>
          <w:sz w:val="20"/>
        </w:rPr>
        <w:t>Total sales</w:t>
      </w:r>
    </w:p>
    <w:p w14:paraId="6C2244B2" w14:textId="77777777" w:rsidR="00410397" w:rsidRPr="00E1469D" w:rsidRDefault="00410397" w:rsidP="00410397">
      <w:pPr>
        <w:pStyle w:val="ListBullet"/>
        <w:jc w:val="left"/>
        <w:rPr>
          <w:sz w:val="20"/>
        </w:rPr>
      </w:pPr>
      <w:r w:rsidRPr="00E1469D">
        <w:rPr>
          <w:sz w:val="20"/>
        </w:rPr>
        <w:t>Export sales</w:t>
      </w:r>
    </w:p>
    <w:p w14:paraId="79B25C38" w14:textId="77777777" w:rsidR="00410397" w:rsidRPr="00E1469D" w:rsidRDefault="00410397" w:rsidP="00410397">
      <w:pPr>
        <w:pStyle w:val="ListBullet"/>
        <w:jc w:val="left"/>
        <w:rPr>
          <w:sz w:val="20"/>
        </w:rPr>
      </w:pPr>
      <w:r w:rsidRPr="00E1469D">
        <w:rPr>
          <w:sz w:val="20"/>
        </w:rPr>
        <w:t>Other GST-free sales</w:t>
      </w:r>
    </w:p>
    <w:p w14:paraId="4A88BE6A" w14:textId="77777777" w:rsidR="00410397" w:rsidRPr="00E1469D" w:rsidRDefault="00410397" w:rsidP="00410397">
      <w:pPr>
        <w:pStyle w:val="ListBullet"/>
        <w:jc w:val="left"/>
        <w:rPr>
          <w:sz w:val="20"/>
        </w:rPr>
      </w:pPr>
      <w:r w:rsidRPr="00E1469D">
        <w:rPr>
          <w:sz w:val="20"/>
        </w:rPr>
        <w:t>Capital purchases</w:t>
      </w:r>
    </w:p>
    <w:p w14:paraId="7AFDBBE6" w14:textId="77777777" w:rsidR="00410397" w:rsidRPr="00E1469D" w:rsidRDefault="00410397" w:rsidP="00410397">
      <w:pPr>
        <w:pStyle w:val="ListBullet"/>
        <w:jc w:val="left"/>
        <w:rPr>
          <w:sz w:val="20"/>
        </w:rPr>
      </w:pPr>
      <w:r w:rsidRPr="00E1469D">
        <w:rPr>
          <w:sz w:val="20"/>
        </w:rPr>
        <w:t>Non-capital purchases</w:t>
      </w:r>
    </w:p>
    <w:p w14:paraId="731E6D20" w14:textId="77777777" w:rsidR="00410397" w:rsidRPr="00E1469D" w:rsidRDefault="00410397" w:rsidP="00410397">
      <w:pPr>
        <w:pStyle w:val="ListBullet"/>
        <w:jc w:val="left"/>
        <w:rPr>
          <w:sz w:val="20"/>
        </w:rPr>
      </w:pPr>
      <w:r w:rsidRPr="00E1469D">
        <w:rPr>
          <w:sz w:val="20"/>
        </w:rPr>
        <w:t>Total salary, wages and other payments</w:t>
      </w:r>
    </w:p>
    <w:p w14:paraId="714D4727" w14:textId="77777777" w:rsidR="00410397" w:rsidRPr="00E1469D" w:rsidRDefault="00410397" w:rsidP="00410397">
      <w:pPr>
        <w:pStyle w:val="ListBullet"/>
        <w:jc w:val="left"/>
        <w:rPr>
          <w:sz w:val="20"/>
        </w:rPr>
      </w:pPr>
      <w:r w:rsidRPr="00E1469D">
        <w:rPr>
          <w:sz w:val="20"/>
        </w:rPr>
        <w:t>Amount withheld from salary, wages and other payments</w:t>
      </w:r>
    </w:p>
    <w:p w14:paraId="3CAF9DFA" w14:textId="77777777" w:rsidR="00410397" w:rsidRPr="00E1469D" w:rsidRDefault="00410397" w:rsidP="00410397">
      <w:pPr>
        <w:pStyle w:val="ListBullet"/>
        <w:jc w:val="left"/>
        <w:rPr>
          <w:sz w:val="20"/>
        </w:rPr>
      </w:pPr>
      <w:r w:rsidRPr="00E1469D">
        <w:rPr>
          <w:sz w:val="20"/>
        </w:rPr>
        <w:t>Amount withheld from payment of invoices where no ABN is quoted</w:t>
      </w:r>
    </w:p>
    <w:p w14:paraId="384C4E92" w14:textId="77777777" w:rsidR="00410397" w:rsidRPr="00E1469D" w:rsidRDefault="00410397" w:rsidP="00410397">
      <w:pPr>
        <w:pStyle w:val="ListBullet"/>
        <w:jc w:val="left"/>
        <w:rPr>
          <w:sz w:val="20"/>
        </w:rPr>
      </w:pPr>
      <w:r w:rsidRPr="00E1469D">
        <w:rPr>
          <w:sz w:val="20"/>
        </w:rPr>
        <w:t>Amount withheld from investment distributions where no TFN is quoted</w:t>
      </w:r>
    </w:p>
    <w:p w14:paraId="626F0D34" w14:textId="77777777" w:rsidR="00410397" w:rsidRPr="00E1469D" w:rsidRDefault="00410397" w:rsidP="00410397">
      <w:pPr>
        <w:pStyle w:val="ListBullet"/>
        <w:jc w:val="left"/>
        <w:rPr>
          <w:sz w:val="20"/>
        </w:rPr>
      </w:pPr>
      <w:r w:rsidRPr="00E1469D">
        <w:rPr>
          <w:sz w:val="20"/>
        </w:rPr>
        <w:t>Pay as you go (PAYG) tax withheld</w:t>
      </w:r>
    </w:p>
    <w:p w14:paraId="595A7FBF" w14:textId="77777777" w:rsidR="00410397" w:rsidRPr="00E1469D" w:rsidRDefault="00410397" w:rsidP="00410397">
      <w:pPr>
        <w:pStyle w:val="ListBullet"/>
        <w:jc w:val="left"/>
        <w:rPr>
          <w:sz w:val="20"/>
        </w:rPr>
      </w:pPr>
      <w:r w:rsidRPr="00E1469D">
        <w:rPr>
          <w:sz w:val="20"/>
        </w:rPr>
        <w:t>Pay as you go (PAYG) income tax instalment</w:t>
      </w:r>
    </w:p>
    <w:p w14:paraId="7FE3A5E3" w14:textId="77777777" w:rsidR="00410397" w:rsidRPr="00E1469D" w:rsidRDefault="00410397" w:rsidP="00410397">
      <w:pPr>
        <w:pStyle w:val="ListBullet"/>
        <w:jc w:val="left"/>
        <w:rPr>
          <w:sz w:val="20"/>
        </w:rPr>
      </w:pPr>
      <w:r w:rsidRPr="00E1469D">
        <w:rPr>
          <w:sz w:val="20"/>
        </w:rPr>
        <w:t>Pay as you go (PAYG) instalment income</w:t>
      </w:r>
    </w:p>
    <w:p w14:paraId="5B5FFE0F" w14:textId="77777777" w:rsidR="00410397" w:rsidRPr="00E1469D" w:rsidRDefault="00410397" w:rsidP="00410397">
      <w:pPr>
        <w:pStyle w:val="ListBullet"/>
        <w:jc w:val="left"/>
        <w:rPr>
          <w:sz w:val="20"/>
        </w:rPr>
      </w:pPr>
      <w:r w:rsidRPr="00E1469D">
        <w:rPr>
          <w:sz w:val="20"/>
        </w:rPr>
        <w:t>Goods and services tax (GST) on sales or GST instalment</w:t>
      </w:r>
    </w:p>
    <w:p w14:paraId="0CA26463" w14:textId="77777777" w:rsidR="00410397" w:rsidRPr="00E1469D" w:rsidRDefault="00410397" w:rsidP="00410397">
      <w:pPr>
        <w:pStyle w:val="ListBullet"/>
        <w:jc w:val="left"/>
        <w:rPr>
          <w:sz w:val="20"/>
        </w:rPr>
      </w:pPr>
      <w:r w:rsidRPr="00E1469D">
        <w:rPr>
          <w:sz w:val="20"/>
        </w:rPr>
        <w:t>Goods and services tax (GST) on purchases</w:t>
      </w:r>
    </w:p>
    <w:p w14:paraId="4CF1E2C3" w14:textId="77777777" w:rsidR="00410397" w:rsidRPr="00E1469D" w:rsidRDefault="00410397" w:rsidP="00410397">
      <w:pPr>
        <w:pStyle w:val="ListBullet"/>
        <w:jc w:val="left"/>
        <w:rPr>
          <w:sz w:val="20"/>
        </w:rPr>
      </w:pPr>
      <w:r w:rsidRPr="00E1469D">
        <w:rPr>
          <w:sz w:val="20"/>
        </w:rPr>
        <w:t>Imported goods with GST deferred</w:t>
      </w:r>
    </w:p>
    <w:p w14:paraId="7695208A" w14:textId="77777777" w:rsidR="00410397" w:rsidRPr="00E1469D" w:rsidRDefault="00410397" w:rsidP="00410397">
      <w:pPr>
        <w:pStyle w:val="Heading4"/>
        <w:rPr>
          <w:sz w:val="20"/>
        </w:rPr>
        <w:sectPr w:rsidR="00410397" w:rsidRPr="00E1469D" w:rsidSect="00410397">
          <w:type w:val="continuous"/>
          <w:pgSz w:w="11907" w:h="16840" w:code="9"/>
          <w:pgMar w:top="1985" w:right="1304" w:bottom="1247" w:left="1814" w:header="1701" w:footer="397" w:gutter="0"/>
          <w:pgNumType w:start="1" w:chapSep="period"/>
          <w:cols w:num="2" w:space="720"/>
        </w:sectPr>
      </w:pPr>
    </w:p>
    <w:p w14:paraId="520E35D5" w14:textId="77777777" w:rsidR="006F311E" w:rsidRPr="00E1469D" w:rsidRDefault="006F311E" w:rsidP="003B2458">
      <w:pPr>
        <w:pStyle w:val="Heading3"/>
        <w:rPr>
          <w:sz w:val="22"/>
        </w:rPr>
      </w:pPr>
      <w:r w:rsidRPr="00E1469D">
        <w:rPr>
          <w:sz w:val="22"/>
        </w:rPr>
        <w:t xml:space="preserve">Pay </w:t>
      </w:r>
      <w:proofErr w:type="gramStart"/>
      <w:r w:rsidRPr="00E1469D">
        <w:rPr>
          <w:sz w:val="22"/>
        </w:rPr>
        <w:t>As</w:t>
      </w:r>
      <w:proofErr w:type="gramEnd"/>
      <w:r w:rsidRPr="00E1469D">
        <w:rPr>
          <w:sz w:val="22"/>
        </w:rPr>
        <w:t xml:space="preserve"> You Go personal income tax</w:t>
      </w:r>
    </w:p>
    <w:p w14:paraId="06341535" w14:textId="77777777" w:rsidR="006F311E" w:rsidRPr="00E1469D" w:rsidRDefault="00190AFE" w:rsidP="00190AFE">
      <w:pPr>
        <w:pStyle w:val="ListBullet"/>
        <w:rPr>
          <w:sz w:val="20"/>
        </w:rPr>
      </w:pPr>
      <w:r w:rsidRPr="00E1469D">
        <w:rPr>
          <w:sz w:val="20"/>
        </w:rPr>
        <w:t>Head count</w:t>
      </w:r>
    </w:p>
    <w:p w14:paraId="171E4A27" w14:textId="77777777" w:rsidR="00190AFE" w:rsidRPr="00E1469D" w:rsidRDefault="00190AFE" w:rsidP="00190AFE">
      <w:pPr>
        <w:pStyle w:val="ListBullet"/>
        <w:rPr>
          <w:sz w:val="20"/>
        </w:rPr>
      </w:pPr>
      <w:r w:rsidRPr="00E1469D">
        <w:rPr>
          <w:sz w:val="20"/>
        </w:rPr>
        <w:t>Full time equivalent workers</w:t>
      </w:r>
    </w:p>
    <w:p w14:paraId="362D4536" w14:textId="77777777" w:rsidR="00EA29A3" w:rsidRDefault="00EA29A3">
      <w:pPr>
        <w:rPr>
          <w:sz w:val="20"/>
          <w:szCs w:val="20"/>
        </w:rPr>
      </w:pPr>
    </w:p>
    <w:p w14:paraId="4EB112DA" w14:textId="186D5A48" w:rsidR="002769CA" w:rsidRDefault="002769CA">
      <w:pPr>
        <w:rPr>
          <w:sz w:val="20"/>
          <w:szCs w:val="20"/>
        </w:rPr>
        <w:sectPr w:rsidR="002769CA" w:rsidSect="00084739">
          <w:type w:val="continuous"/>
          <w:pgSz w:w="11907" w:h="16840" w:code="9"/>
          <w:pgMar w:top="1985" w:right="1304" w:bottom="1247" w:left="1814" w:header="1701" w:footer="397" w:gutter="0"/>
          <w:pgNumType w:chapSep="period"/>
          <w:cols w:space="720"/>
        </w:sectPr>
      </w:pPr>
    </w:p>
    <w:p w14:paraId="6DD3C33F" w14:textId="77777777" w:rsidR="00410397" w:rsidRDefault="00410397" w:rsidP="00EA29A3">
      <w:pPr>
        <w:pStyle w:val="Heading3"/>
        <w:spacing w:before="120"/>
        <w:rPr>
          <w:sz w:val="22"/>
          <w:szCs w:val="22"/>
        </w:rPr>
      </w:pPr>
      <w:r w:rsidRPr="00E1469D">
        <w:rPr>
          <w:sz w:val="22"/>
          <w:szCs w:val="22"/>
        </w:rPr>
        <w:lastRenderedPageBreak/>
        <w:t>Business Income Tax</w:t>
      </w:r>
    </w:p>
    <w:p w14:paraId="789BA8FD" w14:textId="65F3E4D3" w:rsidR="002978E7" w:rsidRDefault="002978E7" w:rsidP="00D352E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978E7" w14:paraId="41B6489D" w14:textId="77777777" w:rsidTr="00D352EA">
        <w:trPr>
          <w:tblHeader/>
        </w:trPr>
        <w:tc>
          <w:tcPr>
            <w:tcW w:w="5000" w:type="pct"/>
            <w:tcBorders>
              <w:top w:val="single" w:sz="6" w:space="0" w:color="78A22F"/>
              <w:left w:val="nil"/>
              <w:bottom w:val="nil"/>
              <w:right w:val="nil"/>
            </w:tcBorders>
            <w:shd w:val="clear" w:color="auto" w:fill="auto"/>
          </w:tcPr>
          <w:p w14:paraId="06AEE441" w14:textId="2AA926E1" w:rsidR="002978E7" w:rsidRDefault="002978E7" w:rsidP="00D352EA">
            <w:pPr>
              <w:pStyle w:val="TableTitle"/>
            </w:pPr>
            <w:r>
              <w:rPr>
                <w:b w:val="0"/>
              </w:rPr>
              <w:t xml:space="preserve">Table </w:t>
            </w:r>
            <w:r w:rsidR="00A44367">
              <w:rPr>
                <w:b w:val="0"/>
              </w:rPr>
              <w:t>B.1</w:t>
            </w:r>
            <w:r>
              <w:tab/>
            </w:r>
            <w:r w:rsidR="00677207">
              <w:t>Variables in Business Income Tax dataset</w:t>
            </w:r>
          </w:p>
          <w:p w14:paraId="7E774C47" w14:textId="295EFE50" w:rsidR="002978E7" w:rsidRPr="00784A05" w:rsidRDefault="003313B9" w:rsidP="00D352EA">
            <w:pPr>
              <w:pStyle w:val="Subtitle"/>
            </w:pPr>
            <w:r>
              <w:t xml:space="preserve">Variables included </w:t>
            </w:r>
            <w:r w:rsidR="006819AF">
              <w:t>by type of business entity</w:t>
            </w:r>
          </w:p>
        </w:tc>
      </w:tr>
      <w:tr w:rsidR="002978E7" w14:paraId="27BB391E" w14:textId="77777777" w:rsidTr="00D352E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675"/>
              <w:gridCol w:w="1102"/>
              <w:gridCol w:w="1040"/>
              <w:gridCol w:w="893"/>
              <w:gridCol w:w="795"/>
            </w:tblGrid>
            <w:tr w:rsidR="00A13B25" w14:paraId="5B98350E" w14:textId="77777777" w:rsidTr="00A13B25">
              <w:trPr>
                <w:tblHeader/>
              </w:trPr>
              <w:tc>
                <w:tcPr>
                  <w:tcW w:w="2748" w:type="pct"/>
                  <w:tcBorders>
                    <w:top w:val="single" w:sz="6" w:space="0" w:color="BFBFBF"/>
                    <w:bottom w:val="single" w:sz="6" w:space="0" w:color="BFBFBF"/>
                  </w:tcBorders>
                  <w:shd w:val="clear" w:color="auto" w:fill="auto"/>
                  <w:tcMar>
                    <w:top w:w="28" w:type="dxa"/>
                  </w:tcMar>
                </w:tcPr>
                <w:p w14:paraId="090C7C97" w14:textId="77777777" w:rsidR="00677207" w:rsidRDefault="00677207" w:rsidP="00677207">
                  <w:pPr>
                    <w:pStyle w:val="TableColumnHeading"/>
                    <w:jc w:val="left"/>
                  </w:pPr>
                </w:p>
              </w:tc>
              <w:tc>
                <w:tcPr>
                  <w:tcW w:w="648" w:type="pct"/>
                  <w:tcBorders>
                    <w:top w:val="single" w:sz="6" w:space="0" w:color="BFBFBF"/>
                    <w:bottom w:val="single" w:sz="6" w:space="0" w:color="BFBFBF"/>
                  </w:tcBorders>
                </w:tcPr>
                <w:p w14:paraId="3F146042" w14:textId="48B5F81A" w:rsidR="00677207" w:rsidRDefault="00677207" w:rsidP="00677207">
                  <w:pPr>
                    <w:pStyle w:val="TableColumnHeading"/>
                  </w:pPr>
                  <w:r w:rsidRPr="00AC5269">
                    <w:t>Company form</w:t>
                  </w:r>
                </w:p>
              </w:tc>
              <w:tc>
                <w:tcPr>
                  <w:tcW w:w="611" w:type="pct"/>
                  <w:tcBorders>
                    <w:top w:val="single" w:sz="6" w:space="0" w:color="BFBFBF"/>
                    <w:bottom w:val="single" w:sz="6" w:space="0" w:color="BFBFBF"/>
                  </w:tcBorders>
                </w:tcPr>
                <w:p w14:paraId="58D6740A" w14:textId="07FBCFCC" w:rsidR="00677207" w:rsidRDefault="00677207" w:rsidP="00677207">
                  <w:pPr>
                    <w:pStyle w:val="TableColumnHeading"/>
                  </w:pPr>
                  <w:r w:rsidRPr="00AC5269">
                    <w:t>Partnership form</w:t>
                  </w:r>
                </w:p>
              </w:tc>
              <w:tc>
                <w:tcPr>
                  <w:tcW w:w="525" w:type="pct"/>
                  <w:tcBorders>
                    <w:top w:val="single" w:sz="6" w:space="0" w:color="BFBFBF"/>
                    <w:bottom w:val="single" w:sz="6" w:space="0" w:color="BFBFBF"/>
                  </w:tcBorders>
                  <w:shd w:val="clear" w:color="auto" w:fill="auto"/>
                  <w:tcMar>
                    <w:top w:w="28" w:type="dxa"/>
                  </w:tcMar>
                </w:tcPr>
                <w:p w14:paraId="0BBD8EAF" w14:textId="625F6A1F" w:rsidR="00677207" w:rsidRDefault="00677207" w:rsidP="00677207">
                  <w:pPr>
                    <w:pStyle w:val="TableColumnHeading"/>
                  </w:pPr>
                  <w:r w:rsidRPr="00AC5269">
                    <w:t>Trust form</w:t>
                  </w:r>
                </w:p>
              </w:tc>
              <w:tc>
                <w:tcPr>
                  <w:tcW w:w="467" w:type="pct"/>
                  <w:tcBorders>
                    <w:top w:val="single" w:sz="6" w:space="0" w:color="BFBFBF"/>
                    <w:bottom w:val="single" w:sz="6" w:space="0" w:color="BFBFBF"/>
                  </w:tcBorders>
                  <w:shd w:val="clear" w:color="auto" w:fill="auto"/>
                  <w:tcMar>
                    <w:top w:w="28" w:type="dxa"/>
                  </w:tcMar>
                </w:tcPr>
                <w:p w14:paraId="021786BA" w14:textId="01771D21" w:rsidR="00677207" w:rsidRDefault="00677207" w:rsidP="00677207">
                  <w:pPr>
                    <w:pStyle w:val="TableColumnHeading"/>
                    <w:ind w:right="28"/>
                  </w:pPr>
                  <w:r w:rsidRPr="00AC5269">
                    <w:t>Individual form</w:t>
                  </w:r>
                </w:p>
              </w:tc>
            </w:tr>
            <w:tr w:rsidR="00A13B25" w14:paraId="2AF67DBF" w14:textId="77777777" w:rsidTr="00A13B25">
              <w:tc>
                <w:tcPr>
                  <w:tcW w:w="2748" w:type="pct"/>
                </w:tcPr>
                <w:p w14:paraId="35D93728" w14:textId="39652D7F" w:rsidR="00677207" w:rsidRPr="007630C8" w:rsidRDefault="00677207" w:rsidP="00D352EA">
                  <w:pPr>
                    <w:pStyle w:val="TableBodyText"/>
                    <w:jc w:val="left"/>
                    <w:rPr>
                      <w:b/>
                      <w:bCs/>
                    </w:rPr>
                  </w:pPr>
                  <w:r w:rsidRPr="007630C8">
                    <w:rPr>
                      <w:b/>
                      <w:bCs/>
                    </w:rPr>
                    <w:t xml:space="preserve">Business </w:t>
                  </w:r>
                  <w:r w:rsidR="007630C8" w:rsidRPr="007630C8">
                    <w:rPr>
                      <w:b/>
                      <w:bCs/>
                    </w:rPr>
                    <w:t>income</w:t>
                  </w:r>
                </w:p>
              </w:tc>
              <w:tc>
                <w:tcPr>
                  <w:tcW w:w="648" w:type="pct"/>
                </w:tcPr>
                <w:p w14:paraId="6925CAFA" w14:textId="77777777" w:rsidR="00677207" w:rsidRDefault="00677207" w:rsidP="00D352EA">
                  <w:pPr>
                    <w:pStyle w:val="TableBodyText"/>
                  </w:pPr>
                </w:p>
              </w:tc>
              <w:tc>
                <w:tcPr>
                  <w:tcW w:w="611" w:type="pct"/>
                </w:tcPr>
                <w:p w14:paraId="649627F4" w14:textId="77777777" w:rsidR="00677207" w:rsidRDefault="00677207" w:rsidP="00D352EA">
                  <w:pPr>
                    <w:pStyle w:val="TableBodyText"/>
                  </w:pPr>
                </w:p>
              </w:tc>
              <w:tc>
                <w:tcPr>
                  <w:tcW w:w="525" w:type="pct"/>
                </w:tcPr>
                <w:p w14:paraId="69E8C3AA" w14:textId="00D0C805" w:rsidR="00677207" w:rsidRDefault="00677207" w:rsidP="00D352EA">
                  <w:pPr>
                    <w:pStyle w:val="TableBodyText"/>
                  </w:pPr>
                </w:p>
              </w:tc>
              <w:tc>
                <w:tcPr>
                  <w:tcW w:w="467" w:type="pct"/>
                </w:tcPr>
                <w:p w14:paraId="21A751B6" w14:textId="77777777" w:rsidR="00677207" w:rsidRDefault="00677207" w:rsidP="00D352EA">
                  <w:pPr>
                    <w:pStyle w:val="TableBodyText"/>
                    <w:ind w:right="28"/>
                  </w:pPr>
                </w:p>
              </w:tc>
            </w:tr>
            <w:tr w:rsidR="00A13B25" w14:paraId="4AE96C2B" w14:textId="77777777" w:rsidTr="00A13B25">
              <w:tc>
                <w:tcPr>
                  <w:tcW w:w="2748" w:type="pct"/>
                </w:tcPr>
                <w:p w14:paraId="36F3B2E6" w14:textId="7E2777BD" w:rsidR="00DD6CBA" w:rsidRDefault="00DD6CBA" w:rsidP="00DD6CBA">
                  <w:pPr>
                    <w:pStyle w:val="TableBodyText"/>
                    <w:jc w:val="left"/>
                  </w:pPr>
                  <w:r w:rsidRPr="00171AC3">
                    <w:t xml:space="preserve">Other sales of goods and services </w:t>
                  </w:r>
                </w:p>
              </w:tc>
              <w:tc>
                <w:tcPr>
                  <w:tcW w:w="648" w:type="pct"/>
                </w:tcPr>
                <w:p w14:paraId="3E22FB3F" w14:textId="4B2984F2" w:rsidR="00DD6CBA" w:rsidRDefault="00DD6CBA" w:rsidP="00DD6CBA">
                  <w:pPr>
                    <w:pStyle w:val="TableBodyText"/>
                  </w:pPr>
                  <w:r w:rsidRPr="00612267">
                    <w:rPr>
                      <w:rFonts w:ascii="Wingdings" w:hAnsi="Wingdings"/>
                    </w:rPr>
                    <w:t></w:t>
                  </w:r>
                </w:p>
              </w:tc>
              <w:tc>
                <w:tcPr>
                  <w:tcW w:w="611" w:type="pct"/>
                </w:tcPr>
                <w:p w14:paraId="03021A6F" w14:textId="77777777" w:rsidR="00DD6CBA" w:rsidRDefault="00DD6CBA" w:rsidP="00DD6CBA">
                  <w:pPr>
                    <w:pStyle w:val="TableBodyText"/>
                  </w:pPr>
                </w:p>
              </w:tc>
              <w:tc>
                <w:tcPr>
                  <w:tcW w:w="525" w:type="pct"/>
                </w:tcPr>
                <w:p w14:paraId="5F0D639F" w14:textId="44581A9F" w:rsidR="00DD6CBA" w:rsidRDefault="00DD6CBA" w:rsidP="00DD6CBA">
                  <w:pPr>
                    <w:pStyle w:val="TableBodyText"/>
                  </w:pPr>
                </w:p>
              </w:tc>
              <w:tc>
                <w:tcPr>
                  <w:tcW w:w="467" w:type="pct"/>
                </w:tcPr>
                <w:p w14:paraId="1FB3AC65" w14:textId="77777777" w:rsidR="00DD6CBA" w:rsidRDefault="00DD6CBA" w:rsidP="00DD6CBA">
                  <w:pPr>
                    <w:pStyle w:val="TableBodyText"/>
                    <w:ind w:right="28"/>
                  </w:pPr>
                </w:p>
              </w:tc>
            </w:tr>
            <w:tr w:rsidR="00A13B25" w14:paraId="61F5EDAD" w14:textId="77777777" w:rsidTr="00A13B25">
              <w:tc>
                <w:tcPr>
                  <w:tcW w:w="2748" w:type="pct"/>
                </w:tcPr>
                <w:p w14:paraId="51648C2B" w14:textId="12DE185A" w:rsidR="00DD6CBA" w:rsidRDefault="00DD6CBA" w:rsidP="00DD6CBA">
                  <w:pPr>
                    <w:pStyle w:val="TableBodyText"/>
                    <w:jc w:val="left"/>
                  </w:pPr>
                  <w:r w:rsidRPr="00171AC3">
                    <w:t xml:space="preserve">Government industry payments assessable for tax (non-primary production) </w:t>
                  </w:r>
                </w:p>
              </w:tc>
              <w:tc>
                <w:tcPr>
                  <w:tcW w:w="648" w:type="pct"/>
                </w:tcPr>
                <w:p w14:paraId="19622C2F" w14:textId="77777777" w:rsidR="00DD6CBA" w:rsidRDefault="00DD6CBA" w:rsidP="00DD6CBA">
                  <w:pPr>
                    <w:pStyle w:val="TableBodyText"/>
                  </w:pPr>
                </w:p>
              </w:tc>
              <w:tc>
                <w:tcPr>
                  <w:tcW w:w="611" w:type="pct"/>
                </w:tcPr>
                <w:p w14:paraId="5A1F4F41" w14:textId="6D58DF67" w:rsidR="00DD6CBA" w:rsidRDefault="00DD6CBA" w:rsidP="00DD6CBA">
                  <w:pPr>
                    <w:pStyle w:val="TableBodyText"/>
                  </w:pPr>
                  <w:r w:rsidRPr="00612267">
                    <w:rPr>
                      <w:rFonts w:ascii="Wingdings" w:hAnsi="Wingdings"/>
                    </w:rPr>
                    <w:t></w:t>
                  </w:r>
                </w:p>
              </w:tc>
              <w:tc>
                <w:tcPr>
                  <w:tcW w:w="525" w:type="pct"/>
                </w:tcPr>
                <w:p w14:paraId="6645C364" w14:textId="057F60CB" w:rsidR="00DD6CBA" w:rsidRDefault="00DD6CBA" w:rsidP="00DD6CBA">
                  <w:pPr>
                    <w:pStyle w:val="TableBodyText"/>
                  </w:pPr>
                  <w:r w:rsidRPr="00612267">
                    <w:rPr>
                      <w:rFonts w:ascii="Wingdings" w:hAnsi="Wingdings"/>
                    </w:rPr>
                    <w:t></w:t>
                  </w:r>
                </w:p>
              </w:tc>
              <w:tc>
                <w:tcPr>
                  <w:tcW w:w="467" w:type="pct"/>
                </w:tcPr>
                <w:p w14:paraId="1D65B5A3" w14:textId="02B0EE4B" w:rsidR="00DD6CBA" w:rsidRDefault="00DD6CBA" w:rsidP="00DD6CBA">
                  <w:pPr>
                    <w:pStyle w:val="TableBodyText"/>
                    <w:ind w:right="28"/>
                  </w:pPr>
                  <w:r w:rsidRPr="00612267">
                    <w:rPr>
                      <w:rFonts w:ascii="Wingdings" w:hAnsi="Wingdings"/>
                    </w:rPr>
                    <w:t></w:t>
                  </w:r>
                </w:p>
              </w:tc>
            </w:tr>
            <w:tr w:rsidR="00A13B25" w14:paraId="64FDD400" w14:textId="77777777" w:rsidTr="00A13B25">
              <w:tc>
                <w:tcPr>
                  <w:tcW w:w="2748" w:type="pct"/>
                </w:tcPr>
                <w:p w14:paraId="234B7C51" w14:textId="58B25C9B" w:rsidR="00DD6CBA" w:rsidRDefault="00DD6CBA" w:rsidP="00DD6CBA">
                  <w:pPr>
                    <w:pStyle w:val="TableBodyText"/>
                    <w:jc w:val="left"/>
                  </w:pPr>
                  <w:r w:rsidRPr="00171AC3">
                    <w:t xml:space="preserve">Government industry payments assessable for tax (primary production) </w:t>
                  </w:r>
                </w:p>
              </w:tc>
              <w:tc>
                <w:tcPr>
                  <w:tcW w:w="648" w:type="pct"/>
                </w:tcPr>
                <w:p w14:paraId="21ED017A" w14:textId="77777777" w:rsidR="00DD6CBA" w:rsidRDefault="00DD6CBA" w:rsidP="00DD6CBA">
                  <w:pPr>
                    <w:pStyle w:val="TableBodyText"/>
                  </w:pPr>
                </w:p>
              </w:tc>
              <w:tc>
                <w:tcPr>
                  <w:tcW w:w="611" w:type="pct"/>
                </w:tcPr>
                <w:p w14:paraId="1C5E6054" w14:textId="4D978A57" w:rsidR="00DD6CBA" w:rsidRDefault="00DD6CBA" w:rsidP="00DD6CBA">
                  <w:pPr>
                    <w:pStyle w:val="TableBodyText"/>
                  </w:pPr>
                  <w:r w:rsidRPr="00612267">
                    <w:rPr>
                      <w:rFonts w:ascii="Wingdings" w:hAnsi="Wingdings"/>
                    </w:rPr>
                    <w:t></w:t>
                  </w:r>
                </w:p>
              </w:tc>
              <w:tc>
                <w:tcPr>
                  <w:tcW w:w="525" w:type="pct"/>
                </w:tcPr>
                <w:p w14:paraId="6BA23EC8" w14:textId="49A308E4" w:rsidR="00DD6CBA" w:rsidRDefault="00DD6CBA" w:rsidP="00DD6CBA">
                  <w:pPr>
                    <w:pStyle w:val="TableBodyText"/>
                  </w:pPr>
                  <w:r w:rsidRPr="00612267">
                    <w:rPr>
                      <w:rFonts w:ascii="Wingdings" w:hAnsi="Wingdings"/>
                    </w:rPr>
                    <w:t></w:t>
                  </w:r>
                </w:p>
              </w:tc>
              <w:tc>
                <w:tcPr>
                  <w:tcW w:w="467" w:type="pct"/>
                </w:tcPr>
                <w:p w14:paraId="4A4F730F" w14:textId="0E98F224" w:rsidR="00DD6CBA" w:rsidRDefault="00DD6CBA" w:rsidP="00DD6CBA">
                  <w:pPr>
                    <w:pStyle w:val="TableBodyText"/>
                    <w:ind w:right="28"/>
                  </w:pPr>
                  <w:r w:rsidRPr="00612267">
                    <w:rPr>
                      <w:rFonts w:ascii="Wingdings" w:hAnsi="Wingdings"/>
                    </w:rPr>
                    <w:t></w:t>
                  </w:r>
                </w:p>
              </w:tc>
            </w:tr>
            <w:tr w:rsidR="00A13B25" w14:paraId="4BE61304" w14:textId="77777777" w:rsidTr="00A13B25">
              <w:tc>
                <w:tcPr>
                  <w:tcW w:w="2748" w:type="pct"/>
                </w:tcPr>
                <w:p w14:paraId="1C402357" w14:textId="1C8E045B" w:rsidR="00DD6CBA" w:rsidRDefault="00DD6CBA" w:rsidP="00DD6CBA">
                  <w:pPr>
                    <w:pStyle w:val="TableBodyText"/>
                    <w:jc w:val="left"/>
                  </w:pPr>
                  <w:r w:rsidRPr="00171AC3">
                    <w:t>Total business income/non-primary production</w:t>
                  </w:r>
                </w:p>
              </w:tc>
              <w:tc>
                <w:tcPr>
                  <w:tcW w:w="648" w:type="pct"/>
                </w:tcPr>
                <w:p w14:paraId="639889E2" w14:textId="77777777" w:rsidR="00DD6CBA" w:rsidRDefault="00DD6CBA" w:rsidP="00DD6CBA">
                  <w:pPr>
                    <w:pStyle w:val="TableBodyText"/>
                  </w:pPr>
                </w:p>
              </w:tc>
              <w:tc>
                <w:tcPr>
                  <w:tcW w:w="611" w:type="pct"/>
                </w:tcPr>
                <w:p w14:paraId="1EBA63E3" w14:textId="0F49D028" w:rsidR="00DD6CBA" w:rsidRDefault="00DD6CBA" w:rsidP="00DD6CBA">
                  <w:pPr>
                    <w:pStyle w:val="TableBodyText"/>
                  </w:pPr>
                  <w:r w:rsidRPr="00612267">
                    <w:rPr>
                      <w:rFonts w:ascii="Wingdings" w:hAnsi="Wingdings"/>
                    </w:rPr>
                    <w:t></w:t>
                  </w:r>
                </w:p>
              </w:tc>
              <w:tc>
                <w:tcPr>
                  <w:tcW w:w="525" w:type="pct"/>
                </w:tcPr>
                <w:p w14:paraId="6DEE95AA" w14:textId="1DC351BF" w:rsidR="00DD6CBA" w:rsidRDefault="00DD6CBA" w:rsidP="00DD6CBA">
                  <w:pPr>
                    <w:pStyle w:val="TableBodyText"/>
                  </w:pPr>
                  <w:r w:rsidRPr="00612267">
                    <w:rPr>
                      <w:rFonts w:ascii="Wingdings" w:hAnsi="Wingdings"/>
                    </w:rPr>
                    <w:t></w:t>
                  </w:r>
                </w:p>
              </w:tc>
              <w:tc>
                <w:tcPr>
                  <w:tcW w:w="467" w:type="pct"/>
                </w:tcPr>
                <w:p w14:paraId="74F0908B" w14:textId="6923BD3D" w:rsidR="00DD6CBA" w:rsidRDefault="00DD6CBA" w:rsidP="00DD6CBA">
                  <w:pPr>
                    <w:pStyle w:val="TableBodyText"/>
                    <w:ind w:right="28"/>
                  </w:pPr>
                  <w:r w:rsidRPr="00612267">
                    <w:rPr>
                      <w:rFonts w:ascii="Wingdings" w:hAnsi="Wingdings"/>
                    </w:rPr>
                    <w:t></w:t>
                  </w:r>
                </w:p>
              </w:tc>
            </w:tr>
            <w:tr w:rsidR="00A13B25" w14:paraId="75A105BB" w14:textId="77777777" w:rsidTr="00A13B25">
              <w:tc>
                <w:tcPr>
                  <w:tcW w:w="2748" w:type="pct"/>
                </w:tcPr>
                <w:p w14:paraId="479A9879" w14:textId="1B1FB77C" w:rsidR="00DD6CBA" w:rsidRDefault="00DD6CBA" w:rsidP="00DD6CBA">
                  <w:pPr>
                    <w:pStyle w:val="TableBodyText"/>
                    <w:jc w:val="left"/>
                  </w:pPr>
                  <w:r w:rsidRPr="00171AC3">
                    <w:t xml:space="preserve">Total business income/primary production </w:t>
                  </w:r>
                </w:p>
              </w:tc>
              <w:tc>
                <w:tcPr>
                  <w:tcW w:w="648" w:type="pct"/>
                </w:tcPr>
                <w:p w14:paraId="10D83586" w14:textId="77777777" w:rsidR="00DD6CBA" w:rsidRDefault="00DD6CBA" w:rsidP="00DD6CBA">
                  <w:pPr>
                    <w:pStyle w:val="TableBodyText"/>
                  </w:pPr>
                </w:p>
              </w:tc>
              <w:tc>
                <w:tcPr>
                  <w:tcW w:w="611" w:type="pct"/>
                </w:tcPr>
                <w:p w14:paraId="518A07CE" w14:textId="2ACEE039" w:rsidR="00DD6CBA" w:rsidRDefault="00DD6CBA" w:rsidP="00DD6CBA">
                  <w:pPr>
                    <w:pStyle w:val="TableBodyText"/>
                  </w:pPr>
                  <w:r w:rsidRPr="00612267">
                    <w:rPr>
                      <w:rFonts w:ascii="Wingdings" w:hAnsi="Wingdings"/>
                    </w:rPr>
                    <w:t></w:t>
                  </w:r>
                </w:p>
              </w:tc>
              <w:tc>
                <w:tcPr>
                  <w:tcW w:w="525" w:type="pct"/>
                </w:tcPr>
                <w:p w14:paraId="375A5788" w14:textId="5D7CABD1" w:rsidR="00DD6CBA" w:rsidRDefault="00DD6CBA" w:rsidP="00DD6CBA">
                  <w:pPr>
                    <w:pStyle w:val="TableBodyText"/>
                  </w:pPr>
                  <w:r w:rsidRPr="00612267">
                    <w:rPr>
                      <w:rFonts w:ascii="Wingdings" w:hAnsi="Wingdings"/>
                    </w:rPr>
                    <w:t></w:t>
                  </w:r>
                </w:p>
              </w:tc>
              <w:tc>
                <w:tcPr>
                  <w:tcW w:w="467" w:type="pct"/>
                </w:tcPr>
                <w:p w14:paraId="1FDCD340" w14:textId="12D86B36" w:rsidR="00DD6CBA" w:rsidRDefault="00DD6CBA" w:rsidP="00DD6CBA">
                  <w:pPr>
                    <w:pStyle w:val="TableBodyText"/>
                    <w:ind w:right="28"/>
                  </w:pPr>
                  <w:r w:rsidRPr="00612267">
                    <w:rPr>
                      <w:rFonts w:ascii="Wingdings" w:hAnsi="Wingdings"/>
                    </w:rPr>
                    <w:t></w:t>
                  </w:r>
                </w:p>
              </w:tc>
            </w:tr>
            <w:tr w:rsidR="00A13B25" w14:paraId="7C083962" w14:textId="77777777" w:rsidTr="00A13B25">
              <w:tc>
                <w:tcPr>
                  <w:tcW w:w="2748" w:type="pct"/>
                </w:tcPr>
                <w:p w14:paraId="07B7F648" w14:textId="1395BAE1" w:rsidR="00DD6CBA" w:rsidRDefault="00DD6CBA" w:rsidP="00DD6CBA">
                  <w:pPr>
                    <w:pStyle w:val="TableBodyText"/>
                    <w:jc w:val="left"/>
                  </w:pPr>
                  <w:r w:rsidRPr="00171AC3">
                    <w:t>Total business income</w:t>
                  </w:r>
                </w:p>
              </w:tc>
              <w:tc>
                <w:tcPr>
                  <w:tcW w:w="648" w:type="pct"/>
                </w:tcPr>
                <w:p w14:paraId="376FD63D" w14:textId="722F0F6B" w:rsidR="00DD6CBA" w:rsidRDefault="00DD6CBA" w:rsidP="00DD6CBA">
                  <w:pPr>
                    <w:pStyle w:val="TableBodyText"/>
                  </w:pPr>
                  <w:r w:rsidRPr="00612267">
                    <w:rPr>
                      <w:rFonts w:ascii="Wingdings" w:hAnsi="Wingdings"/>
                    </w:rPr>
                    <w:t></w:t>
                  </w:r>
                </w:p>
              </w:tc>
              <w:tc>
                <w:tcPr>
                  <w:tcW w:w="611" w:type="pct"/>
                </w:tcPr>
                <w:p w14:paraId="587AB0D5" w14:textId="77777777" w:rsidR="00DD6CBA" w:rsidRDefault="00DD6CBA" w:rsidP="00DD6CBA">
                  <w:pPr>
                    <w:pStyle w:val="TableBodyText"/>
                  </w:pPr>
                </w:p>
              </w:tc>
              <w:tc>
                <w:tcPr>
                  <w:tcW w:w="525" w:type="pct"/>
                </w:tcPr>
                <w:p w14:paraId="75DED0F0" w14:textId="77777777" w:rsidR="00DD6CBA" w:rsidRDefault="00DD6CBA" w:rsidP="00DD6CBA">
                  <w:pPr>
                    <w:pStyle w:val="TableBodyText"/>
                  </w:pPr>
                </w:p>
              </w:tc>
              <w:tc>
                <w:tcPr>
                  <w:tcW w:w="467" w:type="pct"/>
                </w:tcPr>
                <w:p w14:paraId="0002872B" w14:textId="126F793B" w:rsidR="00DD6CBA" w:rsidRDefault="00DD6CBA" w:rsidP="00DD6CBA">
                  <w:pPr>
                    <w:pStyle w:val="TableBodyText"/>
                    <w:ind w:right="28"/>
                  </w:pPr>
                  <w:r w:rsidRPr="00612267">
                    <w:rPr>
                      <w:rFonts w:ascii="Wingdings" w:hAnsi="Wingdings"/>
                    </w:rPr>
                    <w:t></w:t>
                  </w:r>
                </w:p>
              </w:tc>
            </w:tr>
            <w:tr w:rsidR="00A13B25" w14:paraId="04CCEDAC" w14:textId="77777777" w:rsidTr="00D72D1D">
              <w:tc>
                <w:tcPr>
                  <w:tcW w:w="2748" w:type="pct"/>
                </w:tcPr>
                <w:p w14:paraId="28F90D43" w14:textId="598A7B90" w:rsidR="00DD6CBA" w:rsidRDefault="00DD6CBA" w:rsidP="00DD6CBA">
                  <w:pPr>
                    <w:pStyle w:val="TableBodyText"/>
                    <w:jc w:val="left"/>
                  </w:pPr>
                  <w:r w:rsidRPr="00171AC3">
                    <w:t>Gross distribution from partnerships</w:t>
                  </w:r>
                </w:p>
              </w:tc>
              <w:tc>
                <w:tcPr>
                  <w:tcW w:w="648" w:type="pct"/>
                </w:tcPr>
                <w:p w14:paraId="757E8EA4" w14:textId="30B326D2" w:rsidR="00DD6CBA" w:rsidRDefault="00DD6CBA" w:rsidP="00DD6CBA">
                  <w:pPr>
                    <w:pStyle w:val="TableBodyText"/>
                  </w:pPr>
                  <w:r w:rsidRPr="00612267">
                    <w:rPr>
                      <w:rFonts w:ascii="Wingdings" w:hAnsi="Wingdings"/>
                    </w:rPr>
                    <w:t></w:t>
                  </w:r>
                </w:p>
              </w:tc>
              <w:tc>
                <w:tcPr>
                  <w:tcW w:w="611" w:type="pct"/>
                </w:tcPr>
                <w:p w14:paraId="1333187A" w14:textId="77777777" w:rsidR="00DD6CBA" w:rsidRDefault="00DD6CBA" w:rsidP="00DD6CBA">
                  <w:pPr>
                    <w:pStyle w:val="TableBodyText"/>
                  </w:pPr>
                </w:p>
              </w:tc>
              <w:tc>
                <w:tcPr>
                  <w:tcW w:w="525" w:type="pct"/>
                </w:tcPr>
                <w:p w14:paraId="2A3EAD34" w14:textId="77777777" w:rsidR="00DD6CBA" w:rsidRDefault="00DD6CBA" w:rsidP="00DD6CBA">
                  <w:pPr>
                    <w:pStyle w:val="TableBodyText"/>
                  </w:pPr>
                </w:p>
              </w:tc>
              <w:tc>
                <w:tcPr>
                  <w:tcW w:w="467" w:type="pct"/>
                </w:tcPr>
                <w:p w14:paraId="4187762A" w14:textId="77777777" w:rsidR="00DD6CBA" w:rsidRDefault="00DD6CBA" w:rsidP="00DD6CBA">
                  <w:pPr>
                    <w:pStyle w:val="TableBodyText"/>
                    <w:ind w:right="28"/>
                  </w:pPr>
                </w:p>
              </w:tc>
            </w:tr>
            <w:tr w:rsidR="00A13B25" w14:paraId="4D8F51D0" w14:textId="77777777" w:rsidTr="00D72D1D">
              <w:tc>
                <w:tcPr>
                  <w:tcW w:w="2748" w:type="pct"/>
                  <w:shd w:val="clear" w:color="auto" w:fill="auto"/>
                </w:tcPr>
                <w:p w14:paraId="4D42DEEE" w14:textId="63E50228" w:rsidR="00DD6CBA" w:rsidRDefault="00DD6CBA" w:rsidP="00DD6CBA">
                  <w:pPr>
                    <w:pStyle w:val="TableBodyText"/>
                    <w:jc w:val="left"/>
                  </w:pPr>
                  <w:r w:rsidRPr="00171AC3">
                    <w:t>Gross distribution from trusts</w:t>
                  </w:r>
                </w:p>
              </w:tc>
              <w:tc>
                <w:tcPr>
                  <w:tcW w:w="648" w:type="pct"/>
                </w:tcPr>
                <w:p w14:paraId="196F226F" w14:textId="63909763" w:rsidR="00DD6CBA" w:rsidRDefault="00DD6CBA" w:rsidP="00DD6CBA">
                  <w:pPr>
                    <w:pStyle w:val="TableBodyText"/>
                  </w:pPr>
                  <w:r w:rsidRPr="00612267">
                    <w:rPr>
                      <w:rFonts w:ascii="Wingdings" w:hAnsi="Wingdings"/>
                    </w:rPr>
                    <w:t></w:t>
                  </w:r>
                </w:p>
              </w:tc>
              <w:tc>
                <w:tcPr>
                  <w:tcW w:w="611" w:type="pct"/>
                </w:tcPr>
                <w:p w14:paraId="526A8731" w14:textId="77777777" w:rsidR="00DD6CBA" w:rsidRDefault="00DD6CBA" w:rsidP="00DD6CBA">
                  <w:pPr>
                    <w:pStyle w:val="TableBodyText"/>
                  </w:pPr>
                </w:p>
              </w:tc>
              <w:tc>
                <w:tcPr>
                  <w:tcW w:w="525" w:type="pct"/>
                  <w:shd w:val="clear" w:color="auto" w:fill="auto"/>
                </w:tcPr>
                <w:p w14:paraId="5788CB39" w14:textId="57361FB0" w:rsidR="00DD6CBA" w:rsidRDefault="00DD6CBA" w:rsidP="00DD6CBA">
                  <w:pPr>
                    <w:pStyle w:val="TableBodyText"/>
                  </w:pPr>
                </w:p>
              </w:tc>
              <w:tc>
                <w:tcPr>
                  <w:tcW w:w="467" w:type="pct"/>
                  <w:shd w:val="clear" w:color="auto" w:fill="auto"/>
                </w:tcPr>
                <w:p w14:paraId="35E92DD0" w14:textId="77777777" w:rsidR="00DD6CBA" w:rsidRDefault="00DD6CBA" w:rsidP="00DD6CBA">
                  <w:pPr>
                    <w:pStyle w:val="TableBodyText"/>
                    <w:ind w:right="28"/>
                  </w:pPr>
                </w:p>
              </w:tc>
            </w:tr>
            <w:tr w:rsidR="00A13B25" w14:paraId="03222058" w14:textId="77777777" w:rsidTr="00D72D1D">
              <w:tc>
                <w:tcPr>
                  <w:tcW w:w="2748" w:type="pct"/>
                  <w:shd w:val="clear" w:color="auto" w:fill="auto"/>
                </w:tcPr>
                <w:p w14:paraId="51A7CDDF" w14:textId="4F3F7296" w:rsidR="00DD6CBA" w:rsidRPr="00171AC3" w:rsidRDefault="00DD6CBA" w:rsidP="00DD6CBA">
                  <w:pPr>
                    <w:pStyle w:val="TableBodyText"/>
                    <w:jc w:val="left"/>
                  </w:pPr>
                  <w:r w:rsidRPr="00171AC3">
                    <w:t>Gross payments where ABN not quoted</w:t>
                  </w:r>
                </w:p>
              </w:tc>
              <w:tc>
                <w:tcPr>
                  <w:tcW w:w="648" w:type="pct"/>
                </w:tcPr>
                <w:p w14:paraId="2D91C20C" w14:textId="501BD22F" w:rsidR="00DD6CBA" w:rsidRPr="00612267" w:rsidRDefault="00DD6CBA" w:rsidP="00DD6CBA">
                  <w:pPr>
                    <w:pStyle w:val="TableBodyText"/>
                    <w:rPr>
                      <w:rFonts w:ascii="Wingdings" w:hAnsi="Wingdings"/>
                    </w:rPr>
                  </w:pPr>
                  <w:r w:rsidRPr="00612267">
                    <w:rPr>
                      <w:rFonts w:ascii="Wingdings" w:hAnsi="Wingdings"/>
                    </w:rPr>
                    <w:t></w:t>
                  </w:r>
                </w:p>
              </w:tc>
              <w:tc>
                <w:tcPr>
                  <w:tcW w:w="611" w:type="pct"/>
                </w:tcPr>
                <w:p w14:paraId="4BCE1EA0" w14:textId="77777777" w:rsidR="00DD6CBA" w:rsidRDefault="00DD6CBA" w:rsidP="00DD6CBA">
                  <w:pPr>
                    <w:pStyle w:val="TableBodyText"/>
                  </w:pPr>
                </w:p>
              </w:tc>
              <w:tc>
                <w:tcPr>
                  <w:tcW w:w="525" w:type="pct"/>
                  <w:shd w:val="clear" w:color="auto" w:fill="auto"/>
                </w:tcPr>
                <w:p w14:paraId="3D79B8EA" w14:textId="77777777" w:rsidR="00DD6CBA" w:rsidRDefault="00DD6CBA" w:rsidP="00DD6CBA">
                  <w:pPr>
                    <w:pStyle w:val="TableBodyText"/>
                  </w:pPr>
                </w:p>
              </w:tc>
              <w:tc>
                <w:tcPr>
                  <w:tcW w:w="467" w:type="pct"/>
                  <w:shd w:val="clear" w:color="auto" w:fill="auto"/>
                </w:tcPr>
                <w:p w14:paraId="01B7CC38" w14:textId="77777777" w:rsidR="00DD6CBA" w:rsidRDefault="00DD6CBA" w:rsidP="00DD6CBA">
                  <w:pPr>
                    <w:pStyle w:val="TableBodyText"/>
                    <w:ind w:right="28"/>
                  </w:pPr>
                </w:p>
              </w:tc>
            </w:tr>
            <w:tr w:rsidR="00A13B25" w14:paraId="476D1F93" w14:textId="77777777" w:rsidTr="00A13B25">
              <w:tc>
                <w:tcPr>
                  <w:tcW w:w="2748" w:type="pct"/>
                  <w:shd w:val="clear" w:color="auto" w:fill="auto"/>
                </w:tcPr>
                <w:p w14:paraId="6C44EB22" w14:textId="4061175B" w:rsidR="00DD6CBA" w:rsidRPr="00171AC3" w:rsidRDefault="00DD6CBA" w:rsidP="00DD6CBA">
                  <w:pPr>
                    <w:pStyle w:val="TableBodyText"/>
                    <w:jc w:val="left"/>
                  </w:pPr>
                  <w:r w:rsidRPr="00171AC3">
                    <w:t>Gross Payments Where Australian Business Number Not Quoted - Non-Primary Production</w:t>
                  </w:r>
                </w:p>
              </w:tc>
              <w:tc>
                <w:tcPr>
                  <w:tcW w:w="648" w:type="pct"/>
                </w:tcPr>
                <w:p w14:paraId="2AFD7070" w14:textId="77777777" w:rsidR="00DD6CBA" w:rsidRPr="00612267" w:rsidRDefault="00DD6CBA" w:rsidP="00DD6CBA">
                  <w:pPr>
                    <w:pStyle w:val="TableBodyText"/>
                    <w:rPr>
                      <w:rFonts w:ascii="Wingdings" w:hAnsi="Wingdings"/>
                    </w:rPr>
                  </w:pPr>
                </w:p>
              </w:tc>
              <w:tc>
                <w:tcPr>
                  <w:tcW w:w="611" w:type="pct"/>
                </w:tcPr>
                <w:p w14:paraId="57CF408B" w14:textId="77777777" w:rsidR="00DD6CBA" w:rsidRDefault="00DD6CBA" w:rsidP="00DD6CBA">
                  <w:pPr>
                    <w:pStyle w:val="TableBodyText"/>
                  </w:pPr>
                </w:p>
              </w:tc>
              <w:tc>
                <w:tcPr>
                  <w:tcW w:w="525" w:type="pct"/>
                  <w:shd w:val="clear" w:color="auto" w:fill="auto"/>
                </w:tcPr>
                <w:p w14:paraId="44EBF5C1" w14:textId="77777777" w:rsidR="00DD6CBA" w:rsidRDefault="00DD6CBA" w:rsidP="00DD6CBA">
                  <w:pPr>
                    <w:pStyle w:val="TableBodyText"/>
                  </w:pPr>
                </w:p>
              </w:tc>
              <w:tc>
                <w:tcPr>
                  <w:tcW w:w="467" w:type="pct"/>
                  <w:shd w:val="clear" w:color="auto" w:fill="auto"/>
                </w:tcPr>
                <w:p w14:paraId="2B3FBE1D" w14:textId="67C9C670" w:rsidR="00DD6CBA" w:rsidRDefault="00DD6CBA" w:rsidP="00DD6CBA">
                  <w:pPr>
                    <w:pStyle w:val="TableBodyText"/>
                    <w:ind w:right="28"/>
                  </w:pPr>
                  <w:r w:rsidRPr="00612267">
                    <w:rPr>
                      <w:rFonts w:ascii="Wingdings" w:hAnsi="Wingdings"/>
                    </w:rPr>
                    <w:t></w:t>
                  </w:r>
                </w:p>
              </w:tc>
            </w:tr>
            <w:tr w:rsidR="00A13B25" w14:paraId="1B453F0A" w14:textId="77777777" w:rsidTr="00A13B25">
              <w:tc>
                <w:tcPr>
                  <w:tcW w:w="2748" w:type="pct"/>
                  <w:shd w:val="clear" w:color="auto" w:fill="auto"/>
                </w:tcPr>
                <w:p w14:paraId="5205E524" w14:textId="26BCEB4B" w:rsidR="003C5E6B" w:rsidRPr="00171AC3" w:rsidRDefault="003C5E6B" w:rsidP="003C5E6B">
                  <w:pPr>
                    <w:pStyle w:val="TableBodyText"/>
                    <w:jc w:val="left"/>
                  </w:pPr>
                  <w:r w:rsidRPr="00171AC3">
                    <w:t>Gross Payments Where Australian Business Number Not Quoted - Primary Production</w:t>
                  </w:r>
                </w:p>
              </w:tc>
              <w:tc>
                <w:tcPr>
                  <w:tcW w:w="648" w:type="pct"/>
                </w:tcPr>
                <w:p w14:paraId="473477EF" w14:textId="77777777" w:rsidR="003C5E6B" w:rsidRPr="00612267" w:rsidRDefault="003C5E6B" w:rsidP="003C5E6B">
                  <w:pPr>
                    <w:pStyle w:val="TableBodyText"/>
                    <w:rPr>
                      <w:rFonts w:ascii="Wingdings" w:hAnsi="Wingdings"/>
                    </w:rPr>
                  </w:pPr>
                </w:p>
              </w:tc>
              <w:tc>
                <w:tcPr>
                  <w:tcW w:w="611" w:type="pct"/>
                </w:tcPr>
                <w:p w14:paraId="42E9EE35" w14:textId="77777777" w:rsidR="003C5E6B" w:rsidRDefault="003C5E6B" w:rsidP="003C5E6B">
                  <w:pPr>
                    <w:pStyle w:val="TableBodyText"/>
                  </w:pPr>
                </w:p>
              </w:tc>
              <w:tc>
                <w:tcPr>
                  <w:tcW w:w="525" w:type="pct"/>
                  <w:shd w:val="clear" w:color="auto" w:fill="auto"/>
                </w:tcPr>
                <w:p w14:paraId="23642DB0" w14:textId="77777777" w:rsidR="003C5E6B" w:rsidRDefault="003C5E6B" w:rsidP="003C5E6B">
                  <w:pPr>
                    <w:pStyle w:val="TableBodyText"/>
                  </w:pPr>
                </w:p>
              </w:tc>
              <w:tc>
                <w:tcPr>
                  <w:tcW w:w="467" w:type="pct"/>
                  <w:shd w:val="clear" w:color="auto" w:fill="auto"/>
                </w:tcPr>
                <w:p w14:paraId="553988E3" w14:textId="389B71D1" w:rsidR="003C5E6B" w:rsidRPr="00612267" w:rsidRDefault="003C5E6B" w:rsidP="003C5E6B">
                  <w:pPr>
                    <w:pStyle w:val="TableBodyText"/>
                    <w:ind w:right="28"/>
                    <w:rPr>
                      <w:rFonts w:ascii="Wingdings" w:hAnsi="Wingdings"/>
                    </w:rPr>
                  </w:pPr>
                  <w:r w:rsidRPr="00612267">
                    <w:rPr>
                      <w:rFonts w:ascii="Wingdings" w:hAnsi="Wingdings"/>
                    </w:rPr>
                    <w:t></w:t>
                  </w:r>
                </w:p>
              </w:tc>
            </w:tr>
            <w:tr w:rsidR="00A13B25" w14:paraId="0009F9F5" w14:textId="77777777" w:rsidTr="00A13B25">
              <w:tc>
                <w:tcPr>
                  <w:tcW w:w="2748" w:type="pct"/>
                  <w:shd w:val="clear" w:color="auto" w:fill="auto"/>
                </w:tcPr>
                <w:p w14:paraId="2A5F76E2" w14:textId="3E6A2309" w:rsidR="003C5E6B" w:rsidRPr="00171AC3" w:rsidRDefault="003C5E6B" w:rsidP="003C5E6B">
                  <w:pPr>
                    <w:pStyle w:val="TableBodyText"/>
                    <w:jc w:val="left"/>
                  </w:pPr>
                  <w:r w:rsidRPr="00171AC3">
                    <w:t>Gross rent and other leasing and hiring income</w:t>
                  </w:r>
                </w:p>
              </w:tc>
              <w:tc>
                <w:tcPr>
                  <w:tcW w:w="648" w:type="pct"/>
                </w:tcPr>
                <w:p w14:paraId="2B6089C4" w14:textId="08CEEE62" w:rsidR="003C5E6B" w:rsidRPr="00612267" w:rsidRDefault="003C5E6B" w:rsidP="003C5E6B">
                  <w:pPr>
                    <w:pStyle w:val="TableBodyText"/>
                    <w:rPr>
                      <w:rFonts w:ascii="Wingdings" w:hAnsi="Wingdings"/>
                    </w:rPr>
                  </w:pPr>
                  <w:r w:rsidRPr="00612267">
                    <w:rPr>
                      <w:rFonts w:ascii="Wingdings" w:hAnsi="Wingdings"/>
                    </w:rPr>
                    <w:t></w:t>
                  </w:r>
                </w:p>
              </w:tc>
              <w:tc>
                <w:tcPr>
                  <w:tcW w:w="611" w:type="pct"/>
                </w:tcPr>
                <w:p w14:paraId="3191F53D" w14:textId="77777777" w:rsidR="003C5E6B" w:rsidRDefault="003C5E6B" w:rsidP="003C5E6B">
                  <w:pPr>
                    <w:pStyle w:val="TableBodyText"/>
                  </w:pPr>
                </w:p>
              </w:tc>
              <w:tc>
                <w:tcPr>
                  <w:tcW w:w="525" w:type="pct"/>
                  <w:shd w:val="clear" w:color="auto" w:fill="auto"/>
                </w:tcPr>
                <w:p w14:paraId="4779FCDD" w14:textId="77777777" w:rsidR="003C5E6B" w:rsidRDefault="003C5E6B" w:rsidP="003C5E6B">
                  <w:pPr>
                    <w:pStyle w:val="TableBodyText"/>
                  </w:pPr>
                </w:p>
              </w:tc>
              <w:tc>
                <w:tcPr>
                  <w:tcW w:w="467" w:type="pct"/>
                  <w:shd w:val="clear" w:color="auto" w:fill="auto"/>
                </w:tcPr>
                <w:p w14:paraId="2DE6885C" w14:textId="77777777" w:rsidR="003C5E6B" w:rsidRPr="00612267" w:rsidRDefault="003C5E6B" w:rsidP="003C5E6B">
                  <w:pPr>
                    <w:pStyle w:val="TableBodyText"/>
                    <w:ind w:right="28"/>
                    <w:rPr>
                      <w:rFonts w:ascii="Wingdings" w:hAnsi="Wingdings"/>
                    </w:rPr>
                  </w:pPr>
                </w:p>
              </w:tc>
            </w:tr>
            <w:tr w:rsidR="00A13B25" w14:paraId="58014293" w14:textId="77777777" w:rsidTr="00A13B25">
              <w:tc>
                <w:tcPr>
                  <w:tcW w:w="2748" w:type="pct"/>
                  <w:shd w:val="clear" w:color="auto" w:fill="auto"/>
                </w:tcPr>
                <w:p w14:paraId="70547A29" w14:textId="059BDE7A" w:rsidR="003C5E6B" w:rsidRPr="00171AC3" w:rsidRDefault="003C5E6B" w:rsidP="003C5E6B">
                  <w:pPr>
                    <w:pStyle w:val="TableBodyText"/>
                    <w:jc w:val="left"/>
                  </w:pPr>
                  <w:r w:rsidRPr="00171AC3">
                    <w:t>Other gross income</w:t>
                  </w:r>
                </w:p>
              </w:tc>
              <w:tc>
                <w:tcPr>
                  <w:tcW w:w="648" w:type="pct"/>
                </w:tcPr>
                <w:p w14:paraId="73DF5B98" w14:textId="47B29CA0" w:rsidR="003C5E6B" w:rsidRPr="00612267" w:rsidRDefault="003C5E6B" w:rsidP="003C5E6B">
                  <w:pPr>
                    <w:pStyle w:val="TableBodyText"/>
                    <w:rPr>
                      <w:rFonts w:ascii="Wingdings" w:hAnsi="Wingdings"/>
                    </w:rPr>
                  </w:pPr>
                  <w:r w:rsidRPr="00612267">
                    <w:rPr>
                      <w:rFonts w:ascii="Wingdings" w:hAnsi="Wingdings"/>
                    </w:rPr>
                    <w:t></w:t>
                  </w:r>
                </w:p>
              </w:tc>
              <w:tc>
                <w:tcPr>
                  <w:tcW w:w="611" w:type="pct"/>
                </w:tcPr>
                <w:p w14:paraId="5AC9DB37" w14:textId="77777777" w:rsidR="003C5E6B" w:rsidRDefault="003C5E6B" w:rsidP="003C5E6B">
                  <w:pPr>
                    <w:pStyle w:val="TableBodyText"/>
                  </w:pPr>
                </w:p>
              </w:tc>
              <w:tc>
                <w:tcPr>
                  <w:tcW w:w="525" w:type="pct"/>
                  <w:shd w:val="clear" w:color="auto" w:fill="auto"/>
                </w:tcPr>
                <w:p w14:paraId="0CEBB6B5" w14:textId="77777777" w:rsidR="003C5E6B" w:rsidRDefault="003C5E6B" w:rsidP="003C5E6B">
                  <w:pPr>
                    <w:pStyle w:val="TableBodyText"/>
                  </w:pPr>
                </w:p>
              </w:tc>
              <w:tc>
                <w:tcPr>
                  <w:tcW w:w="467" w:type="pct"/>
                  <w:shd w:val="clear" w:color="auto" w:fill="auto"/>
                </w:tcPr>
                <w:p w14:paraId="49CCFC8B" w14:textId="77777777" w:rsidR="003C5E6B" w:rsidRPr="00612267" w:rsidRDefault="003C5E6B" w:rsidP="003C5E6B">
                  <w:pPr>
                    <w:pStyle w:val="TableBodyText"/>
                    <w:ind w:right="28"/>
                    <w:rPr>
                      <w:rFonts w:ascii="Wingdings" w:hAnsi="Wingdings"/>
                    </w:rPr>
                  </w:pPr>
                </w:p>
              </w:tc>
            </w:tr>
            <w:tr w:rsidR="00A13B25" w14:paraId="03D98312" w14:textId="77777777" w:rsidTr="00A13B25">
              <w:tc>
                <w:tcPr>
                  <w:tcW w:w="2748" w:type="pct"/>
                  <w:shd w:val="clear" w:color="auto" w:fill="auto"/>
                </w:tcPr>
                <w:p w14:paraId="5AB9BAB4" w14:textId="2A2F89B5" w:rsidR="003C5E6B" w:rsidRPr="00171AC3" w:rsidRDefault="003C5E6B" w:rsidP="003C5E6B">
                  <w:pPr>
                    <w:pStyle w:val="TableBodyText"/>
                    <w:jc w:val="left"/>
                  </w:pPr>
                  <w:r w:rsidRPr="00171AC3">
                    <w:t xml:space="preserve">Gross Payments – Labour Hire </w:t>
                  </w:r>
                  <w:proofErr w:type="gramStart"/>
                  <w:r w:rsidRPr="00171AC3">
                    <w:t>Or</w:t>
                  </w:r>
                  <w:proofErr w:type="gramEnd"/>
                  <w:r w:rsidRPr="00171AC3">
                    <w:t xml:space="preserve"> Other Specified Payments - Non-Primary Production</w:t>
                  </w:r>
                </w:p>
              </w:tc>
              <w:tc>
                <w:tcPr>
                  <w:tcW w:w="648" w:type="pct"/>
                </w:tcPr>
                <w:p w14:paraId="223C6A8D" w14:textId="77777777" w:rsidR="003C5E6B" w:rsidRPr="00612267" w:rsidRDefault="003C5E6B" w:rsidP="003C5E6B">
                  <w:pPr>
                    <w:pStyle w:val="TableBodyText"/>
                    <w:rPr>
                      <w:rFonts w:ascii="Wingdings" w:hAnsi="Wingdings"/>
                    </w:rPr>
                  </w:pPr>
                </w:p>
              </w:tc>
              <w:tc>
                <w:tcPr>
                  <w:tcW w:w="611" w:type="pct"/>
                </w:tcPr>
                <w:p w14:paraId="02D070ED" w14:textId="77777777" w:rsidR="003C5E6B" w:rsidRDefault="003C5E6B" w:rsidP="003C5E6B">
                  <w:pPr>
                    <w:pStyle w:val="TableBodyText"/>
                  </w:pPr>
                </w:p>
              </w:tc>
              <w:tc>
                <w:tcPr>
                  <w:tcW w:w="525" w:type="pct"/>
                  <w:shd w:val="clear" w:color="auto" w:fill="auto"/>
                </w:tcPr>
                <w:p w14:paraId="1188F570" w14:textId="77777777" w:rsidR="003C5E6B" w:rsidRDefault="003C5E6B" w:rsidP="003C5E6B">
                  <w:pPr>
                    <w:pStyle w:val="TableBodyText"/>
                  </w:pPr>
                </w:p>
              </w:tc>
              <w:tc>
                <w:tcPr>
                  <w:tcW w:w="467" w:type="pct"/>
                  <w:shd w:val="clear" w:color="auto" w:fill="auto"/>
                </w:tcPr>
                <w:p w14:paraId="4E3C8C27" w14:textId="7CC2A796" w:rsidR="003C5E6B" w:rsidRPr="00612267" w:rsidRDefault="003C5E6B" w:rsidP="003C5E6B">
                  <w:pPr>
                    <w:pStyle w:val="TableBodyText"/>
                    <w:ind w:right="28"/>
                    <w:rPr>
                      <w:rFonts w:ascii="Wingdings" w:hAnsi="Wingdings"/>
                    </w:rPr>
                  </w:pPr>
                  <w:r w:rsidRPr="00612267">
                    <w:rPr>
                      <w:rFonts w:ascii="Wingdings" w:hAnsi="Wingdings"/>
                    </w:rPr>
                    <w:t></w:t>
                  </w:r>
                </w:p>
              </w:tc>
            </w:tr>
            <w:tr w:rsidR="00A13B25" w14:paraId="378AA6E4" w14:textId="77777777" w:rsidTr="00A13B25">
              <w:tc>
                <w:tcPr>
                  <w:tcW w:w="2748" w:type="pct"/>
                  <w:shd w:val="clear" w:color="auto" w:fill="auto"/>
                </w:tcPr>
                <w:p w14:paraId="7CA7EFE3" w14:textId="52A42698" w:rsidR="003C5E6B" w:rsidRPr="00171AC3" w:rsidRDefault="003C5E6B" w:rsidP="003C5E6B">
                  <w:pPr>
                    <w:pStyle w:val="TableBodyText"/>
                    <w:jc w:val="left"/>
                  </w:pPr>
                  <w:r w:rsidRPr="00171AC3">
                    <w:t xml:space="preserve">Business Income/Gross </w:t>
                  </w:r>
                  <w:proofErr w:type="spellStart"/>
                  <w:r w:rsidRPr="00171AC3">
                    <w:t>Pmt</w:t>
                  </w:r>
                  <w:proofErr w:type="spellEnd"/>
                  <w:r w:rsidRPr="00171AC3">
                    <w:t xml:space="preserve"> - Voluntary Agreement - Pp</w:t>
                  </w:r>
                </w:p>
              </w:tc>
              <w:tc>
                <w:tcPr>
                  <w:tcW w:w="648" w:type="pct"/>
                </w:tcPr>
                <w:p w14:paraId="51AAD2DF" w14:textId="77777777" w:rsidR="003C5E6B" w:rsidRPr="00612267" w:rsidRDefault="003C5E6B" w:rsidP="003C5E6B">
                  <w:pPr>
                    <w:pStyle w:val="TableBodyText"/>
                    <w:rPr>
                      <w:rFonts w:ascii="Wingdings" w:hAnsi="Wingdings"/>
                    </w:rPr>
                  </w:pPr>
                </w:p>
              </w:tc>
              <w:tc>
                <w:tcPr>
                  <w:tcW w:w="611" w:type="pct"/>
                </w:tcPr>
                <w:p w14:paraId="21689526" w14:textId="77777777" w:rsidR="003C5E6B" w:rsidRDefault="003C5E6B" w:rsidP="003C5E6B">
                  <w:pPr>
                    <w:pStyle w:val="TableBodyText"/>
                  </w:pPr>
                </w:p>
              </w:tc>
              <w:tc>
                <w:tcPr>
                  <w:tcW w:w="525" w:type="pct"/>
                  <w:shd w:val="clear" w:color="auto" w:fill="auto"/>
                </w:tcPr>
                <w:p w14:paraId="442E8801" w14:textId="77777777" w:rsidR="003C5E6B" w:rsidRDefault="003C5E6B" w:rsidP="003C5E6B">
                  <w:pPr>
                    <w:pStyle w:val="TableBodyText"/>
                  </w:pPr>
                </w:p>
              </w:tc>
              <w:tc>
                <w:tcPr>
                  <w:tcW w:w="467" w:type="pct"/>
                  <w:shd w:val="clear" w:color="auto" w:fill="auto"/>
                </w:tcPr>
                <w:p w14:paraId="482466DA" w14:textId="7E696DDB" w:rsidR="003C5E6B" w:rsidRPr="00612267" w:rsidRDefault="003C5E6B" w:rsidP="003C5E6B">
                  <w:pPr>
                    <w:pStyle w:val="TableBodyText"/>
                    <w:ind w:right="28"/>
                    <w:rPr>
                      <w:rFonts w:ascii="Wingdings" w:hAnsi="Wingdings"/>
                    </w:rPr>
                  </w:pPr>
                  <w:r w:rsidRPr="00612267">
                    <w:rPr>
                      <w:rFonts w:ascii="Wingdings" w:hAnsi="Wingdings"/>
                    </w:rPr>
                    <w:t></w:t>
                  </w:r>
                </w:p>
              </w:tc>
            </w:tr>
            <w:tr w:rsidR="00A13B25" w14:paraId="19D89BBB" w14:textId="77777777" w:rsidTr="00A13B25">
              <w:tc>
                <w:tcPr>
                  <w:tcW w:w="2748" w:type="pct"/>
                  <w:shd w:val="clear" w:color="auto" w:fill="auto"/>
                </w:tcPr>
                <w:p w14:paraId="27FA9D0F" w14:textId="2DA86631" w:rsidR="003C5E6B" w:rsidRPr="00FB58E7" w:rsidRDefault="003C5E6B" w:rsidP="003C5E6B">
                  <w:pPr>
                    <w:pStyle w:val="TableBodyText"/>
                    <w:jc w:val="left"/>
                    <w:rPr>
                      <w:spacing w:val="-2"/>
                    </w:rPr>
                  </w:pPr>
                  <w:r w:rsidRPr="00FB58E7">
                    <w:rPr>
                      <w:spacing w:val="-2"/>
                    </w:rPr>
                    <w:t xml:space="preserve">Business Income/Gross </w:t>
                  </w:r>
                  <w:proofErr w:type="spellStart"/>
                  <w:r w:rsidRPr="00FB58E7">
                    <w:rPr>
                      <w:spacing w:val="-2"/>
                    </w:rPr>
                    <w:t>Pmt</w:t>
                  </w:r>
                  <w:proofErr w:type="spellEnd"/>
                  <w:r w:rsidRPr="00FB58E7">
                    <w:rPr>
                      <w:spacing w:val="-2"/>
                    </w:rPr>
                    <w:t xml:space="preserve"> - Voluntary Agreement - </w:t>
                  </w:r>
                  <w:proofErr w:type="spellStart"/>
                  <w:r w:rsidRPr="00FB58E7">
                    <w:rPr>
                      <w:spacing w:val="-2"/>
                    </w:rPr>
                    <w:t>Npp</w:t>
                  </w:r>
                  <w:proofErr w:type="spellEnd"/>
                </w:p>
              </w:tc>
              <w:tc>
                <w:tcPr>
                  <w:tcW w:w="648" w:type="pct"/>
                </w:tcPr>
                <w:p w14:paraId="546804C4" w14:textId="77777777" w:rsidR="003C5E6B" w:rsidRPr="00612267" w:rsidRDefault="003C5E6B" w:rsidP="003C5E6B">
                  <w:pPr>
                    <w:pStyle w:val="TableBodyText"/>
                    <w:rPr>
                      <w:rFonts w:ascii="Wingdings" w:hAnsi="Wingdings"/>
                    </w:rPr>
                  </w:pPr>
                </w:p>
              </w:tc>
              <w:tc>
                <w:tcPr>
                  <w:tcW w:w="611" w:type="pct"/>
                </w:tcPr>
                <w:p w14:paraId="358BB583" w14:textId="77777777" w:rsidR="003C5E6B" w:rsidRDefault="003C5E6B" w:rsidP="003C5E6B">
                  <w:pPr>
                    <w:pStyle w:val="TableBodyText"/>
                  </w:pPr>
                </w:p>
              </w:tc>
              <w:tc>
                <w:tcPr>
                  <w:tcW w:w="525" w:type="pct"/>
                  <w:shd w:val="clear" w:color="auto" w:fill="auto"/>
                </w:tcPr>
                <w:p w14:paraId="4BBF220E" w14:textId="77777777" w:rsidR="003C5E6B" w:rsidRDefault="003C5E6B" w:rsidP="003C5E6B">
                  <w:pPr>
                    <w:pStyle w:val="TableBodyText"/>
                  </w:pPr>
                </w:p>
              </w:tc>
              <w:tc>
                <w:tcPr>
                  <w:tcW w:w="467" w:type="pct"/>
                  <w:shd w:val="clear" w:color="auto" w:fill="auto"/>
                </w:tcPr>
                <w:p w14:paraId="7E8A4727" w14:textId="3065348D" w:rsidR="003C5E6B" w:rsidRPr="00612267" w:rsidRDefault="003C5E6B" w:rsidP="003C5E6B">
                  <w:pPr>
                    <w:pStyle w:val="TableBodyText"/>
                    <w:ind w:right="28"/>
                    <w:rPr>
                      <w:rFonts w:ascii="Wingdings" w:hAnsi="Wingdings"/>
                    </w:rPr>
                  </w:pPr>
                  <w:r w:rsidRPr="00612267">
                    <w:rPr>
                      <w:rFonts w:ascii="Wingdings" w:hAnsi="Wingdings"/>
                    </w:rPr>
                    <w:t></w:t>
                  </w:r>
                </w:p>
              </w:tc>
            </w:tr>
            <w:tr w:rsidR="00A13B25" w14:paraId="396C071D" w14:textId="77777777" w:rsidTr="00A13B25">
              <w:tc>
                <w:tcPr>
                  <w:tcW w:w="2748" w:type="pct"/>
                  <w:shd w:val="clear" w:color="auto" w:fill="auto"/>
                </w:tcPr>
                <w:p w14:paraId="2246FFA4" w14:textId="359DDB64" w:rsidR="003C5E6B" w:rsidRPr="00171AC3" w:rsidRDefault="003C5E6B" w:rsidP="003C5E6B">
                  <w:pPr>
                    <w:pStyle w:val="TableBodyText"/>
                    <w:jc w:val="left"/>
                  </w:pPr>
                  <w:r w:rsidRPr="00171AC3">
                    <w:t xml:space="preserve">Gross Payments – Labour Hire </w:t>
                  </w:r>
                  <w:proofErr w:type="gramStart"/>
                  <w:r w:rsidRPr="00171AC3">
                    <w:t>Or</w:t>
                  </w:r>
                  <w:proofErr w:type="gramEnd"/>
                  <w:r w:rsidRPr="00171AC3">
                    <w:t xml:space="preserve"> Other Specified Payments - Primary Production</w:t>
                  </w:r>
                </w:p>
              </w:tc>
              <w:tc>
                <w:tcPr>
                  <w:tcW w:w="648" w:type="pct"/>
                </w:tcPr>
                <w:p w14:paraId="18C9FCF0" w14:textId="77777777" w:rsidR="003C5E6B" w:rsidRPr="00612267" w:rsidRDefault="003C5E6B" w:rsidP="003C5E6B">
                  <w:pPr>
                    <w:pStyle w:val="TableBodyText"/>
                    <w:rPr>
                      <w:rFonts w:ascii="Wingdings" w:hAnsi="Wingdings"/>
                    </w:rPr>
                  </w:pPr>
                </w:p>
              </w:tc>
              <w:tc>
                <w:tcPr>
                  <w:tcW w:w="611" w:type="pct"/>
                </w:tcPr>
                <w:p w14:paraId="17F94C2C" w14:textId="77777777" w:rsidR="003C5E6B" w:rsidRDefault="003C5E6B" w:rsidP="003C5E6B">
                  <w:pPr>
                    <w:pStyle w:val="TableBodyText"/>
                  </w:pPr>
                </w:p>
              </w:tc>
              <w:tc>
                <w:tcPr>
                  <w:tcW w:w="525" w:type="pct"/>
                  <w:shd w:val="clear" w:color="auto" w:fill="auto"/>
                </w:tcPr>
                <w:p w14:paraId="51EBE450" w14:textId="77777777" w:rsidR="003C5E6B" w:rsidRDefault="003C5E6B" w:rsidP="003C5E6B">
                  <w:pPr>
                    <w:pStyle w:val="TableBodyText"/>
                  </w:pPr>
                </w:p>
              </w:tc>
              <w:tc>
                <w:tcPr>
                  <w:tcW w:w="467" w:type="pct"/>
                  <w:shd w:val="clear" w:color="auto" w:fill="auto"/>
                </w:tcPr>
                <w:p w14:paraId="61A2B0F8" w14:textId="03F660D3" w:rsidR="003C5E6B" w:rsidRPr="00612267" w:rsidRDefault="003C5E6B" w:rsidP="003C5E6B">
                  <w:pPr>
                    <w:pStyle w:val="TableBodyText"/>
                    <w:ind w:right="28"/>
                    <w:rPr>
                      <w:rFonts w:ascii="Wingdings" w:hAnsi="Wingdings"/>
                    </w:rPr>
                  </w:pPr>
                  <w:r w:rsidRPr="00612267">
                    <w:rPr>
                      <w:rFonts w:ascii="Wingdings" w:hAnsi="Wingdings"/>
                    </w:rPr>
                    <w:t></w:t>
                  </w:r>
                </w:p>
              </w:tc>
            </w:tr>
            <w:tr w:rsidR="00A13B25" w14:paraId="445B3D70" w14:textId="77777777" w:rsidTr="00A13B25">
              <w:tc>
                <w:tcPr>
                  <w:tcW w:w="2748" w:type="pct"/>
                  <w:shd w:val="clear" w:color="auto" w:fill="auto"/>
                </w:tcPr>
                <w:p w14:paraId="4869A2D1" w14:textId="1DED3BCC" w:rsidR="003C5E6B" w:rsidRPr="00171AC3" w:rsidRDefault="003C5E6B" w:rsidP="003C5E6B">
                  <w:pPr>
                    <w:pStyle w:val="TableBodyText"/>
                    <w:jc w:val="left"/>
                  </w:pPr>
                  <w:r w:rsidRPr="00171AC3">
                    <w:t>Assessable government industry payments</w:t>
                  </w:r>
                </w:p>
              </w:tc>
              <w:tc>
                <w:tcPr>
                  <w:tcW w:w="648" w:type="pct"/>
                </w:tcPr>
                <w:p w14:paraId="17980ACA" w14:textId="311BBCFA" w:rsidR="003C5E6B" w:rsidRPr="00612267" w:rsidRDefault="003C5E6B" w:rsidP="003C5E6B">
                  <w:pPr>
                    <w:pStyle w:val="TableBodyText"/>
                    <w:rPr>
                      <w:rFonts w:ascii="Wingdings" w:hAnsi="Wingdings"/>
                    </w:rPr>
                  </w:pPr>
                  <w:r w:rsidRPr="00612267">
                    <w:rPr>
                      <w:rFonts w:ascii="Wingdings" w:hAnsi="Wingdings"/>
                    </w:rPr>
                    <w:t></w:t>
                  </w:r>
                </w:p>
              </w:tc>
              <w:tc>
                <w:tcPr>
                  <w:tcW w:w="611" w:type="pct"/>
                </w:tcPr>
                <w:p w14:paraId="3EE29936" w14:textId="77777777" w:rsidR="003C5E6B" w:rsidRDefault="003C5E6B" w:rsidP="003C5E6B">
                  <w:pPr>
                    <w:pStyle w:val="TableBodyText"/>
                  </w:pPr>
                </w:p>
              </w:tc>
              <w:tc>
                <w:tcPr>
                  <w:tcW w:w="525" w:type="pct"/>
                  <w:shd w:val="clear" w:color="auto" w:fill="auto"/>
                </w:tcPr>
                <w:p w14:paraId="161C7E71" w14:textId="77777777" w:rsidR="003C5E6B" w:rsidRDefault="003C5E6B" w:rsidP="003C5E6B">
                  <w:pPr>
                    <w:pStyle w:val="TableBodyText"/>
                  </w:pPr>
                </w:p>
              </w:tc>
              <w:tc>
                <w:tcPr>
                  <w:tcW w:w="467" w:type="pct"/>
                  <w:shd w:val="clear" w:color="auto" w:fill="auto"/>
                </w:tcPr>
                <w:p w14:paraId="5E2B7603" w14:textId="77777777" w:rsidR="003C5E6B" w:rsidRPr="00612267" w:rsidRDefault="003C5E6B" w:rsidP="003C5E6B">
                  <w:pPr>
                    <w:pStyle w:val="TableBodyText"/>
                    <w:ind w:right="28"/>
                    <w:rPr>
                      <w:rFonts w:ascii="Wingdings" w:hAnsi="Wingdings"/>
                    </w:rPr>
                  </w:pPr>
                </w:p>
              </w:tc>
            </w:tr>
            <w:tr w:rsidR="00A13B25" w14:paraId="2AE4B329" w14:textId="77777777" w:rsidTr="00A13B25">
              <w:tc>
                <w:tcPr>
                  <w:tcW w:w="2748" w:type="pct"/>
                  <w:shd w:val="clear" w:color="auto" w:fill="auto"/>
                </w:tcPr>
                <w:p w14:paraId="3A923550" w14:textId="102DA1AF" w:rsidR="003C5E6B" w:rsidRPr="00171AC3" w:rsidRDefault="003C5E6B" w:rsidP="003C5E6B">
                  <w:pPr>
                    <w:pStyle w:val="TableBodyText"/>
                    <w:jc w:val="left"/>
                  </w:pPr>
                  <w:r w:rsidRPr="00171AC3">
                    <w:t>Gross payments subject to foreign resident withholding</w:t>
                  </w:r>
                </w:p>
              </w:tc>
              <w:tc>
                <w:tcPr>
                  <w:tcW w:w="648" w:type="pct"/>
                </w:tcPr>
                <w:p w14:paraId="161418E1" w14:textId="41A06867" w:rsidR="003C5E6B" w:rsidRPr="00612267" w:rsidRDefault="003C5E6B" w:rsidP="003C5E6B">
                  <w:pPr>
                    <w:pStyle w:val="TableBodyText"/>
                    <w:rPr>
                      <w:rFonts w:ascii="Wingdings" w:hAnsi="Wingdings"/>
                    </w:rPr>
                  </w:pPr>
                  <w:r w:rsidRPr="00612267">
                    <w:rPr>
                      <w:rFonts w:ascii="Wingdings" w:hAnsi="Wingdings"/>
                    </w:rPr>
                    <w:t></w:t>
                  </w:r>
                </w:p>
              </w:tc>
              <w:tc>
                <w:tcPr>
                  <w:tcW w:w="611" w:type="pct"/>
                </w:tcPr>
                <w:p w14:paraId="1C0B28E9" w14:textId="77777777" w:rsidR="003C5E6B" w:rsidRDefault="003C5E6B" w:rsidP="003C5E6B">
                  <w:pPr>
                    <w:pStyle w:val="TableBodyText"/>
                  </w:pPr>
                </w:p>
              </w:tc>
              <w:tc>
                <w:tcPr>
                  <w:tcW w:w="525" w:type="pct"/>
                  <w:shd w:val="clear" w:color="auto" w:fill="auto"/>
                </w:tcPr>
                <w:p w14:paraId="732D3CD2" w14:textId="77777777" w:rsidR="003C5E6B" w:rsidRDefault="003C5E6B" w:rsidP="003C5E6B">
                  <w:pPr>
                    <w:pStyle w:val="TableBodyText"/>
                  </w:pPr>
                </w:p>
              </w:tc>
              <w:tc>
                <w:tcPr>
                  <w:tcW w:w="467" w:type="pct"/>
                  <w:shd w:val="clear" w:color="auto" w:fill="auto"/>
                </w:tcPr>
                <w:p w14:paraId="29833DC0" w14:textId="77777777" w:rsidR="003C5E6B" w:rsidRPr="00612267" w:rsidRDefault="003C5E6B" w:rsidP="003C5E6B">
                  <w:pPr>
                    <w:pStyle w:val="TableBodyText"/>
                    <w:ind w:right="28"/>
                    <w:rPr>
                      <w:rFonts w:ascii="Wingdings" w:hAnsi="Wingdings"/>
                    </w:rPr>
                  </w:pPr>
                </w:p>
              </w:tc>
            </w:tr>
            <w:tr w:rsidR="00A13B25" w14:paraId="358E02B8" w14:textId="77777777" w:rsidTr="00A13B25">
              <w:tc>
                <w:tcPr>
                  <w:tcW w:w="2748" w:type="pct"/>
                  <w:shd w:val="clear" w:color="auto" w:fill="auto"/>
                </w:tcPr>
                <w:p w14:paraId="750D8F2B" w14:textId="41D2093D" w:rsidR="003C5E6B" w:rsidRPr="00171AC3" w:rsidRDefault="003C5E6B" w:rsidP="003C5E6B">
                  <w:pPr>
                    <w:pStyle w:val="TableBodyText"/>
                    <w:jc w:val="left"/>
                  </w:pPr>
                  <w:r w:rsidRPr="00171AC3">
                    <w:t>Income from financial arrangements (TOFA)</w:t>
                  </w:r>
                </w:p>
              </w:tc>
              <w:tc>
                <w:tcPr>
                  <w:tcW w:w="648" w:type="pct"/>
                </w:tcPr>
                <w:p w14:paraId="243A6400" w14:textId="31B9507D" w:rsidR="003C5E6B" w:rsidRPr="00612267" w:rsidRDefault="003C5E6B" w:rsidP="003C5E6B">
                  <w:pPr>
                    <w:pStyle w:val="TableBodyText"/>
                    <w:rPr>
                      <w:rFonts w:ascii="Wingdings" w:hAnsi="Wingdings"/>
                    </w:rPr>
                  </w:pPr>
                  <w:r w:rsidRPr="00612267">
                    <w:rPr>
                      <w:rFonts w:ascii="Wingdings" w:hAnsi="Wingdings"/>
                    </w:rPr>
                    <w:t></w:t>
                  </w:r>
                </w:p>
              </w:tc>
              <w:tc>
                <w:tcPr>
                  <w:tcW w:w="611" w:type="pct"/>
                </w:tcPr>
                <w:p w14:paraId="6F1B25BF" w14:textId="77777777" w:rsidR="003C5E6B" w:rsidRDefault="003C5E6B" w:rsidP="003C5E6B">
                  <w:pPr>
                    <w:pStyle w:val="TableBodyText"/>
                  </w:pPr>
                </w:p>
              </w:tc>
              <w:tc>
                <w:tcPr>
                  <w:tcW w:w="525" w:type="pct"/>
                  <w:shd w:val="clear" w:color="auto" w:fill="auto"/>
                </w:tcPr>
                <w:p w14:paraId="7F83F0BE" w14:textId="77777777" w:rsidR="003C5E6B" w:rsidRDefault="003C5E6B" w:rsidP="003C5E6B">
                  <w:pPr>
                    <w:pStyle w:val="TableBodyText"/>
                  </w:pPr>
                </w:p>
              </w:tc>
              <w:tc>
                <w:tcPr>
                  <w:tcW w:w="467" w:type="pct"/>
                  <w:shd w:val="clear" w:color="auto" w:fill="auto"/>
                </w:tcPr>
                <w:p w14:paraId="03B799A5" w14:textId="77777777" w:rsidR="003C5E6B" w:rsidRPr="00612267" w:rsidRDefault="003C5E6B" w:rsidP="003C5E6B">
                  <w:pPr>
                    <w:pStyle w:val="TableBodyText"/>
                    <w:ind w:right="28"/>
                    <w:rPr>
                      <w:rFonts w:ascii="Wingdings" w:hAnsi="Wingdings"/>
                    </w:rPr>
                  </w:pPr>
                </w:p>
              </w:tc>
            </w:tr>
            <w:tr w:rsidR="00A13B25" w14:paraId="74C10F72" w14:textId="77777777" w:rsidTr="00A13B25">
              <w:tc>
                <w:tcPr>
                  <w:tcW w:w="2748" w:type="pct"/>
                  <w:shd w:val="clear" w:color="auto" w:fill="auto"/>
                </w:tcPr>
                <w:p w14:paraId="1FB22D78" w14:textId="2D519165" w:rsidR="003C5E6B" w:rsidRPr="00171AC3" w:rsidRDefault="003C5E6B" w:rsidP="003C5E6B">
                  <w:pPr>
                    <w:pStyle w:val="TableBodyText"/>
                    <w:jc w:val="left"/>
                  </w:pPr>
                  <w:r w:rsidRPr="00171AC3">
                    <w:t>Unrealised gains on revaluation of assets to fair value</w:t>
                  </w:r>
                </w:p>
              </w:tc>
              <w:tc>
                <w:tcPr>
                  <w:tcW w:w="648" w:type="pct"/>
                </w:tcPr>
                <w:p w14:paraId="11870F31" w14:textId="2D439C32" w:rsidR="003C5E6B" w:rsidRPr="00612267" w:rsidRDefault="003C5E6B" w:rsidP="003C5E6B">
                  <w:pPr>
                    <w:pStyle w:val="TableBodyText"/>
                    <w:rPr>
                      <w:rFonts w:ascii="Wingdings" w:hAnsi="Wingdings"/>
                    </w:rPr>
                  </w:pPr>
                  <w:r w:rsidRPr="00612267">
                    <w:rPr>
                      <w:rFonts w:ascii="Wingdings" w:hAnsi="Wingdings"/>
                    </w:rPr>
                    <w:t></w:t>
                  </w:r>
                </w:p>
              </w:tc>
              <w:tc>
                <w:tcPr>
                  <w:tcW w:w="611" w:type="pct"/>
                </w:tcPr>
                <w:p w14:paraId="055E7FEE" w14:textId="77777777" w:rsidR="003C5E6B" w:rsidRDefault="003C5E6B" w:rsidP="003C5E6B">
                  <w:pPr>
                    <w:pStyle w:val="TableBodyText"/>
                  </w:pPr>
                </w:p>
              </w:tc>
              <w:tc>
                <w:tcPr>
                  <w:tcW w:w="525" w:type="pct"/>
                  <w:shd w:val="clear" w:color="auto" w:fill="auto"/>
                </w:tcPr>
                <w:p w14:paraId="155E789F" w14:textId="77777777" w:rsidR="003C5E6B" w:rsidRDefault="003C5E6B" w:rsidP="003C5E6B">
                  <w:pPr>
                    <w:pStyle w:val="TableBodyText"/>
                  </w:pPr>
                </w:p>
              </w:tc>
              <w:tc>
                <w:tcPr>
                  <w:tcW w:w="467" w:type="pct"/>
                  <w:shd w:val="clear" w:color="auto" w:fill="auto"/>
                </w:tcPr>
                <w:p w14:paraId="64463736" w14:textId="77777777" w:rsidR="003C5E6B" w:rsidRPr="00612267" w:rsidRDefault="003C5E6B" w:rsidP="003C5E6B">
                  <w:pPr>
                    <w:pStyle w:val="TableBodyText"/>
                    <w:ind w:right="28"/>
                    <w:rPr>
                      <w:rFonts w:ascii="Wingdings" w:hAnsi="Wingdings"/>
                    </w:rPr>
                  </w:pPr>
                </w:p>
              </w:tc>
            </w:tr>
            <w:tr w:rsidR="00A13B25" w14:paraId="3C565157" w14:textId="77777777" w:rsidTr="00A13B25">
              <w:tc>
                <w:tcPr>
                  <w:tcW w:w="2748" w:type="pct"/>
                  <w:shd w:val="clear" w:color="auto" w:fill="auto"/>
                </w:tcPr>
                <w:p w14:paraId="2E80C27D" w14:textId="15CBEF1A" w:rsidR="003C5E6B" w:rsidRPr="00171AC3" w:rsidRDefault="003C5E6B" w:rsidP="003C5E6B">
                  <w:pPr>
                    <w:pStyle w:val="TableBodyText"/>
                    <w:jc w:val="left"/>
                  </w:pPr>
                  <w:r w:rsidRPr="00171AC3">
                    <w:t>Total dividends</w:t>
                  </w:r>
                </w:p>
              </w:tc>
              <w:tc>
                <w:tcPr>
                  <w:tcW w:w="648" w:type="pct"/>
                </w:tcPr>
                <w:p w14:paraId="1CB2122D" w14:textId="4BA0701E" w:rsidR="003C5E6B" w:rsidRPr="00612267" w:rsidRDefault="003C5E6B" w:rsidP="003C5E6B">
                  <w:pPr>
                    <w:pStyle w:val="TableBodyText"/>
                    <w:rPr>
                      <w:rFonts w:ascii="Wingdings" w:hAnsi="Wingdings"/>
                    </w:rPr>
                  </w:pPr>
                  <w:r w:rsidRPr="00612267">
                    <w:rPr>
                      <w:rFonts w:ascii="Wingdings" w:hAnsi="Wingdings"/>
                    </w:rPr>
                    <w:t></w:t>
                  </w:r>
                </w:p>
              </w:tc>
              <w:tc>
                <w:tcPr>
                  <w:tcW w:w="611" w:type="pct"/>
                </w:tcPr>
                <w:p w14:paraId="766FF6E0" w14:textId="77777777" w:rsidR="003C5E6B" w:rsidRDefault="003C5E6B" w:rsidP="003C5E6B">
                  <w:pPr>
                    <w:pStyle w:val="TableBodyText"/>
                  </w:pPr>
                </w:p>
              </w:tc>
              <w:tc>
                <w:tcPr>
                  <w:tcW w:w="525" w:type="pct"/>
                  <w:shd w:val="clear" w:color="auto" w:fill="auto"/>
                </w:tcPr>
                <w:p w14:paraId="405EE7DC" w14:textId="77777777" w:rsidR="003C5E6B" w:rsidRDefault="003C5E6B" w:rsidP="003C5E6B">
                  <w:pPr>
                    <w:pStyle w:val="TableBodyText"/>
                  </w:pPr>
                </w:p>
              </w:tc>
              <w:tc>
                <w:tcPr>
                  <w:tcW w:w="467" w:type="pct"/>
                  <w:shd w:val="clear" w:color="auto" w:fill="auto"/>
                </w:tcPr>
                <w:p w14:paraId="13F1BFC3" w14:textId="77777777" w:rsidR="003C5E6B" w:rsidRPr="00612267" w:rsidRDefault="003C5E6B" w:rsidP="003C5E6B">
                  <w:pPr>
                    <w:pStyle w:val="TableBodyText"/>
                    <w:ind w:right="28"/>
                    <w:rPr>
                      <w:rFonts w:ascii="Wingdings" w:hAnsi="Wingdings"/>
                    </w:rPr>
                  </w:pPr>
                </w:p>
              </w:tc>
            </w:tr>
            <w:tr w:rsidR="00A13B25" w14:paraId="66E3560A" w14:textId="77777777" w:rsidTr="00A13B25">
              <w:tc>
                <w:tcPr>
                  <w:tcW w:w="2748" w:type="pct"/>
                  <w:shd w:val="clear" w:color="auto" w:fill="auto"/>
                </w:tcPr>
                <w:p w14:paraId="79237164" w14:textId="64FA0729" w:rsidR="003C5E6B" w:rsidRPr="00171AC3" w:rsidRDefault="003C5E6B" w:rsidP="003C5E6B">
                  <w:pPr>
                    <w:pStyle w:val="TableBodyText"/>
                    <w:jc w:val="left"/>
                  </w:pPr>
                  <w:r w:rsidRPr="00171AC3">
                    <w:t>Forestry managed investment scheme income</w:t>
                  </w:r>
                </w:p>
              </w:tc>
              <w:tc>
                <w:tcPr>
                  <w:tcW w:w="648" w:type="pct"/>
                </w:tcPr>
                <w:p w14:paraId="5FC1FA78" w14:textId="66F1AF0C" w:rsidR="003C5E6B" w:rsidRPr="00612267" w:rsidRDefault="003C5E6B" w:rsidP="003C5E6B">
                  <w:pPr>
                    <w:pStyle w:val="TableBodyText"/>
                    <w:rPr>
                      <w:rFonts w:ascii="Wingdings" w:hAnsi="Wingdings"/>
                    </w:rPr>
                  </w:pPr>
                  <w:r w:rsidRPr="00612267">
                    <w:rPr>
                      <w:rFonts w:ascii="Wingdings" w:hAnsi="Wingdings"/>
                    </w:rPr>
                    <w:t></w:t>
                  </w:r>
                </w:p>
              </w:tc>
              <w:tc>
                <w:tcPr>
                  <w:tcW w:w="611" w:type="pct"/>
                </w:tcPr>
                <w:p w14:paraId="2FB2B239" w14:textId="77777777" w:rsidR="003C5E6B" w:rsidRDefault="003C5E6B" w:rsidP="003C5E6B">
                  <w:pPr>
                    <w:pStyle w:val="TableBodyText"/>
                  </w:pPr>
                </w:p>
              </w:tc>
              <w:tc>
                <w:tcPr>
                  <w:tcW w:w="525" w:type="pct"/>
                  <w:shd w:val="clear" w:color="auto" w:fill="auto"/>
                </w:tcPr>
                <w:p w14:paraId="756C0C5F" w14:textId="77777777" w:rsidR="003C5E6B" w:rsidRDefault="003C5E6B" w:rsidP="003C5E6B">
                  <w:pPr>
                    <w:pStyle w:val="TableBodyText"/>
                  </w:pPr>
                </w:p>
              </w:tc>
              <w:tc>
                <w:tcPr>
                  <w:tcW w:w="467" w:type="pct"/>
                  <w:shd w:val="clear" w:color="auto" w:fill="auto"/>
                </w:tcPr>
                <w:p w14:paraId="4D238648" w14:textId="77777777" w:rsidR="003C5E6B" w:rsidRPr="00612267" w:rsidRDefault="003C5E6B" w:rsidP="003C5E6B">
                  <w:pPr>
                    <w:pStyle w:val="TableBodyText"/>
                    <w:ind w:right="28"/>
                    <w:rPr>
                      <w:rFonts w:ascii="Wingdings" w:hAnsi="Wingdings"/>
                    </w:rPr>
                  </w:pPr>
                </w:p>
              </w:tc>
            </w:tr>
            <w:tr w:rsidR="00A13B25" w14:paraId="0C770E88" w14:textId="77777777" w:rsidTr="00A13B25">
              <w:tc>
                <w:tcPr>
                  <w:tcW w:w="2748" w:type="pct"/>
                  <w:shd w:val="clear" w:color="auto" w:fill="auto"/>
                </w:tcPr>
                <w:p w14:paraId="597CFF6A" w14:textId="60D54290" w:rsidR="003C5E6B" w:rsidRPr="00171AC3" w:rsidRDefault="003C5E6B" w:rsidP="003C5E6B">
                  <w:pPr>
                    <w:pStyle w:val="TableBodyText"/>
                    <w:jc w:val="left"/>
                  </w:pPr>
                  <w:r w:rsidRPr="00171AC3">
                    <w:t>Fringe benefit employee contributions</w:t>
                  </w:r>
                </w:p>
              </w:tc>
              <w:tc>
                <w:tcPr>
                  <w:tcW w:w="648" w:type="pct"/>
                </w:tcPr>
                <w:p w14:paraId="2B5F6E69" w14:textId="70677B08" w:rsidR="003C5E6B" w:rsidRPr="00612267" w:rsidRDefault="003C5E6B" w:rsidP="003C5E6B">
                  <w:pPr>
                    <w:pStyle w:val="TableBodyText"/>
                    <w:rPr>
                      <w:rFonts w:ascii="Wingdings" w:hAnsi="Wingdings"/>
                    </w:rPr>
                  </w:pPr>
                  <w:r w:rsidRPr="00612267">
                    <w:rPr>
                      <w:rFonts w:ascii="Wingdings" w:hAnsi="Wingdings"/>
                    </w:rPr>
                    <w:t></w:t>
                  </w:r>
                </w:p>
              </w:tc>
              <w:tc>
                <w:tcPr>
                  <w:tcW w:w="611" w:type="pct"/>
                </w:tcPr>
                <w:p w14:paraId="071B7103" w14:textId="4CE7D140" w:rsidR="003C5E6B" w:rsidRDefault="003C5E6B" w:rsidP="003C5E6B">
                  <w:pPr>
                    <w:pStyle w:val="TableBodyText"/>
                  </w:pPr>
                  <w:r w:rsidRPr="00612267">
                    <w:rPr>
                      <w:rFonts w:ascii="Wingdings" w:hAnsi="Wingdings"/>
                    </w:rPr>
                    <w:t></w:t>
                  </w:r>
                </w:p>
              </w:tc>
              <w:tc>
                <w:tcPr>
                  <w:tcW w:w="525" w:type="pct"/>
                  <w:shd w:val="clear" w:color="auto" w:fill="auto"/>
                </w:tcPr>
                <w:p w14:paraId="42CB42C7" w14:textId="74535B17" w:rsidR="003C5E6B" w:rsidRDefault="003C5E6B" w:rsidP="003C5E6B">
                  <w:pPr>
                    <w:pStyle w:val="TableBodyText"/>
                  </w:pPr>
                  <w:r w:rsidRPr="00612267">
                    <w:rPr>
                      <w:rFonts w:ascii="Wingdings" w:hAnsi="Wingdings"/>
                    </w:rPr>
                    <w:t></w:t>
                  </w:r>
                </w:p>
              </w:tc>
              <w:tc>
                <w:tcPr>
                  <w:tcW w:w="467" w:type="pct"/>
                  <w:shd w:val="clear" w:color="auto" w:fill="auto"/>
                </w:tcPr>
                <w:p w14:paraId="0ACD9919" w14:textId="77777777" w:rsidR="003C5E6B" w:rsidRPr="00612267" w:rsidRDefault="003C5E6B" w:rsidP="003C5E6B">
                  <w:pPr>
                    <w:pStyle w:val="TableBodyText"/>
                    <w:ind w:right="28"/>
                    <w:rPr>
                      <w:rFonts w:ascii="Wingdings" w:hAnsi="Wingdings"/>
                    </w:rPr>
                  </w:pPr>
                </w:p>
              </w:tc>
            </w:tr>
            <w:tr w:rsidR="00A13B25" w14:paraId="3AADA19B" w14:textId="77777777" w:rsidTr="00A13B25">
              <w:tc>
                <w:tcPr>
                  <w:tcW w:w="2748" w:type="pct"/>
                  <w:shd w:val="clear" w:color="auto" w:fill="auto"/>
                </w:tcPr>
                <w:p w14:paraId="285CEEC0" w14:textId="39EE7E19" w:rsidR="009C31E6" w:rsidRPr="00171AC3" w:rsidRDefault="009C31E6" w:rsidP="009C31E6">
                  <w:pPr>
                    <w:pStyle w:val="TableBodyText"/>
                    <w:jc w:val="left"/>
                  </w:pPr>
                  <w:r w:rsidRPr="00171AC3">
                    <w:t>Gross interest</w:t>
                  </w:r>
                </w:p>
              </w:tc>
              <w:tc>
                <w:tcPr>
                  <w:tcW w:w="648" w:type="pct"/>
                </w:tcPr>
                <w:p w14:paraId="103FF85F" w14:textId="0D6852C9" w:rsidR="009C31E6" w:rsidRPr="00612267" w:rsidRDefault="009C31E6" w:rsidP="009C31E6">
                  <w:pPr>
                    <w:pStyle w:val="TableBodyText"/>
                    <w:rPr>
                      <w:rFonts w:ascii="Wingdings" w:hAnsi="Wingdings"/>
                    </w:rPr>
                  </w:pPr>
                  <w:r w:rsidRPr="00612267">
                    <w:rPr>
                      <w:rFonts w:ascii="Wingdings" w:hAnsi="Wingdings"/>
                    </w:rPr>
                    <w:t></w:t>
                  </w:r>
                </w:p>
              </w:tc>
              <w:tc>
                <w:tcPr>
                  <w:tcW w:w="611" w:type="pct"/>
                </w:tcPr>
                <w:p w14:paraId="012805F8" w14:textId="763CAA5B" w:rsidR="009C31E6" w:rsidRDefault="009C31E6" w:rsidP="009C31E6">
                  <w:pPr>
                    <w:pStyle w:val="TableBodyText"/>
                  </w:pPr>
                  <w:r w:rsidRPr="00612267">
                    <w:rPr>
                      <w:rFonts w:ascii="Wingdings" w:hAnsi="Wingdings"/>
                    </w:rPr>
                    <w:t></w:t>
                  </w:r>
                </w:p>
              </w:tc>
              <w:tc>
                <w:tcPr>
                  <w:tcW w:w="525" w:type="pct"/>
                  <w:shd w:val="clear" w:color="auto" w:fill="auto"/>
                </w:tcPr>
                <w:p w14:paraId="7779AA12" w14:textId="10604DE3" w:rsidR="009C31E6" w:rsidRDefault="009C31E6" w:rsidP="009C31E6">
                  <w:pPr>
                    <w:pStyle w:val="TableBodyText"/>
                  </w:pPr>
                  <w:r w:rsidRPr="00612267">
                    <w:rPr>
                      <w:rFonts w:ascii="Wingdings" w:hAnsi="Wingdings"/>
                    </w:rPr>
                    <w:t></w:t>
                  </w:r>
                </w:p>
              </w:tc>
              <w:tc>
                <w:tcPr>
                  <w:tcW w:w="467" w:type="pct"/>
                  <w:shd w:val="clear" w:color="auto" w:fill="auto"/>
                </w:tcPr>
                <w:p w14:paraId="117E707A" w14:textId="77777777" w:rsidR="009C31E6" w:rsidRPr="00612267" w:rsidRDefault="009C31E6" w:rsidP="009C31E6">
                  <w:pPr>
                    <w:pStyle w:val="TableBodyText"/>
                    <w:ind w:right="28"/>
                    <w:rPr>
                      <w:rFonts w:ascii="Wingdings" w:hAnsi="Wingdings"/>
                    </w:rPr>
                  </w:pPr>
                </w:p>
              </w:tc>
            </w:tr>
            <w:tr w:rsidR="00A13B25" w14:paraId="58082B5D" w14:textId="77777777" w:rsidTr="00A13B25">
              <w:tc>
                <w:tcPr>
                  <w:tcW w:w="2748" w:type="pct"/>
                  <w:shd w:val="clear" w:color="auto" w:fill="auto"/>
                </w:tcPr>
                <w:p w14:paraId="420D14F7" w14:textId="5998B56F" w:rsidR="009C31E6" w:rsidRPr="00171AC3" w:rsidRDefault="009C31E6" w:rsidP="009C31E6">
                  <w:pPr>
                    <w:pStyle w:val="TableBodyText"/>
                    <w:jc w:val="left"/>
                  </w:pPr>
                  <w:r w:rsidRPr="00171AC3">
                    <w:t>Gross payments subject to foreign resident withholding - NPP</w:t>
                  </w:r>
                </w:p>
              </w:tc>
              <w:tc>
                <w:tcPr>
                  <w:tcW w:w="648" w:type="pct"/>
                </w:tcPr>
                <w:p w14:paraId="0AEA1A28" w14:textId="77777777" w:rsidR="009C31E6" w:rsidRPr="00612267" w:rsidRDefault="009C31E6" w:rsidP="009C31E6">
                  <w:pPr>
                    <w:pStyle w:val="TableBodyText"/>
                    <w:rPr>
                      <w:rFonts w:ascii="Wingdings" w:hAnsi="Wingdings"/>
                    </w:rPr>
                  </w:pPr>
                </w:p>
              </w:tc>
              <w:tc>
                <w:tcPr>
                  <w:tcW w:w="611" w:type="pct"/>
                </w:tcPr>
                <w:p w14:paraId="51FA1C83" w14:textId="52755776" w:rsidR="009C31E6" w:rsidRDefault="009C31E6" w:rsidP="009C31E6">
                  <w:pPr>
                    <w:pStyle w:val="TableBodyText"/>
                  </w:pPr>
                  <w:r w:rsidRPr="00612267">
                    <w:rPr>
                      <w:rFonts w:ascii="Wingdings" w:hAnsi="Wingdings"/>
                    </w:rPr>
                    <w:t></w:t>
                  </w:r>
                </w:p>
              </w:tc>
              <w:tc>
                <w:tcPr>
                  <w:tcW w:w="525" w:type="pct"/>
                  <w:shd w:val="clear" w:color="auto" w:fill="auto"/>
                </w:tcPr>
                <w:p w14:paraId="0324BF56" w14:textId="7AA93888" w:rsidR="009C31E6" w:rsidRDefault="009C31E6" w:rsidP="009C31E6">
                  <w:pPr>
                    <w:pStyle w:val="TableBodyText"/>
                  </w:pPr>
                  <w:r w:rsidRPr="00612267">
                    <w:rPr>
                      <w:rFonts w:ascii="Wingdings" w:hAnsi="Wingdings"/>
                    </w:rPr>
                    <w:t></w:t>
                  </w:r>
                </w:p>
              </w:tc>
              <w:tc>
                <w:tcPr>
                  <w:tcW w:w="467" w:type="pct"/>
                  <w:shd w:val="clear" w:color="auto" w:fill="auto"/>
                </w:tcPr>
                <w:p w14:paraId="33CCEF61" w14:textId="48EAC479" w:rsidR="009C31E6" w:rsidRPr="00612267" w:rsidRDefault="009C31E6" w:rsidP="009C31E6">
                  <w:pPr>
                    <w:pStyle w:val="TableBodyText"/>
                    <w:ind w:right="28"/>
                    <w:rPr>
                      <w:rFonts w:ascii="Wingdings" w:hAnsi="Wingdings"/>
                    </w:rPr>
                  </w:pPr>
                  <w:r w:rsidRPr="00612267">
                    <w:rPr>
                      <w:rFonts w:ascii="Wingdings" w:hAnsi="Wingdings"/>
                    </w:rPr>
                    <w:t></w:t>
                  </w:r>
                </w:p>
              </w:tc>
            </w:tr>
            <w:tr w:rsidR="00A13B25" w14:paraId="17E929CE" w14:textId="77777777" w:rsidTr="00A13B25">
              <w:tc>
                <w:tcPr>
                  <w:tcW w:w="2748" w:type="pct"/>
                  <w:shd w:val="clear" w:color="auto" w:fill="auto"/>
                </w:tcPr>
                <w:p w14:paraId="3AE3EDFE" w14:textId="71803497" w:rsidR="009C31E6" w:rsidRPr="00171AC3" w:rsidRDefault="009C31E6" w:rsidP="009C31E6">
                  <w:pPr>
                    <w:pStyle w:val="TableBodyText"/>
                    <w:jc w:val="left"/>
                  </w:pPr>
                  <w:r w:rsidRPr="00171AC3">
                    <w:t>Gross payments subject to foreign resident withholding - PP</w:t>
                  </w:r>
                </w:p>
              </w:tc>
              <w:tc>
                <w:tcPr>
                  <w:tcW w:w="648" w:type="pct"/>
                </w:tcPr>
                <w:p w14:paraId="552DE9C9" w14:textId="77777777" w:rsidR="009C31E6" w:rsidRPr="00612267" w:rsidRDefault="009C31E6" w:rsidP="009C31E6">
                  <w:pPr>
                    <w:pStyle w:val="TableBodyText"/>
                    <w:rPr>
                      <w:rFonts w:ascii="Wingdings" w:hAnsi="Wingdings"/>
                    </w:rPr>
                  </w:pPr>
                </w:p>
              </w:tc>
              <w:tc>
                <w:tcPr>
                  <w:tcW w:w="611" w:type="pct"/>
                </w:tcPr>
                <w:p w14:paraId="5D6EACEB" w14:textId="5E6E6E81" w:rsidR="009C31E6" w:rsidRDefault="009C31E6" w:rsidP="009C31E6">
                  <w:pPr>
                    <w:pStyle w:val="TableBodyText"/>
                  </w:pPr>
                  <w:r w:rsidRPr="00612267">
                    <w:rPr>
                      <w:rFonts w:ascii="Wingdings" w:hAnsi="Wingdings"/>
                    </w:rPr>
                    <w:t></w:t>
                  </w:r>
                </w:p>
              </w:tc>
              <w:tc>
                <w:tcPr>
                  <w:tcW w:w="525" w:type="pct"/>
                  <w:shd w:val="clear" w:color="auto" w:fill="auto"/>
                </w:tcPr>
                <w:p w14:paraId="79EC9899" w14:textId="4D922933" w:rsidR="009C31E6" w:rsidRDefault="009C31E6" w:rsidP="009C31E6">
                  <w:pPr>
                    <w:pStyle w:val="TableBodyText"/>
                  </w:pPr>
                  <w:r w:rsidRPr="00612267">
                    <w:rPr>
                      <w:rFonts w:ascii="Wingdings" w:hAnsi="Wingdings"/>
                    </w:rPr>
                    <w:t></w:t>
                  </w:r>
                </w:p>
              </w:tc>
              <w:tc>
                <w:tcPr>
                  <w:tcW w:w="467" w:type="pct"/>
                  <w:shd w:val="clear" w:color="auto" w:fill="auto"/>
                </w:tcPr>
                <w:p w14:paraId="04A70EA3" w14:textId="7B43574D" w:rsidR="009C31E6" w:rsidRPr="00612267" w:rsidRDefault="009C31E6" w:rsidP="009C31E6">
                  <w:pPr>
                    <w:pStyle w:val="TableBodyText"/>
                    <w:ind w:right="28"/>
                    <w:rPr>
                      <w:rFonts w:ascii="Wingdings" w:hAnsi="Wingdings"/>
                    </w:rPr>
                  </w:pPr>
                  <w:r w:rsidRPr="00612267">
                    <w:rPr>
                      <w:rFonts w:ascii="Wingdings" w:hAnsi="Wingdings"/>
                    </w:rPr>
                    <w:t></w:t>
                  </w:r>
                </w:p>
              </w:tc>
            </w:tr>
            <w:tr w:rsidR="00A13B25" w14:paraId="11F65080" w14:textId="77777777" w:rsidTr="00A13B25">
              <w:tc>
                <w:tcPr>
                  <w:tcW w:w="2748" w:type="pct"/>
                  <w:shd w:val="clear" w:color="auto" w:fill="auto"/>
                </w:tcPr>
                <w:p w14:paraId="3470C4E9" w14:textId="617913A4" w:rsidR="009C31E6" w:rsidRPr="00171AC3" w:rsidRDefault="009C31E6" w:rsidP="009C31E6">
                  <w:pPr>
                    <w:pStyle w:val="TableBodyText"/>
                    <w:jc w:val="left"/>
                  </w:pPr>
                  <w:r w:rsidRPr="00171AC3">
                    <w:t>Gross payments where ABN not quoted - NPP</w:t>
                  </w:r>
                </w:p>
              </w:tc>
              <w:tc>
                <w:tcPr>
                  <w:tcW w:w="648" w:type="pct"/>
                </w:tcPr>
                <w:p w14:paraId="653EEFDD" w14:textId="77777777" w:rsidR="009C31E6" w:rsidRPr="00612267" w:rsidRDefault="009C31E6" w:rsidP="009C31E6">
                  <w:pPr>
                    <w:pStyle w:val="TableBodyText"/>
                    <w:rPr>
                      <w:rFonts w:ascii="Wingdings" w:hAnsi="Wingdings"/>
                    </w:rPr>
                  </w:pPr>
                </w:p>
              </w:tc>
              <w:tc>
                <w:tcPr>
                  <w:tcW w:w="611" w:type="pct"/>
                </w:tcPr>
                <w:p w14:paraId="3A84ED98" w14:textId="7CF35F5A" w:rsidR="009C31E6" w:rsidRDefault="009C31E6" w:rsidP="009C31E6">
                  <w:pPr>
                    <w:pStyle w:val="TableBodyText"/>
                  </w:pPr>
                  <w:r w:rsidRPr="00612267">
                    <w:rPr>
                      <w:rFonts w:ascii="Wingdings" w:hAnsi="Wingdings"/>
                    </w:rPr>
                    <w:t></w:t>
                  </w:r>
                </w:p>
              </w:tc>
              <w:tc>
                <w:tcPr>
                  <w:tcW w:w="525" w:type="pct"/>
                  <w:shd w:val="clear" w:color="auto" w:fill="auto"/>
                </w:tcPr>
                <w:p w14:paraId="189BA0CF" w14:textId="1F9E0BAA" w:rsidR="009C31E6" w:rsidRDefault="009C31E6" w:rsidP="009C31E6">
                  <w:pPr>
                    <w:pStyle w:val="TableBodyText"/>
                  </w:pPr>
                  <w:r w:rsidRPr="00612267">
                    <w:rPr>
                      <w:rFonts w:ascii="Wingdings" w:hAnsi="Wingdings"/>
                    </w:rPr>
                    <w:t></w:t>
                  </w:r>
                </w:p>
              </w:tc>
              <w:tc>
                <w:tcPr>
                  <w:tcW w:w="467" w:type="pct"/>
                  <w:shd w:val="clear" w:color="auto" w:fill="auto"/>
                </w:tcPr>
                <w:p w14:paraId="2574EEB5" w14:textId="77777777" w:rsidR="009C31E6" w:rsidRPr="00612267" w:rsidRDefault="009C31E6" w:rsidP="009C31E6">
                  <w:pPr>
                    <w:pStyle w:val="TableBodyText"/>
                    <w:ind w:right="28"/>
                    <w:rPr>
                      <w:rFonts w:ascii="Wingdings" w:hAnsi="Wingdings"/>
                    </w:rPr>
                  </w:pPr>
                </w:p>
              </w:tc>
            </w:tr>
            <w:tr w:rsidR="00A13B25" w14:paraId="10BB5422" w14:textId="77777777" w:rsidTr="00A13B25">
              <w:tc>
                <w:tcPr>
                  <w:tcW w:w="2748" w:type="pct"/>
                  <w:shd w:val="clear" w:color="auto" w:fill="auto"/>
                </w:tcPr>
                <w:p w14:paraId="29BF1C93" w14:textId="0D3237ED" w:rsidR="009C31E6" w:rsidRPr="00171AC3" w:rsidRDefault="009C31E6" w:rsidP="009C31E6">
                  <w:pPr>
                    <w:pStyle w:val="TableBodyText"/>
                    <w:jc w:val="left"/>
                  </w:pPr>
                  <w:r w:rsidRPr="00171AC3">
                    <w:t>Gross payments where ABN not quoted - PP</w:t>
                  </w:r>
                </w:p>
              </w:tc>
              <w:tc>
                <w:tcPr>
                  <w:tcW w:w="648" w:type="pct"/>
                </w:tcPr>
                <w:p w14:paraId="23B7F50B" w14:textId="77777777" w:rsidR="009C31E6" w:rsidRPr="00612267" w:rsidRDefault="009C31E6" w:rsidP="009C31E6">
                  <w:pPr>
                    <w:pStyle w:val="TableBodyText"/>
                    <w:rPr>
                      <w:rFonts w:ascii="Wingdings" w:hAnsi="Wingdings"/>
                    </w:rPr>
                  </w:pPr>
                </w:p>
              </w:tc>
              <w:tc>
                <w:tcPr>
                  <w:tcW w:w="611" w:type="pct"/>
                </w:tcPr>
                <w:p w14:paraId="63405EF7" w14:textId="5A98374B" w:rsidR="009C31E6" w:rsidRDefault="009C31E6" w:rsidP="009C31E6">
                  <w:pPr>
                    <w:pStyle w:val="TableBodyText"/>
                  </w:pPr>
                  <w:r w:rsidRPr="00612267">
                    <w:rPr>
                      <w:rFonts w:ascii="Wingdings" w:hAnsi="Wingdings"/>
                    </w:rPr>
                    <w:t></w:t>
                  </w:r>
                </w:p>
              </w:tc>
              <w:tc>
                <w:tcPr>
                  <w:tcW w:w="525" w:type="pct"/>
                  <w:shd w:val="clear" w:color="auto" w:fill="auto"/>
                </w:tcPr>
                <w:p w14:paraId="37881DDF" w14:textId="1C8E1AEE" w:rsidR="009C31E6" w:rsidRDefault="009C31E6" w:rsidP="009C31E6">
                  <w:pPr>
                    <w:pStyle w:val="TableBodyText"/>
                  </w:pPr>
                  <w:r w:rsidRPr="00612267">
                    <w:rPr>
                      <w:rFonts w:ascii="Wingdings" w:hAnsi="Wingdings"/>
                    </w:rPr>
                    <w:t></w:t>
                  </w:r>
                </w:p>
              </w:tc>
              <w:tc>
                <w:tcPr>
                  <w:tcW w:w="467" w:type="pct"/>
                  <w:shd w:val="clear" w:color="auto" w:fill="auto"/>
                </w:tcPr>
                <w:p w14:paraId="7BEEBC50" w14:textId="77777777" w:rsidR="009C31E6" w:rsidRPr="00612267" w:rsidRDefault="009C31E6" w:rsidP="009C31E6">
                  <w:pPr>
                    <w:pStyle w:val="TableBodyText"/>
                    <w:ind w:right="28"/>
                    <w:rPr>
                      <w:rFonts w:ascii="Wingdings" w:hAnsi="Wingdings"/>
                    </w:rPr>
                  </w:pPr>
                </w:p>
              </w:tc>
            </w:tr>
          </w:tbl>
          <w:p w14:paraId="0E427CD2" w14:textId="77777777" w:rsidR="002978E7" w:rsidRDefault="002978E7" w:rsidP="00D352EA">
            <w:pPr>
              <w:pStyle w:val="Box"/>
            </w:pPr>
          </w:p>
        </w:tc>
      </w:tr>
      <w:tr w:rsidR="002978E7" w14:paraId="156BD682" w14:textId="77777777" w:rsidTr="00D352EA">
        <w:tc>
          <w:tcPr>
            <w:tcW w:w="5000" w:type="pct"/>
            <w:tcBorders>
              <w:top w:val="nil"/>
              <w:left w:val="nil"/>
              <w:bottom w:val="nil"/>
              <w:right w:val="nil"/>
            </w:tcBorders>
            <w:shd w:val="clear" w:color="auto" w:fill="auto"/>
          </w:tcPr>
          <w:p w14:paraId="42501614" w14:textId="4DCB6634" w:rsidR="002978E7" w:rsidRDefault="00DD63B8" w:rsidP="00DD63B8">
            <w:pPr>
              <w:pStyle w:val="Continued"/>
            </w:pPr>
            <w:r>
              <w:t>(continued next page)</w:t>
            </w:r>
          </w:p>
        </w:tc>
      </w:tr>
      <w:tr w:rsidR="002978E7" w14:paraId="574110F2" w14:textId="77777777" w:rsidTr="00D352EA">
        <w:tc>
          <w:tcPr>
            <w:tcW w:w="5000" w:type="pct"/>
            <w:tcBorders>
              <w:top w:val="nil"/>
              <w:left w:val="nil"/>
              <w:bottom w:val="single" w:sz="6" w:space="0" w:color="78A22F"/>
              <w:right w:val="nil"/>
            </w:tcBorders>
            <w:shd w:val="clear" w:color="auto" w:fill="auto"/>
          </w:tcPr>
          <w:p w14:paraId="6510F983" w14:textId="77777777" w:rsidR="002978E7" w:rsidRDefault="002978E7" w:rsidP="00D352EA">
            <w:pPr>
              <w:pStyle w:val="Box"/>
              <w:spacing w:before="0" w:line="120" w:lineRule="exact"/>
            </w:pPr>
          </w:p>
        </w:tc>
      </w:tr>
      <w:tr w:rsidR="002978E7" w:rsidRPr="000863A5" w14:paraId="44C40DCA" w14:textId="77777777" w:rsidTr="00D352EA">
        <w:tc>
          <w:tcPr>
            <w:tcW w:w="5000" w:type="pct"/>
            <w:tcBorders>
              <w:top w:val="single" w:sz="6" w:space="0" w:color="78A22F"/>
              <w:left w:val="nil"/>
              <w:bottom w:val="nil"/>
              <w:right w:val="nil"/>
            </w:tcBorders>
          </w:tcPr>
          <w:p w14:paraId="1F278E37" w14:textId="77777777" w:rsidR="002978E7" w:rsidRDefault="002978E7" w:rsidP="00D352EA">
            <w:pPr>
              <w:pStyle w:val="BoxSpaceBelow"/>
            </w:pPr>
          </w:p>
          <w:p w14:paraId="76340581" w14:textId="403728DD" w:rsidR="00062D22" w:rsidRPr="00062D22" w:rsidRDefault="00062D22" w:rsidP="00062D22">
            <w:pPr>
              <w:pStyle w:val="BodyText"/>
              <w:jc w:val="right"/>
            </w:pPr>
          </w:p>
        </w:tc>
      </w:tr>
    </w:tbl>
    <w:p w14:paraId="5461A064" w14:textId="4D258138" w:rsidR="00913FA2" w:rsidRDefault="00913FA2" w:rsidP="00D352E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13FA2" w14:paraId="627EB433" w14:textId="77777777" w:rsidTr="00D352EA">
        <w:trPr>
          <w:tblHeader/>
        </w:trPr>
        <w:tc>
          <w:tcPr>
            <w:tcW w:w="5000" w:type="pct"/>
            <w:tcBorders>
              <w:top w:val="single" w:sz="6" w:space="0" w:color="78A22F"/>
              <w:left w:val="nil"/>
              <w:bottom w:val="nil"/>
              <w:right w:val="nil"/>
            </w:tcBorders>
            <w:shd w:val="clear" w:color="auto" w:fill="auto"/>
          </w:tcPr>
          <w:p w14:paraId="4052FB43" w14:textId="5493B467" w:rsidR="00913FA2" w:rsidRPr="001100AE" w:rsidRDefault="00913FA2" w:rsidP="00D352EA">
            <w:pPr>
              <w:pStyle w:val="TableTitle"/>
              <w:rPr>
                <w:b w:val="0"/>
                <w:bCs/>
                <w:sz w:val="18"/>
                <w:szCs w:val="18"/>
              </w:rPr>
            </w:pPr>
            <w:r>
              <w:rPr>
                <w:b w:val="0"/>
              </w:rPr>
              <w:t>Table B.1</w:t>
            </w:r>
            <w:r>
              <w:tab/>
            </w:r>
            <w:r w:rsidR="00D352EA" w:rsidRPr="001100AE">
              <w:rPr>
                <w:b w:val="0"/>
                <w:bCs/>
                <w:sz w:val="18"/>
                <w:szCs w:val="18"/>
              </w:rPr>
              <w:t>(continued</w:t>
            </w:r>
            <w:r w:rsidR="007F778F" w:rsidRPr="001100AE">
              <w:rPr>
                <w:b w:val="0"/>
                <w:bCs/>
                <w:sz w:val="18"/>
                <w:szCs w:val="18"/>
              </w:rPr>
              <w:t>)</w:t>
            </w:r>
          </w:p>
          <w:p w14:paraId="4A7E1880" w14:textId="4986D120" w:rsidR="00913FA2" w:rsidRPr="00784A05" w:rsidRDefault="00B30E9A" w:rsidP="00D352EA">
            <w:pPr>
              <w:pStyle w:val="Subtitle"/>
            </w:pPr>
            <w:r w:rsidRPr="00B30E9A">
              <w:t>Variables included by type of business entity</w:t>
            </w:r>
          </w:p>
        </w:tc>
      </w:tr>
      <w:tr w:rsidR="00913FA2" w14:paraId="1DA82698" w14:textId="77777777" w:rsidTr="00D352E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392"/>
              <w:gridCol w:w="1112"/>
              <w:gridCol w:w="1040"/>
              <w:gridCol w:w="980"/>
              <w:gridCol w:w="981"/>
            </w:tblGrid>
            <w:tr w:rsidR="007525F3" w14:paraId="235F92B5" w14:textId="77777777" w:rsidTr="005C44D1">
              <w:trPr>
                <w:tblHeader/>
              </w:trPr>
              <w:tc>
                <w:tcPr>
                  <w:tcW w:w="2582" w:type="pct"/>
                  <w:tcBorders>
                    <w:top w:val="single" w:sz="6" w:space="0" w:color="BFBFBF"/>
                    <w:bottom w:val="single" w:sz="6" w:space="0" w:color="BFBFBF"/>
                  </w:tcBorders>
                  <w:shd w:val="clear" w:color="auto" w:fill="auto"/>
                  <w:tcMar>
                    <w:top w:w="28" w:type="dxa"/>
                  </w:tcMar>
                </w:tcPr>
                <w:p w14:paraId="31D3F03B" w14:textId="77777777" w:rsidR="00913FA2" w:rsidRDefault="00913FA2" w:rsidP="00D352EA">
                  <w:pPr>
                    <w:pStyle w:val="TableColumnHeading"/>
                    <w:jc w:val="left"/>
                  </w:pPr>
                </w:p>
              </w:tc>
              <w:tc>
                <w:tcPr>
                  <w:tcW w:w="654" w:type="pct"/>
                  <w:tcBorders>
                    <w:top w:val="single" w:sz="6" w:space="0" w:color="BFBFBF"/>
                    <w:bottom w:val="single" w:sz="6" w:space="0" w:color="BFBFBF"/>
                  </w:tcBorders>
                </w:tcPr>
                <w:p w14:paraId="2AB3C9E6" w14:textId="7794C1DA" w:rsidR="00913FA2" w:rsidRDefault="00355D4C" w:rsidP="00D352EA">
                  <w:pPr>
                    <w:pStyle w:val="TableColumnHeading"/>
                  </w:pPr>
                  <w:r w:rsidRPr="00AC5269">
                    <w:t>Company form</w:t>
                  </w:r>
                </w:p>
              </w:tc>
              <w:tc>
                <w:tcPr>
                  <w:tcW w:w="611" w:type="pct"/>
                  <w:tcBorders>
                    <w:top w:val="single" w:sz="6" w:space="0" w:color="BFBFBF"/>
                    <w:bottom w:val="single" w:sz="6" w:space="0" w:color="BFBFBF"/>
                  </w:tcBorders>
                </w:tcPr>
                <w:p w14:paraId="1F8FF9E8" w14:textId="20DDAD80" w:rsidR="00355D4C" w:rsidRPr="00AC5269" w:rsidRDefault="00355D4C" w:rsidP="00355D4C">
                  <w:pPr>
                    <w:pStyle w:val="TableColumnHeading"/>
                  </w:pPr>
                  <w:r w:rsidRPr="00AC5269">
                    <w:t>Partnership form</w:t>
                  </w:r>
                </w:p>
              </w:tc>
              <w:tc>
                <w:tcPr>
                  <w:tcW w:w="576" w:type="pct"/>
                  <w:tcBorders>
                    <w:top w:val="single" w:sz="6" w:space="0" w:color="BFBFBF"/>
                    <w:bottom w:val="single" w:sz="6" w:space="0" w:color="BFBFBF"/>
                  </w:tcBorders>
                  <w:shd w:val="clear" w:color="auto" w:fill="auto"/>
                  <w:tcMar>
                    <w:top w:w="28" w:type="dxa"/>
                  </w:tcMar>
                </w:tcPr>
                <w:p w14:paraId="4E553473" w14:textId="7355D127" w:rsidR="00913FA2" w:rsidRDefault="00355D4C" w:rsidP="00D352EA">
                  <w:pPr>
                    <w:pStyle w:val="TableColumnHeading"/>
                  </w:pPr>
                  <w:r w:rsidRPr="00AC5269">
                    <w:t>Trust form</w:t>
                  </w:r>
                </w:p>
              </w:tc>
              <w:tc>
                <w:tcPr>
                  <w:tcW w:w="577" w:type="pct"/>
                  <w:tcBorders>
                    <w:top w:val="single" w:sz="6" w:space="0" w:color="BFBFBF"/>
                    <w:bottom w:val="single" w:sz="6" w:space="0" w:color="BFBFBF"/>
                  </w:tcBorders>
                  <w:shd w:val="clear" w:color="auto" w:fill="auto"/>
                  <w:tcMar>
                    <w:top w:w="28" w:type="dxa"/>
                  </w:tcMar>
                </w:tcPr>
                <w:p w14:paraId="35CA0CF3" w14:textId="3E45B436" w:rsidR="00913FA2" w:rsidRDefault="00355D4C" w:rsidP="00D352EA">
                  <w:pPr>
                    <w:pStyle w:val="TableColumnHeading"/>
                    <w:ind w:right="28"/>
                  </w:pPr>
                  <w:r w:rsidRPr="00AC5269">
                    <w:t>Individual form</w:t>
                  </w:r>
                </w:p>
              </w:tc>
            </w:tr>
            <w:tr w:rsidR="004D0123" w14:paraId="295C7087" w14:textId="77777777" w:rsidTr="005C44D1">
              <w:tc>
                <w:tcPr>
                  <w:tcW w:w="2582" w:type="pct"/>
                  <w:tcBorders>
                    <w:top w:val="single" w:sz="6" w:space="0" w:color="BFBFBF"/>
                  </w:tcBorders>
                </w:tcPr>
                <w:p w14:paraId="248BE7B9" w14:textId="57195D81" w:rsidR="00913FA2" w:rsidRPr="00427E2F" w:rsidRDefault="00E878FA" w:rsidP="00D352EA">
                  <w:pPr>
                    <w:pStyle w:val="TableUnitsRow"/>
                    <w:jc w:val="left"/>
                    <w:rPr>
                      <w:b/>
                    </w:rPr>
                  </w:pPr>
                  <w:r w:rsidRPr="00427E2F">
                    <w:rPr>
                      <w:b/>
                    </w:rPr>
                    <w:t>Business income</w:t>
                  </w:r>
                </w:p>
              </w:tc>
              <w:tc>
                <w:tcPr>
                  <w:tcW w:w="654" w:type="pct"/>
                  <w:tcBorders>
                    <w:top w:val="single" w:sz="6" w:space="0" w:color="BFBFBF"/>
                  </w:tcBorders>
                </w:tcPr>
                <w:p w14:paraId="26456000" w14:textId="77777777" w:rsidR="00913FA2" w:rsidRDefault="00913FA2" w:rsidP="00D352EA">
                  <w:pPr>
                    <w:pStyle w:val="TableUnitsRow"/>
                  </w:pPr>
                </w:p>
              </w:tc>
              <w:tc>
                <w:tcPr>
                  <w:tcW w:w="611" w:type="pct"/>
                  <w:tcBorders>
                    <w:top w:val="single" w:sz="6" w:space="0" w:color="BFBFBF"/>
                  </w:tcBorders>
                </w:tcPr>
                <w:p w14:paraId="7217B45D" w14:textId="77777777" w:rsidR="00355D4C" w:rsidRDefault="00355D4C" w:rsidP="00D352EA">
                  <w:pPr>
                    <w:pStyle w:val="TableUnitsRow"/>
                  </w:pPr>
                </w:p>
              </w:tc>
              <w:tc>
                <w:tcPr>
                  <w:tcW w:w="576" w:type="pct"/>
                  <w:tcBorders>
                    <w:top w:val="single" w:sz="6" w:space="0" w:color="BFBFBF"/>
                  </w:tcBorders>
                </w:tcPr>
                <w:p w14:paraId="4E80B7E4" w14:textId="77777777" w:rsidR="00913FA2" w:rsidRDefault="00913FA2" w:rsidP="00D352EA">
                  <w:pPr>
                    <w:pStyle w:val="TableUnitsRow"/>
                  </w:pPr>
                </w:p>
              </w:tc>
              <w:tc>
                <w:tcPr>
                  <w:tcW w:w="577" w:type="pct"/>
                  <w:tcBorders>
                    <w:top w:val="single" w:sz="6" w:space="0" w:color="BFBFBF"/>
                  </w:tcBorders>
                </w:tcPr>
                <w:p w14:paraId="3B1B8224" w14:textId="77777777" w:rsidR="00913FA2" w:rsidRDefault="00913FA2" w:rsidP="00D352EA">
                  <w:pPr>
                    <w:pStyle w:val="TableUnitsRow"/>
                    <w:ind w:right="28"/>
                  </w:pPr>
                </w:p>
              </w:tc>
            </w:tr>
            <w:tr w:rsidR="00913FA2" w14:paraId="3EC1350B" w14:textId="77777777" w:rsidTr="005C44D1">
              <w:tc>
                <w:tcPr>
                  <w:tcW w:w="2582" w:type="pct"/>
                </w:tcPr>
                <w:p w14:paraId="5A55AF87" w14:textId="7A394C4C" w:rsidR="00913FA2" w:rsidRDefault="005C44D1" w:rsidP="00D352EA">
                  <w:pPr>
                    <w:pStyle w:val="TableBodyText"/>
                    <w:jc w:val="left"/>
                  </w:pPr>
                  <w:r w:rsidRPr="00171AC3">
                    <w:t>Other business income - NPP</w:t>
                  </w:r>
                </w:p>
              </w:tc>
              <w:tc>
                <w:tcPr>
                  <w:tcW w:w="654" w:type="pct"/>
                </w:tcPr>
                <w:p w14:paraId="243BA8A2" w14:textId="77777777" w:rsidR="00913FA2" w:rsidRDefault="00913FA2" w:rsidP="00D352EA">
                  <w:pPr>
                    <w:pStyle w:val="TableBodyText"/>
                  </w:pPr>
                </w:p>
              </w:tc>
              <w:tc>
                <w:tcPr>
                  <w:tcW w:w="611" w:type="pct"/>
                </w:tcPr>
                <w:p w14:paraId="47A6936C" w14:textId="0330FBC5" w:rsidR="00355D4C" w:rsidRDefault="005C44D1" w:rsidP="00D352EA">
                  <w:pPr>
                    <w:pStyle w:val="TableBodyText"/>
                  </w:pPr>
                  <w:r w:rsidRPr="00612267">
                    <w:rPr>
                      <w:rFonts w:ascii="Wingdings" w:hAnsi="Wingdings"/>
                    </w:rPr>
                    <w:t></w:t>
                  </w:r>
                </w:p>
              </w:tc>
              <w:tc>
                <w:tcPr>
                  <w:tcW w:w="576" w:type="pct"/>
                </w:tcPr>
                <w:p w14:paraId="1FC1197C" w14:textId="0937674C" w:rsidR="00913FA2" w:rsidRDefault="005C44D1" w:rsidP="00D352EA">
                  <w:pPr>
                    <w:pStyle w:val="TableBodyText"/>
                  </w:pPr>
                  <w:r w:rsidRPr="00612267">
                    <w:rPr>
                      <w:rFonts w:ascii="Wingdings" w:hAnsi="Wingdings"/>
                    </w:rPr>
                    <w:t></w:t>
                  </w:r>
                </w:p>
              </w:tc>
              <w:tc>
                <w:tcPr>
                  <w:tcW w:w="577" w:type="pct"/>
                </w:tcPr>
                <w:p w14:paraId="4DFB5A3A" w14:textId="2D8280F7" w:rsidR="00913FA2" w:rsidRDefault="005C44D1" w:rsidP="00D352EA">
                  <w:pPr>
                    <w:pStyle w:val="TableBodyText"/>
                    <w:ind w:right="28"/>
                  </w:pPr>
                  <w:r w:rsidRPr="00612267">
                    <w:rPr>
                      <w:rFonts w:ascii="Wingdings" w:hAnsi="Wingdings"/>
                    </w:rPr>
                    <w:t></w:t>
                  </w:r>
                </w:p>
              </w:tc>
            </w:tr>
            <w:tr w:rsidR="0062196F" w14:paraId="67145C0D" w14:textId="77777777" w:rsidTr="005C44D1">
              <w:tc>
                <w:tcPr>
                  <w:tcW w:w="2582" w:type="pct"/>
                </w:tcPr>
                <w:p w14:paraId="211D227E" w14:textId="029A509A" w:rsidR="0062196F" w:rsidRDefault="005C44D1" w:rsidP="00D352EA">
                  <w:pPr>
                    <w:pStyle w:val="TableBodyText"/>
                    <w:jc w:val="left"/>
                  </w:pPr>
                  <w:r w:rsidRPr="00171AC3">
                    <w:t>Other business income - PP</w:t>
                  </w:r>
                </w:p>
              </w:tc>
              <w:tc>
                <w:tcPr>
                  <w:tcW w:w="654" w:type="pct"/>
                </w:tcPr>
                <w:p w14:paraId="75C1087F" w14:textId="77777777" w:rsidR="0062196F" w:rsidRDefault="0062196F" w:rsidP="00D352EA">
                  <w:pPr>
                    <w:pStyle w:val="TableBodyText"/>
                  </w:pPr>
                </w:p>
              </w:tc>
              <w:tc>
                <w:tcPr>
                  <w:tcW w:w="611" w:type="pct"/>
                </w:tcPr>
                <w:p w14:paraId="5181EBB2" w14:textId="7512D61B" w:rsidR="00355D4C" w:rsidRDefault="005C44D1" w:rsidP="00D352EA">
                  <w:pPr>
                    <w:pStyle w:val="TableBodyText"/>
                  </w:pPr>
                  <w:r w:rsidRPr="00612267">
                    <w:rPr>
                      <w:rFonts w:ascii="Wingdings" w:hAnsi="Wingdings"/>
                    </w:rPr>
                    <w:t></w:t>
                  </w:r>
                </w:p>
              </w:tc>
              <w:tc>
                <w:tcPr>
                  <w:tcW w:w="576" w:type="pct"/>
                </w:tcPr>
                <w:p w14:paraId="096FF058" w14:textId="6EACCE2B" w:rsidR="0062196F" w:rsidRDefault="005C44D1" w:rsidP="00D352EA">
                  <w:pPr>
                    <w:pStyle w:val="TableBodyText"/>
                  </w:pPr>
                  <w:r w:rsidRPr="00612267">
                    <w:rPr>
                      <w:rFonts w:ascii="Wingdings" w:hAnsi="Wingdings"/>
                    </w:rPr>
                    <w:t></w:t>
                  </w:r>
                </w:p>
              </w:tc>
              <w:tc>
                <w:tcPr>
                  <w:tcW w:w="577" w:type="pct"/>
                </w:tcPr>
                <w:p w14:paraId="26640B5B" w14:textId="766E469F" w:rsidR="0062196F" w:rsidRDefault="005C44D1" w:rsidP="00D352EA">
                  <w:pPr>
                    <w:pStyle w:val="TableBodyText"/>
                    <w:ind w:right="28"/>
                  </w:pPr>
                  <w:r w:rsidRPr="00612267">
                    <w:rPr>
                      <w:rFonts w:ascii="Wingdings" w:hAnsi="Wingdings"/>
                    </w:rPr>
                    <w:t></w:t>
                  </w:r>
                </w:p>
              </w:tc>
            </w:tr>
            <w:tr w:rsidR="0062196F" w14:paraId="7E4BA451" w14:textId="77777777" w:rsidTr="005C44D1">
              <w:tc>
                <w:tcPr>
                  <w:tcW w:w="2582" w:type="pct"/>
                </w:tcPr>
                <w:p w14:paraId="6AB85F7F" w14:textId="680DC898" w:rsidR="0062196F" w:rsidRPr="006E522D" w:rsidRDefault="006E522D" w:rsidP="00D352EA">
                  <w:pPr>
                    <w:pStyle w:val="TableBodyText"/>
                    <w:jc w:val="left"/>
                    <w:rPr>
                      <w:b/>
                    </w:rPr>
                  </w:pPr>
                  <w:r w:rsidRPr="006E522D">
                    <w:rPr>
                      <w:b/>
                      <w:bCs/>
                    </w:rPr>
                    <w:t xml:space="preserve">Business expenses </w:t>
                  </w:r>
                </w:p>
              </w:tc>
              <w:tc>
                <w:tcPr>
                  <w:tcW w:w="654" w:type="pct"/>
                </w:tcPr>
                <w:p w14:paraId="3E34826C" w14:textId="77777777" w:rsidR="0062196F" w:rsidRDefault="0062196F" w:rsidP="00D352EA">
                  <w:pPr>
                    <w:pStyle w:val="TableBodyText"/>
                  </w:pPr>
                </w:p>
              </w:tc>
              <w:tc>
                <w:tcPr>
                  <w:tcW w:w="611" w:type="pct"/>
                </w:tcPr>
                <w:p w14:paraId="22935256" w14:textId="77777777" w:rsidR="00355D4C" w:rsidRDefault="00355D4C" w:rsidP="00D352EA">
                  <w:pPr>
                    <w:pStyle w:val="TableBodyText"/>
                  </w:pPr>
                </w:p>
              </w:tc>
              <w:tc>
                <w:tcPr>
                  <w:tcW w:w="576" w:type="pct"/>
                </w:tcPr>
                <w:p w14:paraId="7F7C49AA" w14:textId="77777777" w:rsidR="0062196F" w:rsidRDefault="0062196F" w:rsidP="00D352EA">
                  <w:pPr>
                    <w:pStyle w:val="TableBodyText"/>
                  </w:pPr>
                </w:p>
              </w:tc>
              <w:tc>
                <w:tcPr>
                  <w:tcW w:w="577" w:type="pct"/>
                </w:tcPr>
                <w:p w14:paraId="5E22F631" w14:textId="77777777" w:rsidR="0062196F" w:rsidRDefault="0062196F" w:rsidP="00D352EA">
                  <w:pPr>
                    <w:pStyle w:val="TableBodyText"/>
                    <w:ind w:right="28"/>
                  </w:pPr>
                </w:p>
              </w:tc>
            </w:tr>
            <w:tr w:rsidR="00DD3288" w14:paraId="4586B402" w14:textId="77777777" w:rsidTr="005C44D1">
              <w:tc>
                <w:tcPr>
                  <w:tcW w:w="2582" w:type="pct"/>
                </w:tcPr>
                <w:p w14:paraId="40FA2DC1" w14:textId="1D7C048F" w:rsidR="00DD3288" w:rsidRDefault="005A76F8" w:rsidP="00D352EA">
                  <w:pPr>
                    <w:pStyle w:val="TableBodyText"/>
                    <w:jc w:val="left"/>
                  </w:pPr>
                  <w:r w:rsidRPr="00171AC3">
                    <w:t>Cost of sales</w:t>
                  </w:r>
                </w:p>
              </w:tc>
              <w:tc>
                <w:tcPr>
                  <w:tcW w:w="654" w:type="pct"/>
                </w:tcPr>
                <w:p w14:paraId="58BA1E0D" w14:textId="39C7B6B2" w:rsidR="00DD3288" w:rsidRDefault="005A76F8" w:rsidP="00D352EA">
                  <w:pPr>
                    <w:pStyle w:val="TableBodyText"/>
                  </w:pPr>
                  <w:r w:rsidRPr="00612267">
                    <w:rPr>
                      <w:rFonts w:ascii="Wingdings" w:hAnsi="Wingdings"/>
                    </w:rPr>
                    <w:t></w:t>
                  </w:r>
                </w:p>
              </w:tc>
              <w:tc>
                <w:tcPr>
                  <w:tcW w:w="611" w:type="pct"/>
                </w:tcPr>
                <w:p w14:paraId="7B9B0E45" w14:textId="3DB88ED9" w:rsidR="00355D4C" w:rsidRDefault="005A76F8" w:rsidP="00D352EA">
                  <w:pPr>
                    <w:pStyle w:val="TableBodyText"/>
                  </w:pPr>
                  <w:r w:rsidRPr="00612267">
                    <w:rPr>
                      <w:rFonts w:ascii="Wingdings" w:hAnsi="Wingdings"/>
                    </w:rPr>
                    <w:t></w:t>
                  </w:r>
                </w:p>
              </w:tc>
              <w:tc>
                <w:tcPr>
                  <w:tcW w:w="576" w:type="pct"/>
                </w:tcPr>
                <w:p w14:paraId="771FC9DD" w14:textId="6C4CFFE8" w:rsidR="00DD3288" w:rsidRDefault="005A76F8" w:rsidP="00D352EA">
                  <w:pPr>
                    <w:pStyle w:val="TableBodyText"/>
                  </w:pPr>
                  <w:r w:rsidRPr="00612267">
                    <w:rPr>
                      <w:rFonts w:ascii="Wingdings" w:hAnsi="Wingdings"/>
                    </w:rPr>
                    <w:t></w:t>
                  </w:r>
                </w:p>
              </w:tc>
              <w:tc>
                <w:tcPr>
                  <w:tcW w:w="577" w:type="pct"/>
                </w:tcPr>
                <w:p w14:paraId="199007C4" w14:textId="610268C1" w:rsidR="00DD3288" w:rsidRDefault="005A76F8" w:rsidP="00D352EA">
                  <w:pPr>
                    <w:pStyle w:val="TableBodyText"/>
                    <w:ind w:right="28"/>
                  </w:pPr>
                  <w:r w:rsidRPr="00612267">
                    <w:rPr>
                      <w:rFonts w:ascii="Wingdings" w:hAnsi="Wingdings"/>
                    </w:rPr>
                    <w:t></w:t>
                  </w:r>
                </w:p>
              </w:tc>
            </w:tr>
            <w:tr w:rsidR="00A95A17" w14:paraId="479A5700" w14:textId="77777777" w:rsidTr="005C44D1">
              <w:tc>
                <w:tcPr>
                  <w:tcW w:w="2582" w:type="pct"/>
                </w:tcPr>
                <w:p w14:paraId="6F8BB72E" w14:textId="3479AF85" w:rsidR="00A95A17" w:rsidRDefault="005A76F8" w:rsidP="00D352EA">
                  <w:pPr>
                    <w:pStyle w:val="TableBodyText"/>
                    <w:jc w:val="left"/>
                  </w:pPr>
                  <w:r w:rsidRPr="00171AC3">
                    <w:t xml:space="preserve">Contractor, sub-contractor and commission expenses </w:t>
                  </w:r>
                </w:p>
              </w:tc>
              <w:tc>
                <w:tcPr>
                  <w:tcW w:w="654" w:type="pct"/>
                </w:tcPr>
                <w:p w14:paraId="5DFF4C6E" w14:textId="3B4F6160" w:rsidR="00A95A17" w:rsidRDefault="005A76F8" w:rsidP="00D352EA">
                  <w:pPr>
                    <w:pStyle w:val="TableBodyText"/>
                  </w:pPr>
                  <w:r w:rsidRPr="00612267">
                    <w:rPr>
                      <w:rFonts w:ascii="Wingdings" w:hAnsi="Wingdings"/>
                    </w:rPr>
                    <w:t></w:t>
                  </w:r>
                </w:p>
              </w:tc>
              <w:tc>
                <w:tcPr>
                  <w:tcW w:w="611" w:type="pct"/>
                </w:tcPr>
                <w:p w14:paraId="26240762" w14:textId="6F577477" w:rsidR="00A95A17" w:rsidRDefault="005A76F8" w:rsidP="00D352EA">
                  <w:pPr>
                    <w:pStyle w:val="TableBodyText"/>
                  </w:pPr>
                  <w:r w:rsidRPr="00612267">
                    <w:rPr>
                      <w:rFonts w:ascii="Wingdings" w:hAnsi="Wingdings"/>
                    </w:rPr>
                    <w:t></w:t>
                  </w:r>
                </w:p>
              </w:tc>
              <w:tc>
                <w:tcPr>
                  <w:tcW w:w="576" w:type="pct"/>
                </w:tcPr>
                <w:p w14:paraId="4F3BF1E6" w14:textId="091BFC35" w:rsidR="00A95A17" w:rsidRDefault="005A76F8" w:rsidP="00D352EA">
                  <w:pPr>
                    <w:pStyle w:val="TableBodyText"/>
                  </w:pPr>
                  <w:r w:rsidRPr="00612267">
                    <w:rPr>
                      <w:rFonts w:ascii="Wingdings" w:hAnsi="Wingdings"/>
                    </w:rPr>
                    <w:t></w:t>
                  </w:r>
                </w:p>
              </w:tc>
              <w:tc>
                <w:tcPr>
                  <w:tcW w:w="577" w:type="pct"/>
                </w:tcPr>
                <w:p w14:paraId="49BBE057" w14:textId="11A74437" w:rsidR="00A95A17" w:rsidRDefault="005A76F8" w:rsidP="00D352EA">
                  <w:pPr>
                    <w:pStyle w:val="TableBodyText"/>
                    <w:ind w:right="28"/>
                  </w:pPr>
                  <w:r w:rsidRPr="00612267">
                    <w:rPr>
                      <w:rFonts w:ascii="Wingdings" w:hAnsi="Wingdings"/>
                    </w:rPr>
                    <w:t></w:t>
                  </w:r>
                </w:p>
              </w:tc>
            </w:tr>
            <w:tr w:rsidR="00A95A17" w14:paraId="5C294226" w14:textId="77777777" w:rsidTr="005C44D1">
              <w:tc>
                <w:tcPr>
                  <w:tcW w:w="2582" w:type="pct"/>
                </w:tcPr>
                <w:p w14:paraId="710B4C70" w14:textId="58F0A5FB" w:rsidR="00A95A17" w:rsidRDefault="005A76F8" w:rsidP="00D352EA">
                  <w:pPr>
                    <w:pStyle w:val="TableBodyText"/>
                    <w:jc w:val="left"/>
                  </w:pPr>
                  <w:r w:rsidRPr="00171AC3">
                    <w:t>Employee superannuation expenses</w:t>
                  </w:r>
                </w:p>
              </w:tc>
              <w:tc>
                <w:tcPr>
                  <w:tcW w:w="654" w:type="pct"/>
                </w:tcPr>
                <w:p w14:paraId="598050CF" w14:textId="231C6A46" w:rsidR="00A95A17" w:rsidRDefault="005A76F8" w:rsidP="00D352EA">
                  <w:pPr>
                    <w:pStyle w:val="TableBodyText"/>
                  </w:pPr>
                  <w:r w:rsidRPr="00612267">
                    <w:rPr>
                      <w:rFonts w:ascii="Wingdings" w:hAnsi="Wingdings"/>
                    </w:rPr>
                    <w:t></w:t>
                  </w:r>
                </w:p>
              </w:tc>
              <w:tc>
                <w:tcPr>
                  <w:tcW w:w="611" w:type="pct"/>
                </w:tcPr>
                <w:p w14:paraId="2AA8F33C" w14:textId="1425BBFA" w:rsidR="00A95A17" w:rsidRDefault="005A76F8" w:rsidP="00D352EA">
                  <w:pPr>
                    <w:pStyle w:val="TableBodyText"/>
                  </w:pPr>
                  <w:r w:rsidRPr="00612267">
                    <w:rPr>
                      <w:rFonts w:ascii="Wingdings" w:hAnsi="Wingdings"/>
                    </w:rPr>
                    <w:t></w:t>
                  </w:r>
                </w:p>
              </w:tc>
              <w:tc>
                <w:tcPr>
                  <w:tcW w:w="576" w:type="pct"/>
                </w:tcPr>
                <w:p w14:paraId="2E881D10" w14:textId="06A9104F" w:rsidR="00A95A17" w:rsidRDefault="005A76F8" w:rsidP="00D352EA">
                  <w:pPr>
                    <w:pStyle w:val="TableBodyText"/>
                  </w:pPr>
                  <w:r w:rsidRPr="00612267">
                    <w:rPr>
                      <w:rFonts w:ascii="Wingdings" w:hAnsi="Wingdings"/>
                    </w:rPr>
                    <w:t></w:t>
                  </w:r>
                </w:p>
              </w:tc>
              <w:tc>
                <w:tcPr>
                  <w:tcW w:w="577" w:type="pct"/>
                </w:tcPr>
                <w:p w14:paraId="36CFC79A" w14:textId="1EE359CD" w:rsidR="00A95A17" w:rsidRDefault="005A76F8" w:rsidP="00D352EA">
                  <w:pPr>
                    <w:pStyle w:val="TableBodyText"/>
                    <w:ind w:right="28"/>
                  </w:pPr>
                  <w:r w:rsidRPr="00612267">
                    <w:rPr>
                      <w:rFonts w:ascii="Wingdings" w:hAnsi="Wingdings"/>
                    </w:rPr>
                    <w:t></w:t>
                  </w:r>
                </w:p>
              </w:tc>
            </w:tr>
            <w:tr w:rsidR="00A95A17" w14:paraId="031F076D" w14:textId="77777777" w:rsidTr="005C44D1">
              <w:tc>
                <w:tcPr>
                  <w:tcW w:w="2582" w:type="pct"/>
                </w:tcPr>
                <w:p w14:paraId="03FA0026" w14:textId="12F8E2AB" w:rsidR="00A95A17" w:rsidRDefault="005A76F8" w:rsidP="00D352EA">
                  <w:pPr>
                    <w:pStyle w:val="TableBodyText"/>
                    <w:jc w:val="left"/>
                  </w:pPr>
                  <w:r w:rsidRPr="00171AC3">
                    <w:t>Bad debts</w:t>
                  </w:r>
                </w:p>
              </w:tc>
              <w:tc>
                <w:tcPr>
                  <w:tcW w:w="654" w:type="pct"/>
                </w:tcPr>
                <w:p w14:paraId="28E47278" w14:textId="711C81C0" w:rsidR="00A95A17" w:rsidRDefault="005A76F8" w:rsidP="00D352EA">
                  <w:pPr>
                    <w:pStyle w:val="TableBodyText"/>
                  </w:pPr>
                  <w:r w:rsidRPr="00612267">
                    <w:rPr>
                      <w:rFonts w:ascii="Wingdings" w:hAnsi="Wingdings"/>
                    </w:rPr>
                    <w:t></w:t>
                  </w:r>
                </w:p>
              </w:tc>
              <w:tc>
                <w:tcPr>
                  <w:tcW w:w="611" w:type="pct"/>
                </w:tcPr>
                <w:p w14:paraId="5F083611" w14:textId="6DAA9576" w:rsidR="00A95A17" w:rsidRDefault="005A76F8" w:rsidP="00D352EA">
                  <w:pPr>
                    <w:pStyle w:val="TableBodyText"/>
                  </w:pPr>
                  <w:r w:rsidRPr="00612267">
                    <w:rPr>
                      <w:rFonts w:ascii="Wingdings" w:hAnsi="Wingdings"/>
                    </w:rPr>
                    <w:t></w:t>
                  </w:r>
                </w:p>
              </w:tc>
              <w:tc>
                <w:tcPr>
                  <w:tcW w:w="576" w:type="pct"/>
                </w:tcPr>
                <w:p w14:paraId="590F0729" w14:textId="4434D3AB" w:rsidR="00A95A17" w:rsidRDefault="005A76F8" w:rsidP="00D352EA">
                  <w:pPr>
                    <w:pStyle w:val="TableBodyText"/>
                  </w:pPr>
                  <w:r w:rsidRPr="00612267">
                    <w:rPr>
                      <w:rFonts w:ascii="Wingdings" w:hAnsi="Wingdings"/>
                    </w:rPr>
                    <w:t></w:t>
                  </w:r>
                </w:p>
              </w:tc>
              <w:tc>
                <w:tcPr>
                  <w:tcW w:w="577" w:type="pct"/>
                </w:tcPr>
                <w:p w14:paraId="309299B2" w14:textId="39A90E14" w:rsidR="00A95A17" w:rsidRDefault="005A76F8" w:rsidP="00D352EA">
                  <w:pPr>
                    <w:pStyle w:val="TableBodyText"/>
                    <w:ind w:right="28"/>
                  </w:pPr>
                  <w:r w:rsidRPr="00612267">
                    <w:rPr>
                      <w:rFonts w:ascii="Wingdings" w:hAnsi="Wingdings"/>
                    </w:rPr>
                    <w:t></w:t>
                  </w:r>
                </w:p>
              </w:tc>
            </w:tr>
            <w:tr w:rsidR="00B30E9A" w14:paraId="49F52AD8" w14:textId="77777777" w:rsidTr="005C44D1">
              <w:tc>
                <w:tcPr>
                  <w:tcW w:w="2582" w:type="pct"/>
                </w:tcPr>
                <w:p w14:paraId="5B4623CC" w14:textId="258DEFA2" w:rsidR="00B30E9A" w:rsidRDefault="005A76F8" w:rsidP="00D352EA">
                  <w:pPr>
                    <w:pStyle w:val="TableBodyText"/>
                    <w:jc w:val="left"/>
                  </w:pPr>
                  <w:r w:rsidRPr="00171AC3">
                    <w:t>Lease expenses overseas</w:t>
                  </w:r>
                </w:p>
              </w:tc>
              <w:tc>
                <w:tcPr>
                  <w:tcW w:w="654" w:type="pct"/>
                </w:tcPr>
                <w:p w14:paraId="2CD8202D" w14:textId="512ECF93" w:rsidR="00B30E9A" w:rsidRDefault="005A76F8" w:rsidP="00D352EA">
                  <w:pPr>
                    <w:pStyle w:val="TableBodyText"/>
                  </w:pPr>
                  <w:r w:rsidRPr="00612267">
                    <w:rPr>
                      <w:rFonts w:ascii="Wingdings" w:hAnsi="Wingdings"/>
                    </w:rPr>
                    <w:t></w:t>
                  </w:r>
                </w:p>
              </w:tc>
              <w:tc>
                <w:tcPr>
                  <w:tcW w:w="611" w:type="pct"/>
                </w:tcPr>
                <w:p w14:paraId="228ABE67" w14:textId="77777777" w:rsidR="00355D4C" w:rsidRDefault="00355D4C" w:rsidP="00D352EA">
                  <w:pPr>
                    <w:pStyle w:val="TableBodyText"/>
                  </w:pPr>
                </w:p>
              </w:tc>
              <w:tc>
                <w:tcPr>
                  <w:tcW w:w="576" w:type="pct"/>
                </w:tcPr>
                <w:p w14:paraId="7A573ABB" w14:textId="77777777" w:rsidR="00B30E9A" w:rsidRDefault="00B30E9A" w:rsidP="00D352EA">
                  <w:pPr>
                    <w:pStyle w:val="TableBodyText"/>
                  </w:pPr>
                </w:p>
              </w:tc>
              <w:tc>
                <w:tcPr>
                  <w:tcW w:w="577" w:type="pct"/>
                </w:tcPr>
                <w:p w14:paraId="7F7516B5" w14:textId="77777777" w:rsidR="00B30E9A" w:rsidRDefault="00B30E9A" w:rsidP="00D352EA">
                  <w:pPr>
                    <w:pStyle w:val="TableBodyText"/>
                    <w:ind w:right="28"/>
                  </w:pPr>
                </w:p>
              </w:tc>
            </w:tr>
            <w:tr w:rsidR="00A95A17" w14:paraId="480D18E7" w14:textId="77777777" w:rsidTr="005C44D1">
              <w:tc>
                <w:tcPr>
                  <w:tcW w:w="2582" w:type="pct"/>
                </w:tcPr>
                <w:p w14:paraId="415A09F1" w14:textId="0BDE1D50" w:rsidR="00A95A17" w:rsidRDefault="005A76F8" w:rsidP="00D352EA">
                  <w:pPr>
                    <w:pStyle w:val="TableBodyText"/>
                    <w:jc w:val="left"/>
                  </w:pPr>
                  <w:r w:rsidRPr="00171AC3">
                    <w:t>Lease expenses within Australia</w:t>
                  </w:r>
                </w:p>
              </w:tc>
              <w:tc>
                <w:tcPr>
                  <w:tcW w:w="654" w:type="pct"/>
                </w:tcPr>
                <w:p w14:paraId="363C33C6" w14:textId="6317308C" w:rsidR="00A95A17" w:rsidRDefault="005A76F8" w:rsidP="00D352EA">
                  <w:pPr>
                    <w:pStyle w:val="TableBodyText"/>
                  </w:pPr>
                  <w:r w:rsidRPr="00612267">
                    <w:rPr>
                      <w:rFonts w:ascii="Wingdings" w:hAnsi="Wingdings"/>
                    </w:rPr>
                    <w:t></w:t>
                  </w:r>
                </w:p>
              </w:tc>
              <w:tc>
                <w:tcPr>
                  <w:tcW w:w="611" w:type="pct"/>
                </w:tcPr>
                <w:p w14:paraId="3E9B08DF" w14:textId="77777777" w:rsidR="00A95A17" w:rsidRDefault="00A95A17" w:rsidP="00D352EA">
                  <w:pPr>
                    <w:pStyle w:val="TableBodyText"/>
                  </w:pPr>
                </w:p>
              </w:tc>
              <w:tc>
                <w:tcPr>
                  <w:tcW w:w="576" w:type="pct"/>
                </w:tcPr>
                <w:p w14:paraId="5CB039F6" w14:textId="77777777" w:rsidR="00A95A17" w:rsidRDefault="00A95A17" w:rsidP="00D352EA">
                  <w:pPr>
                    <w:pStyle w:val="TableBodyText"/>
                  </w:pPr>
                </w:p>
              </w:tc>
              <w:tc>
                <w:tcPr>
                  <w:tcW w:w="577" w:type="pct"/>
                </w:tcPr>
                <w:p w14:paraId="6FAC823C" w14:textId="77777777" w:rsidR="00A95A17" w:rsidRDefault="00A95A17" w:rsidP="00D352EA">
                  <w:pPr>
                    <w:pStyle w:val="TableBodyText"/>
                    <w:ind w:right="28"/>
                  </w:pPr>
                </w:p>
              </w:tc>
            </w:tr>
            <w:tr w:rsidR="000018CB" w14:paraId="1AFB414E" w14:textId="77777777" w:rsidTr="005C44D1">
              <w:tc>
                <w:tcPr>
                  <w:tcW w:w="2582" w:type="pct"/>
                </w:tcPr>
                <w:p w14:paraId="6B5D5BCF" w14:textId="0BAE4454" w:rsidR="000018CB" w:rsidRDefault="005A76F8" w:rsidP="00D352EA">
                  <w:pPr>
                    <w:pStyle w:val="TableBodyText"/>
                    <w:jc w:val="left"/>
                  </w:pPr>
                  <w:r w:rsidRPr="00171AC3">
                    <w:t>Lease expenses</w:t>
                  </w:r>
                </w:p>
              </w:tc>
              <w:tc>
                <w:tcPr>
                  <w:tcW w:w="654" w:type="pct"/>
                </w:tcPr>
                <w:p w14:paraId="7797FF92" w14:textId="77777777" w:rsidR="000018CB" w:rsidRDefault="000018CB" w:rsidP="00D352EA">
                  <w:pPr>
                    <w:pStyle w:val="TableBodyText"/>
                  </w:pPr>
                </w:p>
              </w:tc>
              <w:tc>
                <w:tcPr>
                  <w:tcW w:w="611" w:type="pct"/>
                </w:tcPr>
                <w:p w14:paraId="1D34691F" w14:textId="377FF959" w:rsidR="000018CB" w:rsidRDefault="005A76F8" w:rsidP="00D352EA">
                  <w:pPr>
                    <w:pStyle w:val="TableBodyText"/>
                  </w:pPr>
                  <w:r w:rsidRPr="00612267">
                    <w:rPr>
                      <w:rFonts w:ascii="Wingdings" w:hAnsi="Wingdings"/>
                    </w:rPr>
                    <w:t></w:t>
                  </w:r>
                </w:p>
              </w:tc>
              <w:tc>
                <w:tcPr>
                  <w:tcW w:w="576" w:type="pct"/>
                </w:tcPr>
                <w:p w14:paraId="7EB17F15" w14:textId="438D92F7" w:rsidR="000018CB" w:rsidRDefault="005A76F8" w:rsidP="00D352EA">
                  <w:pPr>
                    <w:pStyle w:val="TableBodyText"/>
                  </w:pPr>
                  <w:r w:rsidRPr="00612267">
                    <w:rPr>
                      <w:rFonts w:ascii="Wingdings" w:hAnsi="Wingdings"/>
                    </w:rPr>
                    <w:t></w:t>
                  </w:r>
                </w:p>
              </w:tc>
              <w:tc>
                <w:tcPr>
                  <w:tcW w:w="577" w:type="pct"/>
                </w:tcPr>
                <w:p w14:paraId="7A654B00" w14:textId="294BDA16" w:rsidR="000018CB" w:rsidRDefault="005A76F8" w:rsidP="00D352EA">
                  <w:pPr>
                    <w:pStyle w:val="TableBodyText"/>
                    <w:ind w:right="28"/>
                  </w:pPr>
                  <w:r w:rsidRPr="00612267">
                    <w:rPr>
                      <w:rFonts w:ascii="Wingdings" w:hAnsi="Wingdings"/>
                    </w:rPr>
                    <w:t></w:t>
                  </w:r>
                </w:p>
              </w:tc>
            </w:tr>
            <w:tr w:rsidR="000018CB" w14:paraId="1B33AAC8" w14:textId="77777777" w:rsidTr="005C44D1">
              <w:tc>
                <w:tcPr>
                  <w:tcW w:w="2582" w:type="pct"/>
                </w:tcPr>
                <w:p w14:paraId="7A1F3129" w14:textId="5DFA34FD" w:rsidR="000018CB" w:rsidRDefault="005A76F8" w:rsidP="00D352EA">
                  <w:pPr>
                    <w:pStyle w:val="TableBodyText"/>
                    <w:jc w:val="left"/>
                  </w:pPr>
                  <w:r w:rsidRPr="00171AC3">
                    <w:t xml:space="preserve">Rent expenses </w:t>
                  </w:r>
                </w:p>
              </w:tc>
              <w:tc>
                <w:tcPr>
                  <w:tcW w:w="654" w:type="pct"/>
                </w:tcPr>
                <w:p w14:paraId="19ADEB2B" w14:textId="62CFB42F" w:rsidR="000018CB" w:rsidRDefault="005A76F8" w:rsidP="00D352EA">
                  <w:pPr>
                    <w:pStyle w:val="TableBodyText"/>
                  </w:pPr>
                  <w:r w:rsidRPr="00612267">
                    <w:rPr>
                      <w:rFonts w:ascii="Wingdings" w:hAnsi="Wingdings"/>
                    </w:rPr>
                    <w:t></w:t>
                  </w:r>
                </w:p>
              </w:tc>
              <w:tc>
                <w:tcPr>
                  <w:tcW w:w="611" w:type="pct"/>
                </w:tcPr>
                <w:p w14:paraId="402396D4" w14:textId="55406CF4" w:rsidR="000018CB" w:rsidRDefault="005A76F8" w:rsidP="00D352EA">
                  <w:pPr>
                    <w:pStyle w:val="TableBodyText"/>
                  </w:pPr>
                  <w:r w:rsidRPr="00612267">
                    <w:rPr>
                      <w:rFonts w:ascii="Wingdings" w:hAnsi="Wingdings"/>
                    </w:rPr>
                    <w:t></w:t>
                  </w:r>
                </w:p>
              </w:tc>
              <w:tc>
                <w:tcPr>
                  <w:tcW w:w="576" w:type="pct"/>
                </w:tcPr>
                <w:p w14:paraId="305E246C" w14:textId="23A0AC7A" w:rsidR="000018CB" w:rsidRDefault="005A76F8" w:rsidP="00D352EA">
                  <w:pPr>
                    <w:pStyle w:val="TableBodyText"/>
                  </w:pPr>
                  <w:r w:rsidRPr="00612267">
                    <w:rPr>
                      <w:rFonts w:ascii="Wingdings" w:hAnsi="Wingdings"/>
                    </w:rPr>
                    <w:t></w:t>
                  </w:r>
                </w:p>
              </w:tc>
              <w:tc>
                <w:tcPr>
                  <w:tcW w:w="577" w:type="pct"/>
                </w:tcPr>
                <w:p w14:paraId="26A8222C" w14:textId="66058402" w:rsidR="000018CB" w:rsidRDefault="005A76F8" w:rsidP="00D352EA">
                  <w:pPr>
                    <w:pStyle w:val="TableBodyText"/>
                    <w:ind w:right="28"/>
                  </w:pPr>
                  <w:r w:rsidRPr="00612267">
                    <w:rPr>
                      <w:rFonts w:ascii="Wingdings" w:hAnsi="Wingdings"/>
                    </w:rPr>
                    <w:t></w:t>
                  </w:r>
                </w:p>
              </w:tc>
            </w:tr>
            <w:tr w:rsidR="000018CB" w14:paraId="3203B212" w14:textId="77777777" w:rsidTr="005C44D1">
              <w:tc>
                <w:tcPr>
                  <w:tcW w:w="2582" w:type="pct"/>
                </w:tcPr>
                <w:p w14:paraId="20A3FE29" w14:textId="20E94A5B" w:rsidR="000018CB" w:rsidRDefault="00F520F4" w:rsidP="00D352EA">
                  <w:pPr>
                    <w:pStyle w:val="TableBodyText"/>
                    <w:jc w:val="left"/>
                  </w:pPr>
                  <w:r w:rsidRPr="00171AC3">
                    <w:t>Interest expenses overseas</w:t>
                  </w:r>
                </w:p>
              </w:tc>
              <w:tc>
                <w:tcPr>
                  <w:tcW w:w="654" w:type="pct"/>
                </w:tcPr>
                <w:p w14:paraId="4E5A2F9A" w14:textId="28740CB7" w:rsidR="000018CB" w:rsidRDefault="005A76F8" w:rsidP="00D352EA">
                  <w:pPr>
                    <w:pStyle w:val="TableBodyText"/>
                  </w:pPr>
                  <w:r w:rsidRPr="00612267">
                    <w:rPr>
                      <w:rFonts w:ascii="Wingdings" w:hAnsi="Wingdings"/>
                    </w:rPr>
                    <w:t></w:t>
                  </w:r>
                </w:p>
              </w:tc>
              <w:tc>
                <w:tcPr>
                  <w:tcW w:w="611" w:type="pct"/>
                </w:tcPr>
                <w:p w14:paraId="74E11670" w14:textId="541B57DC" w:rsidR="000018CB" w:rsidRDefault="005A76F8" w:rsidP="00D352EA">
                  <w:pPr>
                    <w:pStyle w:val="TableBodyText"/>
                  </w:pPr>
                  <w:r w:rsidRPr="00612267">
                    <w:rPr>
                      <w:rFonts w:ascii="Wingdings" w:hAnsi="Wingdings"/>
                    </w:rPr>
                    <w:t></w:t>
                  </w:r>
                </w:p>
              </w:tc>
              <w:tc>
                <w:tcPr>
                  <w:tcW w:w="576" w:type="pct"/>
                </w:tcPr>
                <w:p w14:paraId="7A26AB50" w14:textId="6CC32143" w:rsidR="000018CB" w:rsidRDefault="005A76F8" w:rsidP="00D352EA">
                  <w:pPr>
                    <w:pStyle w:val="TableBodyText"/>
                  </w:pPr>
                  <w:r w:rsidRPr="00612267">
                    <w:rPr>
                      <w:rFonts w:ascii="Wingdings" w:hAnsi="Wingdings"/>
                    </w:rPr>
                    <w:t></w:t>
                  </w:r>
                </w:p>
              </w:tc>
              <w:tc>
                <w:tcPr>
                  <w:tcW w:w="577" w:type="pct"/>
                </w:tcPr>
                <w:p w14:paraId="38871A2B" w14:textId="71D8EDE1" w:rsidR="000018CB" w:rsidRDefault="005A76F8" w:rsidP="00D352EA">
                  <w:pPr>
                    <w:pStyle w:val="TableBodyText"/>
                    <w:ind w:right="28"/>
                  </w:pPr>
                  <w:r w:rsidRPr="00612267">
                    <w:rPr>
                      <w:rFonts w:ascii="Wingdings" w:hAnsi="Wingdings"/>
                    </w:rPr>
                    <w:t></w:t>
                  </w:r>
                </w:p>
              </w:tc>
            </w:tr>
            <w:tr w:rsidR="000018CB" w14:paraId="61ADCEB2" w14:textId="77777777" w:rsidTr="005C44D1">
              <w:tc>
                <w:tcPr>
                  <w:tcW w:w="2582" w:type="pct"/>
                </w:tcPr>
                <w:p w14:paraId="7665BB8D" w14:textId="4409887A" w:rsidR="000018CB" w:rsidRDefault="00F520F4" w:rsidP="00D352EA">
                  <w:pPr>
                    <w:pStyle w:val="TableBodyText"/>
                    <w:jc w:val="left"/>
                  </w:pPr>
                  <w:r w:rsidRPr="00171AC3">
                    <w:t>Interest expenses within Australia</w:t>
                  </w:r>
                </w:p>
              </w:tc>
              <w:tc>
                <w:tcPr>
                  <w:tcW w:w="654" w:type="pct"/>
                </w:tcPr>
                <w:p w14:paraId="37D912D3" w14:textId="02CAA7A1" w:rsidR="000018CB" w:rsidRDefault="005A76F8" w:rsidP="00D352EA">
                  <w:pPr>
                    <w:pStyle w:val="TableBodyText"/>
                  </w:pPr>
                  <w:r w:rsidRPr="00612267">
                    <w:rPr>
                      <w:rFonts w:ascii="Wingdings" w:hAnsi="Wingdings"/>
                    </w:rPr>
                    <w:t></w:t>
                  </w:r>
                </w:p>
              </w:tc>
              <w:tc>
                <w:tcPr>
                  <w:tcW w:w="611" w:type="pct"/>
                </w:tcPr>
                <w:p w14:paraId="1DB3F335" w14:textId="338D7BBE" w:rsidR="000018CB" w:rsidRDefault="000018CB" w:rsidP="00D352EA">
                  <w:pPr>
                    <w:pStyle w:val="TableBodyText"/>
                  </w:pPr>
                </w:p>
              </w:tc>
              <w:tc>
                <w:tcPr>
                  <w:tcW w:w="576" w:type="pct"/>
                </w:tcPr>
                <w:p w14:paraId="1B8607D5" w14:textId="55D100F7" w:rsidR="000018CB" w:rsidRDefault="000018CB" w:rsidP="00D352EA">
                  <w:pPr>
                    <w:pStyle w:val="TableBodyText"/>
                  </w:pPr>
                </w:p>
              </w:tc>
              <w:tc>
                <w:tcPr>
                  <w:tcW w:w="577" w:type="pct"/>
                </w:tcPr>
                <w:p w14:paraId="7FE7261B" w14:textId="1257AE01" w:rsidR="000018CB" w:rsidRDefault="005A76F8" w:rsidP="00D352EA">
                  <w:pPr>
                    <w:pStyle w:val="TableBodyText"/>
                    <w:ind w:right="28"/>
                  </w:pPr>
                  <w:r w:rsidRPr="00612267">
                    <w:rPr>
                      <w:rFonts w:ascii="Wingdings" w:hAnsi="Wingdings"/>
                    </w:rPr>
                    <w:t></w:t>
                  </w:r>
                </w:p>
              </w:tc>
            </w:tr>
            <w:tr w:rsidR="000018CB" w14:paraId="5FEFE2D9" w14:textId="77777777" w:rsidTr="005C44D1">
              <w:tc>
                <w:tcPr>
                  <w:tcW w:w="2582" w:type="pct"/>
                </w:tcPr>
                <w:p w14:paraId="3A48C13B" w14:textId="4ED0D4F2" w:rsidR="000018CB" w:rsidRDefault="00F520F4" w:rsidP="00D352EA">
                  <w:pPr>
                    <w:pStyle w:val="TableBodyText"/>
                    <w:jc w:val="left"/>
                  </w:pPr>
                  <w:r w:rsidRPr="00171AC3">
                    <w:t>Interest incurred on money borrowed from Australian or overseas sources</w:t>
                  </w:r>
                </w:p>
              </w:tc>
              <w:tc>
                <w:tcPr>
                  <w:tcW w:w="654" w:type="pct"/>
                </w:tcPr>
                <w:p w14:paraId="1429B9F8" w14:textId="3C861E02" w:rsidR="000018CB" w:rsidRDefault="000018CB" w:rsidP="00D352EA">
                  <w:pPr>
                    <w:pStyle w:val="TableBodyText"/>
                  </w:pPr>
                </w:p>
              </w:tc>
              <w:tc>
                <w:tcPr>
                  <w:tcW w:w="611" w:type="pct"/>
                </w:tcPr>
                <w:p w14:paraId="1FD02827" w14:textId="4C4EDBE0" w:rsidR="000018CB" w:rsidRDefault="005A76F8" w:rsidP="00D352EA">
                  <w:pPr>
                    <w:pStyle w:val="TableBodyText"/>
                  </w:pPr>
                  <w:r w:rsidRPr="00612267">
                    <w:rPr>
                      <w:rFonts w:ascii="Wingdings" w:hAnsi="Wingdings"/>
                    </w:rPr>
                    <w:t></w:t>
                  </w:r>
                </w:p>
              </w:tc>
              <w:tc>
                <w:tcPr>
                  <w:tcW w:w="576" w:type="pct"/>
                </w:tcPr>
                <w:p w14:paraId="0FA11778" w14:textId="66A08233" w:rsidR="000018CB" w:rsidRDefault="005A76F8" w:rsidP="00D352EA">
                  <w:pPr>
                    <w:pStyle w:val="TableBodyText"/>
                  </w:pPr>
                  <w:r w:rsidRPr="00612267">
                    <w:rPr>
                      <w:rFonts w:ascii="Wingdings" w:hAnsi="Wingdings"/>
                    </w:rPr>
                    <w:t></w:t>
                  </w:r>
                </w:p>
              </w:tc>
              <w:tc>
                <w:tcPr>
                  <w:tcW w:w="577" w:type="pct"/>
                </w:tcPr>
                <w:p w14:paraId="320E0C05" w14:textId="36AFC687" w:rsidR="000018CB" w:rsidRDefault="000018CB" w:rsidP="00D352EA">
                  <w:pPr>
                    <w:pStyle w:val="TableBodyText"/>
                    <w:ind w:right="28"/>
                  </w:pPr>
                </w:p>
              </w:tc>
            </w:tr>
            <w:tr w:rsidR="000018CB" w14:paraId="5E9CD1FF" w14:textId="77777777" w:rsidTr="005C44D1">
              <w:tc>
                <w:tcPr>
                  <w:tcW w:w="2582" w:type="pct"/>
                </w:tcPr>
                <w:p w14:paraId="54CA1EE2" w14:textId="7C69F54C" w:rsidR="000018CB" w:rsidRDefault="0057282B" w:rsidP="00D352EA">
                  <w:pPr>
                    <w:pStyle w:val="TableBodyText"/>
                    <w:jc w:val="left"/>
                  </w:pPr>
                  <w:r w:rsidRPr="00171AC3">
                    <w:t>Depreciation expenses</w:t>
                  </w:r>
                </w:p>
              </w:tc>
              <w:tc>
                <w:tcPr>
                  <w:tcW w:w="654" w:type="pct"/>
                </w:tcPr>
                <w:p w14:paraId="690FA07C" w14:textId="07F4518F" w:rsidR="000018CB" w:rsidRDefault="0057282B" w:rsidP="00D352EA">
                  <w:pPr>
                    <w:pStyle w:val="TableBodyText"/>
                  </w:pPr>
                  <w:r w:rsidRPr="00612267">
                    <w:rPr>
                      <w:rFonts w:ascii="Wingdings" w:hAnsi="Wingdings"/>
                    </w:rPr>
                    <w:t></w:t>
                  </w:r>
                </w:p>
              </w:tc>
              <w:tc>
                <w:tcPr>
                  <w:tcW w:w="611" w:type="pct"/>
                </w:tcPr>
                <w:p w14:paraId="178CB3D4" w14:textId="42E9929F" w:rsidR="000018CB" w:rsidRDefault="0057282B" w:rsidP="00D352EA">
                  <w:pPr>
                    <w:pStyle w:val="TableBodyText"/>
                  </w:pPr>
                  <w:r w:rsidRPr="00612267">
                    <w:rPr>
                      <w:rFonts w:ascii="Wingdings" w:hAnsi="Wingdings"/>
                    </w:rPr>
                    <w:t></w:t>
                  </w:r>
                </w:p>
              </w:tc>
              <w:tc>
                <w:tcPr>
                  <w:tcW w:w="576" w:type="pct"/>
                </w:tcPr>
                <w:p w14:paraId="0BDB8C62" w14:textId="15AAB608" w:rsidR="000018CB" w:rsidRDefault="0057282B" w:rsidP="00D352EA">
                  <w:pPr>
                    <w:pStyle w:val="TableBodyText"/>
                  </w:pPr>
                  <w:r w:rsidRPr="00612267">
                    <w:rPr>
                      <w:rFonts w:ascii="Wingdings" w:hAnsi="Wingdings"/>
                    </w:rPr>
                    <w:t></w:t>
                  </w:r>
                </w:p>
              </w:tc>
              <w:tc>
                <w:tcPr>
                  <w:tcW w:w="577" w:type="pct"/>
                </w:tcPr>
                <w:p w14:paraId="00A54035" w14:textId="51160355" w:rsidR="000018CB" w:rsidRDefault="0057282B" w:rsidP="00D352EA">
                  <w:pPr>
                    <w:pStyle w:val="TableBodyText"/>
                    <w:ind w:right="28"/>
                  </w:pPr>
                  <w:r w:rsidRPr="00612267">
                    <w:rPr>
                      <w:rFonts w:ascii="Wingdings" w:hAnsi="Wingdings"/>
                    </w:rPr>
                    <w:t></w:t>
                  </w:r>
                </w:p>
              </w:tc>
            </w:tr>
            <w:tr w:rsidR="000018CB" w14:paraId="70F4EAC8" w14:textId="77777777" w:rsidTr="005C44D1">
              <w:tc>
                <w:tcPr>
                  <w:tcW w:w="2582" w:type="pct"/>
                </w:tcPr>
                <w:p w14:paraId="05416B4B" w14:textId="548AB715" w:rsidR="000018CB" w:rsidRDefault="0057282B" w:rsidP="00D352EA">
                  <w:pPr>
                    <w:pStyle w:val="TableBodyText"/>
                    <w:jc w:val="left"/>
                  </w:pPr>
                  <w:r w:rsidRPr="00171AC3">
                    <w:t>Extraordinary items</w:t>
                  </w:r>
                </w:p>
              </w:tc>
              <w:tc>
                <w:tcPr>
                  <w:tcW w:w="654" w:type="pct"/>
                </w:tcPr>
                <w:p w14:paraId="39BDDD22" w14:textId="689E8D59" w:rsidR="000018CB" w:rsidRDefault="0057282B" w:rsidP="00D352EA">
                  <w:pPr>
                    <w:pStyle w:val="TableBodyText"/>
                  </w:pPr>
                  <w:r w:rsidRPr="00612267">
                    <w:rPr>
                      <w:rFonts w:ascii="Wingdings" w:hAnsi="Wingdings"/>
                    </w:rPr>
                    <w:t></w:t>
                  </w:r>
                </w:p>
              </w:tc>
              <w:tc>
                <w:tcPr>
                  <w:tcW w:w="611" w:type="pct"/>
                </w:tcPr>
                <w:p w14:paraId="43D946BB" w14:textId="77777777" w:rsidR="000018CB" w:rsidRDefault="000018CB" w:rsidP="00D352EA">
                  <w:pPr>
                    <w:pStyle w:val="TableBodyText"/>
                  </w:pPr>
                </w:p>
              </w:tc>
              <w:tc>
                <w:tcPr>
                  <w:tcW w:w="576" w:type="pct"/>
                </w:tcPr>
                <w:p w14:paraId="017B4490" w14:textId="77777777" w:rsidR="000018CB" w:rsidRDefault="000018CB" w:rsidP="00D352EA">
                  <w:pPr>
                    <w:pStyle w:val="TableBodyText"/>
                  </w:pPr>
                </w:p>
              </w:tc>
              <w:tc>
                <w:tcPr>
                  <w:tcW w:w="577" w:type="pct"/>
                </w:tcPr>
                <w:p w14:paraId="7101E682" w14:textId="77777777" w:rsidR="000018CB" w:rsidRDefault="000018CB" w:rsidP="00D352EA">
                  <w:pPr>
                    <w:pStyle w:val="TableBodyText"/>
                    <w:ind w:right="28"/>
                  </w:pPr>
                </w:p>
              </w:tc>
            </w:tr>
            <w:tr w:rsidR="000018CB" w14:paraId="7954E7D6" w14:textId="77777777" w:rsidTr="005C44D1">
              <w:tc>
                <w:tcPr>
                  <w:tcW w:w="2582" w:type="pct"/>
                </w:tcPr>
                <w:p w14:paraId="3B2405D1" w14:textId="25A17EAD" w:rsidR="000018CB" w:rsidRDefault="0057282B" w:rsidP="00D352EA">
                  <w:pPr>
                    <w:pStyle w:val="TableBodyText"/>
                    <w:jc w:val="left"/>
                  </w:pPr>
                  <w:r w:rsidRPr="00171AC3">
                    <w:t>Total expenses</w:t>
                  </w:r>
                </w:p>
              </w:tc>
              <w:tc>
                <w:tcPr>
                  <w:tcW w:w="654" w:type="pct"/>
                </w:tcPr>
                <w:p w14:paraId="6FFFEBFA" w14:textId="3F85898A" w:rsidR="000018CB" w:rsidRDefault="0057282B" w:rsidP="00D352EA">
                  <w:pPr>
                    <w:pStyle w:val="TableBodyText"/>
                  </w:pPr>
                  <w:r w:rsidRPr="00612267">
                    <w:rPr>
                      <w:rFonts w:ascii="Wingdings" w:hAnsi="Wingdings"/>
                    </w:rPr>
                    <w:t></w:t>
                  </w:r>
                </w:p>
              </w:tc>
              <w:tc>
                <w:tcPr>
                  <w:tcW w:w="611" w:type="pct"/>
                </w:tcPr>
                <w:p w14:paraId="480CD9D8" w14:textId="00FA530C" w:rsidR="000018CB" w:rsidRDefault="0057282B" w:rsidP="00D352EA">
                  <w:pPr>
                    <w:pStyle w:val="TableBodyText"/>
                  </w:pPr>
                  <w:r w:rsidRPr="00612267">
                    <w:rPr>
                      <w:rFonts w:ascii="Wingdings" w:hAnsi="Wingdings"/>
                    </w:rPr>
                    <w:t></w:t>
                  </w:r>
                </w:p>
              </w:tc>
              <w:tc>
                <w:tcPr>
                  <w:tcW w:w="576" w:type="pct"/>
                </w:tcPr>
                <w:p w14:paraId="300E0F68" w14:textId="1E5093A8" w:rsidR="000018CB" w:rsidRDefault="0057282B" w:rsidP="00D352EA">
                  <w:pPr>
                    <w:pStyle w:val="TableBodyText"/>
                  </w:pPr>
                  <w:r w:rsidRPr="00612267">
                    <w:rPr>
                      <w:rFonts w:ascii="Wingdings" w:hAnsi="Wingdings"/>
                    </w:rPr>
                    <w:t></w:t>
                  </w:r>
                </w:p>
              </w:tc>
              <w:tc>
                <w:tcPr>
                  <w:tcW w:w="577" w:type="pct"/>
                </w:tcPr>
                <w:p w14:paraId="2671DDC0" w14:textId="143D5287" w:rsidR="000018CB" w:rsidRDefault="0057282B" w:rsidP="00D352EA">
                  <w:pPr>
                    <w:pStyle w:val="TableBodyText"/>
                    <w:ind w:right="28"/>
                  </w:pPr>
                  <w:r w:rsidRPr="00612267">
                    <w:rPr>
                      <w:rFonts w:ascii="Wingdings" w:hAnsi="Wingdings"/>
                    </w:rPr>
                    <w:t></w:t>
                  </w:r>
                </w:p>
              </w:tc>
            </w:tr>
            <w:tr w:rsidR="000018CB" w14:paraId="5A6F557B" w14:textId="77777777" w:rsidTr="005C44D1">
              <w:tc>
                <w:tcPr>
                  <w:tcW w:w="2582" w:type="pct"/>
                </w:tcPr>
                <w:p w14:paraId="486DF134" w14:textId="0F93B064" w:rsidR="000018CB" w:rsidRDefault="0057282B" w:rsidP="00D352EA">
                  <w:pPr>
                    <w:pStyle w:val="TableBodyText"/>
                    <w:jc w:val="left"/>
                  </w:pPr>
                  <w:r w:rsidRPr="00171AC3">
                    <w:t>Operating profit or loss</w:t>
                  </w:r>
                </w:p>
              </w:tc>
              <w:tc>
                <w:tcPr>
                  <w:tcW w:w="654" w:type="pct"/>
                </w:tcPr>
                <w:p w14:paraId="3CCB255E" w14:textId="2FE2B605" w:rsidR="000018CB" w:rsidRDefault="0057282B" w:rsidP="00D352EA">
                  <w:pPr>
                    <w:pStyle w:val="TableBodyText"/>
                  </w:pPr>
                  <w:r w:rsidRPr="00612267">
                    <w:rPr>
                      <w:rFonts w:ascii="Wingdings" w:hAnsi="Wingdings"/>
                    </w:rPr>
                    <w:t></w:t>
                  </w:r>
                </w:p>
              </w:tc>
              <w:tc>
                <w:tcPr>
                  <w:tcW w:w="611" w:type="pct"/>
                </w:tcPr>
                <w:p w14:paraId="586559F1" w14:textId="77777777" w:rsidR="000018CB" w:rsidRDefault="000018CB" w:rsidP="00D352EA">
                  <w:pPr>
                    <w:pStyle w:val="TableBodyText"/>
                  </w:pPr>
                </w:p>
              </w:tc>
              <w:tc>
                <w:tcPr>
                  <w:tcW w:w="576" w:type="pct"/>
                </w:tcPr>
                <w:p w14:paraId="433867BD" w14:textId="77777777" w:rsidR="000018CB" w:rsidRDefault="000018CB" w:rsidP="00D352EA">
                  <w:pPr>
                    <w:pStyle w:val="TableBodyText"/>
                  </w:pPr>
                </w:p>
              </w:tc>
              <w:tc>
                <w:tcPr>
                  <w:tcW w:w="577" w:type="pct"/>
                </w:tcPr>
                <w:p w14:paraId="65F09ACB" w14:textId="77777777" w:rsidR="000018CB" w:rsidRDefault="000018CB" w:rsidP="00D352EA">
                  <w:pPr>
                    <w:pStyle w:val="TableBodyText"/>
                    <w:ind w:right="28"/>
                  </w:pPr>
                </w:p>
              </w:tc>
            </w:tr>
            <w:tr w:rsidR="000018CB" w14:paraId="0A414AAC" w14:textId="77777777" w:rsidTr="005C44D1">
              <w:tc>
                <w:tcPr>
                  <w:tcW w:w="2582" w:type="pct"/>
                </w:tcPr>
                <w:p w14:paraId="1C249344" w14:textId="276DBD2A" w:rsidR="000018CB" w:rsidRDefault="0057282B" w:rsidP="00D352EA">
                  <w:pPr>
                    <w:pStyle w:val="TableBodyText"/>
                    <w:jc w:val="left"/>
                  </w:pPr>
                  <w:r w:rsidRPr="00171AC3">
                    <w:t>Royalty expenses within Australia</w:t>
                  </w:r>
                </w:p>
              </w:tc>
              <w:tc>
                <w:tcPr>
                  <w:tcW w:w="654" w:type="pct"/>
                </w:tcPr>
                <w:p w14:paraId="42325EF6" w14:textId="37FEC033" w:rsidR="000018CB" w:rsidRDefault="0057282B" w:rsidP="00D352EA">
                  <w:pPr>
                    <w:pStyle w:val="TableBodyText"/>
                  </w:pPr>
                  <w:r w:rsidRPr="00612267">
                    <w:rPr>
                      <w:rFonts w:ascii="Wingdings" w:hAnsi="Wingdings"/>
                    </w:rPr>
                    <w:t></w:t>
                  </w:r>
                </w:p>
              </w:tc>
              <w:tc>
                <w:tcPr>
                  <w:tcW w:w="611" w:type="pct"/>
                </w:tcPr>
                <w:p w14:paraId="2171D33E" w14:textId="77777777" w:rsidR="000018CB" w:rsidRDefault="000018CB" w:rsidP="00D352EA">
                  <w:pPr>
                    <w:pStyle w:val="TableBodyText"/>
                  </w:pPr>
                </w:p>
              </w:tc>
              <w:tc>
                <w:tcPr>
                  <w:tcW w:w="576" w:type="pct"/>
                </w:tcPr>
                <w:p w14:paraId="26C1BD21" w14:textId="77777777" w:rsidR="000018CB" w:rsidRDefault="000018CB" w:rsidP="00D352EA">
                  <w:pPr>
                    <w:pStyle w:val="TableBodyText"/>
                  </w:pPr>
                </w:p>
              </w:tc>
              <w:tc>
                <w:tcPr>
                  <w:tcW w:w="577" w:type="pct"/>
                </w:tcPr>
                <w:p w14:paraId="71815907" w14:textId="77777777" w:rsidR="000018CB" w:rsidRDefault="000018CB" w:rsidP="00D352EA">
                  <w:pPr>
                    <w:pStyle w:val="TableBodyText"/>
                    <w:ind w:right="28"/>
                  </w:pPr>
                </w:p>
              </w:tc>
            </w:tr>
            <w:tr w:rsidR="000018CB" w14:paraId="418740B5" w14:textId="77777777" w:rsidTr="005C44D1">
              <w:tc>
                <w:tcPr>
                  <w:tcW w:w="2582" w:type="pct"/>
                </w:tcPr>
                <w:p w14:paraId="7B4AD73A" w14:textId="43202EBE" w:rsidR="000018CB" w:rsidRDefault="0057282B" w:rsidP="00D352EA">
                  <w:pPr>
                    <w:pStyle w:val="TableBodyText"/>
                    <w:jc w:val="left"/>
                  </w:pPr>
                  <w:r w:rsidRPr="00171AC3">
                    <w:t>Royalty expenses overseas</w:t>
                  </w:r>
                </w:p>
              </w:tc>
              <w:tc>
                <w:tcPr>
                  <w:tcW w:w="654" w:type="pct"/>
                </w:tcPr>
                <w:p w14:paraId="012FD6EB" w14:textId="44AE18D2" w:rsidR="000018CB" w:rsidRDefault="0057282B" w:rsidP="00D352EA">
                  <w:pPr>
                    <w:pStyle w:val="TableBodyText"/>
                  </w:pPr>
                  <w:r w:rsidRPr="00612267">
                    <w:rPr>
                      <w:rFonts w:ascii="Wingdings" w:hAnsi="Wingdings"/>
                    </w:rPr>
                    <w:t></w:t>
                  </w:r>
                </w:p>
              </w:tc>
              <w:tc>
                <w:tcPr>
                  <w:tcW w:w="611" w:type="pct"/>
                </w:tcPr>
                <w:p w14:paraId="235498D0" w14:textId="65FB1C69" w:rsidR="000018CB" w:rsidRDefault="0057282B" w:rsidP="00D352EA">
                  <w:pPr>
                    <w:pStyle w:val="TableBodyText"/>
                  </w:pPr>
                  <w:r w:rsidRPr="00612267">
                    <w:rPr>
                      <w:rFonts w:ascii="Wingdings" w:hAnsi="Wingdings"/>
                    </w:rPr>
                    <w:t></w:t>
                  </w:r>
                </w:p>
              </w:tc>
              <w:tc>
                <w:tcPr>
                  <w:tcW w:w="576" w:type="pct"/>
                </w:tcPr>
                <w:p w14:paraId="7F773A2D" w14:textId="6D7DC61A" w:rsidR="000018CB" w:rsidRDefault="0057282B" w:rsidP="00D352EA">
                  <w:pPr>
                    <w:pStyle w:val="TableBodyText"/>
                  </w:pPr>
                  <w:r w:rsidRPr="00612267">
                    <w:rPr>
                      <w:rFonts w:ascii="Wingdings" w:hAnsi="Wingdings"/>
                    </w:rPr>
                    <w:t></w:t>
                  </w:r>
                </w:p>
              </w:tc>
              <w:tc>
                <w:tcPr>
                  <w:tcW w:w="577" w:type="pct"/>
                </w:tcPr>
                <w:p w14:paraId="1BFFDB28" w14:textId="77777777" w:rsidR="000018CB" w:rsidRDefault="000018CB" w:rsidP="00D352EA">
                  <w:pPr>
                    <w:pStyle w:val="TableBodyText"/>
                    <w:ind w:right="28"/>
                  </w:pPr>
                </w:p>
              </w:tc>
            </w:tr>
            <w:tr w:rsidR="000018CB" w14:paraId="7DBBE491" w14:textId="77777777" w:rsidTr="005C44D1">
              <w:tc>
                <w:tcPr>
                  <w:tcW w:w="2582" w:type="pct"/>
                </w:tcPr>
                <w:p w14:paraId="00015F5B" w14:textId="0D25CB1C" w:rsidR="000018CB" w:rsidRDefault="0057282B" w:rsidP="00D352EA">
                  <w:pPr>
                    <w:pStyle w:val="TableBodyText"/>
                    <w:jc w:val="left"/>
                  </w:pPr>
                  <w:r w:rsidRPr="00171AC3">
                    <w:t>Total royalty expenses</w:t>
                  </w:r>
                </w:p>
              </w:tc>
              <w:tc>
                <w:tcPr>
                  <w:tcW w:w="654" w:type="pct"/>
                </w:tcPr>
                <w:p w14:paraId="4FB3C3A8" w14:textId="77777777" w:rsidR="000018CB" w:rsidRDefault="000018CB" w:rsidP="00D352EA">
                  <w:pPr>
                    <w:pStyle w:val="TableBodyText"/>
                  </w:pPr>
                </w:p>
              </w:tc>
              <w:tc>
                <w:tcPr>
                  <w:tcW w:w="611" w:type="pct"/>
                </w:tcPr>
                <w:p w14:paraId="3E65D435" w14:textId="7DEDA7CB" w:rsidR="000018CB" w:rsidRDefault="0057282B" w:rsidP="00D352EA">
                  <w:pPr>
                    <w:pStyle w:val="TableBodyText"/>
                  </w:pPr>
                  <w:r w:rsidRPr="00612267">
                    <w:rPr>
                      <w:rFonts w:ascii="Wingdings" w:hAnsi="Wingdings"/>
                    </w:rPr>
                    <w:t></w:t>
                  </w:r>
                </w:p>
              </w:tc>
              <w:tc>
                <w:tcPr>
                  <w:tcW w:w="576" w:type="pct"/>
                </w:tcPr>
                <w:p w14:paraId="638AC43A" w14:textId="214B008C" w:rsidR="000018CB" w:rsidRDefault="0057282B" w:rsidP="00D352EA">
                  <w:pPr>
                    <w:pStyle w:val="TableBodyText"/>
                  </w:pPr>
                  <w:r w:rsidRPr="00612267">
                    <w:rPr>
                      <w:rFonts w:ascii="Wingdings" w:hAnsi="Wingdings"/>
                    </w:rPr>
                    <w:t></w:t>
                  </w:r>
                </w:p>
              </w:tc>
              <w:tc>
                <w:tcPr>
                  <w:tcW w:w="577" w:type="pct"/>
                </w:tcPr>
                <w:p w14:paraId="5D96D024" w14:textId="77777777" w:rsidR="000018CB" w:rsidRDefault="000018CB" w:rsidP="00D352EA">
                  <w:pPr>
                    <w:pStyle w:val="TableBodyText"/>
                    <w:ind w:right="28"/>
                  </w:pPr>
                </w:p>
              </w:tc>
            </w:tr>
            <w:tr w:rsidR="00A95A17" w14:paraId="69E1F976" w14:textId="77777777" w:rsidTr="005C44D1">
              <w:tc>
                <w:tcPr>
                  <w:tcW w:w="2582" w:type="pct"/>
                </w:tcPr>
                <w:p w14:paraId="545B4992" w14:textId="5560C09E" w:rsidR="00A95A17" w:rsidRDefault="0057282B" w:rsidP="00D352EA">
                  <w:pPr>
                    <w:pStyle w:val="TableBodyText"/>
                    <w:jc w:val="left"/>
                  </w:pPr>
                  <w:r w:rsidRPr="00171AC3">
                    <w:t>Expense reconciliation adjustments</w:t>
                  </w:r>
                </w:p>
              </w:tc>
              <w:tc>
                <w:tcPr>
                  <w:tcW w:w="654" w:type="pct"/>
                </w:tcPr>
                <w:p w14:paraId="4D22542F" w14:textId="77777777" w:rsidR="00A95A17" w:rsidRDefault="00A95A17" w:rsidP="00D352EA">
                  <w:pPr>
                    <w:pStyle w:val="TableBodyText"/>
                  </w:pPr>
                </w:p>
              </w:tc>
              <w:tc>
                <w:tcPr>
                  <w:tcW w:w="611" w:type="pct"/>
                </w:tcPr>
                <w:p w14:paraId="3904695D" w14:textId="7BCA4B5B" w:rsidR="00A95A17" w:rsidRDefault="0057282B" w:rsidP="00D352EA">
                  <w:pPr>
                    <w:pStyle w:val="TableBodyText"/>
                  </w:pPr>
                  <w:r w:rsidRPr="00612267">
                    <w:rPr>
                      <w:rFonts w:ascii="Wingdings" w:hAnsi="Wingdings"/>
                    </w:rPr>
                    <w:t></w:t>
                  </w:r>
                </w:p>
              </w:tc>
              <w:tc>
                <w:tcPr>
                  <w:tcW w:w="576" w:type="pct"/>
                </w:tcPr>
                <w:p w14:paraId="794AE9E7" w14:textId="1AB9D9B9" w:rsidR="00A95A17" w:rsidRDefault="0057282B" w:rsidP="00D352EA">
                  <w:pPr>
                    <w:pStyle w:val="TableBodyText"/>
                  </w:pPr>
                  <w:r w:rsidRPr="00612267">
                    <w:rPr>
                      <w:rFonts w:ascii="Wingdings" w:hAnsi="Wingdings"/>
                    </w:rPr>
                    <w:t></w:t>
                  </w:r>
                </w:p>
              </w:tc>
              <w:tc>
                <w:tcPr>
                  <w:tcW w:w="577" w:type="pct"/>
                </w:tcPr>
                <w:p w14:paraId="49FC29F2" w14:textId="66E244D4" w:rsidR="00A95A17" w:rsidRDefault="0057282B" w:rsidP="00D352EA">
                  <w:pPr>
                    <w:pStyle w:val="TableBodyText"/>
                    <w:ind w:right="28"/>
                  </w:pPr>
                  <w:r w:rsidRPr="00612267">
                    <w:rPr>
                      <w:rFonts w:ascii="Wingdings" w:hAnsi="Wingdings"/>
                    </w:rPr>
                    <w:t></w:t>
                  </w:r>
                </w:p>
              </w:tc>
            </w:tr>
            <w:tr w:rsidR="00B30E9A" w14:paraId="52E8B4DF" w14:textId="77777777" w:rsidTr="005C44D1">
              <w:tc>
                <w:tcPr>
                  <w:tcW w:w="2582" w:type="pct"/>
                </w:tcPr>
                <w:p w14:paraId="1424681A" w14:textId="117762D1" w:rsidR="00B30E9A" w:rsidRDefault="0057282B" w:rsidP="00D352EA">
                  <w:pPr>
                    <w:pStyle w:val="TableBodyText"/>
                    <w:jc w:val="left"/>
                  </w:pPr>
                  <w:r w:rsidRPr="00171AC3">
                    <w:t>Income reconciliation adjustments</w:t>
                  </w:r>
                </w:p>
              </w:tc>
              <w:tc>
                <w:tcPr>
                  <w:tcW w:w="654" w:type="pct"/>
                </w:tcPr>
                <w:p w14:paraId="53BA62A5" w14:textId="77777777" w:rsidR="00B30E9A" w:rsidRDefault="00B30E9A" w:rsidP="00D352EA">
                  <w:pPr>
                    <w:pStyle w:val="TableBodyText"/>
                  </w:pPr>
                </w:p>
              </w:tc>
              <w:tc>
                <w:tcPr>
                  <w:tcW w:w="611" w:type="pct"/>
                </w:tcPr>
                <w:p w14:paraId="286D17D6" w14:textId="2C16B1B0" w:rsidR="00355D4C" w:rsidRDefault="0057282B" w:rsidP="00D352EA">
                  <w:pPr>
                    <w:pStyle w:val="TableBodyText"/>
                  </w:pPr>
                  <w:r w:rsidRPr="00612267">
                    <w:rPr>
                      <w:rFonts w:ascii="Wingdings" w:hAnsi="Wingdings"/>
                    </w:rPr>
                    <w:t></w:t>
                  </w:r>
                </w:p>
              </w:tc>
              <w:tc>
                <w:tcPr>
                  <w:tcW w:w="576" w:type="pct"/>
                </w:tcPr>
                <w:p w14:paraId="30672C6F" w14:textId="7DAB6488" w:rsidR="00B30E9A" w:rsidRDefault="0057282B" w:rsidP="00D352EA">
                  <w:pPr>
                    <w:pStyle w:val="TableBodyText"/>
                  </w:pPr>
                  <w:r w:rsidRPr="00612267">
                    <w:rPr>
                      <w:rFonts w:ascii="Wingdings" w:hAnsi="Wingdings"/>
                    </w:rPr>
                    <w:t></w:t>
                  </w:r>
                </w:p>
              </w:tc>
              <w:tc>
                <w:tcPr>
                  <w:tcW w:w="577" w:type="pct"/>
                </w:tcPr>
                <w:p w14:paraId="012065A9" w14:textId="333CAD11" w:rsidR="00B30E9A" w:rsidRDefault="0057282B" w:rsidP="00D352EA">
                  <w:pPr>
                    <w:pStyle w:val="TableBodyText"/>
                    <w:ind w:right="28"/>
                  </w:pPr>
                  <w:r w:rsidRPr="00612267">
                    <w:rPr>
                      <w:rFonts w:ascii="Wingdings" w:hAnsi="Wingdings"/>
                    </w:rPr>
                    <w:t></w:t>
                  </w:r>
                </w:p>
              </w:tc>
            </w:tr>
            <w:tr w:rsidR="00B30E9A" w14:paraId="60CB8E66" w14:textId="77777777" w:rsidTr="005C44D1">
              <w:tc>
                <w:tcPr>
                  <w:tcW w:w="2582" w:type="pct"/>
                </w:tcPr>
                <w:p w14:paraId="0666E445" w14:textId="39C8422A" w:rsidR="00B30E9A" w:rsidRPr="004E22AE" w:rsidRDefault="0057282B" w:rsidP="00D352EA">
                  <w:pPr>
                    <w:pStyle w:val="TableBodyText"/>
                    <w:jc w:val="left"/>
                    <w:rPr>
                      <w:spacing w:val="-2"/>
                    </w:rPr>
                  </w:pPr>
                  <w:r w:rsidRPr="004E22AE">
                    <w:rPr>
                      <w:spacing w:val="-2"/>
                    </w:rPr>
                    <w:t>Unrealised losses on revaluation of assets to fair value</w:t>
                  </w:r>
                </w:p>
              </w:tc>
              <w:tc>
                <w:tcPr>
                  <w:tcW w:w="654" w:type="pct"/>
                </w:tcPr>
                <w:p w14:paraId="344FF10D" w14:textId="529F08B1" w:rsidR="00B30E9A" w:rsidRDefault="0057282B" w:rsidP="00D352EA">
                  <w:pPr>
                    <w:pStyle w:val="TableBodyText"/>
                  </w:pPr>
                  <w:r w:rsidRPr="00612267">
                    <w:rPr>
                      <w:rFonts w:ascii="Wingdings" w:hAnsi="Wingdings"/>
                    </w:rPr>
                    <w:t></w:t>
                  </w:r>
                </w:p>
              </w:tc>
              <w:tc>
                <w:tcPr>
                  <w:tcW w:w="611" w:type="pct"/>
                </w:tcPr>
                <w:p w14:paraId="5AEED4EA" w14:textId="77777777" w:rsidR="00355D4C" w:rsidRDefault="00355D4C" w:rsidP="00D352EA">
                  <w:pPr>
                    <w:pStyle w:val="TableBodyText"/>
                  </w:pPr>
                </w:p>
              </w:tc>
              <w:tc>
                <w:tcPr>
                  <w:tcW w:w="576" w:type="pct"/>
                </w:tcPr>
                <w:p w14:paraId="79DF4C39" w14:textId="77777777" w:rsidR="00B30E9A" w:rsidRDefault="00B30E9A" w:rsidP="00D352EA">
                  <w:pPr>
                    <w:pStyle w:val="TableBodyText"/>
                  </w:pPr>
                </w:p>
              </w:tc>
              <w:tc>
                <w:tcPr>
                  <w:tcW w:w="577" w:type="pct"/>
                </w:tcPr>
                <w:p w14:paraId="067C1202" w14:textId="77777777" w:rsidR="00B30E9A" w:rsidRDefault="00B30E9A" w:rsidP="00D352EA">
                  <w:pPr>
                    <w:pStyle w:val="TableBodyText"/>
                    <w:ind w:right="28"/>
                  </w:pPr>
                </w:p>
              </w:tc>
            </w:tr>
            <w:tr w:rsidR="0062196F" w14:paraId="50E0E6BB" w14:textId="77777777" w:rsidTr="005C44D1">
              <w:tc>
                <w:tcPr>
                  <w:tcW w:w="2582" w:type="pct"/>
                </w:tcPr>
                <w:p w14:paraId="3D800D8D" w14:textId="3A1D5A6C" w:rsidR="0062196F" w:rsidRDefault="0057282B" w:rsidP="00D352EA">
                  <w:pPr>
                    <w:pStyle w:val="TableBodyText"/>
                    <w:jc w:val="left"/>
                  </w:pPr>
                  <w:r w:rsidRPr="00171AC3">
                    <w:t>Expenses from financial arrangements (TOFA)</w:t>
                  </w:r>
                </w:p>
              </w:tc>
              <w:tc>
                <w:tcPr>
                  <w:tcW w:w="654" w:type="pct"/>
                </w:tcPr>
                <w:p w14:paraId="74949EEE" w14:textId="1322BF33" w:rsidR="0062196F" w:rsidRDefault="0057282B" w:rsidP="00D352EA">
                  <w:pPr>
                    <w:pStyle w:val="TableBodyText"/>
                  </w:pPr>
                  <w:r w:rsidRPr="00612267">
                    <w:rPr>
                      <w:rFonts w:ascii="Wingdings" w:hAnsi="Wingdings"/>
                    </w:rPr>
                    <w:t></w:t>
                  </w:r>
                </w:p>
              </w:tc>
              <w:tc>
                <w:tcPr>
                  <w:tcW w:w="611" w:type="pct"/>
                </w:tcPr>
                <w:p w14:paraId="5BAC507D" w14:textId="77777777" w:rsidR="00355D4C" w:rsidRDefault="00355D4C" w:rsidP="00D352EA">
                  <w:pPr>
                    <w:pStyle w:val="TableBodyText"/>
                  </w:pPr>
                </w:p>
              </w:tc>
              <w:tc>
                <w:tcPr>
                  <w:tcW w:w="576" w:type="pct"/>
                </w:tcPr>
                <w:p w14:paraId="04A1FFF5" w14:textId="77777777" w:rsidR="0062196F" w:rsidRDefault="0062196F" w:rsidP="00D352EA">
                  <w:pPr>
                    <w:pStyle w:val="TableBodyText"/>
                  </w:pPr>
                </w:p>
              </w:tc>
              <w:tc>
                <w:tcPr>
                  <w:tcW w:w="577" w:type="pct"/>
                </w:tcPr>
                <w:p w14:paraId="55E51845" w14:textId="77777777" w:rsidR="0062196F" w:rsidRDefault="0062196F" w:rsidP="00D352EA">
                  <w:pPr>
                    <w:pStyle w:val="TableBodyText"/>
                    <w:ind w:right="28"/>
                  </w:pPr>
                </w:p>
              </w:tc>
            </w:tr>
            <w:tr w:rsidR="004D0123" w14:paraId="3C690389" w14:textId="77777777" w:rsidTr="00E3630A">
              <w:tc>
                <w:tcPr>
                  <w:tcW w:w="2582" w:type="pct"/>
                </w:tcPr>
                <w:p w14:paraId="151CB5E6" w14:textId="370DB276" w:rsidR="00913FA2" w:rsidRDefault="0057282B" w:rsidP="00D352EA">
                  <w:pPr>
                    <w:pStyle w:val="TableBodyText"/>
                    <w:jc w:val="left"/>
                  </w:pPr>
                  <w:r w:rsidRPr="00171AC3">
                    <w:t>All other expenses</w:t>
                  </w:r>
                </w:p>
              </w:tc>
              <w:tc>
                <w:tcPr>
                  <w:tcW w:w="654" w:type="pct"/>
                </w:tcPr>
                <w:p w14:paraId="097AF64D" w14:textId="238435C8" w:rsidR="00913FA2" w:rsidRDefault="0057282B" w:rsidP="00D352EA">
                  <w:pPr>
                    <w:pStyle w:val="TableBodyText"/>
                  </w:pPr>
                  <w:r w:rsidRPr="00612267">
                    <w:rPr>
                      <w:rFonts w:ascii="Wingdings" w:hAnsi="Wingdings"/>
                    </w:rPr>
                    <w:t></w:t>
                  </w:r>
                </w:p>
              </w:tc>
              <w:tc>
                <w:tcPr>
                  <w:tcW w:w="611" w:type="pct"/>
                </w:tcPr>
                <w:p w14:paraId="2893FB58" w14:textId="220FF620" w:rsidR="00355D4C" w:rsidRDefault="0057282B" w:rsidP="00D352EA">
                  <w:pPr>
                    <w:pStyle w:val="TableBodyText"/>
                  </w:pPr>
                  <w:r w:rsidRPr="00612267">
                    <w:rPr>
                      <w:rFonts w:ascii="Wingdings" w:hAnsi="Wingdings"/>
                    </w:rPr>
                    <w:t></w:t>
                  </w:r>
                </w:p>
              </w:tc>
              <w:tc>
                <w:tcPr>
                  <w:tcW w:w="576" w:type="pct"/>
                </w:tcPr>
                <w:p w14:paraId="4D478EDC" w14:textId="5961F381" w:rsidR="00913FA2" w:rsidRDefault="0057282B" w:rsidP="00D352EA">
                  <w:pPr>
                    <w:pStyle w:val="TableBodyText"/>
                  </w:pPr>
                  <w:r w:rsidRPr="00612267">
                    <w:rPr>
                      <w:rFonts w:ascii="Wingdings" w:hAnsi="Wingdings"/>
                    </w:rPr>
                    <w:t></w:t>
                  </w:r>
                </w:p>
              </w:tc>
              <w:tc>
                <w:tcPr>
                  <w:tcW w:w="577" w:type="pct"/>
                </w:tcPr>
                <w:p w14:paraId="4D40722D" w14:textId="1DC77973" w:rsidR="00913FA2" w:rsidRDefault="0057282B" w:rsidP="00D352EA">
                  <w:pPr>
                    <w:pStyle w:val="TableBodyText"/>
                    <w:ind w:right="28"/>
                  </w:pPr>
                  <w:r w:rsidRPr="00612267">
                    <w:rPr>
                      <w:rFonts w:ascii="Wingdings" w:hAnsi="Wingdings"/>
                    </w:rPr>
                    <w:t></w:t>
                  </w:r>
                </w:p>
              </w:tc>
            </w:tr>
            <w:tr w:rsidR="00DF6D85" w14:paraId="5E92B4F0" w14:textId="77777777" w:rsidTr="00E3630A">
              <w:tc>
                <w:tcPr>
                  <w:tcW w:w="2582" w:type="pct"/>
                </w:tcPr>
                <w:p w14:paraId="0B087086" w14:textId="2BE21259" w:rsidR="00DF6D85" w:rsidRPr="00171AC3" w:rsidRDefault="00DF6D85" w:rsidP="00DF6D85">
                  <w:pPr>
                    <w:pStyle w:val="TableBodyText"/>
                    <w:jc w:val="left"/>
                  </w:pPr>
                  <w:r w:rsidRPr="00171AC3">
                    <w:t>Motor vehicle expenses</w:t>
                  </w:r>
                </w:p>
              </w:tc>
              <w:tc>
                <w:tcPr>
                  <w:tcW w:w="654" w:type="pct"/>
                </w:tcPr>
                <w:p w14:paraId="5DD186B1" w14:textId="1AE69ADB" w:rsidR="00DF6D85" w:rsidRPr="00612267" w:rsidRDefault="00DF6D85" w:rsidP="00DF6D85">
                  <w:pPr>
                    <w:pStyle w:val="TableBodyText"/>
                    <w:rPr>
                      <w:rFonts w:ascii="Wingdings" w:hAnsi="Wingdings"/>
                    </w:rPr>
                  </w:pPr>
                  <w:r w:rsidRPr="00612267">
                    <w:rPr>
                      <w:rFonts w:ascii="Wingdings" w:hAnsi="Wingdings"/>
                    </w:rPr>
                    <w:t></w:t>
                  </w:r>
                </w:p>
              </w:tc>
              <w:tc>
                <w:tcPr>
                  <w:tcW w:w="611" w:type="pct"/>
                </w:tcPr>
                <w:p w14:paraId="4A290F1D" w14:textId="1BCF71B8" w:rsidR="00DF6D85" w:rsidRPr="00612267" w:rsidRDefault="00DF6D85" w:rsidP="00DF6D85">
                  <w:pPr>
                    <w:pStyle w:val="TableBodyText"/>
                    <w:rPr>
                      <w:rFonts w:ascii="Wingdings" w:hAnsi="Wingdings"/>
                    </w:rPr>
                  </w:pPr>
                  <w:r w:rsidRPr="00612267">
                    <w:rPr>
                      <w:rFonts w:ascii="Wingdings" w:hAnsi="Wingdings"/>
                    </w:rPr>
                    <w:t></w:t>
                  </w:r>
                </w:p>
              </w:tc>
              <w:tc>
                <w:tcPr>
                  <w:tcW w:w="576" w:type="pct"/>
                </w:tcPr>
                <w:p w14:paraId="2435AB12" w14:textId="004A4F21" w:rsidR="00DF6D85" w:rsidRPr="00612267" w:rsidRDefault="00DF6D85" w:rsidP="00DF6D85">
                  <w:pPr>
                    <w:pStyle w:val="TableBodyText"/>
                    <w:rPr>
                      <w:rFonts w:ascii="Wingdings" w:hAnsi="Wingdings"/>
                    </w:rPr>
                  </w:pPr>
                  <w:r w:rsidRPr="00612267">
                    <w:rPr>
                      <w:rFonts w:ascii="Wingdings" w:hAnsi="Wingdings"/>
                    </w:rPr>
                    <w:t></w:t>
                  </w:r>
                </w:p>
              </w:tc>
              <w:tc>
                <w:tcPr>
                  <w:tcW w:w="577" w:type="pct"/>
                </w:tcPr>
                <w:p w14:paraId="39F09BB8" w14:textId="3DCA49B4" w:rsidR="00DF6D85" w:rsidRPr="00612267" w:rsidRDefault="00DF6D85" w:rsidP="00DF6D85">
                  <w:pPr>
                    <w:pStyle w:val="TableBodyText"/>
                    <w:ind w:right="28"/>
                    <w:rPr>
                      <w:rFonts w:ascii="Wingdings" w:hAnsi="Wingdings"/>
                    </w:rPr>
                  </w:pPr>
                  <w:r w:rsidRPr="00612267">
                    <w:rPr>
                      <w:rFonts w:ascii="Wingdings" w:hAnsi="Wingdings"/>
                    </w:rPr>
                    <w:t></w:t>
                  </w:r>
                </w:p>
              </w:tc>
            </w:tr>
            <w:tr w:rsidR="00DF6D85" w14:paraId="4FD50B6D" w14:textId="77777777" w:rsidTr="00E3630A">
              <w:tc>
                <w:tcPr>
                  <w:tcW w:w="2582" w:type="pct"/>
                </w:tcPr>
                <w:p w14:paraId="3A8DE2F8" w14:textId="147A5862" w:rsidR="00DF6D85" w:rsidRPr="00171AC3" w:rsidRDefault="00DF6D85" w:rsidP="00DF6D85">
                  <w:pPr>
                    <w:pStyle w:val="TableBodyText"/>
                    <w:jc w:val="left"/>
                  </w:pPr>
                  <w:r w:rsidRPr="00171AC3">
                    <w:t>Repairs and maintenance</w:t>
                  </w:r>
                </w:p>
              </w:tc>
              <w:tc>
                <w:tcPr>
                  <w:tcW w:w="654" w:type="pct"/>
                </w:tcPr>
                <w:p w14:paraId="704906ED" w14:textId="349D6F3C" w:rsidR="00DF6D85" w:rsidRPr="00612267" w:rsidRDefault="00DF6D85" w:rsidP="00DF6D85">
                  <w:pPr>
                    <w:pStyle w:val="TableBodyText"/>
                    <w:rPr>
                      <w:rFonts w:ascii="Wingdings" w:hAnsi="Wingdings"/>
                    </w:rPr>
                  </w:pPr>
                  <w:r w:rsidRPr="00612267">
                    <w:rPr>
                      <w:rFonts w:ascii="Wingdings" w:hAnsi="Wingdings"/>
                    </w:rPr>
                    <w:t></w:t>
                  </w:r>
                </w:p>
              </w:tc>
              <w:tc>
                <w:tcPr>
                  <w:tcW w:w="611" w:type="pct"/>
                </w:tcPr>
                <w:p w14:paraId="3C9BB333" w14:textId="16C11D27" w:rsidR="00DF6D85" w:rsidRPr="00612267" w:rsidRDefault="00DF6D85" w:rsidP="00DF6D85">
                  <w:pPr>
                    <w:pStyle w:val="TableBodyText"/>
                    <w:rPr>
                      <w:rFonts w:ascii="Wingdings" w:hAnsi="Wingdings"/>
                    </w:rPr>
                  </w:pPr>
                  <w:r w:rsidRPr="00612267">
                    <w:rPr>
                      <w:rFonts w:ascii="Wingdings" w:hAnsi="Wingdings"/>
                    </w:rPr>
                    <w:t></w:t>
                  </w:r>
                </w:p>
              </w:tc>
              <w:tc>
                <w:tcPr>
                  <w:tcW w:w="576" w:type="pct"/>
                </w:tcPr>
                <w:p w14:paraId="3C36842B" w14:textId="0988182B" w:rsidR="00DF6D85" w:rsidRPr="00612267" w:rsidRDefault="00DF6D85" w:rsidP="00DF6D85">
                  <w:pPr>
                    <w:pStyle w:val="TableBodyText"/>
                    <w:rPr>
                      <w:rFonts w:ascii="Wingdings" w:hAnsi="Wingdings"/>
                    </w:rPr>
                  </w:pPr>
                  <w:r w:rsidRPr="00612267">
                    <w:rPr>
                      <w:rFonts w:ascii="Wingdings" w:hAnsi="Wingdings"/>
                    </w:rPr>
                    <w:t></w:t>
                  </w:r>
                </w:p>
              </w:tc>
              <w:tc>
                <w:tcPr>
                  <w:tcW w:w="577" w:type="pct"/>
                </w:tcPr>
                <w:p w14:paraId="12793AE5" w14:textId="4513E989" w:rsidR="00DF6D85" w:rsidRPr="00612267" w:rsidRDefault="00DF6D85" w:rsidP="00DF6D85">
                  <w:pPr>
                    <w:pStyle w:val="TableBodyText"/>
                    <w:ind w:right="28"/>
                    <w:rPr>
                      <w:rFonts w:ascii="Wingdings" w:hAnsi="Wingdings"/>
                    </w:rPr>
                  </w:pPr>
                  <w:r w:rsidRPr="00612267">
                    <w:rPr>
                      <w:rFonts w:ascii="Wingdings" w:hAnsi="Wingdings"/>
                    </w:rPr>
                    <w:t></w:t>
                  </w:r>
                </w:p>
              </w:tc>
            </w:tr>
            <w:tr w:rsidR="00DF6D85" w14:paraId="0803B937" w14:textId="77777777" w:rsidTr="00E3630A">
              <w:tc>
                <w:tcPr>
                  <w:tcW w:w="2582" w:type="pct"/>
                </w:tcPr>
                <w:p w14:paraId="63486B8E" w14:textId="27F3044A" w:rsidR="00DF6D85" w:rsidRPr="00171AC3" w:rsidRDefault="00DF6D85" w:rsidP="00DF6D85">
                  <w:pPr>
                    <w:pStyle w:val="TableBodyText"/>
                    <w:jc w:val="left"/>
                  </w:pPr>
                  <w:r w:rsidRPr="00171AC3">
                    <w:t>Foreign resident withholding expenses</w:t>
                  </w:r>
                </w:p>
              </w:tc>
              <w:tc>
                <w:tcPr>
                  <w:tcW w:w="654" w:type="pct"/>
                </w:tcPr>
                <w:p w14:paraId="6C531C5F" w14:textId="30F8445B" w:rsidR="00DF6D85" w:rsidRPr="00612267" w:rsidRDefault="00DF6D85" w:rsidP="00DF6D85">
                  <w:pPr>
                    <w:pStyle w:val="TableBodyText"/>
                    <w:rPr>
                      <w:rFonts w:ascii="Wingdings" w:hAnsi="Wingdings"/>
                    </w:rPr>
                  </w:pPr>
                  <w:r w:rsidRPr="00612267">
                    <w:rPr>
                      <w:rFonts w:ascii="Wingdings" w:hAnsi="Wingdings"/>
                    </w:rPr>
                    <w:t></w:t>
                  </w:r>
                </w:p>
              </w:tc>
              <w:tc>
                <w:tcPr>
                  <w:tcW w:w="611" w:type="pct"/>
                </w:tcPr>
                <w:p w14:paraId="4B745708" w14:textId="3F6316BF" w:rsidR="00DF6D85" w:rsidRPr="00612267" w:rsidRDefault="00DF6D85" w:rsidP="00DF6D85">
                  <w:pPr>
                    <w:pStyle w:val="TableBodyText"/>
                    <w:rPr>
                      <w:rFonts w:ascii="Wingdings" w:hAnsi="Wingdings"/>
                    </w:rPr>
                  </w:pPr>
                  <w:r w:rsidRPr="00612267">
                    <w:rPr>
                      <w:rFonts w:ascii="Wingdings" w:hAnsi="Wingdings"/>
                    </w:rPr>
                    <w:t></w:t>
                  </w:r>
                </w:p>
              </w:tc>
              <w:tc>
                <w:tcPr>
                  <w:tcW w:w="576" w:type="pct"/>
                </w:tcPr>
                <w:p w14:paraId="493BA4BF" w14:textId="576C865C" w:rsidR="00DF6D85" w:rsidRPr="00612267" w:rsidRDefault="00DF6D85" w:rsidP="00DF6D85">
                  <w:pPr>
                    <w:pStyle w:val="TableBodyText"/>
                    <w:rPr>
                      <w:rFonts w:ascii="Wingdings" w:hAnsi="Wingdings"/>
                    </w:rPr>
                  </w:pPr>
                  <w:r w:rsidRPr="00612267">
                    <w:rPr>
                      <w:rFonts w:ascii="Wingdings" w:hAnsi="Wingdings"/>
                    </w:rPr>
                    <w:t></w:t>
                  </w:r>
                </w:p>
              </w:tc>
              <w:tc>
                <w:tcPr>
                  <w:tcW w:w="577" w:type="pct"/>
                </w:tcPr>
                <w:p w14:paraId="102C213C" w14:textId="796B639D" w:rsidR="00DF6D85" w:rsidRPr="00612267" w:rsidRDefault="00DF6D85" w:rsidP="00DF6D85">
                  <w:pPr>
                    <w:pStyle w:val="TableBodyText"/>
                    <w:ind w:right="28"/>
                    <w:rPr>
                      <w:rFonts w:ascii="Wingdings" w:hAnsi="Wingdings"/>
                    </w:rPr>
                  </w:pPr>
                  <w:r w:rsidRPr="00612267">
                    <w:rPr>
                      <w:rFonts w:ascii="Wingdings" w:hAnsi="Wingdings"/>
                    </w:rPr>
                    <w:t></w:t>
                  </w:r>
                </w:p>
              </w:tc>
            </w:tr>
            <w:tr w:rsidR="00DF6D85" w14:paraId="69672627" w14:textId="77777777" w:rsidTr="00E3630A">
              <w:tc>
                <w:tcPr>
                  <w:tcW w:w="2582" w:type="pct"/>
                </w:tcPr>
                <w:p w14:paraId="0AA7E12E" w14:textId="27D98954" w:rsidR="00DF6D85" w:rsidRPr="00171AC3" w:rsidRDefault="00DF6D85" w:rsidP="00DF6D85">
                  <w:pPr>
                    <w:pStyle w:val="TableBodyText"/>
                    <w:jc w:val="left"/>
                  </w:pPr>
                  <w:r w:rsidRPr="00066E5D">
                    <w:rPr>
                      <w:b/>
                      <w:bCs/>
                    </w:rPr>
                    <w:t>Business income or loss</w:t>
                  </w:r>
                </w:p>
              </w:tc>
              <w:tc>
                <w:tcPr>
                  <w:tcW w:w="654" w:type="pct"/>
                </w:tcPr>
                <w:p w14:paraId="65764872" w14:textId="77777777" w:rsidR="00DF6D85" w:rsidRPr="00612267" w:rsidRDefault="00DF6D85" w:rsidP="00DF6D85">
                  <w:pPr>
                    <w:pStyle w:val="TableBodyText"/>
                    <w:rPr>
                      <w:rFonts w:ascii="Wingdings" w:hAnsi="Wingdings"/>
                    </w:rPr>
                  </w:pPr>
                </w:p>
              </w:tc>
              <w:tc>
                <w:tcPr>
                  <w:tcW w:w="611" w:type="pct"/>
                </w:tcPr>
                <w:p w14:paraId="05C63A19" w14:textId="77777777" w:rsidR="00DF6D85" w:rsidRPr="00612267" w:rsidRDefault="00DF6D85" w:rsidP="00DF6D85">
                  <w:pPr>
                    <w:pStyle w:val="TableBodyText"/>
                    <w:rPr>
                      <w:rFonts w:ascii="Wingdings" w:hAnsi="Wingdings"/>
                    </w:rPr>
                  </w:pPr>
                </w:p>
              </w:tc>
              <w:tc>
                <w:tcPr>
                  <w:tcW w:w="576" w:type="pct"/>
                </w:tcPr>
                <w:p w14:paraId="20AF8E27" w14:textId="77777777" w:rsidR="00DF6D85" w:rsidRPr="00612267" w:rsidRDefault="00DF6D85" w:rsidP="00DF6D85">
                  <w:pPr>
                    <w:pStyle w:val="TableBodyText"/>
                    <w:rPr>
                      <w:rFonts w:ascii="Wingdings" w:hAnsi="Wingdings"/>
                    </w:rPr>
                  </w:pPr>
                </w:p>
              </w:tc>
              <w:tc>
                <w:tcPr>
                  <w:tcW w:w="577" w:type="pct"/>
                </w:tcPr>
                <w:p w14:paraId="09ED2312" w14:textId="77777777" w:rsidR="00DF6D85" w:rsidRPr="00612267" w:rsidRDefault="00DF6D85" w:rsidP="00DF6D85">
                  <w:pPr>
                    <w:pStyle w:val="TableBodyText"/>
                    <w:ind w:right="28"/>
                    <w:rPr>
                      <w:rFonts w:ascii="Wingdings" w:hAnsi="Wingdings"/>
                    </w:rPr>
                  </w:pPr>
                </w:p>
              </w:tc>
            </w:tr>
            <w:tr w:rsidR="00DF6D85" w14:paraId="0D3D6B4D" w14:textId="77777777" w:rsidTr="00E3630A">
              <w:tc>
                <w:tcPr>
                  <w:tcW w:w="2582" w:type="pct"/>
                </w:tcPr>
                <w:p w14:paraId="05FC8444" w14:textId="5F7628C4" w:rsidR="00DF6D85" w:rsidRPr="00171AC3" w:rsidRDefault="00DF6D85" w:rsidP="00DF6D85">
                  <w:pPr>
                    <w:pStyle w:val="TableBodyText"/>
                    <w:jc w:val="left"/>
                  </w:pPr>
                  <w:r w:rsidRPr="00171AC3">
                    <w:t>Total profit or loss</w:t>
                  </w:r>
                </w:p>
              </w:tc>
              <w:tc>
                <w:tcPr>
                  <w:tcW w:w="654" w:type="pct"/>
                </w:tcPr>
                <w:p w14:paraId="436AD3C2" w14:textId="5306CB75" w:rsidR="00DF6D85" w:rsidRPr="00612267" w:rsidRDefault="00DF6D85" w:rsidP="00DF6D85">
                  <w:pPr>
                    <w:pStyle w:val="TableBodyText"/>
                    <w:rPr>
                      <w:rFonts w:ascii="Wingdings" w:hAnsi="Wingdings"/>
                    </w:rPr>
                  </w:pPr>
                  <w:r w:rsidRPr="00612267">
                    <w:rPr>
                      <w:rFonts w:ascii="Wingdings" w:hAnsi="Wingdings"/>
                    </w:rPr>
                    <w:t></w:t>
                  </w:r>
                </w:p>
              </w:tc>
              <w:tc>
                <w:tcPr>
                  <w:tcW w:w="611" w:type="pct"/>
                </w:tcPr>
                <w:p w14:paraId="744A9603" w14:textId="77777777" w:rsidR="00DF6D85" w:rsidRPr="00612267" w:rsidRDefault="00DF6D85" w:rsidP="00DF6D85">
                  <w:pPr>
                    <w:pStyle w:val="TableBodyText"/>
                    <w:rPr>
                      <w:rFonts w:ascii="Wingdings" w:hAnsi="Wingdings"/>
                    </w:rPr>
                  </w:pPr>
                </w:p>
              </w:tc>
              <w:tc>
                <w:tcPr>
                  <w:tcW w:w="576" w:type="pct"/>
                </w:tcPr>
                <w:p w14:paraId="6C69D771" w14:textId="77777777" w:rsidR="00DF6D85" w:rsidRPr="00612267" w:rsidRDefault="00DF6D85" w:rsidP="00DF6D85">
                  <w:pPr>
                    <w:pStyle w:val="TableBodyText"/>
                    <w:rPr>
                      <w:rFonts w:ascii="Wingdings" w:hAnsi="Wingdings"/>
                    </w:rPr>
                  </w:pPr>
                </w:p>
              </w:tc>
              <w:tc>
                <w:tcPr>
                  <w:tcW w:w="577" w:type="pct"/>
                </w:tcPr>
                <w:p w14:paraId="337AE8B0" w14:textId="77777777" w:rsidR="00DF6D85" w:rsidRPr="00612267" w:rsidRDefault="00DF6D85" w:rsidP="00DF6D85">
                  <w:pPr>
                    <w:pStyle w:val="TableBodyText"/>
                    <w:ind w:right="28"/>
                    <w:rPr>
                      <w:rFonts w:ascii="Wingdings" w:hAnsi="Wingdings"/>
                    </w:rPr>
                  </w:pPr>
                </w:p>
              </w:tc>
            </w:tr>
            <w:tr w:rsidR="00FA1380" w14:paraId="549B9EEE" w14:textId="77777777" w:rsidTr="00E3630A">
              <w:tc>
                <w:tcPr>
                  <w:tcW w:w="2582" w:type="pct"/>
                </w:tcPr>
                <w:p w14:paraId="34583658" w14:textId="79BC066D" w:rsidR="00FA1380" w:rsidRPr="00171AC3" w:rsidRDefault="00FA1380" w:rsidP="00FA1380">
                  <w:pPr>
                    <w:pStyle w:val="TableBodyText"/>
                    <w:jc w:val="left"/>
                  </w:pPr>
                  <w:r w:rsidRPr="00171AC3">
                    <w:t xml:space="preserve">Net business income or loss (non-primary production) </w:t>
                  </w:r>
                </w:p>
              </w:tc>
              <w:tc>
                <w:tcPr>
                  <w:tcW w:w="654" w:type="pct"/>
                </w:tcPr>
                <w:p w14:paraId="372996CD" w14:textId="77777777" w:rsidR="00FA1380" w:rsidRPr="00612267" w:rsidRDefault="00FA1380" w:rsidP="00FA1380">
                  <w:pPr>
                    <w:pStyle w:val="TableBodyText"/>
                    <w:rPr>
                      <w:rFonts w:ascii="Wingdings" w:hAnsi="Wingdings"/>
                    </w:rPr>
                  </w:pPr>
                </w:p>
              </w:tc>
              <w:tc>
                <w:tcPr>
                  <w:tcW w:w="611" w:type="pct"/>
                </w:tcPr>
                <w:p w14:paraId="518AFF3A" w14:textId="3D4F7783" w:rsidR="00FA1380" w:rsidRPr="00612267" w:rsidRDefault="00FA1380" w:rsidP="00FA1380">
                  <w:pPr>
                    <w:pStyle w:val="TableBodyText"/>
                    <w:rPr>
                      <w:rFonts w:ascii="Wingdings" w:hAnsi="Wingdings"/>
                    </w:rPr>
                  </w:pPr>
                  <w:r w:rsidRPr="00612267">
                    <w:rPr>
                      <w:rFonts w:ascii="Wingdings" w:hAnsi="Wingdings"/>
                    </w:rPr>
                    <w:t></w:t>
                  </w:r>
                </w:p>
              </w:tc>
              <w:tc>
                <w:tcPr>
                  <w:tcW w:w="576" w:type="pct"/>
                </w:tcPr>
                <w:p w14:paraId="5C6E3C38" w14:textId="2CA8B66E" w:rsidR="00FA1380" w:rsidRPr="00612267" w:rsidRDefault="00FA1380" w:rsidP="00FA1380">
                  <w:pPr>
                    <w:pStyle w:val="TableBodyText"/>
                    <w:rPr>
                      <w:rFonts w:ascii="Wingdings" w:hAnsi="Wingdings"/>
                    </w:rPr>
                  </w:pPr>
                  <w:r w:rsidRPr="00612267">
                    <w:rPr>
                      <w:rFonts w:ascii="Wingdings" w:hAnsi="Wingdings"/>
                    </w:rPr>
                    <w:t></w:t>
                  </w:r>
                </w:p>
              </w:tc>
              <w:tc>
                <w:tcPr>
                  <w:tcW w:w="577" w:type="pct"/>
                </w:tcPr>
                <w:p w14:paraId="0C091C9E" w14:textId="77777777" w:rsidR="00FA1380" w:rsidRPr="00612267" w:rsidRDefault="00FA1380" w:rsidP="00FA1380">
                  <w:pPr>
                    <w:pStyle w:val="TableBodyText"/>
                    <w:ind w:right="28"/>
                    <w:rPr>
                      <w:rFonts w:ascii="Wingdings" w:hAnsi="Wingdings"/>
                    </w:rPr>
                  </w:pPr>
                </w:p>
              </w:tc>
            </w:tr>
            <w:tr w:rsidR="00FA1380" w14:paraId="70917F01" w14:textId="77777777" w:rsidTr="00E3630A">
              <w:tc>
                <w:tcPr>
                  <w:tcW w:w="2582" w:type="pct"/>
                </w:tcPr>
                <w:p w14:paraId="180D828E" w14:textId="5F6B6BA2" w:rsidR="00FA1380" w:rsidRPr="00171AC3" w:rsidRDefault="00FA1380" w:rsidP="00FA1380">
                  <w:pPr>
                    <w:pStyle w:val="TableBodyText"/>
                    <w:jc w:val="left"/>
                  </w:pPr>
                  <w:r w:rsidRPr="00171AC3">
                    <w:t>Net business income or loss (primary production)</w:t>
                  </w:r>
                </w:p>
              </w:tc>
              <w:tc>
                <w:tcPr>
                  <w:tcW w:w="654" w:type="pct"/>
                </w:tcPr>
                <w:p w14:paraId="59563DD4" w14:textId="77777777" w:rsidR="00FA1380" w:rsidRPr="00612267" w:rsidRDefault="00FA1380" w:rsidP="00FA1380">
                  <w:pPr>
                    <w:pStyle w:val="TableBodyText"/>
                    <w:rPr>
                      <w:rFonts w:ascii="Wingdings" w:hAnsi="Wingdings"/>
                    </w:rPr>
                  </w:pPr>
                </w:p>
              </w:tc>
              <w:tc>
                <w:tcPr>
                  <w:tcW w:w="611" w:type="pct"/>
                </w:tcPr>
                <w:p w14:paraId="5C8EC95A" w14:textId="370CFF3E" w:rsidR="00FA1380" w:rsidRPr="00612267" w:rsidRDefault="00FA1380" w:rsidP="00FA1380">
                  <w:pPr>
                    <w:pStyle w:val="TableBodyText"/>
                    <w:rPr>
                      <w:rFonts w:ascii="Wingdings" w:hAnsi="Wingdings"/>
                    </w:rPr>
                  </w:pPr>
                  <w:r w:rsidRPr="00612267">
                    <w:rPr>
                      <w:rFonts w:ascii="Wingdings" w:hAnsi="Wingdings"/>
                    </w:rPr>
                    <w:t></w:t>
                  </w:r>
                </w:p>
              </w:tc>
              <w:tc>
                <w:tcPr>
                  <w:tcW w:w="576" w:type="pct"/>
                </w:tcPr>
                <w:p w14:paraId="6CCF6BA4" w14:textId="08A8BBC1" w:rsidR="00FA1380" w:rsidRPr="00612267" w:rsidRDefault="00FA1380" w:rsidP="00FA1380">
                  <w:pPr>
                    <w:pStyle w:val="TableBodyText"/>
                    <w:rPr>
                      <w:rFonts w:ascii="Wingdings" w:hAnsi="Wingdings"/>
                    </w:rPr>
                  </w:pPr>
                  <w:r w:rsidRPr="00612267">
                    <w:rPr>
                      <w:rFonts w:ascii="Wingdings" w:hAnsi="Wingdings"/>
                    </w:rPr>
                    <w:t></w:t>
                  </w:r>
                </w:p>
              </w:tc>
              <w:tc>
                <w:tcPr>
                  <w:tcW w:w="577" w:type="pct"/>
                </w:tcPr>
                <w:p w14:paraId="6C616CA2" w14:textId="4C378081" w:rsidR="00FA1380" w:rsidRPr="00612267" w:rsidRDefault="00FA1380" w:rsidP="00FA1380">
                  <w:pPr>
                    <w:pStyle w:val="TableBodyText"/>
                    <w:ind w:right="28"/>
                    <w:rPr>
                      <w:rFonts w:ascii="Wingdings" w:hAnsi="Wingdings"/>
                    </w:rPr>
                  </w:pPr>
                  <w:r w:rsidRPr="00612267">
                    <w:rPr>
                      <w:rFonts w:ascii="Wingdings" w:hAnsi="Wingdings"/>
                    </w:rPr>
                    <w:t></w:t>
                  </w:r>
                </w:p>
              </w:tc>
            </w:tr>
            <w:tr w:rsidR="00FA1380" w14:paraId="5127625A" w14:textId="77777777" w:rsidTr="00E3630A">
              <w:tc>
                <w:tcPr>
                  <w:tcW w:w="2582" w:type="pct"/>
                </w:tcPr>
                <w:p w14:paraId="6C2AF2B0" w14:textId="0849A0D8" w:rsidR="00FA1380" w:rsidRPr="00171AC3" w:rsidRDefault="00FA1380" w:rsidP="00FA1380">
                  <w:pPr>
                    <w:pStyle w:val="TableBodyText"/>
                    <w:jc w:val="left"/>
                  </w:pPr>
                  <w:r w:rsidRPr="00171AC3">
                    <w:t xml:space="preserve">Net business income or loss this year (non-primary production) </w:t>
                  </w:r>
                </w:p>
              </w:tc>
              <w:tc>
                <w:tcPr>
                  <w:tcW w:w="654" w:type="pct"/>
                </w:tcPr>
                <w:p w14:paraId="46AD3BD4" w14:textId="77777777" w:rsidR="00FA1380" w:rsidRPr="00612267" w:rsidRDefault="00FA1380" w:rsidP="00FA1380">
                  <w:pPr>
                    <w:pStyle w:val="TableBodyText"/>
                    <w:rPr>
                      <w:rFonts w:ascii="Wingdings" w:hAnsi="Wingdings"/>
                    </w:rPr>
                  </w:pPr>
                </w:p>
              </w:tc>
              <w:tc>
                <w:tcPr>
                  <w:tcW w:w="611" w:type="pct"/>
                </w:tcPr>
                <w:p w14:paraId="7EDD1173" w14:textId="77777777" w:rsidR="00FA1380" w:rsidRPr="00612267" w:rsidRDefault="00FA1380" w:rsidP="00FA1380">
                  <w:pPr>
                    <w:pStyle w:val="TableBodyText"/>
                    <w:rPr>
                      <w:rFonts w:ascii="Wingdings" w:hAnsi="Wingdings"/>
                    </w:rPr>
                  </w:pPr>
                </w:p>
              </w:tc>
              <w:tc>
                <w:tcPr>
                  <w:tcW w:w="576" w:type="pct"/>
                </w:tcPr>
                <w:p w14:paraId="01F35607" w14:textId="77777777" w:rsidR="00FA1380" w:rsidRPr="00612267" w:rsidRDefault="00FA1380" w:rsidP="00FA1380">
                  <w:pPr>
                    <w:pStyle w:val="TableBodyText"/>
                    <w:rPr>
                      <w:rFonts w:ascii="Wingdings" w:hAnsi="Wingdings"/>
                    </w:rPr>
                  </w:pPr>
                </w:p>
              </w:tc>
              <w:tc>
                <w:tcPr>
                  <w:tcW w:w="577" w:type="pct"/>
                </w:tcPr>
                <w:p w14:paraId="6F37F7B9" w14:textId="0BAC38FE" w:rsidR="00FA1380" w:rsidRPr="00612267" w:rsidRDefault="00FA1380" w:rsidP="00FA1380">
                  <w:pPr>
                    <w:pStyle w:val="TableBodyText"/>
                    <w:ind w:right="28"/>
                    <w:rPr>
                      <w:rFonts w:ascii="Wingdings" w:hAnsi="Wingdings"/>
                    </w:rPr>
                  </w:pPr>
                  <w:r w:rsidRPr="00612267">
                    <w:rPr>
                      <w:rFonts w:ascii="Wingdings" w:hAnsi="Wingdings"/>
                    </w:rPr>
                    <w:t></w:t>
                  </w:r>
                </w:p>
              </w:tc>
            </w:tr>
            <w:tr w:rsidR="00FA1380" w14:paraId="34BF29F5" w14:textId="77777777" w:rsidTr="00E3630A">
              <w:tc>
                <w:tcPr>
                  <w:tcW w:w="2582" w:type="pct"/>
                </w:tcPr>
                <w:p w14:paraId="0A4F5076" w14:textId="6913166D" w:rsidR="00FA1380" w:rsidRPr="00171AC3" w:rsidRDefault="00FA1380" w:rsidP="00FA1380">
                  <w:pPr>
                    <w:pStyle w:val="TableBodyText"/>
                    <w:jc w:val="left"/>
                  </w:pPr>
                  <w:r w:rsidRPr="00171AC3">
                    <w:t>Net business income or loss this year (primary production)</w:t>
                  </w:r>
                </w:p>
              </w:tc>
              <w:tc>
                <w:tcPr>
                  <w:tcW w:w="654" w:type="pct"/>
                </w:tcPr>
                <w:p w14:paraId="1FCE8620" w14:textId="77777777" w:rsidR="00FA1380" w:rsidRPr="00612267" w:rsidRDefault="00FA1380" w:rsidP="00FA1380">
                  <w:pPr>
                    <w:pStyle w:val="TableBodyText"/>
                    <w:rPr>
                      <w:rFonts w:ascii="Wingdings" w:hAnsi="Wingdings"/>
                    </w:rPr>
                  </w:pPr>
                </w:p>
              </w:tc>
              <w:tc>
                <w:tcPr>
                  <w:tcW w:w="611" w:type="pct"/>
                </w:tcPr>
                <w:p w14:paraId="50FC497F" w14:textId="77777777" w:rsidR="00FA1380" w:rsidRPr="00612267" w:rsidRDefault="00FA1380" w:rsidP="00FA1380">
                  <w:pPr>
                    <w:pStyle w:val="TableBodyText"/>
                    <w:rPr>
                      <w:rFonts w:ascii="Wingdings" w:hAnsi="Wingdings"/>
                    </w:rPr>
                  </w:pPr>
                </w:p>
              </w:tc>
              <w:tc>
                <w:tcPr>
                  <w:tcW w:w="576" w:type="pct"/>
                </w:tcPr>
                <w:p w14:paraId="799C7F19" w14:textId="77777777" w:rsidR="00FA1380" w:rsidRPr="00612267" w:rsidRDefault="00FA1380" w:rsidP="00FA1380">
                  <w:pPr>
                    <w:pStyle w:val="TableBodyText"/>
                    <w:rPr>
                      <w:rFonts w:ascii="Wingdings" w:hAnsi="Wingdings"/>
                    </w:rPr>
                  </w:pPr>
                </w:p>
              </w:tc>
              <w:tc>
                <w:tcPr>
                  <w:tcW w:w="577" w:type="pct"/>
                </w:tcPr>
                <w:p w14:paraId="03C4ECDA" w14:textId="1C504F9B" w:rsidR="00FA1380" w:rsidRPr="00612267" w:rsidRDefault="00FA1380" w:rsidP="00FA1380">
                  <w:pPr>
                    <w:pStyle w:val="TableBodyText"/>
                    <w:ind w:right="28"/>
                    <w:rPr>
                      <w:rFonts w:ascii="Wingdings" w:hAnsi="Wingdings"/>
                    </w:rPr>
                  </w:pPr>
                  <w:r w:rsidRPr="00612267">
                    <w:rPr>
                      <w:rFonts w:ascii="Wingdings" w:hAnsi="Wingdings"/>
                    </w:rPr>
                    <w:t></w:t>
                  </w:r>
                </w:p>
              </w:tc>
            </w:tr>
          </w:tbl>
          <w:p w14:paraId="23B97AC9" w14:textId="77777777" w:rsidR="00913FA2" w:rsidRDefault="00913FA2" w:rsidP="00D352EA">
            <w:pPr>
              <w:pStyle w:val="Box"/>
            </w:pPr>
          </w:p>
        </w:tc>
      </w:tr>
      <w:tr w:rsidR="00913FA2" w14:paraId="6E40C1B6" w14:textId="77777777" w:rsidTr="00D352EA">
        <w:tc>
          <w:tcPr>
            <w:tcW w:w="5000" w:type="pct"/>
            <w:tcBorders>
              <w:top w:val="nil"/>
              <w:left w:val="nil"/>
              <w:bottom w:val="nil"/>
              <w:right w:val="nil"/>
            </w:tcBorders>
            <w:shd w:val="clear" w:color="auto" w:fill="auto"/>
          </w:tcPr>
          <w:p w14:paraId="2BFEEFC2" w14:textId="47B58E25" w:rsidR="00913FA2" w:rsidRDefault="00DB79BC" w:rsidP="00DB79BC">
            <w:pPr>
              <w:pStyle w:val="Continued"/>
            </w:pPr>
            <w:r>
              <w:t>(continued)</w:t>
            </w:r>
          </w:p>
        </w:tc>
      </w:tr>
      <w:tr w:rsidR="00913FA2" w14:paraId="4F25CD1F" w14:textId="77777777" w:rsidTr="00D352EA">
        <w:tc>
          <w:tcPr>
            <w:tcW w:w="5000" w:type="pct"/>
            <w:tcBorders>
              <w:top w:val="nil"/>
              <w:left w:val="nil"/>
              <w:bottom w:val="single" w:sz="6" w:space="0" w:color="78A22F"/>
              <w:right w:val="nil"/>
            </w:tcBorders>
            <w:shd w:val="clear" w:color="auto" w:fill="auto"/>
          </w:tcPr>
          <w:p w14:paraId="455453F6" w14:textId="77777777" w:rsidR="00913FA2" w:rsidRDefault="00913FA2" w:rsidP="00D352EA">
            <w:pPr>
              <w:pStyle w:val="Box"/>
              <w:spacing w:before="0" w:line="120" w:lineRule="exact"/>
            </w:pPr>
          </w:p>
        </w:tc>
      </w:tr>
      <w:tr w:rsidR="00913FA2" w:rsidRPr="000863A5" w14:paraId="0B71D66B" w14:textId="77777777" w:rsidTr="00D352EA">
        <w:tc>
          <w:tcPr>
            <w:tcW w:w="5000" w:type="pct"/>
            <w:tcBorders>
              <w:top w:val="single" w:sz="6" w:space="0" w:color="78A22F"/>
              <w:left w:val="nil"/>
              <w:bottom w:val="nil"/>
              <w:right w:val="nil"/>
            </w:tcBorders>
          </w:tcPr>
          <w:p w14:paraId="783B0669" w14:textId="32DB21C7" w:rsidR="00913FA2" w:rsidRPr="00626D32" w:rsidRDefault="00913FA2" w:rsidP="00D352EA">
            <w:pPr>
              <w:pStyle w:val="BoxSpaceBelow"/>
            </w:pPr>
          </w:p>
        </w:tc>
      </w:tr>
    </w:tbl>
    <w:p w14:paraId="13C1EC06" w14:textId="1BABA05E" w:rsidR="00DB79BC" w:rsidRDefault="00DB79BC" w:rsidP="00E3630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89"/>
      </w:tblGrid>
      <w:tr w:rsidR="00DB79BC" w14:paraId="6756CFED" w14:textId="77777777" w:rsidTr="00E3630A">
        <w:trPr>
          <w:tblHeader/>
        </w:trPr>
        <w:tc>
          <w:tcPr>
            <w:tcW w:w="5000" w:type="pct"/>
            <w:tcBorders>
              <w:top w:val="single" w:sz="6" w:space="0" w:color="78A22F"/>
              <w:left w:val="nil"/>
              <w:bottom w:val="nil"/>
              <w:right w:val="nil"/>
            </w:tcBorders>
            <w:shd w:val="clear" w:color="auto" w:fill="auto"/>
          </w:tcPr>
          <w:p w14:paraId="11886086" w14:textId="1584930A" w:rsidR="00DB79BC" w:rsidRPr="00DB79BC" w:rsidRDefault="00DB79BC" w:rsidP="00E3630A">
            <w:pPr>
              <w:pStyle w:val="TableTitle"/>
              <w:rPr>
                <w:b w:val="0"/>
                <w:bCs/>
                <w:sz w:val="18"/>
                <w:szCs w:val="18"/>
              </w:rPr>
            </w:pPr>
            <w:r>
              <w:rPr>
                <w:b w:val="0"/>
              </w:rPr>
              <w:t xml:space="preserve">Table </w:t>
            </w:r>
            <w:r w:rsidR="00D328BD">
              <w:rPr>
                <w:b w:val="0"/>
              </w:rPr>
              <w:t>B.1</w:t>
            </w:r>
            <w:r>
              <w:tab/>
            </w:r>
            <w:r w:rsidRPr="00DB79BC">
              <w:rPr>
                <w:b w:val="0"/>
                <w:bCs/>
                <w:sz w:val="18"/>
                <w:szCs w:val="18"/>
              </w:rPr>
              <w:t>(continued)</w:t>
            </w:r>
          </w:p>
          <w:p w14:paraId="37EBACF4" w14:textId="249A4C75" w:rsidR="00DB79BC" w:rsidRPr="00784A05" w:rsidRDefault="00DB79BC" w:rsidP="00E3630A">
            <w:pPr>
              <w:pStyle w:val="Subtitle"/>
            </w:pPr>
            <w:r w:rsidRPr="00DB79BC">
              <w:t>Variables included by type of business entity</w:t>
            </w:r>
          </w:p>
        </w:tc>
      </w:tr>
      <w:tr w:rsidR="00DB79BC" w14:paraId="11966D43" w14:textId="77777777" w:rsidTr="00E3630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533"/>
              <w:gridCol w:w="970"/>
              <w:gridCol w:w="1040"/>
              <w:gridCol w:w="981"/>
              <w:gridCol w:w="981"/>
            </w:tblGrid>
            <w:tr w:rsidR="004D27DE" w14:paraId="1C6EFE0A" w14:textId="77777777" w:rsidTr="003871E8">
              <w:trPr>
                <w:tblHeader/>
              </w:trPr>
              <w:tc>
                <w:tcPr>
                  <w:tcW w:w="2665" w:type="pct"/>
                  <w:tcBorders>
                    <w:top w:val="single" w:sz="6" w:space="0" w:color="BFBFBF"/>
                    <w:bottom w:val="single" w:sz="6" w:space="0" w:color="BFBFBF"/>
                  </w:tcBorders>
                  <w:shd w:val="clear" w:color="auto" w:fill="auto"/>
                  <w:tcMar>
                    <w:top w:w="28" w:type="dxa"/>
                  </w:tcMar>
                </w:tcPr>
                <w:p w14:paraId="08739549" w14:textId="77777777" w:rsidR="004D27DE" w:rsidRDefault="004D27DE" w:rsidP="004D27DE">
                  <w:pPr>
                    <w:pStyle w:val="TableColumnHeading"/>
                    <w:jc w:val="left"/>
                  </w:pPr>
                </w:p>
              </w:tc>
              <w:tc>
                <w:tcPr>
                  <w:tcW w:w="570" w:type="pct"/>
                  <w:tcBorders>
                    <w:top w:val="single" w:sz="6" w:space="0" w:color="BFBFBF"/>
                    <w:bottom w:val="single" w:sz="6" w:space="0" w:color="BFBFBF"/>
                  </w:tcBorders>
                </w:tcPr>
                <w:p w14:paraId="5532D15C" w14:textId="612B70D1" w:rsidR="004D27DE" w:rsidRDefault="004D27DE" w:rsidP="004D27DE">
                  <w:pPr>
                    <w:pStyle w:val="TableColumnHeading"/>
                  </w:pPr>
                  <w:r w:rsidRPr="00AC5269">
                    <w:t>Company form</w:t>
                  </w:r>
                </w:p>
              </w:tc>
              <w:tc>
                <w:tcPr>
                  <w:tcW w:w="611" w:type="pct"/>
                  <w:tcBorders>
                    <w:top w:val="single" w:sz="6" w:space="0" w:color="BFBFBF"/>
                    <w:bottom w:val="single" w:sz="6" w:space="0" w:color="BFBFBF"/>
                  </w:tcBorders>
                </w:tcPr>
                <w:p w14:paraId="4B4DA770" w14:textId="5A93FC82" w:rsidR="004D27DE" w:rsidRDefault="004D27DE" w:rsidP="004D27DE">
                  <w:pPr>
                    <w:pStyle w:val="TableColumnHeading"/>
                  </w:pPr>
                  <w:r w:rsidRPr="00AC5269">
                    <w:t>Partnership form</w:t>
                  </w:r>
                </w:p>
              </w:tc>
              <w:tc>
                <w:tcPr>
                  <w:tcW w:w="577" w:type="pct"/>
                  <w:tcBorders>
                    <w:top w:val="single" w:sz="6" w:space="0" w:color="BFBFBF"/>
                    <w:bottom w:val="single" w:sz="6" w:space="0" w:color="BFBFBF"/>
                  </w:tcBorders>
                  <w:shd w:val="clear" w:color="auto" w:fill="auto"/>
                  <w:tcMar>
                    <w:top w:w="28" w:type="dxa"/>
                  </w:tcMar>
                </w:tcPr>
                <w:p w14:paraId="199686F9" w14:textId="7A4AE75B" w:rsidR="004D27DE" w:rsidRDefault="004D27DE" w:rsidP="004D27DE">
                  <w:pPr>
                    <w:pStyle w:val="TableColumnHeading"/>
                  </w:pPr>
                  <w:r w:rsidRPr="00AC5269">
                    <w:t>Trust form</w:t>
                  </w:r>
                </w:p>
              </w:tc>
              <w:tc>
                <w:tcPr>
                  <w:tcW w:w="577" w:type="pct"/>
                  <w:tcBorders>
                    <w:top w:val="single" w:sz="6" w:space="0" w:color="BFBFBF"/>
                    <w:bottom w:val="single" w:sz="6" w:space="0" w:color="BFBFBF"/>
                  </w:tcBorders>
                  <w:shd w:val="clear" w:color="auto" w:fill="auto"/>
                  <w:tcMar>
                    <w:top w:w="28" w:type="dxa"/>
                  </w:tcMar>
                </w:tcPr>
                <w:p w14:paraId="3EC4BC0C" w14:textId="269A8FFC" w:rsidR="004D27DE" w:rsidRDefault="004D27DE" w:rsidP="004D27DE">
                  <w:pPr>
                    <w:pStyle w:val="TableColumnHeading"/>
                    <w:ind w:right="28"/>
                  </w:pPr>
                  <w:r w:rsidRPr="00AC5269">
                    <w:t>Individual form</w:t>
                  </w:r>
                </w:p>
              </w:tc>
            </w:tr>
            <w:tr w:rsidR="00950517" w14:paraId="4B03F9B9" w14:textId="77777777" w:rsidTr="003871E8">
              <w:tc>
                <w:tcPr>
                  <w:tcW w:w="2665" w:type="pct"/>
                </w:tcPr>
                <w:p w14:paraId="06BFB7A2" w14:textId="46008A5C" w:rsidR="00950517" w:rsidRDefault="00950517" w:rsidP="00950517">
                  <w:pPr>
                    <w:pStyle w:val="TableBodyText"/>
                    <w:jc w:val="left"/>
                  </w:pPr>
                  <w:r w:rsidRPr="00066E5D">
                    <w:rPr>
                      <w:b/>
                      <w:bCs/>
                    </w:rPr>
                    <w:t>Partnerships and trusts</w:t>
                  </w:r>
                </w:p>
              </w:tc>
              <w:tc>
                <w:tcPr>
                  <w:tcW w:w="570" w:type="pct"/>
                </w:tcPr>
                <w:p w14:paraId="03F48272" w14:textId="1DC8C87C" w:rsidR="00950517" w:rsidRDefault="00950517" w:rsidP="00950517">
                  <w:pPr>
                    <w:pStyle w:val="TableBodyText"/>
                  </w:pPr>
                </w:p>
              </w:tc>
              <w:tc>
                <w:tcPr>
                  <w:tcW w:w="611" w:type="pct"/>
                </w:tcPr>
                <w:p w14:paraId="2FC8337A" w14:textId="77777777" w:rsidR="00950517" w:rsidRDefault="00950517" w:rsidP="00950517">
                  <w:pPr>
                    <w:pStyle w:val="TableBodyText"/>
                  </w:pPr>
                </w:p>
              </w:tc>
              <w:tc>
                <w:tcPr>
                  <w:tcW w:w="577" w:type="pct"/>
                </w:tcPr>
                <w:p w14:paraId="563CF28E" w14:textId="75935246" w:rsidR="00950517" w:rsidRDefault="00950517" w:rsidP="00950517">
                  <w:pPr>
                    <w:pStyle w:val="TableBodyText"/>
                  </w:pPr>
                </w:p>
              </w:tc>
              <w:tc>
                <w:tcPr>
                  <w:tcW w:w="577" w:type="pct"/>
                </w:tcPr>
                <w:p w14:paraId="7B3212B1" w14:textId="77777777" w:rsidR="00950517" w:rsidRDefault="00950517" w:rsidP="00950517">
                  <w:pPr>
                    <w:pStyle w:val="TableBodyText"/>
                    <w:ind w:right="28"/>
                  </w:pPr>
                </w:p>
              </w:tc>
            </w:tr>
            <w:tr w:rsidR="00950517" w14:paraId="030F4B50" w14:textId="77777777" w:rsidTr="003871E8">
              <w:tc>
                <w:tcPr>
                  <w:tcW w:w="2665" w:type="pct"/>
                </w:tcPr>
                <w:p w14:paraId="595015C4" w14:textId="73EAAEC6" w:rsidR="00950517" w:rsidRDefault="00950517" w:rsidP="00950517">
                  <w:pPr>
                    <w:pStyle w:val="TableBodyText"/>
                    <w:jc w:val="left"/>
                  </w:pPr>
                  <w:r w:rsidRPr="00171AC3">
                    <w:t>Distribution from partnerships - Primary production</w:t>
                  </w:r>
                </w:p>
              </w:tc>
              <w:tc>
                <w:tcPr>
                  <w:tcW w:w="570" w:type="pct"/>
                </w:tcPr>
                <w:p w14:paraId="705FE1FB" w14:textId="0D3FE6A2" w:rsidR="00950517" w:rsidRDefault="00950517" w:rsidP="00950517">
                  <w:pPr>
                    <w:pStyle w:val="TableBodyText"/>
                  </w:pPr>
                </w:p>
              </w:tc>
              <w:tc>
                <w:tcPr>
                  <w:tcW w:w="611" w:type="pct"/>
                </w:tcPr>
                <w:p w14:paraId="3C7F4A2D" w14:textId="677F7C56" w:rsidR="00950517" w:rsidRDefault="00950517" w:rsidP="00950517">
                  <w:pPr>
                    <w:pStyle w:val="TableBodyText"/>
                  </w:pPr>
                  <w:r w:rsidRPr="00612267">
                    <w:rPr>
                      <w:rFonts w:ascii="Wingdings" w:hAnsi="Wingdings"/>
                    </w:rPr>
                    <w:t></w:t>
                  </w:r>
                </w:p>
              </w:tc>
              <w:tc>
                <w:tcPr>
                  <w:tcW w:w="577" w:type="pct"/>
                </w:tcPr>
                <w:p w14:paraId="296D5BF6" w14:textId="20D1E4E2" w:rsidR="00950517" w:rsidRDefault="00950517" w:rsidP="00950517">
                  <w:pPr>
                    <w:pStyle w:val="TableBodyText"/>
                  </w:pPr>
                  <w:r w:rsidRPr="00612267">
                    <w:rPr>
                      <w:rFonts w:ascii="Wingdings" w:hAnsi="Wingdings"/>
                    </w:rPr>
                    <w:t></w:t>
                  </w:r>
                </w:p>
              </w:tc>
              <w:tc>
                <w:tcPr>
                  <w:tcW w:w="577" w:type="pct"/>
                </w:tcPr>
                <w:p w14:paraId="636DB6EB" w14:textId="77777777" w:rsidR="00950517" w:rsidRDefault="00950517" w:rsidP="00950517">
                  <w:pPr>
                    <w:pStyle w:val="TableBodyText"/>
                    <w:ind w:right="28"/>
                  </w:pPr>
                </w:p>
              </w:tc>
            </w:tr>
            <w:tr w:rsidR="00950517" w14:paraId="129ADAFB" w14:textId="77777777" w:rsidTr="003871E8">
              <w:tc>
                <w:tcPr>
                  <w:tcW w:w="2665" w:type="pct"/>
                </w:tcPr>
                <w:p w14:paraId="0290CE1F" w14:textId="3BB664CC" w:rsidR="00950517" w:rsidRDefault="00950517" w:rsidP="00950517">
                  <w:pPr>
                    <w:pStyle w:val="TableBodyText"/>
                    <w:jc w:val="left"/>
                  </w:pPr>
                  <w:r w:rsidRPr="00171AC3">
                    <w:t>Share of net income from trusts - Primary Production</w:t>
                  </w:r>
                </w:p>
              </w:tc>
              <w:tc>
                <w:tcPr>
                  <w:tcW w:w="570" w:type="pct"/>
                </w:tcPr>
                <w:p w14:paraId="08401D82" w14:textId="5F45CC3C" w:rsidR="00950517" w:rsidRDefault="00950517" w:rsidP="00950517">
                  <w:pPr>
                    <w:pStyle w:val="TableBodyText"/>
                  </w:pPr>
                </w:p>
              </w:tc>
              <w:tc>
                <w:tcPr>
                  <w:tcW w:w="611" w:type="pct"/>
                </w:tcPr>
                <w:p w14:paraId="7FE81AC6" w14:textId="13B909BE" w:rsidR="00950517" w:rsidRDefault="00950517" w:rsidP="00950517">
                  <w:pPr>
                    <w:pStyle w:val="TableBodyText"/>
                  </w:pPr>
                  <w:r w:rsidRPr="00612267">
                    <w:rPr>
                      <w:rFonts w:ascii="Wingdings" w:hAnsi="Wingdings"/>
                    </w:rPr>
                    <w:t></w:t>
                  </w:r>
                </w:p>
              </w:tc>
              <w:tc>
                <w:tcPr>
                  <w:tcW w:w="577" w:type="pct"/>
                </w:tcPr>
                <w:p w14:paraId="1EB8B815" w14:textId="3CB77FBC" w:rsidR="00950517" w:rsidRDefault="00950517" w:rsidP="00950517">
                  <w:pPr>
                    <w:pStyle w:val="TableBodyText"/>
                  </w:pPr>
                  <w:r w:rsidRPr="00612267">
                    <w:rPr>
                      <w:rFonts w:ascii="Wingdings" w:hAnsi="Wingdings"/>
                    </w:rPr>
                    <w:t></w:t>
                  </w:r>
                </w:p>
              </w:tc>
              <w:tc>
                <w:tcPr>
                  <w:tcW w:w="577" w:type="pct"/>
                </w:tcPr>
                <w:p w14:paraId="2F7ABC69" w14:textId="77777777" w:rsidR="00950517" w:rsidRDefault="00950517" w:rsidP="00950517">
                  <w:pPr>
                    <w:pStyle w:val="TableBodyText"/>
                    <w:ind w:right="28"/>
                  </w:pPr>
                </w:p>
              </w:tc>
            </w:tr>
            <w:tr w:rsidR="00950517" w14:paraId="30C6318A" w14:textId="77777777" w:rsidTr="003871E8">
              <w:tc>
                <w:tcPr>
                  <w:tcW w:w="2665" w:type="pct"/>
                </w:tcPr>
                <w:p w14:paraId="19E2C5AA" w14:textId="776AC199" w:rsidR="00950517" w:rsidRDefault="00950517" w:rsidP="00950517">
                  <w:pPr>
                    <w:pStyle w:val="TableBodyText"/>
                    <w:jc w:val="left"/>
                  </w:pPr>
                  <w:r w:rsidRPr="00171AC3">
                    <w:t>Deductions relating to distribution in labels A and Z - Primary Production</w:t>
                  </w:r>
                </w:p>
              </w:tc>
              <w:tc>
                <w:tcPr>
                  <w:tcW w:w="570" w:type="pct"/>
                </w:tcPr>
                <w:p w14:paraId="2BC5B7DE" w14:textId="5591F9A0" w:rsidR="00950517" w:rsidRDefault="00950517" w:rsidP="00950517">
                  <w:pPr>
                    <w:pStyle w:val="TableBodyText"/>
                  </w:pPr>
                </w:p>
              </w:tc>
              <w:tc>
                <w:tcPr>
                  <w:tcW w:w="611" w:type="pct"/>
                </w:tcPr>
                <w:p w14:paraId="33018502" w14:textId="5C225075" w:rsidR="00950517" w:rsidRDefault="00950517" w:rsidP="00950517">
                  <w:pPr>
                    <w:pStyle w:val="TableBodyText"/>
                  </w:pPr>
                  <w:r w:rsidRPr="00612267">
                    <w:rPr>
                      <w:rFonts w:ascii="Wingdings" w:hAnsi="Wingdings"/>
                    </w:rPr>
                    <w:t></w:t>
                  </w:r>
                </w:p>
              </w:tc>
              <w:tc>
                <w:tcPr>
                  <w:tcW w:w="577" w:type="pct"/>
                </w:tcPr>
                <w:p w14:paraId="5B2B8076" w14:textId="2B757079" w:rsidR="00950517" w:rsidRDefault="00950517" w:rsidP="00950517">
                  <w:pPr>
                    <w:pStyle w:val="TableBodyText"/>
                  </w:pPr>
                  <w:r w:rsidRPr="00612267">
                    <w:rPr>
                      <w:rFonts w:ascii="Wingdings" w:hAnsi="Wingdings"/>
                    </w:rPr>
                    <w:t></w:t>
                  </w:r>
                </w:p>
              </w:tc>
              <w:tc>
                <w:tcPr>
                  <w:tcW w:w="577" w:type="pct"/>
                </w:tcPr>
                <w:p w14:paraId="2EEC0D47" w14:textId="77777777" w:rsidR="00950517" w:rsidRDefault="00950517" w:rsidP="00950517">
                  <w:pPr>
                    <w:pStyle w:val="TableBodyText"/>
                    <w:ind w:right="28"/>
                  </w:pPr>
                </w:p>
              </w:tc>
            </w:tr>
            <w:tr w:rsidR="00950517" w14:paraId="0D6AE174" w14:textId="77777777" w:rsidTr="003871E8">
              <w:tc>
                <w:tcPr>
                  <w:tcW w:w="2665" w:type="pct"/>
                </w:tcPr>
                <w:p w14:paraId="1DEDBB58" w14:textId="6D3DF4B3" w:rsidR="00950517" w:rsidRDefault="00950517" w:rsidP="00950517">
                  <w:pPr>
                    <w:pStyle w:val="TableBodyText"/>
                    <w:jc w:val="left"/>
                  </w:pPr>
                  <w:r w:rsidRPr="00171AC3">
                    <w:t>Distribution from partnerships, less foreign income - Net-Primary Production</w:t>
                  </w:r>
                </w:p>
              </w:tc>
              <w:tc>
                <w:tcPr>
                  <w:tcW w:w="570" w:type="pct"/>
                </w:tcPr>
                <w:p w14:paraId="4438F390" w14:textId="7CE1623F" w:rsidR="00950517" w:rsidRDefault="00950517" w:rsidP="00950517">
                  <w:pPr>
                    <w:pStyle w:val="TableBodyText"/>
                  </w:pPr>
                </w:p>
              </w:tc>
              <w:tc>
                <w:tcPr>
                  <w:tcW w:w="611" w:type="pct"/>
                </w:tcPr>
                <w:p w14:paraId="4C0A3E4A" w14:textId="77777777" w:rsidR="00950517" w:rsidRDefault="00950517" w:rsidP="00950517">
                  <w:pPr>
                    <w:pStyle w:val="TableBodyText"/>
                  </w:pPr>
                </w:p>
              </w:tc>
              <w:tc>
                <w:tcPr>
                  <w:tcW w:w="577" w:type="pct"/>
                </w:tcPr>
                <w:p w14:paraId="57E4B7EC" w14:textId="56E5C7C2" w:rsidR="00950517" w:rsidRDefault="00950517" w:rsidP="00950517">
                  <w:pPr>
                    <w:pStyle w:val="TableBodyText"/>
                  </w:pPr>
                  <w:r w:rsidRPr="00612267">
                    <w:rPr>
                      <w:rFonts w:ascii="Wingdings" w:hAnsi="Wingdings"/>
                    </w:rPr>
                    <w:t></w:t>
                  </w:r>
                </w:p>
              </w:tc>
              <w:tc>
                <w:tcPr>
                  <w:tcW w:w="577" w:type="pct"/>
                </w:tcPr>
                <w:p w14:paraId="7C70C60D" w14:textId="77777777" w:rsidR="00950517" w:rsidRDefault="00950517" w:rsidP="00950517">
                  <w:pPr>
                    <w:pStyle w:val="TableBodyText"/>
                    <w:ind w:right="28"/>
                  </w:pPr>
                </w:p>
              </w:tc>
            </w:tr>
            <w:tr w:rsidR="00950517" w14:paraId="20734729" w14:textId="77777777" w:rsidTr="003871E8">
              <w:tc>
                <w:tcPr>
                  <w:tcW w:w="2665" w:type="pct"/>
                </w:tcPr>
                <w:p w14:paraId="65C052A1" w14:textId="09E96D84" w:rsidR="00950517" w:rsidRDefault="00950517" w:rsidP="00950517">
                  <w:pPr>
                    <w:pStyle w:val="TableBodyText"/>
                    <w:jc w:val="left"/>
                  </w:pPr>
                  <w:r w:rsidRPr="00171AC3">
                    <w:t>Distribution from trusts, less net capital gain and foreign income - Non-Primary Production</w:t>
                  </w:r>
                </w:p>
              </w:tc>
              <w:tc>
                <w:tcPr>
                  <w:tcW w:w="570" w:type="pct"/>
                </w:tcPr>
                <w:p w14:paraId="1E2ED257" w14:textId="5B1B0E49" w:rsidR="00950517" w:rsidRDefault="00950517" w:rsidP="00950517">
                  <w:pPr>
                    <w:pStyle w:val="TableBodyText"/>
                  </w:pPr>
                </w:p>
              </w:tc>
              <w:tc>
                <w:tcPr>
                  <w:tcW w:w="611" w:type="pct"/>
                </w:tcPr>
                <w:p w14:paraId="54DCB8DD" w14:textId="77777777" w:rsidR="00950517" w:rsidRDefault="00950517" w:rsidP="00950517">
                  <w:pPr>
                    <w:pStyle w:val="TableBodyText"/>
                  </w:pPr>
                </w:p>
              </w:tc>
              <w:tc>
                <w:tcPr>
                  <w:tcW w:w="577" w:type="pct"/>
                </w:tcPr>
                <w:p w14:paraId="05482402" w14:textId="37FFDC3D" w:rsidR="00950517" w:rsidRDefault="00950517" w:rsidP="00950517">
                  <w:pPr>
                    <w:pStyle w:val="TableBodyText"/>
                  </w:pPr>
                  <w:r w:rsidRPr="00612267">
                    <w:rPr>
                      <w:rFonts w:ascii="Wingdings" w:hAnsi="Wingdings"/>
                    </w:rPr>
                    <w:t></w:t>
                  </w:r>
                </w:p>
              </w:tc>
              <w:tc>
                <w:tcPr>
                  <w:tcW w:w="577" w:type="pct"/>
                </w:tcPr>
                <w:p w14:paraId="3B9A1062" w14:textId="77777777" w:rsidR="00950517" w:rsidRDefault="00950517" w:rsidP="00950517">
                  <w:pPr>
                    <w:pStyle w:val="TableBodyText"/>
                    <w:ind w:right="28"/>
                  </w:pPr>
                </w:p>
              </w:tc>
            </w:tr>
            <w:tr w:rsidR="00950517" w14:paraId="726EBE31" w14:textId="77777777" w:rsidTr="003871E8">
              <w:tc>
                <w:tcPr>
                  <w:tcW w:w="2665" w:type="pct"/>
                </w:tcPr>
                <w:p w14:paraId="417F969B" w14:textId="35E2E11F" w:rsidR="00950517" w:rsidRDefault="00950517" w:rsidP="00950517">
                  <w:pPr>
                    <w:pStyle w:val="TableBodyText"/>
                    <w:jc w:val="left"/>
                  </w:pPr>
                  <w:r w:rsidRPr="00171AC3">
                    <w:t>Deductions relating to distribution in labels B and R - Non-Primary Production</w:t>
                  </w:r>
                </w:p>
              </w:tc>
              <w:tc>
                <w:tcPr>
                  <w:tcW w:w="570" w:type="pct"/>
                </w:tcPr>
                <w:p w14:paraId="56C18350" w14:textId="5BE34265" w:rsidR="00950517" w:rsidRDefault="00950517" w:rsidP="00950517">
                  <w:pPr>
                    <w:pStyle w:val="TableBodyText"/>
                  </w:pPr>
                </w:p>
              </w:tc>
              <w:tc>
                <w:tcPr>
                  <w:tcW w:w="611" w:type="pct"/>
                </w:tcPr>
                <w:p w14:paraId="3F8B2A33" w14:textId="77777777" w:rsidR="00950517" w:rsidRDefault="00950517" w:rsidP="00950517">
                  <w:pPr>
                    <w:pStyle w:val="TableBodyText"/>
                  </w:pPr>
                </w:p>
              </w:tc>
              <w:tc>
                <w:tcPr>
                  <w:tcW w:w="577" w:type="pct"/>
                </w:tcPr>
                <w:p w14:paraId="58D76715" w14:textId="3876F841" w:rsidR="00950517" w:rsidRDefault="00950517" w:rsidP="00950517">
                  <w:pPr>
                    <w:pStyle w:val="TableBodyText"/>
                  </w:pPr>
                  <w:r w:rsidRPr="00612267">
                    <w:rPr>
                      <w:rFonts w:ascii="Wingdings" w:hAnsi="Wingdings"/>
                    </w:rPr>
                    <w:t></w:t>
                  </w:r>
                </w:p>
              </w:tc>
              <w:tc>
                <w:tcPr>
                  <w:tcW w:w="577" w:type="pct"/>
                </w:tcPr>
                <w:p w14:paraId="5A9A745B" w14:textId="77777777" w:rsidR="00950517" w:rsidRDefault="00950517" w:rsidP="00950517">
                  <w:pPr>
                    <w:pStyle w:val="TableBodyText"/>
                    <w:ind w:right="28"/>
                  </w:pPr>
                </w:p>
              </w:tc>
            </w:tr>
            <w:tr w:rsidR="00950517" w14:paraId="376E36FC" w14:textId="77777777" w:rsidTr="003871E8">
              <w:tc>
                <w:tcPr>
                  <w:tcW w:w="2665" w:type="pct"/>
                </w:tcPr>
                <w:p w14:paraId="1C2A5E5F" w14:textId="7F0A0923" w:rsidR="00950517" w:rsidRDefault="00950517" w:rsidP="00950517">
                  <w:pPr>
                    <w:pStyle w:val="TableBodyText"/>
                    <w:jc w:val="left"/>
                  </w:pPr>
                  <w:r w:rsidRPr="00171AC3">
                    <w:t>Franked distributions from trusts</w:t>
                  </w:r>
                </w:p>
              </w:tc>
              <w:tc>
                <w:tcPr>
                  <w:tcW w:w="570" w:type="pct"/>
                </w:tcPr>
                <w:p w14:paraId="20731DDB" w14:textId="3F0D80EC" w:rsidR="00950517" w:rsidRDefault="00950517" w:rsidP="00950517">
                  <w:pPr>
                    <w:pStyle w:val="TableBodyText"/>
                  </w:pPr>
                </w:p>
              </w:tc>
              <w:tc>
                <w:tcPr>
                  <w:tcW w:w="611" w:type="pct"/>
                </w:tcPr>
                <w:p w14:paraId="17BA5EE1" w14:textId="0417A54B" w:rsidR="00950517" w:rsidRDefault="00950517" w:rsidP="00950517">
                  <w:pPr>
                    <w:pStyle w:val="TableBodyText"/>
                  </w:pPr>
                  <w:r w:rsidRPr="00612267">
                    <w:rPr>
                      <w:rFonts w:ascii="Wingdings" w:hAnsi="Wingdings"/>
                    </w:rPr>
                    <w:t></w:t>
                  </w:r>
                </w:p>
              </w:tc>
              <w:tc>
                <w:tcPr>
                  <w:tcW w:w="577" w:type="pct"/>
                </w:tcPr>
                <w:p w14:paraId="7B4D2F00" w14:textId="1A2CF3A2" w:rsidR="00950517" w:rsidRDefault="00950517" w:rsidP="00950517">
                  <w:pPr>
                    <w:pStyle w:val="TableBodyText"/>
                  </w:pPr>
                  <w:r w:rsidRPr="00612267">
                    <w:rPr>
                      <w:rFonts w:ascii="Wingdings" w:hAnsi="Wingdings"/>
                    </w:rPr>
                    <w:t></w:t>
                  </w:r>
                </w:p>
              </w:tc>
              <w:tc>
                <w:tcPr>
                  <w:tcW w:w="577" w:type="pct"/>
                </w:tcPr>
                <w:p w14:paraId="5B110809" w14:textId="77777777" w:rsidR="00950517" w:rsidRDefault="00950517" w:rsidP="00950517">
                  <w:pPr>
                    <w:pStyle w:val="TableBodyText"/>
                    <w:ind w:right="28"/>
                  </w:pPr>
                </w:p>
              </w:tc>
            </w:tr>
            <w:tr w:rsidR="00950517" w14:paraId="4BADF8C9" w14:textId="77777777" w:rsidTr="003871E8">
              <w:tc>
                <w:tcPr>
                  <w:tcW w:w="2665" w:type="pct"/>
                </w:tcPr>
                <w:p w14:paraId="6FC87C5C" w14:textId="7F7B37FE" w:rsidR="00950517" w:rsidRDefault="00950517" w:rsidP="00950517">
                  <w:pPr>
                    <w:pStyle w:val="TableBodyText"/>
                    <w:jc w:val="left"/>
                  </w:pPr>
                  <w:r w:rsidRPr="00171AC3">
                    <w:t>Deductions relating to franked distributions from trusts in label F</w:t>
                  </w:r>
                </w:p>
              </w:tc>
              <w:tc>
                <w:tcPr>
                  <w:tcW w:w="570" w:type="pct"/>
                </w:tcPr>
                <w:p w14:paraId="7957D852" w14:textId="35200CAD" w:rsidR="00950517" w:rsidRDefault="00950517" w:rsidP="00950517">
                  <w:pPr>
                    <w:pStyle w:val="TableBodyText"/>
                  </w:pPr>
                </w:p>
              </w:tc>
              <w:tc>
                <w:tcPr>
                  <w:tcW w:w="611" w:type="pct"/>
                </w:tcPr>
                <w:p w14:paraId="351E722C" w14:textId="29931700" w:rsidR="00950517" w:rsidRDefault="00950517" w:rsidP="00950517">
                  <w:pPr>
                    <w:pStyle w:val="TableBodyText"/>
                  </w:pPr>
                  <w:r w:rsidRPr="00612267">
                    <w:rPr>
                      <w:rFonts w:ascii="Wingdings" w:hAnsi="Wingdings"/>
                    </w:rPr>
                    <w:t></w:t>
                  </w:r>
                </w:p>
              </w:tc>
              <w:tc>
                <w:tcPr>
                  <w:tcW w:w="577" w:type="pct"/>
                </w:tcPr>
                <w:p w14:paraId="3A12A837" w14:textId="0AE61FCA" w:rsidR="00950517" w:rsidRDefault="00950517" w:rsidP="00950517">
                  <w:pPr>
                    <w:pStyle w:val="TableBodyText"/>
                  </w:pPr>
                  <w:r w:rsidRPr="00612267">
                    <w:rPr>
                      <w:rFonts w:ascii="Wingdings" w:hAnsi="Wingdings"/>
                    </w:rPr>
                    <w:t></w:t>
                  </w:r>
                </w:p>
              </w:tc>
              <w:tc>
                <w:tcPr>
                  <w:tcW w:w="577" w:type="pct"/>
                </w:tcPr>
                <w:p w14:paraId="78CC2B81" w14:textId="77777777" w:rsidR="00950517" w:rsidRDefault="00950517" w:rsidP="00950517">
                  <w:pPr>
                    <w:pStyle w:val="TableBodyText"/>
                    <w:ind w:right="28"/>
                  </w:pPr>
                </w:p>
              </w:tc>
            </w:tr>
            <w:tr w:rsidR="00950517" w14:paraId="344FB76E" w14:textId="77777777" w:rsidTr="003871E8">
              <w:tc>
                <w:tcPr>
                  <w:tcW w:w="2665" w:type="pct"/>
                </w:tcPr>
                <w:p w14:paraId="2D92EC90" w14:textId="6DB58967" w:rsidR="00950517" w:rsidRDefault="00950517" w:rsidP="00950517">
                  <w:pPr>
                    <w:pStyle w:val="TableBodyText"/>
                    <w:jc w:val="left"/>
                  </w:pPr>
                  <w:r w:rsidRPr="00CF2678">
                    <w:rPr>
                      <w:b/>
                      <w:bCs/>
                    </w:rPr>
                    <w:t>Taxable/net income or loss</w:t>
                  </w:r>
                </w:p>
              </w:tc>
              <w:tc>
                <w:tcPr>
                  <w:tcW w:w="570" w:type="pct"/>
                </w:tcPr>
                <w:p w14:paraId="788A0D14" w14:textId="686532D2" w:rsidR="00950517" w:rsidRDefault="00950517" w:rsidP="00950517">
                  <w:pPr>
                    <w:pStyle w:val="TableBodyText"/>
                  </w:pPr>
                </w:p>
              </w:tc>
              <w:tc>
                <w:tcPr>
                  <w:tcW w:w="611" w:type="pct"/>
                </w:tcPr>
                <w:p w14:paraId="5298F1A2" w14:textId="77777777" w:rsidR="00950517" w:rsidRDefault="00950517" w:rsidP="00950517">
                  <w:pPr>
                    <w:pStyle w:val="TableBodyText"/>
                  </w:pPr>
                </w:p>
              </w:tc>
              <w:tc>
                <w:tcPr>
                  <w:tcW w:w="577" w:type="pct"/>
                </w:tcPr>
                <w:p w14:paraId="63249E04" w14:textId="3D5720FA" w:rsidR="00950517" w:rsidRDefault="00950517" w:rsidP="00950517">
                  <w:pPr>
                    <w:pStyle w:val="TableBodyText"/>
                  </w:pPr>
                </w:p>
              </w:tc>
              <w:tc>
                <w:tcPr>
                  <w:tcW w:w="577" w:type="pct"/>
                </w:tcPr>
                <w:p w14:paraId="0ECEF312" w14:textId="77777777" w:rsidR="00950517" w:rsidRDefault="00950517" w:rsidP="00950517">
                  <w:pPr>
                    <w:pStyle w:val="TableBodyText"/>
                    <w:ind w:right="28"/>
                  </w:pPr>
                </w:p>
              </w:tc>
            </w:tr>
            <w:tr w:rsidR="00950517" w14:paraId="6A4CC4C9" w14:textId="77777777" w:rsidTr="003871E8">
              <w:tc>
                <w:tcPr>
                  <w:tcW w:w="2665" w:type="pct"/>
                </w:tcPr>
                <w:p w14:paraId="43FCDBA2" w14:textId="0C2E3336" w:rsidR="00950517" w:rsidRDefault="00950517" w:rsidP="00950517">
                  <w:pPr>
                    <w:pStyle w:val="TableBodyText"/>
                    <w:jc w:val="left"/>
                  </w:pPr>
                  <w:r w:rsidRPr="00171AC3">
                    <w:t>Capital works deductions</w:t>
                  </w:r>
                </w:p>
              </w:tc>
              <w:tc>
                <w:tcPr>
                  <w:tcW w:w="570" w:type="pct"/>
                </w:tcPr>
                <w:p w14:paraId="5682B695" w14:textId="42B85CDA" w:rsidR="00950517" w:rsidRDefault="00950517" w:rsidP="00950517">
                  <w:pPr>
                    <w:pStyle w:val="TableBodyText"/>
                  </w:pPr>
                  <w:r w:rsidRPr="00612267">
                    <w:rPr>
                      <w:rFonts w:ascii="Wingdings" w:hAnsi="Wingdings"/>
                    </w:rPr>
                    <w:t></w:t>
                  </w:r>
                </w:p>
              </w:tc>
              <w:tc>
                <w:tcPr>
                  <w:tcW w:w="611" w:type="pct"/>
                </w:tcPr>
                <w:p w14:paraId="2FCFB778" w14:textId="35CF01D2" w:rsidR="00950517" w:rsidRDefault="00950517" w:rsidP="00950517">
                  <w:pPr>
                    <w:pStyle w:val="TableBodyText"/>
                  </w:pPr>
                  <w:r w:rsidRPr="00612267">
                    <w:rPr>
                      <w:rFonts w:ascii="Wingdings" w:hAnsi="Wingdings"/>
                    </w:rPr>
                    <w:t></w:t>
                  </w:r>
                </w:p>
              </w:tc>
              <w:tc>
                <w:tcPr>
                  <w:tcW w:w="577" w:type="pct"/>
                </w:tcPr>
                <w:p w14:paraId="6FA35F12" w14:textId="61859AF8" w:rsidR="00950517" w:rsidRDefault="00950517" w:rsidP="00950517">
                  <w:pPr>
                    <w:pStyle w:val="TableBodyText"/>
                  </w:pPr>
                  <w:r w:rsidRPr="00612267">
                    <w:rPr>
                      <w:rFonts w:ascii="Wingdings" w:hAnsi="Wingdings"/>
                    </w:rPr>
                    <w:t></w:t>
                  </w:r>
                </w:p>
              </w:tc>
              <w:tc>
                <w:tcPr>
                  <w:tcW w:w="577" w:type="pct"/>
                </w:tcPr>
                <w:p w14:paraId="698339C9" w14:textId="77777777" w:rsidR="00950517" w:rsidRDefault="00950517" w:rsidP="00950517">
                  <w:pPr>
                    <w:pStyle w:val="TableBodyText"/>
                    <w:ind w:right="28"/>
                  </w:pPr>
                </w:p>
              </w:tc>
            </w:tr>
            <w:tr w:rsidR="00950517" w14:paraId="52F84293" w14:textId="77777777" w:rsidTr="003871E8">
              <w:tc>
                <w:tcPr>
                  <w:tcW w:w="2665" w:type="pct"/>
                </w:tcPr>
                <w:p w14:paraId="27CA730D" w14:textId="08B82633" w:rsidR="00950517" w:rsidRDefault="00950517" w:rsidP="00950517">
                  <w:pPr>
                    <w:pStyle w:val="TableBodyText"/>
                    <w:jc w:val="left"/>
                  </w:pPr>
                  <w:r w:rsidRPr="00171AC3">
                    <w:t>Taxable income or loss</w:t>
                  </w:r>
                </w:p>
              </w:tc>
              <w:tc>
                <w:tcPr>
                  <w:tcW w:w="570" w:type="pct"/>
                </w:tcPr>
                <w:p w14:paraId="1CAC71FF" w14:textId="1D8C4162" w:rsidR="00950517" w:rsidRDefault="00950517" w:rsidP="00950517">
                  <w:pPr>
                    <w:pStyle w:val="TableBodyText"/>
                  </w:pPr>
                  <w:r w:rsidRPr="00612267">
                    <w:rPr>
                      <w:rFonts w:ascii="Wingdings" w:hAnsi="Wingdings"/>
                    </w:rPr>
                    <w:t></w:t>
                  </w:r>
                </w:p>
              </w:tc>
              <w:tc>
                <w:tcPr>
                  <w:tcW w:w="611" w:type="pct"/>
                </w:tcPr>
                <w:p w14:paraId="49C16228" w14:textId="77777777" w:rsidR="00950517" w:rsidRDefault="00950517" w:rsidP="00950517">
                  <w:pPr>
                    <w:pStyle w:val="TableBodyText"/>
                  </w:pPr>
                </w:p>
              </w:tc>
              <w:tc>
                <w:tcPr>
                  <w:tcW w:w="577" w:type="pct"/>
                </w:tcPr>
                <w:p w14:paraId="1E9E06ED" w14:textId="080BDA46" w:rsidR="00950517" w:rsidRDefault="00950517" w:rsidP="00950517">
                  <w:pPr>
                    <w:pStyle w:val="TableBodyText"/>
                  </w:pPr>
                </w:p>
              </w:tc>
              <w:tc>
                <w:tcPr>
                  <w:tcW w:w="577" w:type="pct"/>
                </w:tcPr>
                <w:p w14:paraId="2F7C69EC" w14:textId="77777777" w:rsidR="00950517" w:rsidRDefault="00950517" w:rsidP="00950517">
                  <w:pPr>
                    <w:pStyle w:val="TableBodyText"/>
                    <w:ind w:right="28"/>
                  </w:pPr>
                </w:p>
              </w:tc>
            </w:tr>
            <w:tr w:rsidR="00950517" w14:paraId="199085EB" w14:textId="77777777" w:rsidTr="003871E8">
              <w:tc>
                <w:tcPr>
                  <w:tcW w:w="2665" w:type="pct"/>
                </w:tcPr>
                <w:p w14:paraId="3A6C65B4" w14:textId="438308EB" w:rsidR="00950517" w:rsidRDefault="00950517" w:rsidP="00950517">
                  <w:pPr>
                    <w:pStyle w:val="TableBodyText"/>
                    <w:jc w:val="left"/>
                  </w:pPr>
                  <w:r w:rsidRPr="00171AC3">
                    <w:t>Deferred non-commercial business losses from a prior year - NPP</w:t>
                  </w:r>
                </w:p>
              </w:tc>
              <w:tc>
                <w:tcPr>
                  <w:tcW w:w="570" w:type="pct"/>
                </w:tcPr>
                <w:p w14:paraId="6B86832E" w14:textId="14FA05CD" w:rsidR="00950517" w:rsidRDefault="00950517" w:rsidP="00950517">
                  <w:pPr>
                    <w:pStyle w:val="TableBodyText"/>
                  </w:pPr>
                </w:p>
              </w:tc>
              <w:tc>
                <w:tcPr>
                  <w:tcW w:w="611" w:type="pct"/>
                </w:tcPr>
                <w:p w14:paraId="74B8FC69" w14:textId="77777777" w:rsidR="00950517" w:rsidRDefault="00950517" w:rsidP="00950517">
                  <w:pPr>
                    <w:pStyle w:val="TableBodyText"/>
                  </w:pPr>
                </w:p>
              </w:tc>
              <w:tc>
                <w:tcPr>
                  <w:tcW w:w="577" w:type="pct"/>
                </w:tcPr>
                <w:p w14:paraId="22635EEB" w14:textId="2076481B" w:rsidR="00950517" w:rsidRDefault="00950517" w:rsidP="00950517">
                  <w:pPr>
                    <w:pStyle w:val="TableBodyText"/>
                  </w:pPr>
                </w:p>
              </w:tc>
              <w:tc>
                <w:tcPr>
                  <w:tcW w:w="577" w:type="pct"/>
                </w:tcPr>
                <w:p w14:paraId="593D23BA" w14:textId="56BD4890" w:rsidR="00950517" w:rsidRDefault="00950517" w:rsidP="00950517">
                  <w:pPr>
                    <w:pStyle w:val="TableBodyText"/>
                    <w:ind w:right="28"/>
                  </w:pPr>
                  <w:r w:rsidRPr="00612267">
                    <w:rPr>
                      <w:rFonts w:ascii="Wingdings" w:hAnsi="Wingdings"/>
                    </w:rPr>
                    <w:t></w:t>
                  </w:r>
                </w:p>
              </w:tc>
            </w:tr>
            <w:tr w:rsidR="00950517" w14:paraId="69234145" w14:textId="77777777" w:rsidTr="003871E8">
              <w:tc>
                <w:tcPr>
                  <w:tcW w:w="2665" w:type="pct"/>
                </w:tcPr>
                <w:p w14:paraId="51E56050" w14:textId="2357EBB9" w:rsidR="00950517" w:rsidRDefault="00950517" w:rsidP="00950517">
                  <w:pPr>
                    <w:pStyle w:val="TableBodyText"/>
                    <w:jc w:val="left"/>
                  </w:pPr>
                  <w:r w:rsidRPr="00171AC3">
                    <w:t>Deferred non-commercial business losses from a prior year - PP</w:t>
                  </w:r>
                </w:p>
              </w:tc>
              <w:tc>
                <w:tcPr>
                  <w:tcW w:w="570" w:type="pct"/>
                </w:tcPr>
                <w:p w14:paraId="67ACBBC5" w14:textId="7EFAD3C6" w:rsidR="00950517" w:rsidRDefault="00950517" w:rsidP="00950517">
                  <w:pPr>
                    <w:pStyle w:val="TableBodyText"/>
                  </w:pPr>
                </w:p>
              </w:tc>
              <w:tc>
                <w:tcPr>
                  <w:tcW w:w="611" w:type="pct"/>
                </w:tcPr>
                <w:p w14:paraId="68AC652E" w14:textId="77777777" w:rsidR="00950517" w:rsidRDefault="00950517" w:rsidP="00950517">
                  <w:pPr>
                    <w:pStyle w:val="TableBodyText"/>
                  </w:pPr>
                </w:p>
              </w:tc>
              <w:tc>
                <w:tcPr>
                  <w:tcW w:w="577" w:type="pct"/>
                </w:tcPr>
                <w:p w14:paraId="38B29624" w14:textId="77777777" w:rsidR="00950517" w:rsidRDefault="00950517" w:rsidP="00950517">
                  <w:pPr>
                    <w:pStyle w:val="TableBodyText"/>
                  </w:pPr>
                </w:p>
              </w:tc>
              <w:tc>
                <w:tcPr>
                  <w:tcW w:w="577" w:type="pct"/>
                </w:tcPr>
                <w:p w14:paraId="3636A34B" w14:textId="779B3C47" w:rsidR="00950517" w:rsidRDefault="00950517" w:rsidP="00950517">
                  <w:pPr>
                    <w:pStyle w:val="TableBodyText"/>
                    <w:ind w:right="28"/>
                  </w:pPr>
                  <w:r w:rsidRPr="00612267">
                    <w:rPr>
                      <w:rFonts w:ascii="Wingdings" w:hAnsi="Wingdings"/>
                    </w:rPr>
                    <w:t></w:t>
                  </w:r>
                </w:p>
              </w:tc>
            </w:tr>
            <w:tr w:rsidR="00950517" w14:paraId="77C821C5" w14:textId="77777777" w:rsidTr="003871E8">
              <w:tc>
                <w:tcPr>
                  <w:tcW w:w="2665" w:type="pct"/>
                </w:tcPr>
                <w:p w14:paraId="708F97DF" w14:textId="39A883BC" w:rsidR="00950517" w:rsidRDefault="00950517" w:rsidP="00950517">
                  <w:pPr>
                    <w:pStyle w:val="TableBodyText"/>
                    <w:jc w:val="left"/>
                  </w:pPr>
                  <w:r w:rsidRPr="00171AC3">
                    <w:t>Total of items 5 to 14 (previously items 4 to 11) on the Partnerships and Trusts tax returns</w:t>
                  </w:r>
                </w:p>
              </w:tc>
              <w:tc>
                <w:tcPr>
                  <w:tcW w:w="570" w:type="pct"/>
                </w:tcPr>
                <w:p w14:paraId="4FC22DA3" w14:textId="10D29113" w:rsidR="00950517" w:rsidRDefault="00950517" w:rsidP="00950517">
                  <w:pPr>
                    <w:pStyle w:val="TableBodyText"/>
                  </w:pPr>
                </w:p>
              </w:tc>
              <w:tc>
                <w:tcPr>
                  <w:tcW w:w="611" w:type="pct"/>
                </w:tcPr>
                <w:p w14:paraId="675DA825" w14:textId="79144E34" w:rsidR="00950517" w:rsidRDefault="00950517" w:rsidP="00950517">
                  <w:pPr>
                    <w:pStyle w:val="TableBodyText"/>
                  </w:pPr>
                  <w:r w:rsidRPr="00612267">
                    <w:rPr>
                      <w:rFonts w:ascii="Wingdings" w:hAnsi="Wingdings"/>
                    </w:rPr>
                    <w:t></w:t>
                  </w:r>
                </w:p>
              </w:tc>
              <w:tc>
                <w:tcPr>
                  <w:tcW w:w="577" w:type="pct"/>
                </w:tcPr>
                <w:p w14:paraId="0F087CCB" w14:textId="1B092BF6" w:rsidR="00950517" w:rsidRDefault="00950517" w:rsidP="00950517">
                  <w:pPr>
                    <w:pStyle w:val="TableBodyText"/>
                  </w:pPr>
                  <w:r w:rsidRPr="00612267">
                    <w:rPr>
                      <w:rFonts w:ascii="Wingdings" w:hAnsi="Wingdings"/>
                    </w:rPr>
                    <w:t></w:t>
                  </w:r>
                </w:p>
              </w:tc>
              <w:tc>
                <w:tcPr>
                  <w:tcW w:w="577" w:type="pct"/>
                </w:tcPr>
                <w:p w14:paraId="53A83A0F" w14:textId="77777777" w:rsidR="00950517" w:rsidRDefault="00950517" w:rsidP="00950517">
                  <w:pPr>
                    <w:pStyle w:val="TableBodyText"/>
                    <w:ind w:right="28"/>
                  </w:pPr>
                </w:p>
              </w:tc>
            </w:tr>
            <w:tr w:rsidR="00950517" w14:paraId="1BB86787" w14:textId="77777777" w:rsidTr="003871E8">
              <w:tc>
                <w:tcPr>
                  <w:tcW w:w="2665" w:type="pct"/>
                </w:tcPr>
                <w:p w14:paraId="00EAADF2" w14:textId="6C383ADD" w:rsidR="00950517" w:rsidRDefault="00950517" w:rsidP="00950517">
                  <w:pPr>
                    <w:pStyle w:val="TableBodyText"/>
                    <w:jc w:val="left"/>
                  </w:pPr>
                  <w:r w:rsidRPr="00171AC3">
                    <w:t>Australian franking credits from a New Zealand company</w:t>
                  </w:r>
                </w:p>
              </w:tc>
              <w:tc>
                <w:tcPr>
                  <w:tcW w:w="570" w:type="pct"/>
                </w:tcPr>
                <w:p w14:paraId="461FD303" w14:textId="0F32F7E0" w:rsidR="00950517" w:rsidRDefault="00950517" w:rsidP="00950517">
                  <w:pPr>
                    <w:pStyle w:val="TableBodyText"/>
                  </w:pPr>
                  <w:r w:rsidRPr="00612267">
                    <w:rPr>
                      <w:rFonts w:ascii="Wingdings" w:hAnsi="Wingdings"/>
                    </w:rPr>
                    <w:t></w:t>
                  </w:r>
                </w:p>
              </w:tc>
              <w:tc>
                <w:tcPr>
                  <w:tcW w:w="611" w:type="pct"/>
                </w:tcPr>
                <w:p w14:paraId="4DEEF979" w14:textId="77777777" w:rsidR="00950517" w:rsidRDefault="00950517" w:rsidP="00950517">
                  <w:pPr>
                    <w:pStyle w:val="TableBodyText"/>
                  </w:pPr>
                </w:p>
              </w:tc>
              <w:tc>
                <w:tcPr>
                  <w:tcW w:w="577" w:type="pct"/>
                </w:tcPr>
                <w:p w14:paraId="63E58506" w14:textId="77777777" w:rsidR="00950517" w:rsidRDefault="00950517" w:rsidP="00950517">
                  <w:pPr>
                    <w:pStyle w:val="TableBodyText"/>
                  </w:pPr>
                </w:p>
              </w:tc>
              <w:tc>
                <w:tcPr>
                  <w:tcW w:w="577" w:type="pct"/>
                </w:tcPr>
                <w:p w14:paraId="772D30DC" w14:textId="77777777" w:rsidR="00950517" w:rsidRDefault="00950517" w:rsidP="00950517">
                  <w:pPr>
                    <w:pStyle w:val="TableBodyText"/>
                    <w:ind w:right="28"/>
                  </w:pPr>
                </w:p>
              </w:tc>
            </w:tr>
            <w:tr w:rsidR="00950517" w14:paraId="10E10E72" w14:textId="77777777" w:rsidTr="003871E8">
              <w:tc>
                <w:tcPr>
                  <w:tcW w:w="2665" w:type="pct"/>
                </w:tcPr>
                <w:p w14:paraId="3DCF750B" w14:textId="311A03E1" w:rsidR="00950517" w:rsidRDefault="00950517" w:rsidP="00950517">
                  <w:pPr>
                    <w:pStyle w:val="TableBodyText"/>
                    <w:jc w:val="left"/>
                  </w:pPr>
                  <w:r w:rsidRPr="00171AC3">
                    <w:t>Deduction for decline in value of depreciating assets</w:t>
                  </w:r>
                </w:p>
              </w:tc>
              <w:tc>
                <w:tcPr>
                  <w:tcW w:w="570" w:type="pct"/>
                </w:tcPr>
                <w:p w14:paraId="5AC9F0CD" w14:textId="5F4BD492" w:rsidR="00950517" w:rsidRDefault="00950517" w:rsidP="00950517">
                  <w:pPr>
                    <w:pStyle w:val="TableBodyText"/>
                  </w:pPr>
                  <w:r w:rsidRPr="00612267">
                    <w:rPr>
                      <w:rFonts w:ascii="Wingdings" w:hAnsi="Wingdings"/>
                    </w:rPr>
                    <w:t></w:t>
                  </w:r>
                </w:p>
              </w:tc>
              <w:tc>
                <w:tcPr>
                  <w:tcW w:w="611" w:type="pct"/>
                </w:tcPr>
                <w:p w14:paraId="1027BF18" w14:textId="7B26D13B" w:rsidR="00950517" w:rsidRDefault="00950517" w:rsidP="00950517">
                  <w:pPr>
                    <w:pStyle w:val="TableBodyText"/>
                  </w:pPr>
                </w:p>
              </w:tc>
              <w:tc>
                <w:tcPr>
                  <w:tcW w:w="577" w:type="pct"/>
                </w:tcPr>
                <w:p w14:paraId="5FDAAE4B" w14:textId="1B35CFBA" w:rsidR="00950517" w:rsidRDefault="00950517" w:rsidP="00950517">
                  <w:pPr>
                    <w:pStyle w:val="TableBodyText"/>
                  </w:pPr>
                </w:p>
              </w:tc>
              <w:tc>
                <w:tcPr>
                  <w:tcW w:w="577" w:type="pct"/>
                </w:tcPr>
                <w:p w14:paraId="635D6463" w14:textId="7A6EDFD1" w:rsidR="00950517" w:rsidRDefault="00950517" w:rsidP="00950517">
                  <w:pPr>
                    <w:pStyle w:val="TableBodyText"/>
                    <w:ind w:right="28"/>
                  </w:pPr>
                </w:p>
              </w:tc>
            </w:tr>
            <w:tr w:rsidR="00950517" w14:paraId="4F2E652D" w14:textId="77777777" w:rsidTr="003871E8">
              <w:tc>
                <w:tcPr>
                  <w:tcW w:w="2665" w:type="pct"/>
                </w:tcPr>
                <w:p w14:paraId="0C6C5D4D" w14:textId="6C9732D5" w:rsidR="00950517" w:rsidRDefault="00950517" w:rsidP="00950517">
                  <w:pPr>
                    <w:pStyle w:val="TableBodyText"/>
                    <w:jc w:val="left"/>
                  </w:pPr>
                  <w:r w:rsidRPr="00171AC3">
                    <w:t>Deduction for environmental protection expenses</w:t>
                  </w:r>
                </w:p>
              </w:tc>
              <w:tc>
                <w:tcPr>
                  <w:tcW w:w="570" w:type="pct"/>
                </w:tcPr>
                <w:p w14:paraId="3443FA63" w14:textId="7F85FF53" w:rsidR="00950517" w:rsidRDefault="00950517" w:rsidP="00950517">
                  <w:pPr>
                    <w:pStyle w:val="TableBodyText"/>
                  </w:pPr>
                  <w:r w:rsidRPr="00612267">
                    <w:rPr>
                      <w:rFonts w:ascii="Wingdings" w:hAnsi="Wingdings"/>
                    </w:rPr>
                    <w:t></w:t>
                  </w:r>
                </w:p>
              </w:tc>
              <w:tc>
                <w:tcPr>
                  <w:tcW w:w="611" w:type="pct"/>
                </w:tcPr>
                <w:p w14:paraId="2EE97046" w14:textId="77777777" w:rsidR="00950517" w:rsidRDefault="00950517" w:rsidP="00950517">
                  <w:pPr>
                    <w:pStyle w:val="TableBodyText"/>
                  </w:pPr>
                </w:p>
              </w:tc>
              <w:tc>
                <w:tcPr>
                  <w:tcW w:w="577" w:type="pct"/>
                </w:tcPr>
                <w:p w14:paraId="4C84EBC5" w14:textId="77777777" w:rsidR="00950517" w:rsidRDefault="00950517" w:rsidP="00950517">
                  <w:pPr>
                    <w:pStyle w:val="TableBodyText"/>
                  </w:pPr>
                </w:p>
              </w:tc>
              <w:tc>
                <w:tcPr>
                  <w:tcW w:w="577" w:type="pct"/>
                </w:tcPr>
                <w:p w14:paraId="2255C334" w14:textId="52A10D5C" w:rsidR="00950517" w:rsidRDefault="00950517" w:rsidP="00950517">
                  <w:pPr>
                    <w:pStyle w:val="TableBodyText"/>
                    <w:ind w:right="28"/>
                  </w:pPr>
                </w:p>
              </w:tc>
            </w:tr>
            <w:tr w:rsidR="008337B5" w14:paraId="562AE9C0" w14:textId="77777777" w:rsidTr="003871E8">
              <w:tc>
                <w:tcPr>
                  <w:tcW w:w="2665" w:type="pct"/>
                </w:tcPr>
                <w:p w14:paraId="40A61F04" w14:textId="3EA00FAA" w:rsidR="008337B5" w:rsidRDefault="008337B5" w:rsidP="008337B5">
                  <w:pPr>
                    <w:pStyle w:val="TableBodyText"/>
                    <w:jc w:val="left"/>
                  </w:pPr>
                  <w:r w:rsidRPr="00171AC3">
                    <w:t>Exempt income</w:t>
                  </w:r>
                </w:p>
              </w:tc>
              <w:tc>
                <w:tcPr>
                  <w:tcW w:w="570" w:type="pct"/>
                </w:tcPr>
                <w:p w14:paraId="4000B6E4" w14:textId="1D85BBE2" w:rsidR="008337B5" w:rsidRDefault="008337B5" w:rsidP="008337B5">
                  <w:pPr>
                    <w:pStyle w:val="TableBodyText"/>
                  </w:pPr>
                  <w:r w:rsidRPr="00612267">
                    <w:rPr>
                      <w:rFonts w:ascii="Wingdings" w:hAnsi="Wingdings"/>
                    </w:rPr>
                    <w:t></w:t>
                  </w:r>
                </w:p>
              </w:tc>
              <w:tc>
                <w:tcPr>
                  <w:tcW w:w="611" w:type="pct"/>
                </w:tcPr>
                <w:p w14:paraId="76752BE1" w14:textId="77777777" w:rsidR="008337B5" w:rsidRDefault="008337B5" w:rsidP="008337B5">
                  <w:pPr>
                    <w:pStyle w:val="TableBodyText"/>
                  </w:pPr>
                </w:p>
              </w:tc>
              <w:tc>
                <w:tcPr>
                  <w:tcW w:w="577" w:type="pct"/>
                </w:tcPr>
                <w:p w14:paraId="08215BE4" w14:textId="7687BBAC" w:rsidR="008337B5" w:rsidRDefault="008337B5" w:rsidP="008337B5">
                  <w:pPr>
                    <w:pStyle w:val="TableBodyText"/>
                  </w:pPr>
                </w:p>
              </w:tc>
              <w:tc>
                <w:tcPr>
                  <w:tcW w:w="577" w:type="pct"/>
                </w:tcPr>
                <w:p w14:paraId="02CEE4C4" w14:textId="77777777" w:rsidR="008337B5" w:rsidRDefault="008337B5" w:rsidP="008337B5">
                  <w:pPr>
                    <w:pStyle w:val="TableBodyText"/>
                    <w:ind w:right="28"/>
                  </w:pPr>
                </w:p>
              </w:tc>
            </w:tr>
            <w:tr w:rsidR="008337B5" w14:paraId="0D70B076" w14:textId="77777777" w:rsidTr="003871E8">
              <w:tc>
                <w:tcPr>
                  <w:tcW w:w="2665" w:type="pct"/>
                </w:tcPr>
                <w:p w14:paraId="1B0BFBDB" w14:textId="574E49A3" w:rsidR="008337B5" w:rsidRDefault="008337B5" w:rsidP="008337B5">
                  <w:pPr>
                    <w:pStyle w:val="TableBodyText"/>
                    <w:jc w:val="left"/>
                  </w:pPr>
                  <w:r w:rsidRPr="00171AC3">
                    <w:t>Forestry managed investment scheme deductions</w:t>
                  </w:r>
                </w:p>
              </w:tc>
              <w:tc>
                <w:tcPr>
                  <w:tcW w:w="570" w:type="pct"/>
                </w:tcPr>
                <w:p w14:paraId="35C9B9CE" w14:textId="716BD797" w:rsidR="008337B5" w:rsidRDefault="008337B5" w:rsidP="008337B5">
                  <w:pPr>
                    <w:pStyle w:val="TableBodyText"/>
                  </w:pPr>
                  <w:r w:rsidRPr="00612267">
                    <w:rPr>
                      <w:rFonts w:ascii="Wingdings" w:hAnsi="Wingdings"/>
                    </w:rPr>
                    <w:t></w:t>
                  </w:r>
                </w:p>
              </w:tc>
              <w:tc>
                <w:tcPr>
                  <w:tcW w:w="611" w:type="pct"/>
                </w:tcPr>
                <w:p w14:paraId="16E9E4FC" w14:textId="513AB2D7" w:rsidR="008337B5" w:rsidRDefault="008337B5" w:rsidP="008337B5">
                  <w:pPr>
                    <w:pStyle w:val="TableBodyText"/>
                  </w:pPr>
                </w:p>
              </w:tc>
              <w:tc>
                <w:tcPr>
                  <w:tcW w:w="577" w:type="pct"/>
                </w:tcPr>
                <w:p w14:paraId="26026686" w14:textId="53EBCD07" w:rsidR="008337B5" w:rsidRDefault="008337B5" w:rsidP="008337B5">
                  <w:pPr>
                    <w:pStyle w:val="TableBodyText"/>
                  </w:pPr>
                </w:p>
              </w:tc>
              <w:tc>
                <w:tcPr>
                  <w:tcW w:w="577" w:type="pct"/>
                </w:tcPr>
                <w:p w14:paraId="4523E764" w14:textId="25BAB732" w:rsidR="008337B5" w:rsidRDefault="008337B5" w:rsidP="008337B5">
                  <w:pPr>
                    <w:pStyle w:val="TableBodyText"/>
                    <w:ind w:right="28"/>
                  </w:pPr>
                </w:p>
              </w:tc>
            </w:tr>
            <w:tr w:rsidR="008337B5" w14:paraId="006A35FF" w14:textId="77777777" w:rsidTr="003871E8">
              <w:tc>
                <w:tcPr>
                  <w:tcW w:w="2665" w:type="pct"/>
                </w:tcPr>
                <w:p w14:paraId="010C7314" w14:textId="1825671A" w:rsidR="008337B5" w:rsidRDefault="008337B5" w:rsidP="008337B5">
                  <w:pPr>
                    <w:pStyle w:val="TableBodyText"/>
                    <w:jc w:val="left"/>
                  </w:pPr>
                  <w:r w:rsidRPr="00171AC3">
                    <w:t>Franking credits</w:t>
                  </w:r>
                </w:p>
              </w:tc>
              <w:tc>
                <w:tcPr>
                  <w:tcW w:w="570" w:type="pct"/>
                </w:tcPr>
                <w:p w14:paraId="55A788F3" w14:textId="6DF116F3" w:rsidR="008337B5" w:rsidRDefault="008337B5" w:rsidP="008337B5">
                  <w:pPr>
                    <w:pStyle w:val="TableBodyText"/>
                  </w:pPr>
                  <w:r w:rsidRPr="00612267">
                    <w:rPr>
                      <w:rFonts w:ascii="Wingdings" w:hAnsi="Wingdings"/>
                    </w:rPr>
                    <w:t></w:t>
                  </w:r>
                </w:p>
              </w:tc>
              <w:tc>
                <w:tcPr>
                  <w:tcW w:w="611" w:type="pct"/>
                </w:tcPr>
                <w:p w14:paraId="173DC572" w14:textId="77777777" w:rsidR="008337B5" w:rsidRDefault="008337B5" w:rsidP="008337B5">
                  <w:pPr>
                    <w:pStyle w:val="TableBodyText"/>
                  </w:pPr>
                </w:p>
              </w:tc>
              <w:tc>
                <w:tcPr>
                  <w:tcW w:w="577" w:type="pct"/>
                </w:tcPr>
                <w:p w14:paraId="37CC6C53" w14:textId="77777777" w:rsidR="008337B5" w:rsidRDefault="008337B5" w:rsidP="008337B5">
                  <w:pPr>
                    <w:pStyle w:val="TableBodyText"/>
                  </w:pPr>
                </w:p>
              </w:tc>
              <w:tc>
                <w:tcPr>
                  <w:tcW w:w="577" w:type="pct"/>
                </w:tcPr>
                <w:p w14:paraId="386471B0" w14:textId="77777777" w:rsidR="008337B5" w:rsidRDefault="008337B5" w:rsidP="008337B5">
                  <w:pPr>
                    <w:pStyle w:val="TableBodyText"/>
                    <w:ind w:right="28"/>
                  </w:pPr>
                </w:p>
              </w:tc>
            </w:tr>
            <w:tr w:rsidR="008337B5" w14:paraId="442EB286" w14:textId="77777777" w:rsidTr="003871E8">
              <w:tc>
                <w:tcPr>
                  <w:tcW w:w="2665" w:type="pct"/>
                </w:tcPr>
                <w:p w14:paraId="6E52E639" w14:textId="550A658E" w:rsidR="008337B5" w:rsidRDefault="008337B5" w:rsidP="008337B5">
                  <w:pPr>
                    <w:pStyle w:val="TableBodyText"/>
                    <w:jc w:val="left"/>
                  </w:pPr>
                  <w:r w:rsidRPr="00171AC3">
                    <w:t>Immediate deduction for capital expenditure</w:t>
                  </w:r>
                </w:p>
              </w:tc>
              <w:tc>
                <w:tcPr>
                  <w:tcW w:w="570" w:type="pct"/>
                </w:tcPr>
                <w:p w14:paraId="7D570A25" w14:textId="0AE6ED67" w:rsidR="008337B5" w:rsidRDefault="008337B5" w:rsidP="008337B5">
                  <w:pPr>
                    <w:pStyle w:val="TableBodyText"/>
                  </w:pPr>
                  <w:r w:rsidRPr="00612267">
                    <w:rPr>
                      <w:rFonts w:ascii="Wingdings" w:hAnsi="Wingdings"/>
                    </w:rPr>
                    <w:t></w:t>
                  </w:r>
                </w:p>
              </w:tc>
              <w:tc>
                <w:tcPr>
                  <w:tcW w:w="611" w:type="pct"/>
                </w:tcPr>
                <w:p w14:paraId="0F2D2DF2" w14:textId="77777777" w:rsidR="008337B5" w:rsidRDefault="008337B5" w:rsidP="008337B5">
                  <w:pPr>
                    <w:pStyle w:val="TableBodyText"/>
                  </w:pPr>
                </w:p>
              </w:tc>
              <w:tc>
                <w:tcPr>
                  <w:tcW w:w="577" w:type="pct"/>
                </w:tcPr>
                <w:p w14:paraId="5348642C" w14:textId="77777777" w:rsidR="008337B5" w:rsidRDefault="008337B5" w:rsidP="008337B5">
                  <w:pPr>
                    <w:pStyle w:val="TableBodyText"/>
                  </w:pPr>
                </w:p>
              </w:tc>
              <w:tc>
                <w:tcPr>
                  <w:tcW w:w="577" w:type="pct"/>
                </w:tcPr>
                <w:p w14:paraId="1B37BBDC" w14:textId="77777777" w:rsidR="008337B5" w:rsidRDefault="008337B5" w:rsidP="008337B5">
                  <w:pPr>
                    <w:pStyle w:val="TableBodyText"/>
                    <w:ind w:right="28"/>
                  </w:pPr>
                </w:p>
              </w:tc>
            </w:tr>
            <w:tr w:rsidR="008337B5" w14:paraId="7DFB1725" w14:textId="77777777" w:rsidTr="003871E8">
              <w:tc>
                <w:tcPr>
                  <w:tcW w:w="2665" w:type="pct"/>
                </w:tcPr>
                <w:p w14:paraId="3C49814F" w14:textId="582E42B6" w:rsidR="008337B5" w:rsidRDefault="008337B5" w:rsidP="008337B5">
                  <w:pPr>
                    <w:pStyle w:val="TableBodyText"/>
                    <w:jc w:val="left"/>
                  </w:pPr>
                  <w:r w:rsidRPr="00171AC3">
                    <w:t>Net capital gain</w:t>
                  </w:r>
                </w:p>
              </w:tc>
              <w:tc>
                <w:tcPr>
                  <w:tcW w:w="570" w:type="pct"/>
                </w:tcPr>
                <w:p w14:paraId="6AF278DB" w14:textId="01C22619" w:rsidR="008337B5" w:rsidRDefault="008337B5" w:rsidP="008337B5">
                  <w:pPr>
                    <w:pStyle w:val="TableBodyText"/>
                  </w:pPr>
                  <w:r w:rsidRPr="00612267">
                    <w:rPr>
                      <w:rFonts w:ascii="Wingdings" w:hAnsi="Wingdings"/>
                    </w:rPr>
                    <w:t></w:t>
                  </w:r>
                </w:p>
              </w:tc>
              <w:tc>
                <w:tcPr>
                  <w:tcW w:w="611" w:type="pct"/>
                </w:tcPr>
                <w:p w14:paraId="03279E4D" w14:textId="77777777" w:rsidR="008337B5" w:rsidRDefault="008337B5" w:rsidP="008337B5">
                  <w:pPr>
                    <w:pStyle w:val="TableBodyText"/>
                  </w:pPr>
                </w:p>
              </w:tc>
              <w:tc>
                <w:tcPr>
                  <w:tcW w:w="577" w:type="pct"/>
                </w:tcPr>
                <w:p w14:paraId="73135C7F" w14:textId="103C48BA" w:rsidR="008337B5" w:rsidRDefault="008337B5" w:rsidP="008337B5">
                  <w:pPr>
                    <w:pStyle w:val="TableBodyText"/>
                  </w:pPr>
                  <w:r w:rsidRPr="00612267">
                    <w:rPr>
                      <w:rFonts w:ascii="Wingdings" w:hAnsi="Wingdings"/>
                    </w:rPr>
                    <w:t></w:t>
                  </w:r>
                </w:p>
              </w:tc>
              <w:tc>
                <w:tcPr>
                  <w:tcW w:w="577" w:type="pct"/>
                </w:tcPr>
                <w:p w14:paraId="48D0668D" w14:textId="77777777" w:rsidR="008337B5" w:rsidRDefault="008337B5" w:rsidP="008337B5">
                  <w:pPr>
                    <w:pStyle w:val="TableBodyText"/>
                    <w:ind w:right="28"/>
                  </w:pPr>
                </w:p>
              </w:tc>
            </w:tr>
            <w:tr w:rsidR="008337B5" w14:paraId="7D892330" w14:textId="77777777" w:rsidTr="003871E8">
              <w:tc>
                <w:tcPr>
                  <w:tcW w:w="2665" w:type="pct"/>
                </w:tcPr>
                <w:p w14:paraId="5C9FBF7F" w14:textId="73BED186" w:rsidR="008337B5" w:rsidRDefault="008337B5" w:rsidP="008337B5">
                  <w:pPr>
                    <w:pStyle w:val="TableBodyText"/>
                    <w:jc w:val="left"/>
                  </w:pPr>
                  <w:r w:rsidRPr="00171AC3">
                    <w:t>Non-deductible exempt income expenditure</w:t>
                  </w:r>
                </w:p>
              </w:tc>
              <w:tc>
                <w:tcPr>
                  <w:tcW w:w="570" w:type="pct"/>
                </w:tcPr>
                <w:p w14:paraId="77825648" w14:textId="7A78FD3C" w:rsidR="008337B5" w:rsidRDefault="008337B5" w:rsidP="008337B5">
                  <w:pPr>
                    <w:pStyle w:val="TableBodyText"/>
                  </w:pPr>
                  <w:r w:rsidRPr="00612267">
                    <w:rPr>
                      <w:rFonts w:ascii="Wingdings" w:hAnsi="Wingdings"/>
                    </w:rPr>
                    <w:t></w:t>
                  </w:r>
                </w:p>
              </w:tc>
              <w:tc>
                <w:tcPr>
                  <w:tcW w:w="611" w:type="pct"/>
                </w:tcPr>
                <w:p w14:paraId="41A986E5" w14:textId="77777777" w:rsidR="008337B5" w:rsidRDefault="008337B5" w:rsidP="008337B5">
                  <w:pPr>
                    <w:pStyle w:val="TableBodyText"/>
                  </w:pPr>
                </w:p>
              </w:tc>
              <w:tc>
                <w:tcPr>
                  <w:tcW w:w="577" w:type="pct"/>
                </w:tcPr>
                <w:p w14:paraId="5E34FE9E" w14:textId="0B2C684A" w:rsidR="008337B5" w:rsidRDefault="008337B5" w:rsidP="008337B5">
                  <w:pPr>
                    <w:pStyle w:val="TableBodyText"/>
                  </w:pPr>
                </w:p>
              </w:tc>
              <w:tc>
                <w:tcPr>
                  <w:tcW w:w="577" w:type="pct"/>
                </w:tcPr>
                <w:p w14:paraId="3218D3FB" w14:textId="77777777" w:rsidR="008337B5" w:rsidRDefault="008337B5" w:rsidP="008337B5">
                  <w:pPr>
                    <w:pStyle w:val="TableBodyText"/>
                    <w:ind w:right="28"/>
                  </w:pPr>
                </w:p>
              </w:tc>
            </w:tr>
            <w:tr w:rsidR="008337B5" w14:paraId="750339AB" w14:textId="77777777" w:rsidTr="003871E8">
              <w:tc>
                <w:tcPr>
                  <w:tcW w:w="2665" w:type="pct"/>
                </w:tcPr>
                <w:p w14:paraId="08B4C51D" w14:textId="0E97D4DF" w:rsidR="008337B5" w:rsidRDefault="008337B5" w:rsidP="008337B5">
                  <w:pPr>
                    <w:pStyle w:val="TableBodyText"/>
                    <w:jc w:val="left"/>
                  </w:pPr>
                  <w:r w:rsidRPr="00171AC3">
                    <w:t>Non-deductible expenses</w:t>
                  </w:r>
                </w:p>
              </w:tc>
              <w:tc>
                <w:tcPr>
                  <w:tcW w:w="570" w:type="pct"/>
                </w:tcPr>
                <w:p w14:paraId="19FA8D21" w14:textId="71CE1C0A" w:rsidR="008337B5" w:rsidRDefault="008337B5" w:rsidP="008337B5">
                  <w:pPr>
                    <w:pStyle w:val="TableBodyText"/>
                  </w:pPr>
                  <w:r w:rsidRPr="00612267">
                    <w:rPr>
                      <w:rFonts w:ascii="Wingdings" w:hAnsi="Wingdings"/>
                    </w:rPr>
                    <w:t></w:t>
                  </w:r>
                </w:p>
              </w:tc>
              <w:tc>
                <w:tcPr>
                  <w:tcW w:w="611" w:type="pct"/>
                </w:tcPr>
                <w:p w14:paraId="1907185B" w14:textId="77777777" w:rsidR="008337B5" w:rsidRDefault="008337B5" w:rsidP="008337B5">
                  <w:pPr>
                    <w:pStyle w:val="TableBodyText"/>
                  </w:pPr>
                </w:p>
              </w:tc>
              <w:tc>
                <w:tcPr>
                  <w:tcW w:w="577" w:type="pct"/>
                </w:tcPr>
                <w:p w14:paraId="3C04E92E" w14:textId="120D0860" w:rsidR="008337B5" w:rsidRDefault="008337B5" w:rsidP="008337B5">
                  <w:pPr>
                    <w:pStyle w:val="TableBodyText"/>
                  </w:pPr>
                </w:p>
              </w:tc>
              <w:tc>
                <w:tcPr>
                  <w:tcW w:w="577" w:type="pct"/>
                </w:tcPr>
                <w:p w14:paraId="23725A69" w14:textId="77777777" w:rsidR="008337B5" w:rsidRDefault="008337B5" w:rsidP="008337B5">
                  <w:pPr>
                    <w:pStyle w:val="TableBodyText"/>
                    <w:ind w:right="28"/>
                  </w:pPr>
                </w:p>
              </w:tc>
            </w:tr>
            <w:tr w:rsidR="008337B5" w14:paraId="285439BC" w14:textId="77777777" w:rsidTr="003871E8">
              <w:tc>
                <w:tcPr>
                  <w:tcW w:w="2665" w:type="pct"/>
                </w:tcPr>
                <w:p w14:paraId="49D6F3DE" w14:textId="0B16B235" w:rsidR="008337B5" w:rsidRDefault="008337B5" w:rsidP="008337B5">
                  <w:pPr>
                    <w:pStyle w:val="TableBodyText"/>
                    <w:jc w:val="left"/>
                  </w:pPr>
                  <w:r w:rsidRPr="00171AC3">
                    <w:t>Offshore banking unit adjustment</w:t>
                  </w:r>
                </w:p>
              </w:tc>
              <w:tc>
                <w:tcPr>
                  <w:tcW w:w="570" w:type="pct"/>
                </w:tcPr>
                <w:p w14:paraId="565657B3" w14:textId="00BF576D" w:rsidR="008337B5" w:rsidRDefault="008337B5" w:rsidP="008337B5">
                  <w:pPr>
                    <w:pStyle w:val="TableBodyText"/>
                  </w:pPr>
                  <w:r w:rsidRPr="00612267">
                    <w:rPr>
                      <w:rFonts w:ascii="Wingdings" w:hAnsi="Wingdings"/>
                    </w:rPr>
                    <w:t></w:t>
                  </w:r>
                </w:p>
              </w:tc>
              <w:tc>
                <w:tcPr>
                  <w:tcW w:w="611" w:type="pct"/>
                </w:tcPr>
                <w:p w14:paraId="43A41937" w14:textId="77777777" w:rsidR="008337B5" w:rsidRDefault="008337B5" w:rsidP="008337B5">
                  <w:pPr>
                    <w:pStyle w:val="TableBodyText"/>
                  </w:pPr>
                </w:p>
              </w:tc>
              <w:tc>
                <w:tcPr>
                  <w:tcW w:w="577" w:type="pct"/>
                </w:tcPr>
                <w:p w14:paraId="496F55E1" w14:textId="1EA539B8" w:rsidR="008337B5" w:rsidRDefault="008337B5" w:rsidP="008337B5">
                  <w:pPr>
                    <w:pStyle w:val="TableBodyText"/>
                  </w:pPr>
                </w:p>
              </w:tc>
              <w:tc>
                <w:tcPr>
                  <w:tcW w:w="577" w:type="pct"/>
                </w:tcPr>
                <w:p w14:paraId="4F3E6923" w14:textId="77777777" w:rsidR="008337B5" w:rsidRDefault="008337B5" w:rsidP="008337B5">
                  <w:pPr>
                    <w:pStyle w:val="TableBodyText"/>
                    <w:ind w:right="28"/>
                  </w:pPr>
                </w:p>
              </w:tc>
            </w:tr>
            <w:tr w:rsidR="008337B5" w14:paraId="4252280B" w14:textId="77777777" w:rsidTr="003871E8">
              <w:tc>
                <w:tcPr>
                  <w:tcW w:w="2665" w:type="pct"/>
                </w:tcPr>
                <w:p w14:paraId="604DBA3C" w14:textId="47899E9A" w:rsidR="008337B5" w:rsidRDefault="008337B5" w:rsidP="008337B5">
                  <w:pPr>
                    <w:pStyle w:val="TableBodyText"/>
                    <w:jc w:val="left"/>
                  </w:pPr>
                  <w:r w:rsidRPr="00171AC3">
                    <w:t>Other assessable income</w:t>
                  </w:r>
                </w:p>
              </w:tc>
              <w:tc>
                <w:tcPr>
                  <w:tcW w:w="570" w:type="pct"/>
                </w:tcPr>
                <w:p w14:paraId="20EE7CE5" w14:textId="05966805" w:rsidR="008337B5" w:rsidRDefault="008337B5" w:rsidP="008337B5">
                  <w:pPr>
                    <w:pStyle w:val="TableBodyText"/>
                  </w:pPr>
                  <w:r w:rsidRPr="00612267">
                    <w:rPr>
                      <w:rFonts w:ascii="Wingdings" w:hAnsi="Wingdings"/>
                    </w:rPr>
                    <w:t></w:t>
                  </w:r>
                </w:p>
              </w:tc>
              <w:tc>
                <w:tcPr>
                  <w:tcW w:w="611" w:type="pct"/>
                </w:tcPr>
                <w:p w14:paraId="6B4226F2" w14:textId="77777777" w:rsidR="008337B5" w:rsidRDefault="008337B5" w:rsidP="008337B5">
                  <w:pPr>
                    <w:pStyle w:val="TableBodyText"/>
                  </w:pPr>
                </w:p>
              </w:tc>
              <w:tc>
                <w:tcPr>
                  <w:tcW w:w="577" w:type="pct"/>
                </w:tcPr>
                <w:p w14:paraId="783A22A6" w14:textId="6540351B" w:rsidR="008337B5" w:rsidRDefault="008337B5" w:rsidP="008337B5">
                  <w:pPr>
                    <w:pStyle w:val="TableBodyText"/>
                  </w:pPr>
                </w:p>
              </w:tc>
              <w:tc>
                <w:tcPr>
                  <w:tcW w:w="577" w:type="pct"/>
                </w:tcPr>
                <w:p w14:paraId="695022C1" w14:textId="77777777" w:rsidR="008337B5" w:rsidRDefault="008337B5" w:rsidP="008337B5">
                  <w:pPr>
                    <w:pStyle w:val="TableBodyText"/>
                    <w:ind w:right="28"/>
                  </w:pPr>
                </w:p>
              </w:tc>
            </w:tr>
            <w:tr w:rsidR="008337B5" w14:paraId="2EAA3006" w14:textId="77777777" w:rsidTr="00E3630A">
              <w:tc>
                <w:tcPr>
                  <w:tcW w:w="2665" w:type="pct"/>
                </w:tcPr>
                <w:p w14:paraId="72901DEC" w14:textId="7621403C" w:rsidR="008337B5" w:rsidRDefault="008337B5" w:rsidP="008337B5">
                  <w:pPr>
                    <w:pStyle w:val="TableBodyText"/>
                    <w:jc w:val="left"/>
                  </w:pPr>
                  <w:r w:rsidRPr="00171AC3">
                    <w:t>Other deductible expenses</w:t>
                  </w:r>
                </w:p>
              </w:tc>
              <w:tc>
                <w:tcPr>
                  <w:tcW w:w="570" w:type="pct"/>
                </w:tcPr>
                <w:p w14:paraId="1DD8E045" w14:textId="74AA3561" w:rsidR="008337B5" w:rsidRDefault="008337B5" w:rsidP="008337B5">
                  <w:pPr>
                    <w:pStyle w:val="TableBodyText"/>
                  </w:pPr>
                  <w:r w:rsidRPr="00612267">
                    <w:rPr>
                      <w:rFonts w:ascii="Wingdings" w:hAnsi="Wingdings"/>
                    </w:rPr>
                    <w:t></w:t>
                  </w:r>
                </w:p>
              </w:tc>
              <w:tc>
                <w:tcPr>
                  <w:tcW w:w="611" w:type="pct"/>
                </w:tcPr>
                <w:p w14:paraId="7DB2D77A" w14:textId="77777777" w:rsidR="008337B5" w:rsidRDefault="008337B5" w:rsidP="008337B5">
                  <w:pPr>
                    <w:pStyle w:val="TableBodyText"/>
                  </w:pPr>
                </w:p>
              </w:tc>
              <w:tc>
                <w:tcPr>
                  <w:tcW w:w="577" w:type="pct"/>
                </w:tcPr>
                <w:p w14:paraId="24208285" w14:textId="4CB2AD65" w:rsidR="008337B5" w:rsidRDefault="008337B5" w:rsidP="008337B5">
                  <w:pPr>
                    <w:pStyle w:val="TableBodyText"/>
                  </w:pPr>
                </w:p>
              </w:tc>
              <w:tc>
                <w:tcPr>
                  <w:tcW w:w="577" w:type="pct"/>
                </w:tcPr>
                <w:p w14:paraId="0E3BFEC9" w14:textId="77777777" w:rsidR="008337B5" w:rsidRDefault="008337B5" w:rsidP="008337B5">
                  <w:pPr>
                    <w:pStyle w:val="TableBodyText"/>
                    <w:ind w:right="28"/>
                  </w:pPr>
                </w:p>
              </w:tc>
            </w:tr>
            <w:tr w:rsidR="0032227F" w14:paraId="0A6C7D9F" w14:textId="77777777" w:rsidTr="00E3630A">
              <w:tc>
                <w:tcPr>
                  <w:tcW w:w="2665" w:type="pct"/>
                </w:tcPr>
                <w:p w14:paraId="4DFA75B3" w14:textId="6D208EB9" w:rsidR="0032227F" w:rsidRPr="00171AC3" w:rsidRDefault="0032227F" w:rsidP="0032227F">
                  <w:pPr>
                    <w:pStyle w:val="TableBodyText"/>
                    <w:jc w:val="left"/>
                  </w:pPr>
                  <w:r w:rsidRPr="00171AC3">
                    <w:t>Other income not included in assessable income</w:t>
                  </w:r>
                </w:p>
              </w:tc>
              <w:tc>
                <w:tcPr>
                  <w:tcW w:w="570" w:type="pct"/>
                </w:tcPr>
                <w:p w14:paraId="1C824180" w14:textId="15104B71" w:rsidR="0032227F" w:rsidRPr="00612267" w:rsidRDefault="0032227F" w:rsidP="0032227F">
                  <w:pPr>
                    <w:pStyle w:val="TableBodyText"/>
                    <w:rPr>
                      <w:rFonts w:ascii="Wingdings" w:hAnsi="Wingdings"/>
                    </w:rPr>
                  </w:pPr>
                  <w:r w:rsidRPr="00612267">
                    <w:rPr>
                      <w:rFonts w:ascii="Wingdings" w:hAnsi="Wingdings"/>
                    </w:rPr>
                    <w:t></w:t>
                  </w:r>
                </w:p>
              </w:tc>
              <w:tc>
                <w:tcPr>
                  <w:tcW w:w="611" w:type="pct"/>
                </w:tcPr>
                <w:p w14:paraId="4C178D70" w14:textId="77777777" w:rsidR="0032227F" w:rsidRDefault="0032227F" w:rsidP="0032227F">
                  <w:pPr>
                    <w:pStyle w:val="TableBodyText"/>
                  </w:pPr>
                </w:p>
              </w:tc>
              <w:tc>
                <w:tcPr>
                  <w:tcW w:w="577" w:type="pct"/>
                </w:tcPr>
                <w:p w14:paraId="3E99D588" w14:textId="77777777" w:rsidR="0032227F" w:rsidRDefault="0032227F" w:rsidP="0032227F">
                  <w:pPr>
                    <w:pStyle w:val="TableBodyText"/>
                  </w:pPr>
                </w:p>
              </w:tc>
              <w:tc>
                <w:tcPr>
                  <w:tcW w:w="577" w:type="pct"/>
                </w:tcPr>
                <w:p w14:paraId="2EA1A610" w14:textId="77777777" w:rsidR="0032227F" w:rsidRDefault="0032227F" w:rsidP="0032227F">
                  <w:pPr>
                    <w:pStyle w:val="TableBodyText"/>
                    <w:ind w:right="28"/>
                  </w:pPr>
                </w:p>
              </w:tc>
            </w:tr>
            <w:tr w:rsidR="0032227F" w14:paraId="21F3E021" w14:textId="77777777" w:rsidTr="00E3630A">
              <w:tc>
                <w:tcPr>
                  <w:tcW w:w="2665" w:type="pct"/>
                </w:tcPr>
                <w:p w14:paraId="1D81A6BF" w14:textId="2D2AE7D2" w:rsidR="0032227F" w:rsidRPr="00171AC3" w:rsidRDefault="0032227F" w:rsidP="0032227F">
                  <w:pPr>
                    <w:pStyle w:val="TableBodyText"/>
                    <w:jc w:val="left"/>
                  </w:pPr>
                  <w:r w:rsidRPr="00171AC3">
                    <w:t>Section 46FA deductions for flow-on dividends</w:t>
                  </w:r>
                </w:p>
              </w:tc>
              <w:tc>
                <w:tcPr>
                  <w:tcW w:w="570" w:type="pct"/>
                </w:tcPr>
                <w:p w14:paraId="11E6AEE1" w14:textId="620C3EDA" w:rsidR="0032227F" w:rsidRPr="00612267" w:rsidRDefault="0032227F" w:rsidP="0032227F">
                  <w:pPr>
                    <w:pStyle w:val="TableBodyText"/>
                    <w:rPr>
                      <w:rFonts w:ascii="Wingdings" w:hAnsi="Wingdings"/>
                    </w:rPr>
                  </w:pPr>
                  <w:r w:rsidRPr="00612267">
                    <w:rPr>
                      <w:rFonts w:ascii="Wingdings" w:hAnsi="Wingdings"/>
                    </w:rPr>
                    <w:t></w:t>
                  </w:r>
                </w:p>
              </w:tc>
              <w:tc>
                <w:tcPr>
                  <w:tcW w:w="611" w:type="pct"/>
                </w:tcPr>
                <w:p w14:paraId="59CF97C6" w14:textId="77777777" w:rsidR="0032227F" w:rsidRDefault="0032227F" w:rsidP="0032227F">
                  <w:pPr>
                    <w:pStyle w:val="TableBodyText"/>
                  </w:pPr>
                </w:p>
              </w:tc>
              <w:tc>
                <w:tcPr>
                  <w:tcW w:w="577" w:type="pct"/>
                </w:tcPr>
                <w:p w14:paraId="0BFE5CF3" w14:textId="77777777" w:rsidR="0032227F" w:rsidRDefault="0032227F" w:rsidP="0032227F">
                  <w:pPr>
                    <w:pStyle w:val="TableBodyText"/>
                  </w:pPr>
                </w:p>
              </w:tc>
              <w:tc>
                <w:tcPr>
                  <w:tcW w:w="577" w:type="pct"/>
                </w:tcPr>
                <w:p w14:paraId="38409DD6" w14:textId="77777777" w:rsidR="0032227F" w:rsidRDefault="0032227F" w:rsidP="0032227F">
                  <w:pPr>
                    <w:pStyle w:val="TableBodyText"/>
                    <w:ind w:right="28"/>
                  </w:pPr>
                </w:p>
              </w:tc>
            </w:tr>
            <w:tr w:rsidR="0032227F" w14:paraId="28ECF446" w14:textId="77777777" w:rsidTr="00E3630A">
              <w:tc>
                <w:tcPr>
                  <w:tcW w:w="2665" w:type="pct"/>
                </w:tcPr>
                <w:p w14:paraId="3FA710A1" w14:textId="0AD409B0" w:rsidR="0032227F" w:rsidRPr="00171AC3" w:rsidRDefault="0032227F" w:rsidP="0032227F">
                  <w:pPr>
                    <w:pStyle w:val="TableBodyText"/>
                    <w:jc w:val="left"/>
                  </w:pPr>
                  <w:r w:rsidRPr="00171AC3">
                    <w:t>TOFA deductions from financial arrangements not included in item 6</w:t>
                  </w:r>
                </w:p>
              </w:tc>
              <w:tc>
                <w:tcPr>
                  <w:tcW w:w="570" w:type="pct"/>
                </w:tcPr>
                <w:p w14:paraId="0735D0A0" w14:textId="03846C46" w:rsidR="0032227F" w:rsidRPr="00612267" w:rsidRDefault="0032227F" w:rsidP="0032227F">
                  <w:pPr>
                    <w:pStyle w:val="TableBodyText"/>
                    <w:rPr>
                      <w:rFonts w:ascii="Wingdings" w:hAnsi="Wingdings"/>
                    </w:rPr>
                  </w:pPr>
                  <w:r w:rsidRPr="00612267">
                    <w:rPr>
                      <w:rFonts w:ascii="Wingdings" w:hAnsi="Wingdings"/>
                    </w:rPr>
                    <w:t></w:t>
                  </w:r>
                </w:p>
              </w:tc>
              <w:tc>
                <w:tcPr>
                  <w:tcW w:w="611" w:type="pct"/>
                </w:tcPr>
                <w:p w14:paraId="36913F53" w14:textId="77777777" w:rsidR="0032227F" w:rsidRDefault="0032227F" w:rsidP="0032227F">
                  <w:pPr>
                    <w:pStyle w:val="TableBodyText"/>
                  </w:pPr>
                </w:p>
              </w:tc>
              <w:tc>
                <w:tcPr>
                  <w:tcW w:w="577" w:type="pct"/>
                </w:tcPr>
                <w:p w14:paraId="7D372BA4" w14:textId="77777777" w:rsidR="0032227F" w:rsidRDefault="0032227F" w:rsidP="0032227F">
                  <w:pPr>
                    <w:pStyle w:val="TableBodyText"/>
                  </w:pPr>
                </w:p>
              </w:tc>
              <w:tc>
                <w:tcPr>
                  <w:tcW w:w="577" w:type="pct"/>
                </w:tcPr>
                <w:p w14:paraId="48922046" w14:textId="77777777" w:rsidR="0032227F" w:rsidRDefault="0032227F" w:rsidP="0032227F">
                  <w:pPr>
                    <w:pStyle w:val="TableBodyText"/>
                    <w:ind w:right="28"/>
                  </w:pPr>
                </w:p>
              </w:tc>
            </w:tr>
            <w:tr w:rsidR="00D328BD" w14:paraId="18572A77" w14:textId="77777777" w:rsidTr="00E3630A">
              <w:tc>
                <w:tcPr>
                  <w:tcW w:w="2665" w:type="pct"/>
                </w:tcPr>
                <w:p w14:paraId="5A865EDE" w14:textId="2092148B" w:rsidR="00D328BD" w:rsidRPr="00171AC3" w:rsidRDefault="00D328BD" w:rsidP="00D328BD">
                  <w:pPr>
                    <w:pStyle w:val="TableBodyText"/>
                    <w:jc w:val="left"/>
                  </w:pPr>
                  <w:r w:rsidRPr="00171AC3">
                    <w:t>TOFA income from financial arrangements not included in item 6</w:t>
                  </w:r>
                </w:p>
              </w:tc>
              <w:tc>
                <w:tcPr>
                  <w:tcW w:w="570" w:type="pct"/>
                </w:tcPr>
                <w:p w14:paraId="6FF24203" w14:textId="4C01B189" w:rsidR="00D328BD" w:rsidRPr="00612267" w:rsidRDefault="00D328BD" w:rsidP="00D328BD">
                  <w:pPr>
                    <w:pStyle w:val="TableBodyText"/>
                    <w:rPr>
                      <w:rFonts w:ascii="Wingdings" w:hAnsi="Wingdings"/>
                    </w:rPr>
                  </w:pPr>
                  <w:r w:rsidRPr="00612267">
                    <w:rPr>
                      <w:rFonts w:ascii="Wingdings" w:hAnsi="Wingdings"/>
                    </w:rPr>
                    <w:t></w:t>
                  </w:r>
                </w:p>
              </w:tc>
              <w:tc>
                <w:tcPr>
                  <w:tcW w:w="611" w:type="pct"/>
                </w:tcPr>
                <w:p w14:paraId="3BDB655A" w14:textId="77777777" w:rsidR="00D328BD" w:rsidRDefault="00D328BD" w:rsidP="00D328BD">
                  <w:pPr>
                    <w:pStyle w:val="TableBodyText"/>
                  </w:pPr>
                </w:p>
              </w:tc>
              <w:tc>
                <w:tcPr>
                  <w:tcW w:w="577" w:type="pct"/>
                </w:tcPr>
                <w:p w14:paraId="6ACBF5B3" w14:textId="77777777" w:rsidR="00D328BD" w:rsidRDefault="00D328BD" w:rsidP="00D328BD">
                  <w:pPr>
                    <w:pStyle w:val="TableBodyText"/>
                  </w:pPr>
                </w:p>
              </w:tc>
              <w:tc>
                <w:tcPr>
                  <w:tcW w:w="577" w:type="pct"/>
                </w:tcPr>
                <w:p w14:paraId="2D9DC339" w14:textId="77777777" w:rsidR="00D328BD" w:rsidRDefault="00D328BD" w:rsidP="00D328BD">
                  <w:pPr>
                    <w:pStyle w:val="TableBodyText"/>
                    <w:ind w:right="28"/>
                  </w:pPr>
                </w:p>
              </w:tc>
            </w:tr>
          </w:tbl>
          <w:p w14:paraId="52012933" w14:textId="77777777" w:rsidR="00DB79BC" w:rsidRDefault="00DB79BC" w:rsidP="00E3630A">
            <w:pPr>
              <w:pStyle w:val="Box"/>
            </w:pPr>
          </w:p>
        </w:tc>
      </w:tr>
      <w:tr w:rsidR="00DB79BC" w14:paraId="53C54D26" w14:textId="77777777" w:rsidTr="00E3630A">
        <w:tc>
          <w:tcPr>
            <w:tcW w:w="5000" w:type="pct"/>
            <w:tcBorders>
              <w:top w:val="nil"/>
              <w:left w:val="nil"/>
              <w:bottom w:val="nil"/>
              <w:right w:val="nil"/>
            </w:tcBorders>
            <w:shd w:val="clear" w:color="auto" w:fill="auto"/>
          </w:tcPr>
          <w:p w14:paraId="2D91F734" w14:textId="0101DA1E" w:rsidR="00DB79BC" w:rsidRDefault="00D328BD" w:rsidP="00D328BD">
            <w:pPr>
              <w:pStyle w:val="Continued"/>
            </w:pPr>
            <w:r>
              <w:t>(continued)</w:t>
            </w:r>
          </w:p>
        </w:tc>
      </w:tr>
      <w:tr w:rsidR="00DB79BC" w14:paraId="163AA91D" w14:textId="77777777" w:rsidTr="00E3630A">
        <w:tc>
          <w:tcPr>
            <w:tcW w:w="5000" w:type="pct"/>
            <w:tcBorders>
              <w:top w:val="nil"/>
              <w:left w:val="nil"/>
              <w:bottom w:val="single" w:sz="6" w:space="0" w:color="78A22F"/>
              <w:right w:val="nil"/>
            </w:tcBorders>
            <w:shd w:val="clear" w:color="auto" w:fill="auto"/>
          </w:tcPr>
          <w:p w14:paraId="532D91AE" w14:textId="77777777" w:rsidR="00DB79BC" w:rsidRDefault="00DB79BC" w:rsidP="00E3630A">
            <w:pPr>
              <w:pStyle w:val="Box"/>
              <w:spacing w:before="0" w:line="120" w:lineRule="exact"/>
            </w:pPr>
          </w:p>
        </w:tc>
      </w:tr>
      <w:tr w:rsidR="00DB79BC" w:rsidRPr="000863A5" w14:paraId="538F3E1A" w14:textId="77777777" w:rsidTr="00E3630A">
        <w:tc>
          <w:tcPr>
            <w:tcW w:w="5000" w:type="pct"/>
            <w:tcBorders>
              <w:top w:val="single" w:sz="6" w:space="0" w:color="78A22F"/>
              <w:left w:val="nil"/>
              <w:bottom w:val="nil"/>
              <w:right w:val="nil"/>
            </w:tcBorders>
          </w:tcPr>
          <w:p w14:paraId="63767C66" w14:textId="2233FE28" w:rsidR="00DB79BC" w:rsidRPr="00626D32" w:rsidRDefault="00DB79BC" w:rsidP="00E3630A">
            <w:pPr>
              <w:pStyle w:val="BoxSpaceBelow"/>
            </w:pPr>
          </w:p>
        </w:tc>
      </w:tr>
    </w:tbl>
    <w:p w14:paraId="2196559A" w14:textId="3FAA0D5D" w:rsidR="00D328BD" w:rsidRDefault="00D328BD" w:rsidP="00E3630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328BD" w14:paraId="3D98CCA8" w14:textId="77777777" w:rsidTr="00E3630A">
        <w:trPr>
          <w:tblHeader/>
        </w:trPr>
        <w:tc>
          <w:tcPr>
            <w:tcW w:w="5000" w:type="pct"/>
            <w:tcBorders>
              <w:top w:val="single" w:sz="6" w:space="0" w:color="78A22F"/>
              <w:left w:val="nil"/>
              <w:bottom w:val="nil"/>
              <w:right w:val="nil"/>
            </w:tcBorders>
            <w:shd w:val="clear" w:color="auto" w:fill="auto"/>
          </w:tcPr>
          <w:p w14:paraId="1F5EA7C0" w14:textId="3642C7A8" w:rsidR="00D328BD" w:rsidRDefault="00D328BD" w:rsidP="00E3630A">
            <w:pPr>
              <w:pStyle w:val="TableTitle"/>
            </w:pPr>
            <w:r>
              <w:rPr>
                <w:b w:val="0"/>
              </w:rPr>
              <w:t>Table B.1</w:t>
            </w:r>
            <w:r>
              <w:tab/>
            </w:r>
            <w:r w:rsidRPr="00DB79BC">
              <w:rPr>
                <w:b w:val="0"/>
                <w:bCs/>
                <w:sz w:val="18"/>
                <w:szCs w:val="18"/>
              </w:rPr>
              <w:t>(continued)</w:t>
            </w:r>
          </w:p>
          <w:p w14:paraId="0D562A13" w14:textId="35823F73" w:rsidR="00D328BD" w:rsidRPr="00784A05" w:rsidRDefault="00D328BD" w:rsidP="00E3630A">
            <w:pPr>
              <w:pStyle w:val="Subtitle"/>
            </w:pPr>
            <w:r w:rsidRPr="00D328BD">
              <w:t>Variables included by type of business entity</w:t>
            </w:r>
          </w:p>
        </w:tc>
      </w:tr>
      <w:tr w:rsidR="00D328BD" w14:paraId="5508B370" w14:textId="77777777" w:rsidTr="00E3630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534"/>
              <w:gridCol w:w="970"/>
              <w:gridCol w:w="1040"/>
              <w:gridCol w:w="980"/>
              <w:gridCol w:w="981"/>
            </w:tblGrid>
            <w:tr w:rsidR="00D328BD" w14:paraId="01231DD5" w14:textId="77777777" w:rsidTr="00D328BD">
              <w:trPr>
                <w:tblHeader/>
              </w:trPr>
              <w:tc>
                <w:tcPr>
                  <w:tcW w:w="2665" w:type="pct"/>
                  <w:tcBorders>
                    <w:top w:val="single" w:sz="6" w:space="0" w:color="BFBFBF"/>
                    <w:bottom w:val="single" w:sz="6" w:space="0" w:color="BFBFBF"/>
                  </w:tcBorders>
                  <w:shd w:val="clear" w:color="auto" w:fill="auto"/>
                  <w:tcMar>
                    <w:top w:w="28" w:type="dxa"/>
                  </w:tcMar>
                </w:tcPr>
                <w:p w14:paraId="29F013E3" w14:textId="77777777" w:rsidR="00D328BD" w:rsidRDefault="00D328BD" w:rsidP="00D328BD">
                  <w:pPr>
                    <w:pStyle w:val="TableColumnHeading"/>
                    <w:jc w:val="left"/>
                  </w:pPr>
                </w:p>
              </w:tc>
              <w:tc>
                <w:tcPr>
                  <w:tcW w:w="570" w:type="pct"/>
                  <w:tcBorders>
                    <w:top w:val="single" w:sz="6" w:space="0" w:color="BFBFBF"/>
                    <w:bottom w:val="single" w:sz="6" w:space="0" w:color="BFBFBF"/>
                  </w:tcBorders>
                </w:tcPr>
                <w:p w14:paraId="7A37B08C" w14:textId="6B7DF9F1" w:rsidR="00D328BD" w:rsidRDefault="00D328BD" w:rsidP="00D328BD">
                  <w:pPr>
                    <w:pStyle w:val="TableColumnHeading"/>
                  </w:pPr>
                  <w:r w:rsidRPr="00AC5269">
                    <w:t>Company form</w:t>
                  </w:r>
                </w:p>
              </w:tc>
              <w:tc>
                <w:tcPr>
                  <w:tcW w:w="611" w:type="pct"/>
                  <w:tcBorders>
                    <w:top w:val="single" w:sz="6" w:space="0" w:color="BFBFBF"/>
                    <w:bottom w:val="single" w:sz="6" w:space="0" w:color="BFBFBF"/>
                  </w:tcBorders>
                </w:tcPr>
                <w:p w14:paraId="7A8223DE" w14:textId="5AEA77DA" w:rsidR="00D328BD" w:rsidRDefault="00D328BD" w:rsidP="00D328BD">
                  <w:pPr>
                    <w:pStyle w:val="TableColumnHeading"/>
                  </w:pPr>
                  <w:r w:rsidRPr="00AC5269">
                    <w:t>Partnership form</w:t>
                  </w:r>
                </w:p>
              </w:tc>
              <w:tc>
                <w:tcPr>
                  <w:tcW w:w="576" w:type="pct"/>
                  <w:tcBorders>
                    <w:top w:val="single" w:sz="6" w:space="0" w:color="BFBFBF"/>
                    <w:bottom w:val="single" w:sz="6" w:space="0" w:color="BFBFBF"/>
                  </w:tcBorders>
                  <w:shd w:val="clear" w:color="auto" w:fill="auto"/>
                  <w:tcMar>
                    <w:top w:w="28" w:type="dxa"/>
                  </w:tcMar>
                </w:tcPr>
                <w:p w14:paraId="457CD6D5" w14:textId="7004D636" w:rsidR="00D328BD" w:rsidRDefault="00D328BD" w:rsidP="00D328BD">
                  <w:pPr>
                    <w:pStyle w:val="TableColumnHeading"/>
                  </w:pPr>
                  <w:r w:rsidRPr="00AC5269">
                    <w:t>Trust form</w:t>
                  </w:r>
                </w:p>
              </w:tc>
              <w:tc>
                <w:tcPr>
                  <w:tcW w:w="577" w:type="pct"/>
                  <w:tcBorders>
                    <w:top w:val="single" w:sz="6" w:space="0" w:color="BFBFBF"/>
                    <w:bottom w:val="single" w:sz="6" w:space="0" w:color="BFBFBF"/>
                  </w:tcBorders>
                  <w:shd w:val="clear" w:color="auto" w:fill="auto"/>
                  <w:tcMar>
                    <w:top w:w="28" w:type="dxa"/>
                  </w:tcMar>
                </w:tcPr>
                <w:p w14:paraId="614A797A" w14:textId="049AC4AA" w:rsidR="00D328BD" w:rsidRDefault="00D328BD" w:rsidP="00D328BD">
                  <w:pPr>
                    <w:pStyle w:val="TableColumnHeading"/>
                    <w:ind w:right="28"/>
                  </w:pPr>
                  <w:r w:rsidRPr="00AC5269">
                    <w:t>Individual form</w:t>
                  </w:r>
                </w:p>
              </w:tc>
            </w:tr>
            <w:tr w:rsidR="00D328BD" w14:paraId="6A5B0DFB" w14:textId="77777777" w:rsidTr="00D328BD">
              <w:tc>
                <w:tcPr>
                  <w:tcW w:w="2665" w:type="pct"/>
                  <w:tcBorders>
                    <w:top w:val="single" w:sz="6" w:space="0" w:color="BFBFBF"/>
                  </w:tcBorders>
                </w:tcPr>
                <w:p w14:paraId="3B3C260F" w14:textId="4082F3FD" w:rsidR="00D328BD" w:rsidRDefault="009E0A41" w:rsidP="00E3630A">
                  <w:pPr>
                    <w:pStyle w:val="TableUnitsRow"/>
                    <w:jc w:val="left"/>
                  </w:pPr>
                  <w:r w:rsidRPr="00CF2678">
                    <w:rPr>
                      <w:b/>
                      <w:bCs/>
                    </w:rPr>
                    <w:t>Taxable/net income or loss</w:t>
                  </w:r>
                </w:p>
              </w:tc>
              <w:tc>
                <w:tcPr>
                  <w:tcW w:w="570" w:type="pct"/>
                  <w:tcBorders>
                    <w:top w:val="single" w:sz="6" w:space="0" w:color="BFBFBF"/>
                  </w:tcBorders>
                </w:tcPr>
                <w:p w14:paraId="0D8CD157" w14:textId="77777777" w:rsidR="00D328BD" w:rsidRDefault="00D328BD" w:rsidP="00E3630A">
                  <w:pPr>
                    <w:pStyle w:val="TableUnitsRow"/>
                  </w:pPr>
                </w:p>
              </w:tc>
              <w:tc>
                <w:tcPr>
                  <w:tcW w:w="611" w:type="pct"/>
                  <w:tcBorders>
                    <w:top w:val="single" w:sz="6" w:space="0" w:color="BFBFBF"/>
                  </w:tcBorders>
                </w:tcPr>
                <w:p w14:paraId="45F7EAB8" w14:textId="77777777" w:rsidR="00D328BD" w:rsidRDefault="00D328BD" w:rsidP="00E3630A">
                  <w:pPr>
                    <w:pStyle w:val="TableUnitsRow"/>
                  </w:pPr>
                </w:p>
              </w:tc>
              <w:tc>
                <w:tcPr>
                  <w:tcW w:w="576" w:type="pct"/>
                  <w:tcBorders>
                    <w:top w:val="single" w:sz="6" w:space="0" w:color="BFBFBF"/>
                  </w:tcBorders>
                </w:tcPr>
                <w:p w14:paraId="6E47A4E9" w14:textId="59D470CA" w:rsidR="00D328BD" w:rsidRDefault="00D328BD" w:rsidP="00E3630A">
                  <w:pPr>
                    <w:pStyle w:val="TableUnitsRow"/>
                  </w:pPr>
                </w:p>
              </w:tc>
              <w:tc>
                <w:tcPr>
                  <w:tcW w:w="577" w:type="pct"/>
                  <w:tcBorders>
                    <w:top w:val="single" w:sz="6" w:space="0" w:color="BFBFBF"/>
                  </w:tcBorders>
                </w:tcPr>
                <w:p w14:paraId="4D8E6239" w14:textId="77777777" w:rsidR="00D328BD" w:rsidRDefault="00D328BD" w:rsidP="00E3630A">
                  <w:pPr>
                    <w:pStyle w:val="TableUnitsRow"/>
                    <w:ind w:right="28"/>
                  </w:pPr>
                </w:p>
              </w:tc>
            </w:tr>
            <w:tr w:rsidR="006D287A" w14:paraId="77FA4356" w14:textId="77777777" w:rsidTr="00D328BD">
              <w:tc>
                <w:tcPr>
                  <w:tcW w:w="2665" w:type="pct"/>
                </w:tcPr>
                <w:p w14:paraId="423437E4" w14:textId="3DD576FB" w:rsidR="006D287A" w:rsidRDefault="006D287A" w:rsidP="006D287A">
                  <w:pPr>
                    <w:pStyle w:val="TableBodyText"/>
                    <w:jc w:val="left"/>
                  </w:pPr>
                  <w:r w:rsidRPr="00171AC3">
                    <w:t>Tax losses deducted</w:t>
                  </w:r>
                </w:p>
              </w:tc>
              <w:tc>
                <w:tcPr>
                  <w:tcW w:w="570" w:type="pct"/>
                </w:tcPr>
                <w:p w14:paraId="6850FA45" w14:textId="41425C97" w:rsidR="006D287A" w:rsidRDefault="006D287A" w:rsidP="006D287A">
                  <w:pPr>
                    <w:pStyle w:val="TableBodyText"/>
                  </w:pPr>
                  <w:r w:rsidRPr="00612267">
                    <w:rPr>
                      <w:rFonts w:ascii="Wingdings" w:hAnsi="Wingdings"/>
                    </w:rPr>
                    <w:t></w:t>
                  </w:r>
                </w:p>
              </w:tc>
              <w:tc>
                <w:tcPr>
                  <w:tcW w:w="611" w:type="pct"/>
                </w:tcPr>
                <w:p w14:paraId="50392BA7" w14:textId="77777777" w:rsidR="006D287A" w:rsidRDefault="006D287A" w:rsidP="006D287A">
                  <w:pPr>
                    <w:pStyle w:val="TableBodyText"/>
                  </w:pPr>
                </w:p>
              </w:tc>
              <w:tc>
                <w:tcPr>
                  <w:tcW w:w="576" w:type="pct"/>
                </w:tcPr>
                <w:p w14:paraId="059E1E1C" w14:textId="004ACA22" w:rsidR="006D287A" w:rsidRDefault="006D287A" w:rsidP="006D287A">
                  <w:pPr>
                    <w:pStyle w:val="TableBodyText"/>
                  </w:pPr>
                </w:p>
              </w:tc>
              <w:tc>
                <w:tcPr>
                  <w:tcW w:w="577" w:type="pct"/>
                </w:tcPr>
                <w:p w14:paraId="1DF5C103" w14:textId="77777777" w:rsidR="006D287A" w:rsidRDefault="006D287A" w:rsidP="006D287A">
                  <w:pPr>
                    <w:pStyle w:val="TableBodyText"/>
                    <w:ind w:right="28"/>
                  </w:pPr>
                </w:p>
              </w:tc>
            </w:tr>
            <w:tr w:rsidR="006D287A" w14:paraId="3A7DA078" w14:textId="77777777" w:rsidTr="00D328BD">
              <w:tc>
                <w:tcPr>
                  <w:tcW w:w="2665" w:type="pct"/>
                </w:tcPr>
                <w:p w14:paraId="7A465D11" w14:textId="29E6EBCB" w:rsidR="006D287A" w:rsidRDefault="006D287A" w:rsidP="006D287A">
                  <w:pPr>
                    <w:pStyle w:val="TableBodyText"/>
                    <w:jc w:val="left"/>
                  </w:pPr>
                  <w:r w:rsidRPr="00171AC3">
                    <w:t>Tax losses transferred in</w:t>
                  </w:r>
                </w:p>
              </w:tc>
              <w:tc>
                <w:tcPr>
                  <w:tcW w:w="570" w:type="pct"/>
                </w:tcPr>
                <w:p w14:paraId="786D4304" w14:textId="1AF0838B" w:rsidR="006D287A" w:rsidRDefault="006D287A" w:rsidP="006D287A">
                  <w:pPr>
                    <w:pStyle w:val="TableBodyText"/>
                  </w:pPr>
                  <w:r w:rsidRPr="00612267">
                    <w:rPr>
                      <w:rFonts w:ascii="Wingdings" w:hAnsi="Wingdings"/>
                    </w:rPr>
                    <w:t></w:t>
                  </w:r>
                </w:p>
              </w:tc>
              <w:tc>
                <w:tcPr>
                  <w:tcW w:w="611" w:type="pct"/>
                </w:tcPr>
                <w:p w14:paraId="198A0A16" w14:textId="77777777" w:rsidR="006D287A" w:rsidRDefault="006D287A" w:rsidP="006D287A">
                  <w:pPr>
                    <w:pStyle w:val="TableBodyText"/>
                  </w:pPr>
                </w:p>
              </w:tc>
              <w:tc>
                <w:tcPr>
                  <w:tcW w:w="576" w:type="pct"/>
                </w:tcPr>
                <w:p w14:paraId="12B0FBBF" w14:textId="6B579207" w:rsidR="006D287A" w:rsidRDefault="006D287A" w:rsidP="006D287A">
                  <w:pPr>
                    <w:pStyle w:val="TableBodyText"/>
                  </w:pPr>
                </w:p>
              </w:tc>
              <w:tc>
                <w:tcPr>
                  <w:tcW w:w="577" w:type="pct"/>
                </w:tcPr>
                <w:p w14:paraId="2AB69BA4" w14:textId="77777777" w:rsidR="006D287A" w:rsidRDefault="006D287A" w:rsidP="006D287A">
                  <w:pPr>
                    <w:pStyle w:val="TableBodyText"/>
                    <w:ind w:right="28"/>
                  </w:pPr>
                </w:p>
              </w:tc>
            </w:tr>
            <w:tr w:rsidR="006D287A" w14:paraId="480161DD" w14:textId="77777777" w:rsidTr="00D328BD">
              <w:tc>
                <w:tcPr>
                  <w:tcW w:w="2665" w:type="pct"/>
                </w:tcPr>
                <w:p w14:paraId="1A95B813" w14:textId="17F33933" w:rsidR="006D287A" w:rsidRDefault="006D287A" w:rsidP="006D287A">
                  <w:pPr>
                    <w:pStyle w:val="TableBodyText"/>
                    <w:jc w:val="left"/>
                  </w:pPr>
                  <w:r w:rsidRPr="00171AC3">
                    <w:t>Deduction for project pool</w:t>
                  </w:r>
                </w:p>
              </w:tc>
              <w:tc>
                <w:tcPr>
                  <w:tcW w:w="570" w:type="pct"/>
                </w:tcPr>
                <w:p w14:paraId="7CC3735C" w14:textId="68E61ADD" w:rsidR="006D287A" w:rsidRDefault="006D287A" w:rsidP="006D287A">
                  <w:pPr>
                    <w:pStyle w:val="TableBodyText"/>
                  </w:pPr>
                  <w:r w:rsidRPr="00612267">
                    <w:rPr>
                      <w:rFonts w:ascii="Wingdings" w:hAnsi="Wingdings"/>
                    </w:rPr>
                    <w:t></w:t>
                  </w:r>
                </w:p>
              </w:tc>
              <w:tc>
                <w:tcPr>
                  <w:tcW w:w="611" w:type="pct"/>
                </w:tcPr>
                <w:p w14:paraId="4F022CAD" w14:textId="5EA1791C" w:rsidR="006D287A" w:rsidRDefault="006D287A" w:rsidP="006D287A">
                  <w:pPr>
                    <w:pStyle w:val="TableBodyText"/>
                  </w:pPr>
                  <w:r w:rsidRPr="00612267">
                    <w:rPr>
                      <w:rFonts w:ascii="Wingdings" w:hAnsi="Wingdings"/>
                    </w:rPr>
                    <w:t></w:t>
                  </w:r>
                </w:p>
              </w:tc>
              <w:tc>
                <w:tcPr>
                  <w:tcW w:w="576" w:type="pct"/>
                </w:tcPr>
                <w:p w14:paraId="712D950B" w14:textId="73B0056E" w:rsidR="006D287A" w:rsidRDefault="006D287A" w:rsidP="006D287A">
                  <w:pPr>
                    <w:pStyle w:val="TableBodyText"/>
                  </w:pPr>
                  <w:r w:rsidRPr="00612267">
                    <w:rPr>
                      <w:rFonts w:ascii="Wingdings" w:hAnsi="Wingdings"/>
                    </w:rPr>
                    <w:t></w:t>
                  </w:r>
                </w:p>
              </w:tc>
              <w:tc>
                <w:tcPr>
                  <w:tcW w:w="577" w:type="pct"/>
                </w:tcPr>
                <w:p w14:paraId="7CBBB450" w14:textId="42CD3A22" w:rsidR="006D287A" w:rsidRDefault="006D287A" w:rsidP="006D287A">
                  <w:pPr>
                    <w:pStyle w:val="TableBodyText"/>
                    <w:ind w:right="28"/>
                  </w:pPr>
                  <w:r w:rsidRPr="00612267">
                    <w:rPr>
                      <w:rFonts w:ascii="Wingdings" w:hAnsi="Wingdings"/>
                    </w:rPr>
                    <w:t></w:t>
                  </w:r>
                </w:p>
              </w:tc>
            </w:tr>
            <w:tr w:rsidR="006D287A" w14:paraId="1ADBFCCB" w14:textId="77777777" w:rsidTr="00D328BD">
              <w:tc>
                <w:tcPr>
                  <w:tcW w:w="2665" w:type="pct"/>
                </w:tcPr>
                <w:p w14:paraId="10A8B35D" w14:textId="563BF6DA" w:rsidR="006D287A" w:rsidRDefault="006D287A" w:rsidP="006D287A">
                  <w:pPr>
                    <w:pStyle w:val="TableBodyText"/>
                    <w:jc w:val="left"/>
                  </w:pPr>
                  <w:r w:rsidRPr="00171AC3">
                    <w:t>Landcare operations and business deduction for decline in value of water facility</w:t>
                  </w:r>
                </w:p>
              </w:tc>
              <w:tc>
                <w:tcPr>
                  <w:tcW w:w="570" w:type="pct"/>
                </w:tcPr>
                <w:p w14:paraId="32F5AC6F" w14:textId="77777777" w:rsidR="006D287A" w:rsidRDefault="006D287A" w:rsidP="006D287A">
                  <w:pPr>
                    <w:pStyle w:val="TableBodyText"/>
                  </w:pPr>
                </w:p>
              </w:tc>
              <w:tc>
                <w:tcPr>
                  <w:tcW w:w="611" w:type="pct"/>
                </w:tcPr>
                <w:p w14:paraId="0B46E090" w14:textId="77777777" w:rsidR="006D287A" w:rsidRDefault="006D287A" w:rsidP="006D287A">
                  <w:pPr>
                    <w:pStyle w:val="TableBodyText"/>
                  </w:pPr>
                </w:p>
              </w:tc>
              <w:tc>
                <w:tcPr>
                  <w:tcW w:w="576" w:type="pct"/>
                </w:tcPr>
                <w:p w14:paraId="15E4FA44" w14:textId="6E995460" w:rsidR="006D287A" w:rsidRDefault="006D287A" w:rsidP="006D287A">
                  <w:pPr>
                    <w:pStyle w:val="TableBodyText"/>
                  </w:pPr>
                </w:p>
              </w:tc>
              <w:tc>
                <w:tcPr>
                  <w:tcW w:w="577" w:type="pct"/>
                </w:tcPr>
                <w:p w14:paraId="0C61B150" w14:textId="5579F47E" w:rsidR="006D287A" w:rsidRDefault="006D287A" w:rsidP="006D287A">
                  <w:pPr>
                    <w:pStyle w:val="TableBodyText"/>
                    <w:ind w:right="28"/>
                  </w:pPr>
                  <w:r w:rsidRPr="00612267">
                    <w:rPr>
                      <w:rFonts w:ascii="Wingdings" w:hAnsi="Wingdings"/>
                    </w:rPr>
                    <w:t></w:t>
                  </w:r>
                </w:p>
              </w:tc>
            </w:tr>
            <w:tr w:rsidR="006D287A" w14:paraId="49F0D40C" w14:textId="77777777" w:rsidTr="00D328BD">
              <w:tc>
                <w:tcPr>
                  <w:tcW w:w="2665" w:type="pct"/>
                </w:tcPr>
                <w:p w14:paraId="530468B2" w14:textId="42A563CF" w:rsidR="006D287A" w:rsidRDefault="006D287A" w:rsidP="006D287A">
                  <w:pPr>
                    <w:pStyle w:val="TableBodyText"/>
                    <w:jc w:val="left"/>
                  </w:pPr>
                  <w:r w:rsidRPr="00171AC3">
                    <w:t>Landcare operations and deduction for decline in value of water facility</w:t>
                  </w:r>
                </w:p>
              </w:tc>
              <w:tc>
                <w:tcPr>
                  <w:tcW w:w="570" w:type="pct"/>
                </w:tcPr>
                <w:p w14:paraId="6B31692D" w14:textId="5DF2D477" w:rsidR="006D287A" w:rsidRDefault="006D287A" w:rsidP="006D287A">
                  <w:pPr>
                    <w:pStyle w:val="TableBodyText"/>
                  </w:pPr>
                  <w:r w:rsidRPr="00612267">
                    <w:rPr>
                      <w:rFonts w:ascii="Wingdings" w:hAnsi="Wingdings"/>
                    </w:rPr>
                    <w:t></w:t>
                  </w:r>
                </w:p>
              </w:tc>
              <w:tc>
                <w:tcPr>
                  <w:tcW w:w="611" w:type="pct"/>
                </w:tcPr>
                <w:p w14:paraId="6806D0EC" w14:textId="77777777" w:rsidR="006D287A" w:rsidRDefault="006D287A" w:rsidP="006D287A">
                  <w:pPr>
                    <w:pStyle w:val="TableBodyText"/>
                  </w:pPr>
                </w:p>
              </w:tc>
              <w:tc>
                <w:tcPr>
                  <w:tcW w:w="576" w:type="pct"/>
                </w:tcPr>
                <w:p w14:paraId="619CCE7E" w14:textId="47CDB205" w:rsidR="006D287A" w:rsidRDefault="006D287A" w:rsidP="006D287A">
                  <w:pPr>
                    <w:pStyle w:val="TableBodyText"/>
                  </w:pPr>
                  <w:r w:rsidRPr="00612267">
                    <w:rPr>
                      <w:rFonts w:ascii="Wingdings" w:hAnsi="Wingdings"/>
                    </w:rPr>
                    <w:t></w:t>
                  </w:r>
                </w:p>
              </w:tc>
              <w:tc>
                <w:tcPr>
                  <w:tcW w:w="577" w:type="pct"/>
                </w:tcPr>
                <w:p w14:paraId="57AAAE62" w14:textId="77777777" w:rsidR="006D287A" w:rsidRDefault="006D287A" w:rsidP="006D287A">
                  <w:pPr>
                    <w:pStyle w:val="TableBodyText"/>
                    <w:ind w:right="28"/>
                  </w:pPr>
                </w:p>
              </w:tc>
            </w:tr>
            <w:tr w:rsidR="006D287A" w14:paraId="44503C54" w14:textId="77777777" w:rsidTr="00D328BD">
              <w:tc>
                <w:tcPr>
                  <w:tcW w:w="2665" w:type="pct"/>
                </w:tcPr>
                <w:p w14:paraId="337C0C0A" w14:textId="39334D06" w:rsidR="006D287A" w:rsidRDefault="006D287A" w:rsidP="006D287A">
                  <w:pPr>
                    <w:pStyle w:val="TableBodyText"/>
                    <w:jc w:val="left"/>
                  </w:pPr>
                  <w:r w:rsidRPr="00171AC3">
                    <w:t>Section 40-880 deduction</w:t>
                  </w:r>
                </w:p>
              </w:tc>
              <w:tc>
                <w:tcPr>
                  <w:tcW w:w="570" w:type="pct"/>
                </w:tcPr>
                <w:p w14:paraId="38E6B480" w14:textId="001EA58B" w:rsidR="006D287A" w:rsidRDefault="006D287A" w:rsidP="006D287A">
                  <w:pPr>
                    <w:pStyle w:val="TableBodyText"/>
                  </w:pPr>
                  <w:r w:rsidRPr="00612267">
                    <w:rPr>
                      <w:rFonts w:ascii="Wingdings" w:hAnsi="Wingdings"/>
                    </w:rPr>
                    <w:t></w:t>
                  </w:r>
                </w:p>
              </w:tc>
              <w:tc>
                <w:tcPr>
                  <w:tcW w:w="611" w:type="pct"/>
                </w:tcPr>
                <w:p w14:paraId="52FCDF97" w14:textId="32C1681D" w:rsidR="006D287A" w:rsidRDefault="006D287A" w:rsidP="006D287A">
                  <w:pPr>
                    <w:pStyle w:val="TableBodyText"/>
                  </w:pPr>
                  <w:r w:rsidRPr="00612267">
                    <w:rPr>
                      <w:rFonts w:ascii="Wingdings" w:hAnsi="Wingdings"/>
                    </w:rPr>
                    <w:t></w:t>
                  </w:r>
                </w:p>
              </w:tc>
              <w:tc>
                <w:tcPr>
                  <w:tcW w:w="576" w:type="pct"/>
                </w:tcPr>
                <w:p w14:paraId="05A75650" w14:textId="40C3F73B" w:rsidR="006D287A" w:rsidRDefault="006D287A" w:rsidP="006D287A">
                  <w:pPr>
                    <w:pStyle w:val="TableBodyText"/>
                  </w:pPr>
                  <w:r w:rsidRPr="00612267">
                    <w:rPr>
                      <w:rFonts w:ascii="Wingdings" w:hAnsi="Wingdings"/>
                    </w:rPr>
                    <w:t></w:t>
                  </w:r>
                </w:p>
              </w:tc>
              <w:tc>
                <w:tcPr>
                  <w:tcW w:w="577" w:type="pct"/>
                </w:tcPr>
                <w:p w14:paraId="7FA6FD4C" w14:textId="38F05A5E" w:rsidR="006D287A" w:rsidRDefault="006D287A" w:rsidP="006D287A">
                  <w:pPr>
                    <w:pStyle w:val="TableBodyText"/>
                    <w:ind w:right="28"/>
                  </w:pPr>
                  <w:r w:rsidRPr="00612267">
                    <w:rPr>
                      <w:rFonts w:ascii="Wingdings" w:hAnsi="Wingdings"/>
                    </w:rPr>
                    <w:t></w:t>
                  </w:r>
                </w:p>
              </w:tc>
            </w:tr>
            <w:tr w:rsidR="006D287A" w14:paraId="37588372" w14:textId="77777777" w:rsidTr="00D328BD">
              <w:tc>
                <w:tcPr>
                  <w:tcW w:w="2665" w:type="pct"/>
                </w:tcPr>
                <w:p w14:paraId="683B2984" w14:textId="77C78A02" w:rsidR="006D287A" w:rsidRDefault="006D287A" w:rsidP="006D287A">
                  <w:pPr>
                    <w:pStyle w:val="TableBodyText"/>
                    <w:jc w:val="left"/>
                  </w:pPr>
                  <w:r w:rsidRPr="00171AC3">
                    <w:t>Net income or loss from business this year - Non-primary Production</w:t>
                  </w:r>
                </w:p>
              </w:tc>
              <w:tc>
                <w:tcPr>
                  <w:tcW w:w="570" w:type="pct"/>
                </w:tcPr>
                <w:p w14:paraId="40B4A97C" w14:textId="77777777" w:rsidR="006D287A" w:rsidRDefault="006D287A" w:rsidP="006D287A">
                  <w:pPr>
                    <w:pStyle w:val="TableBodyText"/>
                  </w:pPr>
                </w:p>
              </w:tc>
              <w:tc>
                <w:tcPr>
                  <w:tcW w:w="611" w:type="pct"/>
                </w:tcPr>
                <w:p w14:paraId="65D6E715" w14:textId="77777777" w:rsidR="006D287A" w:rsidRDefault="006D287A" w:rsidP="006D287A">
                  <w:pPr>
                    <w:pStyle w:val="TableBodyText"/>
                  </w:pPr>
                </w:p>
              </w:tc>
              <w:tc>
                <w:tcPr>
                  <w:tcW w:w="576" w:type="pct"/>
                </w:tcPr>
                <w:p w14:paraId="6DD6CF8A" w14:textId="0A0B12A5" w:rsidR="006D287A" w:rsidRDefault="006D287A" w:rsidP="006D287A">
                  <w:pPr>
                    <w:pStyle w:val="TableBodyText"/>
                  </w:pPr>
                </w:p>
              </w:tc>
              <w:tc>
                <w:tcPr>
                  <w:tcW w:w="577" w:type="pct"/>
                </w:tcPr>
                <w:p w14:paraId="64E4C4A3" w14:textId="3D0661F7" w:rsidR="006D287A" w:rsidRDefault="006D287A" w:rsidP="006D287A">
                  <w:pPr>
                    <w:pStyle w:val="TableBodyText"/>
                    <w:ind w:right="28"/>
                  </w:pPr>
                  <w:r w:rsidRPr="00612267">
                    <w:rPr>
                      <w:rFonts w:ascii="Wingdings" w:hAnsi="Wingdings"/>
                    </w:rPr>
                    <w:t></w:t>
                  </w:r>
                </w:p>
              </w:tc>
            </w:tr>
            <w:tr w:rsidR="006D287A" w14:paraId="4D6C85E2" w14:textId="77777777" w:rsidTr="00D328BD">
              <w:tc>
                <w:tcPr>
                  <w:tcW w:w="2665" w:type="pct"/>
                </w:tcPr>
                <w:p w14:paraId="2DE43CA9" w14:textId="38E928A8" w:rsidR="006D287A" w:rsidRDefault="006D287A" w:rsidP="006D287A">
                  <w:pPr>
                    <w:pStyle w:val="TableBodyText"/>
                    <w:jc w:val="left"/>
                  </w:pPr>
                  <w:r w:rsidRPr="00171AC3">
                    <w:t>Net tax assessed</w:t>
                  </w:r>
                </w:p>
              </w:tc>
              <w:tc>
                <w:tcPr>
                  <w:tcW w:w="570" w:type="pct"/>
                </w:tcPr>
                <w:p w14:paraId="27F7EBF9" w14:textId="63C98C65" w:rsidR="006D287A" w:rsidRDefault="006D287A" w:rsidP="006D287A">
                  <w:pPr>
                    <w:pStyle w:val="TableBodyText"/>
                  </w:pPr>
                  <w:r w:rsidRPr="00612267">
                    <w:rPr>
                      <w:rFonts w:ascii="Wingdings" w:hAnsi="Wingdings"/>
                    </w:rPr>
                    <w:t></w:t>
                  </w:r>
                </w:p>
              </w:tc>
              <w:tc>
                <w:tcPr>
                  <w:tcW w:w="611" w:type="pct"/>
                </w:tcPr>
                <w:p w14:paraId="4848FF13" w14:textId="77777777" w:rsidR="006D287A" w:rsidRDefault="006D287A" w:rsidP="006D287A">
                  <w:pPr>
                    <w:pStyle w:val="TableBodyText"/>
                  </w:pPr>
                </w:p>
              </w:tc>
              <w:tc>
                <w:tcPr>
                  <w:tcW w:w="576" w:type="pct"/>
                </w:tcPr>
                <w:p w14:paraId="6D247B5B" w14:textId="66E05C7C" w:rsidR="006D287A" w:rsidRDefault="006D287A" w:rsidP="006D287A">
                  <w:pPr>
                    <w:pStyle w:val="TableBodyText"/>
                  </w:pPr>
                </w:p>
              </w:tc>
              <w:tc>
                <w:tcPr>
                  <w:tcW w:w="577" w:type="pct"/>
                </w:tcPr>
                <w:p w14:paraId="2B9D5256" w14:textId="77777777" w:rsidR="006D287A" w:rsidRDefault="006D287A" w:rsidP="006D287A">
                  <w:pPr>
                    <w:pStyle w:val="TableBodyText"/>
                    <w:ind w:right="28"/>
                  </w:pPr>
                </w:p>
              </w:tc>
            </w:tr>
            <w:tr w:rsidR="006D287A" w14:paraId="7FD39ABA" w14:textId="77777777" w:rsidTr="00D328BD">
              <w:tc>
                <w:tcPr>
                  <w:tcW w:w="2665" w:type="pct"/>
                </w:tcPr>
                <w:p w14:paraId="5CEA40F1" w14:textId="461BF6F4" w:rsidR="006D287A" w:rsidRDefault="006D287A" w:rsidP="006D287A">
                  <w:pPr>
                    <w:pStyle w:val="TableBodyText"/>
                    <w:jc w:val="left"/>
                  </w:pPr>
                  <w:r w:rsidRPr="00171AC3">
                    <w:t>Taxable or net income</w:t>
                  </w:r>
                </w:p>
              </w:tc>
              <w:tc>
                <w:tcPr>
                  <w:tcW w:w="570" w:type="pct"/>
                </w:tcPr>
                <w:p w14:paraId="21CA46FA" w14:textId="39DDB693" w:rsidR="006D287A" w:rsidRDefault="006D287A" w:rsidP="006D287A">
                  <w:pPr>
                    <w:pStyle w:val="TableBodyText"/>
                  </w:pPr>
                  <w:r w:rsidRPr="00612267">
                    <w:rPr>
                      <w:rFonts w:ascii="Wingdings" w:hAnsi="Wingdings"/>
                    </w:rPr>
                    <w:t></w:t>
                  </w:r>
                </w:p>
              </w:tc>
              <w:tc>
                <w:tcPr>
                  <w:tcW w:w="611" w:type="pct"/>
                </w:tcPr>
                <w:p w14:paraId="0B36AE40" w14:textId="77777777" w:rsidR="006D287A" w:rsidRDefault="006D287A" w:rsidP="006D287A">
                  <w:pPr>
                    <w:pStyle w:val="TableBodyText"/>
                  </w:pPr>
                </w:p>
              </w:tc>
              <w:tc>
                <w:tcPr>
                  <w:tcW w:w="576" w:type="pct"/>
                </w:tcPr>
                <w:p w14:paraId="6811AE19" w14:textId="70AF2BF8" w:rsidR="006D287A" w:rsidRDefault="006D287A" w:rsidP="006D287A">
                  <w:pPr>
                    <w:pStyle w:val="TableBodyText"/>
                  </w:pPr>
                </w:p>
              </w:tc>
              <w:tc>
                <w:tcPr>
                  <w:tcW w:w="577" w:type="pct"/>
                </w:tcPr>
                <w:p w14:paraId="0950E7A7" w14:textId="77777777" w:rsidR="006D287A" w:rsidRDefault="006D287A" w:rsidP="006D287A">
                  <w:pPr>
                    <w:pStyle w:val="TableBodyText"/>
                    <w:ind w:right="28"/>
                  </w:pPr>
                </w:p>
              </w:tc>
            </w:tr>
            <w:tr w:rsidR="006D287A" w14:paraId="77A470D1" w14:textId="77777777" w:rsidTr="00D328BD">
              <w:tc>
                <w:tcPr>
                  <w:tcW w:w="2665" w:type="pct"/>
                </w:tcPr>
                <w:p w14:paraId="1AA3CE5A" w14:textId="09B1E745" w:rsidR="006D287A" w:rsidRDefault="006D287A" w:rsidP="006D287A">
                  <w:pPr>
                    <w:pStyle w:val="TableBodyText"/>
                    <w:jc w:val="left"/>
                  </w:pPr>
                  <w:r w:rsidRPr="00171AC3">
                    <w:t>Amount due or refundable</w:t>
                  </w:r>
                </w:p>
              </w:tc>
              <w:tc>
                <w:tcPr>
                  <w:tcW w:w="570" w:type="pct"/>
                </w:tcPr>
                <w:p w14:paraId="1930202D" w14:textId="0901E895" w:rsidR="006D287A" w:rsidRDefault="006D287A" w:rsidP="006D287A">
                  <w:pPr>
                    <w:pStyle w:val="TableBodyText"/>
                  </w:pPr>
                  <w:r w:rsidRPr="00612267">
                    <w:rPr>
                      <w:rFonts w:ascii="Wingdings" w:hAnsi="Wingdings"/>
                    </w:rPr>
                    <w:t></w:t>
                  </w:r>
                </w:p>
              </w:tc>
              <w:tc>
                <w:tcPr>
                  <w:tcW w:w="611" w:type="pct"/>
                </w:tcPr>
                <w:p w14:paraId="705525F1" w14:textId="77777777" w:rsidR="006D287A" w:rsidRDefault="006D287A" w:rsidP="006D287A">
                  <w:pPr>
                    <w:pStyle w:val="TableBodyText"/>
                  </w:pPr>
                </w:p>
              </w:tc>
              <w:tc>
                <w:tcPr>
                  <w:tcW w:w="576" w:type="pct"/>
                </w:tcPr>
                <w:p w14:paraId="664F0AC7" w14:textId="0B1644AC" w:rsidR="006D287A" w:rsidRDefault="006D287A" w:rsidP="006D287A">
                  <w:pPr>
                    <w:pStyle w:val="TableBodyText"/>
                  </w:pPr>
                </w:p>
              </w:tc>
              <w:tc>
                <w:tcPr>
                  <w:tcW w:w="577" w:type="pct"/>
                </w:tcPr>
                <w:p w14:paraId="015D697C" w14:textId="77777777" w:rsidR="006D287A" w:rsidRDefault="006D287A" w:rsidP="006D287A">
                  <w:pPr>
                    <w:pStyle w:val="TableBodyText"/>
                    <w:ind w:right="28"/>
                  </w:pPr>
                </w:p>
              </w:tc>
            </w:tr>
            <w:tr w:rsidR="006D287A" w14:paraId="04FA2DA7" w14:textId="77777777" w:rsidTr="00D328BD">
              <w:tc>
                <w:tcPr>
                  <w:tcW w:w="2665" w:type="pct"/>
                </w:tcPr>
                <w:p w14:paraId="33DCCAEE" w14:textId="29445D8B" w:rsidR="006D287A" w:rsidRDefault="006D287A" w:rsidP="006D287A">
                  <w:pPr>
                    <w:pStyle w:val="TableBodyText"/>
                    <w:jc w:val="left"/>
                  </w:pPr>
                  <w:r w:rsidRPr="00171AC3">
                    <w:t>Eligible credits</w:t>
                  </w:r>
                </w:p>
              </w:tc>
              <w:tc>
                <w:tcPr>
                  <w:tcW w:w="570" w:type="pct"/>
                </w:tcPr>
                <w:p w14:paraId="3861EA32" w14:textId="3EC566ED" w:rsidR="006D287A" w:rsidRDefault="006D287A" w:rsidP="006D287A">
                  <w:pPr>
                    <w:pStyle w:val="TableBodyText"/>
                  </w:pPr>
                  <w:r w:rsidRPr="00612267">
                    <w:rPr>
                      <w:rFonts w:ascii="Wingdings" w:hAnsi="Wingdings"/>
                    </w:rPr>
                    <w:t></w:t>
                  </w:r>
                </w:p>
              </w:tc>
              <w:tc>
                <w:tcPr>
                  <w:tcW w:w="611" w:type="pct"/>
                </w:tcPr>
                <w:p w14:paraId="0E293418" w14:textId="77777777" w:rsidR="006D287A" w:rsidRDefault="006D287A" w:rsidP="006D287A">
                  <w:pPr>
                    <w:pStyle w:val="TableBodyText"/>
                  </w:pPr>
                </w:p>
              </w:tc>
              <w:tc>
                <w:tcPr>
                  <w:tcW w:w="576" w:type="pct"/>
                </w:tcPr>
                <w:p w14:paraId="1F6262EC" w14:textId="1C9EAB95" w:rsidR="006D287A" w:rsidRDefault="006D287A" w:rsidP="006D287A">
                  <w:pPr>
                    <w:pStyle w:val="TableBodyText"/>
                  </w:pPr>
                </w:p>
              </w:tc>
              <w:tc>
                <w:tcPr>
                  <w:tcW w:w="577" w:type="pct"/>
                </w:tcPr>
                <w:p w14:paraId="1C79BAA6" w14:textId="77777777" w:rsidR="006D287A" w:rsidRDefault="006D287A" w:rsidP="006D287A">
                  <w:pPr>
                    <w:pStyle w:val="TableBodyText"/>
                    <w:ind w:right="28"/>
                  </w:pPr>
                </w:p>
              </w:tc>
            </w:tr>
            <w:tr w:rsidR="006D287A" w14:paraId="34899D18" w14:textId="77777777" w:rsidTr="00D328BD">
              <w:tc>
                <w:tcPr>
                  <w:tcW w:w="2665" w:type="pct"/>
                </w:tcPr>
                <w:p w14:paraId="67C5815C" w14:textId="360A6C3D" w:rsidR="006D287A" w:rsidRDefault="006D287A" w:rsidP="006D287A">
                  <w:pPr>
                    <w:pStyle w:val="TableBodyText"/>
                    <w:jc w:val="left"/>
                  </w:pPr>
                  <w:r w:rsidRPr="00171AC3">
                    <w:t>Franking deficit tax offset</w:t>
                  </w:r>
                </w:p>
              </w:tc>
              <w:tc>
                <w:tcPr>
                  <w:tcW w:w="570" w:type="pct"/>
                </w:tcPr>
                <w:p w14:paraId="1F008343" w14:textId="48E72758" w:rsidR="006D287A" w:rsidRDefault="006D287A" w:rsidP="006D287A">
                  <w:pPr>
                    <w:pStyle w:val="TableBodyText"/>
                  </w:pPr>
                  <w:r w:rsidRPr="00612267">
                    <w:rPr>
                      <w:rFonts w:ascii="Wingdings" w:hAnsi="Wingdings"/>
                    </w:rPr>
                    <w:t></w:t>
                  </w:r>
                </w:p>
              </w:tc>
              <w:tc>
                <w:tcPr>
                  <w:tcW w:w="611" w:type="pct"/>
                </w:tcPr>
                <w:p w14:paraId="106C9EAA" w14:textId="77777777" w:rsidR="006D287A" w:rsidRDefault="006D287A" w:rsidP="006D287A">
                  <w:pPr>
                    <w:pStyle w:val="TableBodyText"/>
                  </w:pPr>
                </w:p>
              </w:tc>
              <w:tc>
                <w:tcPr>
                  <w:tcW w:w="576" w:type="pct"/>
                </w:tcPr>
                <w:p w14:paraId="71B856D6" w14:textId="2A8D7921" w:rsidR="006D287A" w:rsidRDefault="006D287A" w:rsidP="006D287A">
                  <w:pPr>
                    <w:pStyle w:val="TableBodyText"/>
                  </w:pPr>
                </w:p>
              </w:tc>
              <w:tc>
                <w:tcPr>
                  <w:tcW w:w="577" w:type="pct"/>
                </w:tcPr>
                <w:p w14:paraId="47E8441B" w14:textId="77777777" w:rsidR="006D287A" w:rsidRDefault="006D287A" w:rsidP="006D287A">
                  <w:pPr>
                    <w:pStyle w:val="TableBodyText"/>
                    <w:ind w:right="28"/>
                  </w:pPr>
                </w:p>
              </w:tc>
            </w:tr>
            <w:tr w:rsidR="006D287A" w14:paraId="0D6CD475" w14:textId="77777777" w:rsidTr="00D328BD">
              <w:tc>
                <w:tcPr>
                  <w:tcW w:w="2665" w:type="pct"/>
                </w:tcPr>
                <w:p w14:paraId="5EF0D839" w14:textId="66DD23DF" w:rsidR="006D287A" w:rsidRDefault="006D287A" w:rsidP="006D287A">
                  <w:pPr>
                    <w:pStyle w:val="TableBodyText"/>
                    <w:jc w:val="left"/>
                  </w:pPr>
                  <w:r w:rsidRPr="00171AC3">
                    <w:t>Gross tax</w:t>
                  </w:r>
                </w:p>
              </w:tc>
              <w:tc>
                <w:tcPr>
                  <w:tcW w:w="570" w:type="pct"/>
                </w:tcPr>
                <w:p w14:paraId="58A3DA5F" w14:textId="4CB61819" w:rsidR="006D287A" w:rsidRDefault="006D287A" w:rsidP="006D287A">
                  <w:pPr>
                    <w:pStyle w:val="TableBodyText"/>
                  </w:pPr>
                  <w:r w:rsidRPr="00612267">
                    <w:rPr>
                      <w:rFonts w:ascii="Wingdings" w:hAnsi="Wingdings"/>
                    </w:rPr>
                    <w:t></w:t>
                  </w:r>
                </w:p>
              </w:tc>
              <w:tc>
                <w:tcPr>
                  <w:tcW w:w="611" w:type="pct"/>
                </w:tcPr>
                <w:p w14:paraId="60B36783" w14:textId="77777777" w:rsidR="006D287A" w:rsidRDefault="006D287A" w:rsidP="006D287A">
                  <w:pPr>
                    <w:pStyle w:val="TableBodyText"/>
                  </w:pPr>
                </w:p>
              </w:tc>
              <w:tc>
                <w:tcPr>
                  <w:tcW w:w="576" w:type="pct"/>
                </w:tcPr>
                <w:p w14:paraId="20FD5C49" w14:textId="1DBFC348" w:rsidR="006D287A" w:rsidRDefault="006D287A" w:rsidP="006D287A">
                  <w:pPr>
                    <w:pStyle w:val="TableBodyText"/>
                  </w:pPr>
                </w:p>
              </w:tc>
              <w:tc>
                <w:tcPr>
                  <w:tcW w:w="577" w:type="pct"/>
                </w:tcPr>
                <w:p w14:paraId="32CA13F8" w14:textId="77777777" w:rsidR="006D287A" w:rsidRDefault="006D287A" w:rsidP="006D287A">
                  <w:pPr>
                    <w:pStyle w:val="TableBodyText"/>
                    <w:ind w:right="28"/>
                  </w:pPr>
                </w:p>
              </w:tc>
            </w:tr>
            <w:tr w:rsidR="006D287A" w14:paraId="46A9A899" w14:textId="77777777" w:rsidTr="00D328BD">
              <w:tc>
                <w:tcPr>
                  <w:tcW w:w="2665" w:type="pct"/>
                </w:tcPr>
                <w:p w14:paraId="24C92162" w14:textId="00C75B1E" w:rsidR="006D287A" w:rsidRDefault="006D287A" w:rsidP="006D287A">
                  <w:pPr>
                    <w:pStyle w:val="TableBodyText"/>
                    <w:jc w:val="left"/>
                  </w:pPr>
                  <w:r w:rsidRPr="00171AC3">
                    <w:t>Non-refundable carry forward tax offsets</w:t>
                  </w:r>
                </w:p>
              </w:tc>
              <w:tc>
                <w:tcPr>
                  <w:tcW w:w="570" w:type="pct"/>
                </w:tcPr>
                <w:p w14:paraId="53127090" w14:textId="7AFF2DD1" w:rsidR="006D287A" w:rsidRDefault="006D287A" w:rsidP="006D287A">
                  <w:pPr>
                    <w:pStyle w:val="TableBodyText"/>
                  </w:pPr>
                  <w:r w:rsidRPr="00612267">
                    <w:rPr>
                      <w:rFonts w:ascii="Wingdings" w:hAnsi="Wingdings"/>
                    </w:rPr>
                    <w:t></w:t>
                  </w:r>
                </w:p>
              </w:tc>
              <w:tc>
                <w:tcPr>
                  <w:tcW w:w="611" w:type="pct"/>
                </w:tcPr>
                <w:p w14:paraId="555D95F1" w14:textId="77777777" w:rsidR="006D287A" w:rsidRDefault="006D287A" w:rsidP="006D287A">
                  <w:pPr>
                    <w:pStyle w:val="TableBodyText"/>
                  </w:pPr>
                </w:p>
              </w:tc>
              <w:tc>
                <w:tcPr>
                  <w:tcW w:w="576" w:type="pct"/>
                </w:tcPr>
                <w:p w14:paraId="0575147D" w14:textId="6C7165DC" w:rsidR="006D287A" w:rsidRDefault="006D287A" w:rsidP="006D287A">
                  <w:pPr>
                    <w:pStyle w:val="TableBodyText"/>
                  </w:pPr>
                </w:p>
              </w:tc>
              <w:tc>
                <w:tcPr>
                  <w:tcW w:w="577" w:type="pct"/>
                </w:tcPr>
                <w:p w14:paraId="779FC085" w14:textId="77777777" w:rsidR="006D287A" w:rsidRDefault="006D287A" w:rsidP="006D287A">
                  <w:pPr>
                    <w:pStyle w:val="TableBodyText"/>
                    <w:ind w:right="28"/>
                  </w:pPr>
                </w:p>
              </w:tc>
            </w:tr>
            <w:tr w:rsidR="006D287A" w14:paraId="579E9B08" w14:textId="77777777" w:rsidTr="00D328BD">
              <w:tc>
                <w:tcPr>
                  <w:tcW w:w="2665" w:type="pct"/>
                </w:tcPr>
                <w:p w14:paraId="4D54A756" w14:textId="2A8D934E" w:rsidR="006D287A" w:rsidRDefault="006D287A" w:rsidP="006D287A">
                  <w:pPr>
                    <w:pStyle w:val="TableBodyText"/>
                    <w:jc w:val="left"/>
                  </w:pPr>
                  <w:r w:rsidRPr="00171AC3">
                    <w:t>Non-refundable non-carry forward tax offsets</w:t>
                  </w:r>
                </w:p>
              </w:tc>
              <w:tc>
                <w:tcPr>
                  <w:tcW w:w="570" w:type="pct"/>
                </w:tcPr>
                <w:p w14:paraId="43A4738C" w14:textId="1458D767" w:rsidR="006D287A" w:rsidRDefault="006D287A" w:rsidP="006D287A">
                  <w:pPr>
                    <w:pStyle w:val="TableBodyText"/>
                  </w:pPr>
                  <w:r w:rsidRPr="00612267">
                    <w:rPr>
                      <w:rFonts w:ascii="Wingdings" w:hAnsi="Wingdings"/>
                    </w:rPr>
                    <w:t></w:t>
                  </w:r>
                </w:p>
              </w:tc>
              <w:tc>
                <w:tcPr>
                  <w:tcW w:w="611" w:type="pct"/>
                </w:tcPr>
                <w:p w14:paraId="174C4A8F" w14:textId="77777777" w:rsidR="006D287A" w:rsidRDefault="006D287A" w:rsidP="006D287A">
                  <w:pPr>
                    <w:pStyle w:val="TableBodyText"/>
                  </w:pPr>
                </w:p>
              </w:tc>
              <w:tc>
                <w:tcPr>
                  <w:tcW w:w="576" w:type="pct"/>
                </w:tcPr>
                <w:p w14:paraId="16F18B84" w14:textId="3478BF36" w:rsidR="006D287A" w:rsidRDefault="006D287A" w:rsidP="006D287A">
                  <w:pPr>
                    <w:pStyle w:val="TableBodyText"/>
                  </w:pPr>
                </w:p>
              </w:tc>
              <w:tc>
                <w:tcPr>
                  <w:tcW w:w="577" w:type="pct"/>
                </w:tcPr>
                <w:p w14:paraId="4B820FA2" w14:textId="77777777" w:rsidR="006D287A" w:rsidRDefault="006D287A" w:rsidP="006D287A">
                  <w:pPr>
                    <w:pStyle w:val="TableBodyText"/>
                    <w:ind w:right="28"/>
                  </w:pPr>
                </w:p>
              </w:tc>
            </w:tr>
            <w:tr w:rsidR="006D287A" w14:paraId="2B38F772" w14:textId="77777777" w:rsidTr="00D328BD">
              <w:tc>
                <w:tcPr>
                  <w:tcW w:w="2665" w:type="pct"/>
                </w:tcPr>
                <w:p w14:paraId="6E1D2EFA" w14:textId="2F4C4982" w:rsidR="006D287A" w:rsidRDefault="006D287A" w:rsidP="006D287A">
                  <w:pPr>
                    <w:pStyle w:val="TableBodyText"/>
                    <w:jc w:val="left"/>
                  </w:pPr>
                  <w:r w:rsidRPr="00171AC3">
                    <w:t>PAYG instalments raised</w:t>
                  </w:r>
                </w:p>
              </w:tc>
              <w:tc>
                <w:tcPr>
                  <w:tcW w:w="570" w:type="pct"/>
                </w:tcPr>
                <w:p w14:paraId="70A01305" w14:textId="1CACD7D2" w:rsidR="006D287A" w:rsidRDefault="006D287A" w:rsidP="006D287A">
                  <w:pPr>
                    <w:pStyle w:val="TableBodyText"/>
                  </w:pPr>
                  <w:r w:rsidRPr="00612267">
                    <w:rPr>
                      <w:rFonts w:ascii="Wingdings" w:hAnsi="Wingdings"/>
                    </w:rPr>
                    <w:t></w:t>
                  </w:r>
                </w:p>
              </w:tc>
              <w:tc>
                <w:tcPr>
                  <w:tcW w:w="611" w:type="pct"/>
                </w:tcPr>
                <w:p w14:paraId="48069DBA" w14:textId="77777777" w:rsidR="006D287A" w:rsidRDefault="006D287A" w:rsidP="006D287A">
                  <w:pPr>
                    <w:pStyle w:val="TableBodyText"/>
                  </w:pPr>
                </w:p>
              </w:tc>
              <w:tc>
                <w:tcPr>
                  <w:tcW w:w="576" w:type="pct"/>
                </w:tcPr>
                <w:p w14:paraId="40DDCC9A" w14:textId="77777777" w:rsidR="006D287A" w:rsidRDefault="006D287A" w:rsidP="006D287A">
                  <w:pPr>
                    <w:pStyle w:val="TableBodyText"/>
                  </w:pPr>
                </w:p>
              </w:tc>
              <w:tc>
                <w:tcPr>
                  <w:tcW w:w="577" w:type="pct"/>
                </w:tcPr>
                <w:p w14:paraId="17FEF63B" w14:textId="77777777" w:rsidR="006D287A" w:rsidRDefault="006D287A" w:rsidP="006D287A">
                  <w:pPr>
                    <w:pStyle w:val="TableBodyText"/>
                    <w:ind w:right="28"/>
                  </w:pPr>
                </w:p>
              </w:tc>
            </w:tr>
            <w:tr w:rsidR="006D287A" w14:paraId="4B99FEC4" w14:textId="77777777" w:rsidTr="00D328BD">
              <w:tc>
                <w:tcPr>
                  <w:tcW w:w="2665" w:type="pct"/>
                </w:tcPr>
                <w:p w14:paraId="1465B4F8" w14:textId="2DE053BB" w:rsidR="006D287A" w:rsidRDefault="006D287A" w:rsidP="006D287A">
                  <w:pPr>
                    <w:pStyle w:val="TableBodyText"/>
                    <w:jc w:val="left"/>
                  </w:pPr>
                  <w:r w:rsidRPr="00171AC3">
                    <w:t>Refundable tax offsets</w:t>
                  </w:r>
                </w:p>
              </w:tc>
              <w:tc>
                <w:tcPr>
                  <w:tcW w:w="570" w:type="pct"/>
                </w:tcPr>
                <w:p w14:paraId="1CDC3A9B" w14:textId="11F8E881" w:rsidR="006D287A" w:rsidRDefault="006D287A" w:rsidP="006D287A">
                  <w:pPr>
                    <w:pStyle w:val="TableBodyText"/>
                  </w:pPr>
                  <w:r w:rsidRPr="00612267">
                    <w:rPr>
                      <w:rFonts w:ascii="Wingdings" w:hAnsi="Wingdings"/>
                    </w:rPr>
                    <w:t></w:t>
                  </w:r>
                </w:p>
              </w:tc>
              <w:tc>
                <w:tcPr>
                  <w:tcW w:w="611" w:type="pct"/>
                </w:tcPr>
                <w:p w14:paraId="47C1073D" w14:textId="77777777" w:rsidR="006D287A" w:rsidRDefault="006D287A" w:rsidP="006D287A">
                  <w:pPr>
                    <w:pStyle w:val="TableBodyText"/>
                  </w:pPr>
                </w:p>
              </w:tc>
              <w:tc>
                <w:tcPr>
                  <w:tcW w:w="576" w:type="pct"/>
                </w:tcPr>
                <w:p w14:paraId="533F96D3" w14:textId="77777777" w:rsidR="006D287A" w:rsidRDefault="006D287A" w:rsidP="006D287A">
                  <w:pPr>
                    <w:pStyle w:val="TableBodyText"/>
                  </w:pPr>
                </w:p>
              </w:tc>
              <w:tc>
                <w:tcPr>
                  <w:tcW w:w="577" w:type="pct"/>
                </w:tcPr>
                <w:p w14:paraId="4989EEC6" w14:textId="77777777" w:rsidR="006D287A" w:rsidRDefault="006D287A" w:rsidP="006D287A">
                  <w:pPr>
                    <w:pStyle w:val="TableBodyText"/>
                    <w:ind w:right="28"/>
                  </w:pPr>
                </w:p>
              </w:tc>
            </w:tr>
            <w:tr w:rsidR="006D287A" w14:paraId="62A5204F" w14:textId="77777777" w:rsidTr="00D328BD">
              <w:tc>
                <w:tcPr>
                  <w:tcW w:w="2665" w:type="pct"/>
                </w:tcPr>
                <w:p w14:paraId="325004DE" w14:textId="14FC5FDA" w:rsidR="006D287A" w:rsidRDefault="006D287A" w:rsidP="006D287A">
                  <w:pPr>
                    <w:pStyle w:val="TableBodyText"/>
                    <w:jc w:val="left"/>
                  </w:pPr>
                  <w:r w:rsidRPr="00171AC3">
                    <w:t>Remainder of refundable tax offsets</w:t>
                  </w:r>
                </w:p>
              </w:tc>
              <w:tc>
                <w:tcPr>
                  <w:tcW w:w="570" w:type="pct"/>
                </w:tcPr>
                <w:p w14:paraId="42D77BDC" w14:textId="30F5F082" w:rsidR="006D287A" w:rsidRDefault="006D287A" w:rsidP="006D287A">
                  <w:pPr>
                    <w:pStyle w:val="TableBodyText"/>
                  </w:pPr>
                  <w:r w:rsidRPr="00612267">
                    <w:rPr>
                      <w:rFonts w:ascii="Wingdings" w:hAnsi="Wingdings"/>
                    </w:rPr>
                    <w:t></w:t>
                  </w:r>
                </w:p>
              </w:tc>
              <w:tc>
                <w:tcPr>
                  <w:tcW w:w="611" w:type="pct"/>
                </w:tcPr>
                <w:p w14:paraId="5FB77E23" w14:textId="77777777" w:rsidR="006D287A" w:rsidRDefault="006D287A" w:rsidP="006D287A">
                  <w:pPr>
                    <w:pStyle w:val="TableBodyText"/>
                  </w:pPr>
                </w:p>
              </w:tc>
              <w:tc>
                <w:tcPr>
                  <w:tcW w:w="576" w:type="pct"/>
                </w:tcPr>
                <w:p w14:paraId="1D6EEF0A" w14:textId="77777777" w:rsidR="006D287A" w:rsidRDefault="006D287A" w:rsidP="006D287A">
                  <w:pPr>
                    <w:pStyle w:val="TableBodyText"/>
                  </w:pPr>
                </w:p>
              </w:tc>
              <w:tc>
                <w:tcPr>
                  <w:tcW w:w="577" w:type="pct"/>
                </w:tcPr>
                <w:p w14:paraId="43D522CE" w14:textId="77777777" w:rsidR="006D287A" w:rsidRDefault="006D287A" w:rsidP="006D287A">
                  <w:pPr>
                    <w:pStyle w:val="TableBodyText"/>
                    <w:ind w:right="28"/>
                  </w:pPr>
                </w:p>
              </w:tc>
            </w:tr>
            <w:tr w:rsidR="006D287A" w14:paraId="43469152" w14:textId="77777777" w:rsidTr="00D328BD">
              <w:tc>
                <w:tcPr>
                  <w:tcW w:w="2665" w:type="pct"/>
                </w:tcPr>
                <w:p w14:paraId="0A1B18B0" w14:textId="66187B8C" w:rsidR="006D287A" w:rsidRDefault="006D287A" w:rsidP="006D287A">
                  <w:pPr>
                    <w:pStyle w:val="TableBodyText"/>
                    <w:jc w:val="left"/>
                  </w:pPr>
                  <w:r w:rsidRPr="00171AC3">
                    <w:t>Section 102AAM interest charge</w:t>
                  </w:r>
                </w:p>
              </w:tc>
              <w:tc>
                <w:tcPr>
                  <w:tcW w:w="570" w:type="pct"/>
                </w:tcPr>
                <w:p w14:paraId="4C8EDD19" w14:textId="54489F45" w:rsidR="006D287A" w:rsidRDefault="006D287A" w:rsidP="006D287A">
                  <w:pPr>
                    <w:pStyle w:val="TableBodyText"/>
                  </w:pPr>
                  <w:r w:rsidRPr="00612267">
                    <w:rPr>
                      <w:rFonts w:ascii="Wingdings" w:hAnsi="Wingdings"/>
                    </w:rPr>
                    <w:t></w:t>
                  </w:r>
                </w:p>
              </w:tc>
              <w:tc>
                <w:tcPr>
                  <w:tcW w:w="611" w:type="pct"/>
                </w:tcPr>
                <w:p w14:paraId="1FC4D4A9" w14:textId="77777777" w:rsidR="006D287A" w:rsidRDefault="006D287A" w:rsidP="006D287A">
                  <w:pPr>
                    <w:pStyle w:val="TableBodyText"/>
                  </w:pPr>
                </w:p>
              </w:tc>
              <w:tc>
                <w:tcPr>
                  <w:tcW w:w="576" w:type="pct"/>
                </w:tcPr>
                <w:p w14:paraId="5D1F234C" w14:textId="77777777" w:rsidR="006D287A" w:rsidRDefault="006D287A" w:rsidP="006D287A">
                  <w:pPr>
                    <w:pStyle w:val="TableBodyText"/>
                  </w:pPr>
                </w:p>
              </w:tc>
              <w:tc>
                <w:tcPr>
                  <w:tcW w:w="577" w:type="pct"/>
                </w:tcPr>
                <w:p w14:paraId="0E99F487" w14:textId="77777777" w:rsidR="006D287A" w:rsidRDefault="006D287A" w:rsidP="006D287A">
                  <w:pPr>
                    <w:pStyle w:val="TableBodyText"/>
                    <w:ind w:right="28"/>
                  </w:pPr>
                </w:p>
              </w:tc>
            </w:tr>
            <w:tr w:rsidR="006D287A" w14:paraId="20D00C2B" w14:textId="77777777" w:rsidTr="00D328BD">
              <w:tc>
                <w:tcPr>
                  <w:tcW w:w="2665" w:type="pct"/>
                </w:tcPr>
                <w:p w14:paraId="010C5775" w14:textId="01130C1D" w:rsidR="006D287A" w:rsidRDefault="006D287A" w:rsidP="006D287A">
                  <w:pPr>
                    <w:pStyle w:val="TableBodyText"/>
                    <w:jc w:val="left"/>
                  </w:pPr>
                  <w:r w:rsidRPr="00171AC3">
                    <w:t>Subtotal 1</w:t>
                  </w:r>
                </w:p>
              </w:tc>
              <w:tc>
                <w:tcPr>
                  <w:tcW w:w="570" w:type="pct"/>
                </w:tcPr>
                <w:p w14:paraId="5183DFF8" w14:textId="52C4532E" w:rsidR="006D287A" w:rsidRDefault="006D287A" w:rsidP="006D287A">
                  <w:pPr>
                    <w:pStyle w:val="TableBodyText"/>
                  </w:pPr>
                  <w:r w:rsidRPr="00612267">
                    <w:rPr>
                      <w:rFonts w:ascii="Wingdings" w:hAnsi="Wingdings"/>
                    </w:rPr>
                    <w:t></w:t>
                  </w:r>
                </w:p>
              </w:tc>
              <w:tc>
                <w:tcPr>
                  <w:tcW w:w="611" w:type="pct"/>
                </w:tcPr>
                <w:p w14:paraId="4B341D56" w14:textId="77777777" w:rsidR="006D287A" w:rsidRDefault="006D287A" w:rsidP="006D287A">
                  <w:pPr>
                    <w:pStyle w:val="TableBodyText"/>
                  </w:pPr>
                </w:p>
              </w:tc>
              <w:tc>
                <w:tcPr>
                  <w:tcW w:w="576" w:type="pct"/>
                </w:tcPr>
                <w:p w14:paraId="2956554B" w14:textId="77777777" w:rsidR="006D287A" w:rsidRDefault="006D287A" w:rsidP="006D287A">
                  <w:pPr>
                    <w:pStyle w:val="TableBodyText"/>
                  </w:pPr>
                </w:p>
              </w:tc>
              <w:tc>
                <w:tcPr>
                  <w:tcW w:w="577" w:type="pct"/>
                </w:tcPr>
                <w:p w14:paraId="7012EB0C" w14:textId="77777777" w:rsidR="006D287A" w:rsidRDefault="006D287A" w:rsidP="006D287A">
                  <w:pPr>
                    <w:pStyle w:val="TableBodyText"/>
                    <w:ind w:right="28"/>
                  </w:pPr>
                </w:p>
              </w:tc>
            </w:tr>
            <w:tr w:rsidR="006D287A" w14:paraId="5CDB476E" w14:textId="77777777" w:rsidTr="00D328BD">
              <w:tc>
                <w:tcPr>
                  <w:tcW w:w="2665" w:type="pct"/>
                </w:tcPr>
                <w:p w14:paraId="7265C896" w14:textId="50B7F0B7" w:rsidR="006D287A" w:rsidRDefault="006D287A" w:rsidP="006D287A">
                  <w:pPr>
                    <w:pStyle w:val="TableBodyText"/>
                    <w:jc w:val="left"/>
                  </w:pPr>
                  <w:r w:rsidRPr="00171AC3">
                    <w:t>Subtotal 2</w:t>
                  </w:r>
                </w:p>
              </w:tc>
              <w:tc>
                <w:tcPr>
                  <w:tcW w:w="570" w:type="pct"/>
                </w:tcPr>
                <w:p w14:paraId="45CD2970" w14:textId="3B9A7C17" w:rsidR="006D287A" w:rsidRDefault="006D287A" w:rsidP="006D287A">
                  <w:pPr>
                    <w:pStyle w:val="TableBodyText"/>
                  </w:pPr>
                  <w:r w:rsidRPr="00612267">
                    <w:rPr>
                      <w:rFonts w:ascii="Wingdings" w:hAnsi="Wingdings"/>
                    </w:rPr>
                    <w:t></w:t>
                  </w:r>
                </w:p>
              </w:tc>
              <w:tc>
                <w:tcPr>
                  <w:tcW w:w="611" w:type="pct"/>
                </w:tcPr>
                <w:p w14:paraId="6ABB8CC5" w14:textId="77777777" w:rsidR="006D287A" w:rsidRDefault="006D287A" w:rsidP="006D287A">
                  <w:pPr>
                    <w:pStyle w:val="TableBodyText"/>
                  </w:pPr>
                </w:p>
              </w:tc>
              <w:tc>
                <w:tcPr>
                  <w:tcW w:w="576" w:type="pct"/>
                </w:tcPr>
                <w:p w14:paraId="38144EAA" w14:textId="77777777" w:rsidR="006D287A" w:rsidRDefault="006D287A" w:rsidP="006D287A">
                  <w:pPr>
                    <w:pStyle w:val="TableBodyText"/>
                  </w:pPr>
                </w:p>
              </w:tc>
              <w:tc>
                <w:tcPr>
                  <w:tcW w:w="577" w:type="pct"/>
                </w:tcPr>
                <w:p w14:paraId="7E1A9536" w14:textId="77777777" w:rsidR="006D287A" w:rsidRDefault="006D287A" w:rsidP="006D287A">
                  <w:pPr>
                    <w:pStyle w:val="TableBodyText"/>
                    <w:ind w:right="28"/>
                  </w:pPr>
                </w:p>
              </w:tc>
            </w:tr>
            <w:tr w:rsidR="006D287A" w14:paraId="55706540" w14:textId="77777777" w:rsidTr="00D328BD">
              <w:tc>
                <w:tcPr>
                  <w:tcW w:w="2665" w:type="pct"/>
                </w:tcPr>
                <w:p w14:paraId="54914056" w14:textId="30974F81" w:rsidR="006D287A" w:rsidRDefault="006D287A" w:rsidP="006D287A">
                  <w:pPr>
                    <w:pStyle w:val="TableBodyText"/>
                    <w:jc w:val="left"/>
                  </w:pPr>
                  <w:r w:rsidRPr="00171AC3">
                    <w:t>Subtotal 3</w:t>
                  </w:r>
                </w:p>
              </w:tc>
              <w:tc>
                <w:tcPr>
                  <w:tcW w:w="570" w:type="pct"/>
                </w:tcPr>
                <w:p w14:paraId="635E08FE" w14:textId="37D1D6D7" w:rsidR="006D287A" w:rsidRDefault="006D287A" w:rsidP="006D287A">
                  <w:pPr>
                    <w:pStyle w:val="TableBodyText"/>
                  </w:pPr>
                  <w:r w:rsidRPr="00612267">
                    <w:rPr>
                      <w:rFonts w:ascii="Wingdings" w:hAnsi="Wingdings"/>
                    </w:rPr>
                    <w:t></w:t>
                  </w:r>
                </w:p>
              </w:tc>
              <w:tc>
                <w:tcPr>
                  <w:tcW w:w="611" w:type="pct"/>
                </w:tcPr>
                <w:p w14:paraId="216547AE" w14:textId="77777777" w:rsidR="006D287A" w:rsidRDefault="006D287A" w:rsidP="006D287A">
                  <w:pPr>
                    <w:pStyle w:val="TableBodyText"/>
                  </w:pPr>
                </w:p>
              </w:tc>
              <w:tc>
                <w:tcPr>
                  <w:tcW w:w="576" w:type="pct"/>
                </w:tcPr>
                <w:p w14:paraId="298BEBBD" w14:textId="0F1B324C" w:rsidR="006D287A" w:rsidRDefault="006D287A" w:rsidP="006D287A">
                  <w:pPr>
                    <w:pStyle w:val="TableBodyText"/>
                  </w:pPr>
                </w:p>
              </w:tc>
              <w:tc>
                <w:tcPr>
                  <w:tcW w:w="577" w:type="pct"/>
                </w:tcPr>
                <w:p w14:paraId="77DF87F9" w14:textId="77777777" w:rsidR="006D287A" w:rsidRDefault="006D287A" w:rsidP="006D287A">
                  <w:pPr>
                    <w:pStyle w:val="TableBodyText"/>
                    <w:ind w:right="28"/>
                  </w:pPr>
                </w:p>
              </w:tc>
            </w:tr>
            <w:tr w:rsidR="006D287A" w14:paraId="1863D210" w14:textId="77777777" w:rsidTr="00D328BD">
              <w:tc>
                <w:tcPr>
                  <w:tcW w:w="2665" w:type="pct"/>
                </w:tcPr>
                <w:p w14:paraId="67AD543D" w14:textId="082BBAD2" w:rsidR="006D287A" w:rsidRDefault="006D287A" w:rsidP="006D287A">
                  <w:pPr>
                    <w:pStyle w:val="TableBodyText"/>
                    <w:jc w:val="left"/>
                  </w:pPr>
                  <w:r w:rsidRPr="00171AC3">
                    <w:t>Tax on taxable income</w:t>
                  </w:r>
                </w:p>
              </w:tc>
              <w:tc>
                <w:tcPr>
                  <w:tcW w:w="570" w:type="pct"/>
                </w:tcPr>
                <w:p w14:paraId="7F858C8F" w14:textId="10AAAD0F" w:rsidR="006D287A" w:rsidRDefault="006D287A" w:rsidP="006D287A">
                  <w:pPr>
                    <w:pStyle w:val="TableBodyText"/>
                  </w:pPr>
                  <w:r w:rsidRPr="00612267">
                    <w:rPr>
                      <w:rFonts w:ascii="Wingdings" w:hAnsi="Wingdings"/>
                    </w:rPr>
                    <w:t></w:t>
                  </w:r>
                </w:p>
              </w:tc>
              <w:tc>
                <w:tcPr>
                  <w:tcW w:w="611" w:type="pct"/>
                </w:tcPr>
                <w:p w14:paraId="26385422" w14:textId="77777777" w:rsidR="006D287A" w:rsidRDefault="006D287A" w:rsidP="006D287A">
                  <w:pPr>
                    <w:pStyle w:val="TableBodyText"/>
                  </w:pPr>
                </w:p>
              </w:tc>
              <w:tc>
                <w:tcPr>
                  <w:tcW w:w="576" w:type="pct"/>
                </w:tcPr>
                <w:p w14:paraId="416E5970" w14:textId="675E42DF" w:rsidR="006D287A" w:rsidRDefault="006D287A" w:rsidP="006D287A">
                  <w:pPr>
                    <w:pStyle w:val="TableBodyText"/>
                  </w:pPr>
                </w:p>
              </w:tc>
              <w:tc>
                <w:tcPr>
                  <w:tcW w:w="577" w:type="pct"/>
                </w:tcPr>
                <w:p w14:paraId="4169F188" w14:textId="77777777" w:rsidR="006D287A" w:rsidRDefault="006D287A" w:rsidP="006D287A">
                  <w:pPr>
                    <w:pStyle w:val="TableBodyText"/>
                    <w:ind w:right="28"/>
                  </w:pPr>
                </w:p>
              </w:tc>
            </w:tr>
            <w:tr w:rsidR="006D287A" w14:paraId="72B070CA" w14:textId="77777777" w:rsidTr="00D328BD">
              <w:tc>
                <w:tcPr>
                  <w:tcW w:w="2665" w:type="pct"/>
                </w:tcPr>
                <w:p w14:paraId="695137DA" w14:textId="7EBDD6B6" w:rsidR="006D287A" w:rsidRDefault="006D287A" w:rsidP="006D287A">
                  <w:pPr>
                    <w:pStyle w:val="TableBodyText"/>
                    <w:jc w:val="left"/>
                  </w:pPr>
                  <w:r w:rsidRPr="00171AC3">
                    <w:t>Tax payable</w:t>
                  </w:r>
                </w:p>
              </w:tc>
              <w:tc>
                <w:tcPr>
                  <w:tcW w:w="570" w:type="pct"/>
                </w:tcPr>
                <w:p w14:paraId="6BD8A26D" w14:textId="53E30225" w:rsidR="006D287A" w:rsidRDefault="006D287A" w:rsidP="006D287A">
                  <w:pPr>
                    <w:pStyle w:val="TableBodyText"/>
                  </w:pPr>
                  <w:r w:rsidRPr="00612267">
                    <w:rPr>
                      <w:rFonts w:ascii="Wingdings" w:hAnsi="Wingdings"/>
                    </w:rPr>
                    <w:t></w:t>
                  </w:r>
                </w:p>
              </w:tc>
              <w:tc>
                <w:tcPr>
                  <w:tcW w:w="611" w:type="pct"/>
                </w:tcPr>
                <w:p w14:paraId="08384179" w14:textId="77777777" w:rsidR="006D287A" w:rsidRDefault="006D287A" w:rsidP="006D287A">
                  <w:pPr>
                    <w:pStyle w:val="TableBodyText"/>
                  </w:pPr>
                </w:p>
              </w:tc>
              <w:tc>
                <w:tcPr>
                  <w:tcW w:w="576" w:type="pct"/>
                </w:tcPr>
                <w:p w14:paraId="70DC0F94" w14:textId="34B7BF72" w:rsidR="006D287A" w:rsidRDefault="006D287A" w:rsidP="006D287A">
                  <w:pPr>
                    <w:pStyle w:val="TableBodyText"/>
                  </w:pPr>
                </w:p>
              </w:tc>
              <w:tc>
                <w:tcPr>
                  <w:tcW w:w="577" w:type="pct"/>
                </w:tcPr>
                <w:p w14:paraId="454E94D4" w14:textId="77777777" w:rsidR="006D287A" w:rsidRDefault="006D287A" w:rsidP="006D287A">
                  <w:pPr>
                    <w:pStyle w:val="TableBodyText"/>
                    <w:ind w:right="28"/>
                  </w:pPr>
                </w:p>
              </w:tc>
            </w:tr>
            <w:tr w:rsidR="00425156" w14:paraId="5463EA85" w14:textId="77777777" w:rsidTr="00D328BD">
              <w:tc>
                <w:tcPr>
                  <w:tcW w:w="2665" w:type="pct"/>
                </w:tcPr>
                <w:p w14:paraId="4D00604E" w14:textId="398DC7A4" w:rsidR="00425156" w:rsidRDefault="00425156" w:rsidP="00425156">
                  <w:pPr>
                    <w:pStyle w:val="TableBodyText"/>
                    <w:jc w:val="left"/>
                  </w:pPr>
                  <w:r w:rsidRPr="00172FB0">
                    <w:rPr>
                      <w:b/>
                      <w:bCs/>
                    </w:rPr>
                    <w:t>Financial and other information</w:t>
                  </w:r>
                </w:p>
              </w:tc>
              <w:tc>
                <w:tcPr>
                  <w:tcW w:w="570" w:type="pct"/>
                </w:tcPr>
                <w:p w14:paraId="227B7770" w14:textId="0F30BB58" w:rsidR="00425156" w:rsidRDefault="00425156" w:rsidP="00425156">
                  <w:pPr>
                    <w:pStyle w:val="TableBodyText"/>
                  </w:pPr>
                </w:p>
              </w:tc>
              <w:tc>
                <w:tcPr>
                  <w:tcW w:w="611" w:type="pct"/>
                </w:tcPr>
                <w:p w14:paraId="334E09FB" w14:textId="77777777" w:rsidR="00425156" w:rsidRDefault="00425156" w:rsidP="00425156">
                  <w:pPr>
                    <w:pStyle w:val="TableBodyText"/>
                  </w:pPr>
                </w:p>
              </w:tc>
              <w:tc>
                <w:tcPr>
                  <w:tcW w:w="576" w:type="pct"/>
                </w:tcPr>
                <w:p w14:paraId="75A1DB20" w14:textId="74567186" w:rsidR="00425156" w:rsidRDefault="00425156" w:rsidP="00425156">
                  <w:pPr>
                    <w:pStyle w:val="TableBodyText"/>
                  </w:pPr>
                </w:p>
              </w:tc>
              <w:tc>
                <w:tcPr>
                  <w:tcW w:w="577" w:type="pct"/>
                </w:tcPr>
                <w:p w14:paraId="5D6059DA" w14:textId="77777777" w:rsidR="00425156" w:rsidRDefault="00425156" w:rsidP="00425156">
                  <w:pPr>
                    <w:pStyle w:val="TableBodyText"/>
                    <w:ind w:right="28"/>
                  </w:pPr>
                </w:p>
              </w:tc>
            </w:tr>
            <w:tr w:rsidR="00425156" w14:paraId="0DEC99A7" w14:textId="77777777" w:rsidTr="00D328BD">
              <w:tc>
                <w:tcPr>
                  <w:tcW w:w="2665" w:type="pct"/>
                </w:tcPr>
                <w:p w14:paraId="72E56E7C" w14:textId="36CB799F" w:rsidR="00425156" w:rsidRDefault="00425156" w:rsidP="00425156">
                  <w:pPr>
                    <w:pStyle w:val="TableBodyText"/>
                    <w:jc w:val="left"/>
                  </w:pPr>
                  <w:r w:rsidRPr="00171AC3">
                    <w:t xml:space="preserve">Assets (current) </w:t>
                  </w:r>
                </w:p>
              </w:tc>
              <w:tc>
                <w:tcPr>
                  <w:tcW w:w="570" w:type="pct"/>
                </w:tcPr>
                <w:p w14:paraId="66CC7DE9" w14:textId="6EAEBA71" w:rsidR="00425156" w:rsidRDefault="00425156" w:rsidP="00425156">
                  <w:pPr>
                    <w:pStyle w:val="TableBodyText"/>
                  </w:pPr>
                  <w:r w:rsidRPr="00612267">
                    <w:rPr>
                      <w:rFonts w:ascii="Wingdings" w:hAnsi="Wingdings"/>
                    </w:rPr>
                    <w:t></w:t>
                  </w:r>
                </w:p>
              </w:tc>
              <w:tc>
                <w:tcPr>
                  <w:tcW w:w="611" w:type="pct"/>
                </w:tcPr>
                <w:p w14:paraId="0D938780" w14:textId="4033756A" w:rsidR="00425156" w:rsidRDefault="00425156" w:rsidP="00425156">
                  <w:pPr>
                    <w:pStyle w:val="TableBodyText"/>
                  </w:pPr>
                  <w:r w:rsidRPr="00612267">
                    <w:rPr>
                      <w:rFonts w:ascii="Wingdings" w:hAnsi="Wingdings"/>
                    </w:rPr>
                    <w:t></w:t>
                  </w:r>
                </w:p>
              </w:tc>
              <w:tc>
                <w:tcPr>
                  <w:tcW w:w="576" w:type="pct"/>
                </w:tcPr>
                <w:p w14:paraId="4E073F04" w14:textId="112C40CC" w:rsidR="00425156" w:rsidRDefault="00425156" w:rsidP="00425156">
                  <w:pPr>
                    <w:pStyle w:val="TableBodyText"/>
                  </w:pPr>
                  <w:r w:rsidRPr="00612267">
                    <w:rPr>
                      <w:rFonts w:ascii="Wingdings" w:hAnsi="Wingdings"/>
                    </w:rPr>
                    <w:t></w:t>
                  </w:r>
                </w:p>
              </w:tc>
              <w:tc>
                <w:tcPr>
                  <w:tcW w:w="577" w:type="pct"/>
                </w:tcPr>
                <w:p w14:paraId="07096176" w14:textId="77777777" w:rsidR="00425156" w:rsidRDefault="00425156" w:rsidP="00425156">
                  <w:pPr>
                    <w:pStyle w:val="TableBodyText"/>
                    <w:ind w:right="28"/>
                  </w:pPr>
                </w:p>
              </w:tc>
            </w:tr>
            <w:tr w:rsidR="00425156" w14:paraId="55EF2C92" w14:textId="77777777" w:rsidTr="00D328BD">
              <w:tc>
                <w:tcPr>
                  <w:tcW w:w="2665" w:type="pct"/>
                </w:tcPr>
                <w:p w14:paraId="177E4829" w14:textId="4DE973B9" w:rsidR="00425156" w:rsidRDefault="00425156" w:rsidP="00425156">
                  <w:pPr>
                    <w:pStyle w:val="TableBodyText"/>
                    <w:jc w:val="left"/>
                  </w:pPr>
                  <w:r w:rsidRPr="00171AC3">
                    <w:t>Total Assets</w:t>
                  </w:r>
                </w:p>
              </w:tc>
              <w:tc>
                <w:tcPr>
                  <w:tcW w:w="570" w:type="pct"/>
                </w:tcPr>
                <w:p w14:paraId="62A308E9" w14:textId="52A7E655" w:rsidR="00425156" w:rsidRDefault="00425156" w:rsidP="00425156">
                  <w:pPr>
                    <w:pStyle w:val="TableBodyText"/>
                  </w:pPr>
                  <w:r w:rsidRPr="00612267">
                    <w:rPr>
                      <w:rFonts w:ascii="Wingdings" w:hAnsi="Wingdings"/>
                    </w:rPr>
                    <w:t></w:t>
                  </w:r>
                </w:p>
              </w:tc>
              <w:tc>
                <w:tcPr>
                  <w:tcW w:w="611" w:type="pct"/>
                </w:tcPr>
                <w:p w14:paraId="689A29DD" w14:textId="33F4DD0B" w:rsidR="00425156" w:rsidRDefault="00425156" w:rsidP="00425156">
                  <w:pPr>
                    <w:pStyle w:val="TableBodyText"/>
                  </w:pPr>
                  <w:r w:rsidRPr="00612267">
                    <w:rPr>
                      <w:rFonts w:ascii="Wingdings" w:hAnsi="Wingdings"/>
                    </w:rPr>
                    <w:t></w:t>
                  </w:r>
                </w:p>
              </w:tc>
              <w:tc>
                <w:tcPr>
                  <w:tcW w:w="576" w:type="pct"/>
                </w:tcPr>
                <w:p w14:paraId="2399BF71" w14:textId="0A42BC1A" w:rsidR="00425156" w:rsidRDefault="00425156" w:rsidP="00425156">
                  <w:pPr>
                    <w:pStyle w:val="TableBodyText"/>
                  </w:pPr>
                  <w:r w:rsidRPr="00612267">
                    <w:rPr>
                      <w:rFonts w:ascii="Wingdings" w:hAnsi="Wingdings"/>
                    </w:rPr>
                    <w:t></w:t>
                  </w:r>
                </w:p>
              </w:tc>
              <w:tc>
                <w:tcPr>
                  <w:tcW w:w="577" w:type="pct"/>
                </w:tcPr>
                <w:p w14:paraId="5C5221FF" w14:textId="3D36DF01" w:rsidR="00425156" w:rsidRDefault="00425156" w:rsidP="00425156">
                  <w:pPr>
                    <w:pStyle w:val="TableBodyText"/>
                    <w:ind w:right="28"/>
                  </w:pPr>
                </w:p>
              </w:tc>
            </w:tr>
            <w:tr w:rsidR="00425156" w14:paraId="215285BB" w14:textId="77777777" w:rsidTr="00E3630A">
              <w:tc>
                <w:tcPr>
                  <w:tcW w:w="2665" w:type="pct"/>
                </w:tcPr>
                <w:p w14:paraId="56F643BC" w14:textId="4D49D8CF" w:rsidR="00425156" w:rsidRDefault="00425156" w:rsidP="00425156">
                  <w:pPr>
                    <w:pStyle w:val="TableBodyText"/>
                    <w:jc w:val="left"/>
                  </w:pPr>
                  <w:r w:rsidRPr="00171AC3">
                    <w:t>Liabilities (current)</w:t>
                  </w:r>
                </w:p>
              </w:tc>
              <w:tc>
                <w:tcPr>
                  <w:tcW w:w="570" w:type="pct"/>
                </w:tcPr>
                <w:p w14:paraId="40916920" w14:textId="250F5458" w:rsidR="00425156" w:rsidRDefault="00425156" w:rsidP="00425156">
                  <w:pPr>
                    <w:pStyle w:val="TableBodyText"/>
                  </w:pPr>
                  <w:r w:rsidRPr="00612267">
                    <w:rPr>
                      <w:rFonts w:ascii="Wingdings" w:hAnsi="Wingdings"/>
                    </w:rPr>
                    <w:t></w:t>
                  </w:r>
                </w:p>
              </w:tc>
              <w:tc>
                <w:tcPr>
                  <w:tcW w:w="611" w:type="pct"/>
                </w:tcPr>
                <w:p w14:paraId="76ADE5E3" w14:textId="582370F6" w:rsidR="00425156" w:rsidRDefault="00425156" w:rsidP="00425156">
                  <w:pPr>
                    <w:pStyle w:val="TableBodyText"/>
                  </w:pPr>
                  <w:r w:rsidRPr="00612267">
                    <w:rPr>
                      <w:rFonts w:ascii="Wingdings" w:hAnsi="Wingdings"/>
                    </w:rPr>
                    <w:t></w:t>
                  </w:r>
                </w:p>
              </w:tc>
              <w:tc>
                <w:tcPr>
                  <w:tcW w:w="576" w:type="pct"/>
                </w:tcPr>
                <w:p w14:paraId="257AC4B2" w14:textId="62B161A9" w:rsidR="00425156" w:rsidRDefault="00425156" w:rsidP="00425156">
                  <w:pPr>
                    <w:pStyle w:val="TableBodyText"/>
                  </w:pPr>
                  <w:r w:rsidRPr="00612267">
                    <w:rPr>
                      <w:rFonts w:ascii="Wingdings" w:hAnsi="Wingdings"/>
                    </w:rPr>
                    <w:t></w:t>
                  </w:r>
                </w:p>
              </w:tc>
              <w:tc>
                <w:tcPr>
                  <w:tcW w:w="577" w:type="pct"/>
                </w:tcPr>
                <w:p w14:paraId="71D8B2DC" w14:textId="49FC777F" w:rsidR="00425156" w:rsidRDefault="00425156" w:rsidP="00425156">
                  <w:pPr>
                    <w:pStyle w:val="TableBodyText"/>
                    <w:ind w:right="28"/>
                  </w:pPr>
                </w:p>
              </w:tc>
            </w:tr>
            <w:tr w:rsidR="00425156" w14:paraId="01193CBB" w14:textId="77777777" w:rsidTr="00E3630A">
              <w:tc>
                <w:tcPr>
                  <w:tcW w:w="2665" w:type="pct"/>
                </w:tcPr>
                <w:p w14:paraId="33579440" w14:textId="75811A93" w:rsidR="00425156" w:rsidRPr="00171AC3" w:rsidRDefault="00425156" w:rsidP="00425156">
                  <w:pPr>
                    <w:pStyle w:val="TableBodyText"/>
                    <w:jc w:val="left"/>
                  </w:pPr>
                  <w:r w:rsidRPr="00171AC3">
                    <w:t>Liabilities</w:t>
                  </w:r>
                </w:p>
              </w:tc>
              <w:tc>
                <w:tcPr>
                  <w:tcW w:w="570" w:type="pct"/>
                </w:tcPr>
                <w:p w14:paraId="41DF3384" w14:textId="74E578A1" w:rsidR="00425156" w:rsidRDefault="00425156" w:rsidP="00425156">
                  <w:pPr>
                    <w:pStyle w:val="TableBodyText"/>
                  </w:pPr>
                  <w:r w:rsidRPr="00612267">
                    <w:rPr>
                      <w:rFonts w:ascii="Wingdings" w:hAnsi="Wingdings"/>
                    </w:rPr>
                    <w:t></w:t>
                  </w:r>
                </w:p>
              </w:tc>
              <w:tc>
                <w:tcPr>
                  <w:tcW w:w="611" w:type="pct"/>
                </w:tcPr>
                <w:p w14:paraId="2AC827BF" w14:textId="2251A2D0" w:rsidR="00425156" w:rsidRDefault="00425156" w:rsidP="00425156">
                  <w:pPr>
                    <w:pStyle w:val="TableBodyText"/>
                  </w:pPr>
                  <w:r w:rsidRPr="00612267">
                    <w:rPr>
                      <w:rFonts w:ascii="Wingdings" w:hAnsi="Wingdings"/>
                    </w:rPr>
                    <w:t></w:t>
                  </w:r>
                </w:p>
              </w:tc>
              <w:tc>
                <w:tcPr>
                  <w:tcW w:w="576" w:type="pct"/>
                </w:tcPr>
                <w:p w14:paraId="5BA9873A" w14:textId="30DFD5D0" w:rsidR="00425156" w:rsidRDefault="00425156" w:rsidP="00425156">
                  <w:pPr>
                    <w:pStyle w:val="TableBodyText"/>
                  </w:pPr>
                  <w:r w:rsidRPr="00612267">
                    <w:rPr>
                      <w:rFonts w:ascii="Wingdings" w:hAnsi="Wingdings"/>
                    </w:rPr>
                    <w:t></w:t>
                  </w:r>
                </w:p>
              </w:tc>
              <w:tc>
                <w:tcPr>
                  <w:tcW w:w="577" w:type="pct"/>
                </w:tcPr>
                <w:p w14:paraId="11B5A8CB" w14:textId="77777777" w:rsidR="00425156" w:rsidRPr="00612267" w:rsidRDefault="00425156" w:rsidP="00425156">
                  <w:pPr>
                    <w:pStyle w:val="TableBodyText"/>
                    <w:ind w:right="28"/>
                    <w:rPr>
                      <w:rFonts w:ascii="Wingdings" w:hAnsi="Wingdings"/>
                    </w:rPr>
                  </w:pPr>
                </w:p>
              </w:tc>
            </w:tr>
            <w:tr w:rsidR="00425156" w14:paraId="4F93CA22" w14:textId="77777777" w:rsidTr="00E3630A">
              <w:tc>
                <w:tcPr>
                  <w:tcW w:w="2665" w:type="pct"/>
                </w:tcPr>
                <w:p w14:paraId="16228771" w14:textId="161A54A5" w:rsidR="00425156" w:rsidRPr="00171AC3" w:rsidRDefault="00425156" w:rsidP="00425156">
                  <w:pPr>
                    <w:pStyle w:val="TableBodyText"/>
                    <w:jc w:val="left"/>
                  </w:pPr>
                  <w:r w:rsidRPr="00171AC3">
                    <w:t>Inventories (closing)</w:t>
                  </w:r>
                </w:p>
              </w:tc>
              <w:tc>
                <w:tcPr>
                  <w:tcW w:w="570" w:type="pct"/>
                </w:tcPr>
                <w:p w14:paraId="45B2BCD0" w14:textId="0B2E0DBE" w:rsidR="00425156" w:rsidRDefault="00425156" w:rsidP="00425156">
                  <w:pPr>
                    <w:pStyle w:val="TableBodyText"/>
                  </w:pPr>
                  <w:r w:rsidRPr="00612267">
                    <w:rPr>
                      <w:rFonts w:ascii="Wingdings" w:hAnsi="Wingdings"/>
                    </w:rPr>
                    <w:t></w:t>
                  </w:r>
                </w:p>
              </w:tc>
              <w:tc>
                <w:tcPr>
                  <w:tcW w:w="611" w:type="pct"/>
                </w:tcPr>
                <w:p w14:paraId="75024B54" w14:textId="00D1F6A9" w:rsidR="00425156" w:rsidRDefault="00425156" w:rsidP="00425156">
                  <w:pPr>
                    <w:pStyle w:val="TableBodyText"/>
                  </w:pPr>
                  <w:r w:rsidRPr="00612267">
                    <w:rPr>
                      <w:rFonts w:ascii="Wingdings" w:hAnsi="Wingdings"/>
                    </w:rPr>
                    <w:t></w:t>
                  </w:r>
                </w:p>
              </w:tc>
              <w:tc>
                <w:tcPr>
                  <w:tcW w:w="576" w:type="pct"/>
                </w:tcPr>
                <w:p w14:paraId="7410D890" w14:textId="11F0738F" w:rsidR="00425156" w:rsidRDefault="00425156" w:rsidP="00425156">
                  <w:pPr>
                    <w:pStyle w:val="TableBodyText"/>
                  </w:pPr>
                  <w:r w:rsidRPr="00612267">
                    <w:rPr>
                      <w:rFonts w:ascii="Wingdings" w:hAnsi="Wingdings"/>
                    </w:rPr>
                    <w:t></w:t>
                  </w:r>
                </w:p>
              </w:tc>
              <w:tc>
                <w:tcPr>
                  <w:tcW w:w="577" w:type="pct"/>
                </w:tcPr>
                <w:p w14:paraId="455100AD" w14:textId="508DF756" w:rsidR="00425156" w:rsidRPr="00612267" w:rsidRDefault="00425156" w:rsidP="00425156">
                  <w:pPr>
                    <w:pStyle w:val="TableBodyText"/>
                    <w:ind w:right="28"/>
                    <w:rPr>
                      <w:rFonts w:ascii="Wingdings" w:hAnsi="Wingdings"/>
                    </w:rPr>
                  </w:pPr>
                  <w:r w:rsidRPr="00612267">
                    <w:rPr>
                      <w:rFonts w:ascii="Wingdings" w:hAnsi="Wingdings"/>
                    </w:rPr>
                    <w:t></w:t>
                  </w:r>
                </w:p>
              </w:tc>
            </w:tr>
            <w:tr w:rsidR="00737E8D" w14:paraId="0A871EAB" w14:textId="77777777" w:rsidTr="00E3630A">
              <w:tc>
                <w:tcPr>
                  <w:tcW w:w="2665" w:type="pct"/>
                </w:tcPr>
                <w:p w14:paraId="6604D0D6" w14:textId="2DB028DD" w:rsidR="00737E8D" w:rsidRPr="00171AC3" w:rsidRDefault="00737E8D" w:rsidP="00737E8D">
                  <w:pPr>
                    <w:pStyle w:val="TableBodyText"/>
                    <w:jc w:val="left"/>
                  </w:pPr>
                  <w:r w:rsidRPr="00171AC3">
                    <w:t>Purchases and other costs</w:t>
                  </w:r>
                </w:p>
              </w:tc>
              <w:tc>
                <w:tcPr>
                  <w:tcW w:w="570" w:type="pct"/>
                </w:tcPr>
                <w:p w14:paraId="61CC9E92" w14:textId="5A1C82D2" w:rsidR="00737E8D" w:rsidRDefault="00737E8D" w:rsidP="00737E8D">
                  <w:pPr>
                    <w:pStyle w:val="TableBodyText"/>
                  </w:pPr>
                  <w:r w:rsidRPr="00612267">
                    <w:rPr>
                      <w:rFonts w:ascii="Wingdings" w:hAnsi="Wingdings"/>
                    </w:rPr>
                    <w:t></w:t>
                  </w:r>
                </w:p>
              </w:tc>
              <w:tc>
                <w:tcPr>
                  <w:tcW w:w="611" w:type="pct"/>
                </w:tcPr>
                <w:p w14:paraId="01EC3869" w14:textId="12D398A5" w:rsidR="00737E8D" w:rsidRDefault="00737E8D" w:rsidP="00737E8D">
                  <w:pPr>
                    <w:pStyle w:val="TableBodyText"/>
                  </w:pPr>
                  <w:r w:rsidRPr="00612267">
                    <w:rPr>
                      <w:rFonts w:ascii="Wingdings" w:hAnsi="Wingdings"/>
                    </w:rPr>
                    <w:t></w:t>
                  </w:r>
                </w:p>
              </w:tc>
              <w:tc>
                <w:tcPr>
                  <w:tcW w:w="576" w:type="pct"/>
                </w:tcPr>
                <w:p w14:paraId="5E3CC0CD" w14:textId="5A93AA10" w:rsidR="00737E8D" w:rsidRDefault="00737E8D" w:rsidP="00737E8D">
                  <w:pPr>
                    <w:pStyle w:val="TableBodyText"/>
                  </w:pPr>
                  <w:r w:rsidRPr="00612267">
                    <w:rPr>
                      <w:rFonts w:ascii="Wingdings" w:hAnsi="Wingdings"/>
                    </w:rPr>
                    <w:t></w:t>
                  </w:r>
                </w:p>
              </w:tc>
              <w:tc>
                <w:tcPr>
                  <w:tcW w:w="577" w:type="pct"/>
                </w:tcPr>
                <w:p w14:paraId="5BBD5C34" w14:textId="6DF00386" w:rsidR="00737E8D" w:rsidRPr="00612267" w:rsidRDefault="00737E8D" w:rsidP="00737E8D">
                  <w:pPr>
                    <w:pStyle w:val="TableBodyText"/>
                    <w:ind w:right="28"/>
                    <w:rPr>
                      <w:rFonts w:ascii="Wingdings" w:hAnsi="Wingdings"/>
                    </w:rPr>
                  </w:pPr>
                  <w:r w:rsidRPr="00612267">
                    <w:rPr>
                      <w:rFonts w:ascii="Wingdings" w:hAnsi="Wingdings"/>
                    </w:rPr>
                    <w:t></w:t>
                  </w:r>
                </w:p>
              </w:tc>
            </w:tr>
            <w:tr w:rsidR="00737E8D" w14:paraId="08476067" w14:textId="77777777" w:rsidTr="00E3630A">
              <w:tc>
                <w:tcPr>
                  <w:tcW w:w="2665" w:type="pct"/>
                </w:tcPr>
                <w:p w14:paraId="1D2D068F" w14:textId="2BC4121C" w:rsidR="00737E8D" w:rsidRPr="00171AC3" w:rsidRDefault="00737E8D" w:rsidP="00737E8D">
                  <w:pPr>
                    <w:pStyle w:val="TableBodyText"/>
                    <w:jc w:val="left"/>
                  </w:pPr>
                  <w:r w:rsidRPr="00171AC3">
                    <w:t>Inventories (opening)</w:t>
                  </w:r>
                </w:p>
              </w:tc>
              <w:tc>
                <w:tcPr>
                  <w:tcW w:w="570" w:type="pct"/>
                </w:tcPr>
                <w:p w14:paraId="63616753" w14:textId="1BF77B57" w:rsidR="00737E8D" w:rsidRDefault="00737E8D" w:rsidP="00737E8D">
                  <w:pPr>
                    <w:pStyle w:val="TableBodyText"/>
                  </w:pPr>
                  <w:r w:rsidRPr="00612267">
                    <w:rPr>
                      <w:rFonts w:ascii="Wingdings" w:hAnsi="Wingdings"/>
                    </w:rPr>
                    <w:t></w:t>
                  </w:r>
                </w:p>
              </w:tc>
              <w:tc>
                <w:tcPr>
                  <w:tcW w:w="611" w:type="pct"/>
                </w:tcPr>
                <w:p w14:paraId="2AC5D104" w14:textId="004370CE" w:rsidR="00737E8D" w:rsidRDefault="00737E8D" w:rsidP="00737E8D">
                  <w:pPr>
                    <w:pStyle w:val="TableBodyText"/>
                  </w:pPr>
                  <w:r w:rsidRPr="00612267">
                    <w:rPr>
                      <w:rFonts w:ascii="Wingdings" w:hAnsi="Wingdings"/>
                    </w:rPr>
                    <w:t></w:t>
                  </w:r>
                </w:p>
              </w:tc>
              <w:tc>
                <w:tcPr>
                  <w:tcW w:w="576" w:type="pct"/>
                </w:tcPr>
                <w:p w14:paraId="01F05595" w14:textId="364B4B27" w:rsidR="00737E8D" w:rsidRDefault="00737E8D" w:rsidP="00737E8D">
                  <w:pPr>
                    <w:pStyle w:val="TableBodyText"/>
                  </w:pPr>
                  <w:r w:rsidRPr="00612267">
                    <w:rPr>
                      <w:rFonts w:ascii="Wingdings" w:hAnsi="Wingdings"/>
                    </w:rPr>
                    <w:t></w:t>
                  </w:r>
                </w:p>
              </w:tc>
              <w:tc>
                <w:tcPr>
                  <w:tcW w:w="577" w:type="pct"/>
                </w:tcPr>
                <w:p w14:paraId="7C0FE168" w14:textId="018EF97B" w:rsidR="00737E8D" w:rsidRPr="00612267" w:rsidRDefault="00737E8D" w:rsidP="00737E8D">
                  <w:pPr>
                    <w:pStyle w:val="TableBodyText"/>
                    <w:ind w:right="28"/>
                    <w:rPr>
                      <w:rFonts w:ascii="Wingdings" w:hAnsi="Wingdings"/>
                    </w:rPr>
                  </w:pPr>
                  <w:r w:rsidRPr="00612267">
                    <w:rPr>
                      <w:rFonts w:ascii="Wingdings" w:hAnsi="Wingdings"/>
                    </w:rPr>
                    <w:t></w:t>
                  </w:r>
                </w:p>
              </w:tc>
            </w:tr>
            <w:tr w:rsidR="00737E8D" w14:paraId="7E3A6A86" w14:textId="77777777" w:rsidTr="00E3630A">
              <w:tc>
                <w:tcPr>
                  <w:tcW w:w="2665" w:type="pct"/>
                </w:tcPr>
                <w:p w14:paraId="0388399C" w14:textId="65058B2B" w:rsidR="00737E8D" w:rsidRPr="00171AC3" w:rsidRDefault="00737E8D" w:rsidP="00737E8D">
                  <w:pPr>
                    <w:pStyle w:val="TableBodyText"/>
                    <w:jc w:val="left"/>
                  </w:pPr>
                  <w:r w:rsidRPr="00171AC3">
                    <w:t>Trade creditors</w:t>
                  </w:r>
                </w:p>
              </w:tc>
              <w:tc>
                <w:tcPr>
                  <w:tcW w:w="570" w:type="pct"/>
                </w:tcPr>
                <w:p w14:paraId="1C16BD89" w14:textId="20B8E643" w:rsidR="00737E8D" w:rsidRDefault="00737E8D" w:rsidP="00737E8D">
                  <w:pPr>
                    <w:pStyle w:val="TableBodyText"/>
                  </w:pPr>
                  <w:r w:rsidRPr="00612267">
                    <w:rPr>
                      <w:rFonts w:ascii="Wingdings" w:hAnsi="Wingdings"/>
                    </w:rPr>
                    <w:t></w:t>
                  </w:r>
                </w:p>
              </w:tc>
              <w:tc>
                <w:tcPr>
                  <w:tcW w:w="611" w:type="pct"/>
                </w:tcPr>
                <w:p w14:paraId="2F71FC86" w14:textId="70665E05" w:rsidR="00737E8D" w:rsidRDefault="00737E8D" w:rsidP="00737E8D">
                  <w:pPr>
                    <w:pStyle w:val="TableBodyText"/>
                  </w:pPr>
                  <w:r w:rsidRPr="00612267">
                    <w:rPr>
                      <w:rFonts w:ascii="Wingdings" w:hAnsi="Wingdings"/>
                    </w:rPr>
                    <w:t></w:t>
                  </w:r>
                </w:p>
              </w:tc>
              <w:tc>
                <w:tcPr>
                  <w:tcW w:w="576" w:type="pct"/>
                </w:tcPr>
                <w:p w14:paraId="42F16CA8" w14:textId="2231E32C" w:rsidR="00737E8D" w:rsidRDefault="00737E8D" w:rsidP="00737E8D">
                  <w:pPr>
                    <w:pStyle w:val="TableBodyText"/>
                  </w:pPr>
                  <w:r w:rsidRPr="00612267">
                    <w:rPr>
                      <w:rFonts w:ascii="Wingdings" w:hAnsi="Wingdings"/>
                    </w:rPr>
                    <w:t></w:t>
                  </w:r>
                </w:p>
              </w:tc>
              <w:tc>
                <w:tcPr>
                  <w:tcW w:w="577" w:type="pct"/>
                </w:tcPr>
                <w:p w14:paraId="42E249EA" w14:textId="6EE4E47A" w:rsidR="00737E8D" w:rsidRPr="00612267" w:rsidRDefault="00737E8D" w:rsidP="00737E8D">
                  <w:pPr>
                    <w:pStyle w:val="TableBodyText"/>
                    <w:ind w:right="28"/>
                    <w:rPr>
                      <w:rFonts w:ascii="Wingdings" w:hAnsi="Wingdings"/>
                    </w:rPr>
                  </w:pPr>
                  <w:r w:rsidRPr="00612267">
                    <w:rPr>
                      <w:rFonts w:ascii="Wingdings" w:hAnsi="Wingdings"/>
                    </w:rPr>
                    <w:t></w:t>
                  </w:r>
                </w:p>
              </w:tc>
            </w:tr>
            <w:tr w:rsidR="00737E8D" w14:paraId="2C4CB8BD" w14:textId="77777777" w:rsidTr="00E3630A">
              <w:tc>
                <w:tcPr>
                  <w:tcW w:w="2665" w:type="pct"/>
                </w:tcPr>
                <w:p w14:paraId="44C7068D" w14:textId="5E1DFFD3" w:rsidR="00737E8D" w:rsidRPr="00171AC3" w:rsidRDefault="00737E8D" w:rsidP="00737E8D">
                  <w:pPr>
                    <w:pStyle w:val="TableBodyText"/>
                    <w:jc w:val="left"/>
                  </w:pPr>
                  <w:r w:rsidRPr="00171AC3">
                    <w:t>Trade debtors</w:t>
                  </w:r>
                </w:p>
              </w:tc>
              <w:tc>
                <w:tcPr>
                  <w:tcW w:w="570" w:type="pct"/>
                </w:tcPr>
                <w:p w14:paraId="22532DD2" w14:textId="3FEC23E2" w:rsidR="00737E8D" w:rsidRDefault="00737E8D" w:rsidP="00737E8D">
                  <w:pPr>
                    <w:pStyle w:val="TableBodyText"/>
                  </w:pPr>
                  <w:r w:rsidRPr="00612267">
                    <w:rPr>
                      <w:rFonts w:ascii="Wingdings" w:hAnsi="Wingdings"/>
                    </w:rPr>
                    <w:t></w:t>
                  </w:r>
                </w:p>
              </w:tc>
              <w:tc>
                <w:tcPr>
                  <w:tcW w:w="611" w:type="pct"/>
                </w:tcPr>
                <w:p w14:paraId="6C11A44F" w14:textId="612973F6" w:rsidR="00737E8D" w:rsidRDefault="00737E8D" w:rsidP="00737E8D">
                  <w:pPr>
                    <w:pStyle w:val="TableBodyText"/>
                  </w:pPr>
                  <w:r w:rsidRPr="00612267">
                    <w:rPr>
                      <w:rFonts w:ascii="Wingdings" w:hAnsi="Wingdings"/>
                    </w:rPr>
                    <w:t></w:t>
                  </w:r>
                </w:p>
              </w:tc>
              <w:tc>
                <w:tcPr>
                  <w:tcW w:w="576" w:type="pct"/>
                </w:tcPr>
                <w:p w14:paraId="7BD94E6D" w14:textId="0E527C90" w:rsidR="00737E8D" w:rsidRDefault="00737E8D" w:rsidP="00737E8D">
                  <w:pPr>
                    <w:pStyle w:val="TableBodyText"/>
                  </w:pPr>
                  <w:r w:rsidRPr="00612267">
                    <w:rPr>
                      <w:rFonts w:ascii="Wingdings" w:hAnsi="Wingdings"/>
                    </w:rPr>
                    <w:t></w:t>
                  </w:r>
                </w:p>
              </w:tc>
              <w:tc>
                <w:tcPr>
                  <w:tcW w:w="577" w:type="pct"/>
                </w:tcPr>
                <w:p w14:paraId="5AA2A2CF" w14:textId="0D814BC6" w:rsidR="00737E8D" w:rsidRPr="00612267" w:rsidRDefault="00737E8D" w:rsidP="00737E8D">
                  <w:pPr>
                    <w:pStyle w:val="TableBodyText"/>
                    <w:ind w:right="28"/>
                    <w:rPr>
                      <w:rFonts w:ascii="Wingdings" w:hAnsi="Wingdings"/>
                    </w:rPr>
                  </w:pPr>
                  <w:r w:rsidRPr="00612267">
                    <w:rPr>
                      <w:rFonts w:ascii="Wingdings" w:hAnsi="Wingdings"/>
                    </w:rPr>
                    <w:t></w:t>
                  </w:r>
                </w:p>
              </w:tc>
            </w:tr>
            <w:tr w:rsidR="00737E8D" w14:paraId="61D4274A" w14:textId="77777777" w:rsidTr="00E3630A">
              <w:tc>
                <w:tcPr>
                  <w:tcW w:w="2665" w:type="pct"/>
                </w:tcPr>
                <w:p w14:paraId="561B4607" w14:textId="3444ABE5" w:rsidR="00737E8D" w:rsidRPr="00171AC3" w:rsidRDefault="00737E8D" w:rsidP="00737E8D">
                  <w:pPr>
                    <w:pStyle w:val="TableBodyText"/>
                    <w:jc w:val="left"/>
                  </w:pPr>
                  <w:r w:rsidRPr="00171AC3">
                    <w:t xml:space="preserve">Total salary and wage expenses </w:t>
                  </w:r>
                </w:p>
              </w:tc>
              <w:tc>
                <w:tcPr>
                  <w:tcW w:w="570" w:type="pct"/>
                </w:tcPr>
                <w:p w14:paraId="6F5A51E8" w14:textId="4983362D" w:rsidR="00737E8D" w:rsidRDefault="00737E8D" w:rsidP="00737E8D">
                  <w:pPr>
                    <w:pStyle w:val="TableBodyText"/>
                  </w:pPr>
                  <w:r w:rsidRPr="00612267">
                    <w:rPr>
                      <w:rFonts w:ascii="Wingdings" w:hAnsi="Wingdings"/>
                    </w:rPr>
                    <w:t></w:t>
                  </w:r>
                </w:p>
              </w:tc>
              <w:tc>
                <w:tcPr>
                  <w:tcW w:w="611" w:type="pct"/>
                </w:tcPr>
                <w:p w14:paraId="7705298A" w14:textId="49C228D9" w:rsidR="00737E8D" w:rsidRDefault="00737E8D" w:rsidP="00737E8D">
                  <w:pPr>
                    <w:pStyle w:val="TableBodyText"/>
                  </w:pPr>
                  <w:r w:rsidRPr="00612267">
                    <w:rPr>
                      <w:rFonts w:ascii="Wingdings" w:hAnsi="Wingdings"/>
                    </w:rPr>
                    <w:t></w:t>
                  </w:r>
                </w:p>
              </w:tc>
              <w:tc>
                <w:tcPr>
                  <w:tcW w:w="576" w:type="pct"/>
                </w:tcPr>
                <w:p w14:paraId="1C178181" w14:textId="38A5F821" w:rsidR="00737E8D" w:rsidRDefault="00737E8D" w:rsidP="00737E8D">
                  <w:pPr>
                    <w:pStyle w:val="TableBodyText"/>
                  </w:pPr>
                  <w:r w:rsidRPr="00612267">
                    <w:rPr>
                      <w:rFonts w:ascii="Wingdings" w:hAnsi="Wingdings"/>
                    </w:rPr>
                    <w:t></w:t>
                  </w:r>
                </w:p>
              </w:tc>
              <w:tc>
                <w:tcPr>
                  <w:tcW w:w="577" w:type="pct"/>
                </w:tcPr>
                <w:p w14:paraId="4CCFFAC5" w14:textId="522CE806" w:rsidR="00737E8D" w:rsidRPr="00612267" w:rsidRDefault="00737E8D" w:rsidP="00737E8D">
                  <w:pPr>
                    <w:pStyle w:val="TableBodyText"/>
                    <w:ind w:right="28"/>
                    <w:rPr>
                      <w:rFonts w:ascii="Wingdings" w:hAnsi="Wingdings"/>
                    </w:rPr>
                  </w:pPr>
                  <w:r w:rsidRPr="00612267">
                    <w:rPr>
                      <w:rFonts w:ascii="Wingdings" w:hAnsi="Wingdings"/>
                    </w:rPr>
                    <w:t></w:t>
                  </w:r>
                </w:p>
              </w:tc>
            </w:tr>
            <w:tr w:rsidR="00737E8D" w14:paraId="58A11488" w14:textId="77777777" w:rsidTr="00E3630A">
              <w:tc>
                <w:tcPr>
                  <w:tcW w:w="2665" w:type="pct"/>
                </w:tcPr>
                <w:p w14:paraId="5D3F928E" w14:textId="1FCE0673" w:rsidR="00737E8D" w:rsidRPr="00171AC3" w:rsidRDefault="00737E8D" w:rsidP="00737E8D">
                  <w:pPr>
                    <w:pStyle w:val="TableBodyText"/>
                    <w:jc w:val="left"/>
                  </w:pPr>
                  <w:r w:rsidRPr="00171AC3">
                    <w:t>Payments to associated persons</w:t>
                  </w:r>
                </w:p>
              </w:tc>
              <w:tc>
                <w:tcPr>
                  <w:tcW w:w="570" w:type="pct"/>
                </w:tcPr>
                <w:p w14:paraId="6AE63A09" w14:textId="3DDA1C34" w:rsidR="00737E8D" w:rsidRDefault="00737E8D" w:rsidP="00737E8D">
                  <w:pPr>
                    <w:pStyle w:val="TableBodyText"/>
                  </w:pPr>
                  <w:r w:rsidRPr="00612267">
                    <w:rPr>
                      <w:rFonts w:ascii="Wingdings" w:hAnsi="Wingdings"/>
                    </w:rPr>
                    <w:t></w:t>
                  </w:r>
                </w:p>
              </w:tc>
              <w:tc>
                <w:tcPr>
                  <w:tcW w:w="611" w:type="pct"/>
                </w:tcPr>
                <w:p w14:paraId="1D4D4D0E" w14:textId="7378DA18" w:rsidR="00737E8D" w:rsidRDefault="00737E8D" w:rsidP="00737E8D">
                  <w:pPr>
                    <w:pStyle w:val="TableBodyText"/>
                  </w:pPr>
                  <w:r w:rsidRPr="00612267">
                    <w:rPr>
                      <w:rFonts w:ascii="Wingdings" w:hAnsi="Wingdings"/>
                    </w:rPr>
                    <w:t></w:t>
                  </w:r>
                </w:p>
              </w:tc>
              <w:tc>
                <w:tcPr>
                  <w:tcW w:w="576" w:type="pct"/>
                </w:tcPr>
                <w:p w14:paraId="3991C736" w14:textId="7E53B770" w:rsidR="00737E8D" w:rsidRDefault="00737E8D" w:rsidP="00737E8D">
                  <w:pPr>
                    <w:pStyle w:val="TableBodyText"/>
                  </w:pPr>
                  <w:r w:rsidRPr="00612267">
                    <w:rPr>
                      <w:rFonts w:ascii="Wingdings" w:hAnsi="Wingdings"/>
                    </w:rPr>
                    <w:t></w:t>
                  </w:r>
                </w:p>
              </w:tc>
              <w:tc>
                <w:tcPr>
                  <w:tcW w:w="577" w:type="pct"/>
                </w:tcPr>
                <w:p w14:paraId="28943424" w14:textId="6CB1331A" w:rsidR="00737E8D" w:rsidRPr="00612267" w:rsidRDefault="00737E8D" w:rsidP="00737E8D">
                  <w:pPr>
                    <w:pStyle w:val="TableBodyText"/>
                    <w:ind w:right="28"/>
                    <w:rPr>
                      <w:rFonts w:ascii="Wingdings" w:hAnsi="Wingdings"/>
                    </w:rPr>
                  </w:pPr>
                  <w:r w:rsidRPr="00612267">
                    <w:rPr>
                      <w:rFonts w:ascii="Wingdings" w:hAnsi="Wingdings"/>
                    </w:rPr>
                    <w:t></w:t>
                  </w:r>
                </w:p>
              </w:tc>
            </w:tr>
            <w:tr w:rsidR="00A63160" w14:paraId="328590EF" w14:textId="77777777" w:rsidTr="00E3630A">
              <w:tc>
                <w:tcPr>
                  <w:tcW w:w="2665" w:type="pct"/>
                </w:tcPr>
                <w:p w14:paraId="78A28850" w14:textId="7E570ED7" w:rsidR="00A63160" w:rsidRPr="00171AC3" w:rsidRDefault="00A63160" w:rsidP="00A63160">
                  <w:pPr>
                    <w:pStyle w:val="TableBodyText"/>
                    <w:jc w:val="left"/>
                  </w:pPr>
                  <w:r w:rsidRPr="00171AC3">
                    <w:t>Net foreign income</w:t>
                  </w:r>
                </w:p>
              </w:tc>
              <w:tc>
                <w:tcPr>
                  <w:tcW w:w="570" w:type="pct"/>
                </w:tcPr>
                <w:p w14:paraId="0E545037" w14:textId="182D398E" w:rsidR="00A63160" w:rsidRDefault="00A63160" w:rsidP="00A63160">
                  <w:pPr>
                    <w:pStyle w:val="TableBodyText"/>
                  </w:pPr>
                  <w:r w:rsidRPr="00612267">
                    <w:rPr>
                      <w:rFonts w:ascii="Wingdings" w:hAnsi="Wingdings"/>
                    </w:rPr>
                    <w:t></w:t>
                  </w:r>
                </w:p>
              </w:tc>
              <w:tc>
                <w:tcPr>
                  <w:tcW w:w="611" w:type="pct"/>
                </w:tcPr>
                <w:p w14:paraId="5395F7DD" w14:textId="6620B46A" w:rsidR="00A63160" w:rsidRDefault="00A63160" w:rsidP="00A63160">
                  <w:pPr>
                    <w:pStyle w:val="TableBodyText"/>
                  </w:pPr>
                  <w:r w:rsidRPr="00612267">
                    <w:rPr>
                      <w:rFonts w:ascii="Wingdings" w:hAnsi="Wingdings"/>
                    </w:rPr>
                    <w:t></w:t>
                  </w:r>
                </w:p>
              </w:tc>
              <w:tc>
                <w:tcPr>
                  <w:tcW w:w="576" w:type="pct"/>
                </w:tcPr>
                <w:p w14:paraId="3B52C7BB" w14:textId="0FB63C60" w:rsidR="00A63160" w:rsidRDefault="00A63160" w:rsidP="00A63160">
                  <w:pPr>
                    <w:pStyle w:val="TableBodyText"/>
                  </w:pPr>
                </w:p>
              </w:tc>
              <w:tc>
                <w:tcPr>
                  <w:tcW w:w="577" w:type="pct"/>
                </w:tcPr>
                <w:p w14:paraId="71C520BB" w14:textId="5D36D7A2" w:rsidR="00A63160" w:rsidRPr="00612267" w:rsidRDefault="00A63160" w:rsidP="00A63160">
                  <w:pPr>
                    <w:pStyle w:val="TableBodyText"/>
                    <w:ind w:right="28"/>
                    <w:rPr>
                      <w:rFonts w:ascii="Wingdings" w:hAnsi="Wingdings"/>
                    </w:rPr>
                  </w:pPr>
                </w:p>
              </w:tc>
            </w:tr>
          </w:tbl>
          <w:p w14:paraId="75E1084F" w14:textId="77777777" w:rsidR="00D328BD" w:rsidRDefault="00D328BD" w:rsidP="00E3630A">
            <w:pPr>
              <w:pStyle w:val="Box"/>
            </w:pPr>
          </w:p>
        </w:tc>
      </w:tr>
      <w:tr w:rsidR="00D328BD" w14:paraId="1A1F033D" w14:textId="77777777" w:rsidTr="00E3630A">
        <w:tc>
          <w:tcPr>
            <w:tcW w:w="5000" w:type="pct"/>
            <w:tcBorders>
              <w:top w:val="nil"/>
              <w:left w:val="nil"/>
              <w:bottom w:val="nil"/>
              <w:right w:val="nil"/>
            </w:tcBorders>
            <w:shd w:val="clear" w:color="auto" w:fill="auto"/>
          </w:tcPr>
          <w:p w14:paraId="64D352DE" w14:textId="36E1FD23" w:rsidR="00D328BD" w:rsidRDefault="00D328BD" w:rsidP="00D328BD">
            <w:pPr>
              <w:pStyle w:val="Source"/>
              <w:jc w:val="right"/>
            </w:pPr>
            <w:r>
              <w:t>(continued)</w:t>
            </w:r>
          </w:p>
        </w:tc>
      </w:tr>
      <w:tr w:rsidR="00D328BD" w14:paraId="58320AFC" w14:textId="77777777" w:rsidTr="00E3630A">
        <w:tc>
          <w:tcPr>
            <w:tcW w:w="5000" w:type="pct"/>
            <w:tcBorders>
              <w:top w:val="nil"/>
              <w:left w:val="nil"/>
              <w:bottom w:val="single" w:sz="6" w:space="0" w:color="78A22F"/>
              <w:right w:val="nil"/>
            </w:tcBorders>
            <w:shd w:val="clear" w:color="auto" w:fill="auto"/>
          </w:tcPr>
          <w:p w14:paraId="32CC06EA" w14:textId="77777777" w:rsidR="00D328BD" w:rsidRDefault="00D328BD" w:rsidP="00E3630A">
            <w:pPr>
              <w:pStyle w:val="Box"/>
              <w:spacing w:before="0" w:line="120" w:lineRule="exact"/>
            </w:pPr>
          </w:p>
        </w:tc>
      </w:tr>
      <w:tr w:rsidR="00D328BD" w:rsidRPr="000863A5" w14:paraId="2786BE7B" w14:textId="77777777" w:rsidTr="00E3630A">
        <w:tc>
          <w:tcPr>
            <w:tcW w:w="5000" w:type="pct"/>
            <w:tcBorders>
              <w:top w:val="single" w:sz="6" w:space="0" w:color="78A22F"/>
              <w:left w:val="nil"/>
              <w:bottom w:val="nil"/>
              <w:right w:val="nil"/>
            </w:tcBorders>
          </w:tcPr>
          <w:p w14:paraId="12DC466F" w14:textId="79CF718A" w:rsidR="00D328BD" w:rsidRPr="00626D32" w:rsidRDefault="00D328BD" w:rsidP="00E3630A">
            <w:pPr>
              <w:pStyle w:val="BoxSpaceBelow"/>
            </w:pPr>
          </w:p>
        </w:tc>
      </w:tr>
    </w:tbl>
    <w:p w14:paraId="1A97819F" w14:textId="2643A349" w:rsidR="00EC5476" w:rsidRDefault="00EC5476" w:rsidP="00E3630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C5476" w14:paraId="4D66567C" w14:textId="77777777" w:rsidTr="00E3630A">
        <w:trPr>
          <w:tblHeader/>
        </w:trPr>
        <w:tc>
          <w:tcPr>
            <w:tcW w:w="5000" w:type="pct"/>
            <w:tcBorders>
              <w:top w:val="single" w:sz="6" w:space="0" w:color="78A22F"/>
              <w:left w:val="nil"/>
              <w:bottom w:val="nil"/>
              <w:right w:val="nil"/>
            </w:tcBorders>
            <w:shd w:val="clear" w:color="auto" w:fill="auto"/>
          </w:tcPr>
          <w:p w14:paraId="78FAC48A" w14:textId="30B9D26C" w:rsidR="001D763C" w:rsidRDefault="00EC5476" w:rsidP="001D763C">
            <w:pPr>
              <w:pStyle w:val="TableTitle"/>
            </w:pPr>
            <w:r>
              <w:rPr>
                <w:b w:val="0"/>
              </w:rPr>
              <w:t xml:space="preserve">Table </w:t>
            </w:r>
            <w:r w:rsidR="007169DF">
              <w:rPr>
                <w:b w:val="0"/>
              </w:rPr>
              <w:t>B.1</w:t>
            </w:r>
            <w:r>
              <w:tab/>
            </w:r>
            <w:r w:rsidR="001D763C" w:rsidRPr="00DB79BC">
              <w:rPr>
                <w:b w:val="0"/>
                <w:bCs/>
                <w:sz w:val="18"/>
                <w:szCs w:val="18"/>
              </w:rPr>
              <w:t>(continued)</w:t>
            </w:r>
          </w:p>
          <w:p w14:paraId="616A7DBB" w14:textId="2004FBD7" w:rsidR="00EC5476" w:rsidRPr="00784A05" w:rsidRDefault="00ED6E23" w:rsidP="00E3630A">
            <w:pPr>
              <w:pStyle w:val="Subtitle"/>
            </w:pPr>
            <w:r w:rsidRPr="00ED6E23">
              <w:t>Variables included by type of business entity</w:t>
            </w:r>
          </w:p>
        </w:tc>
      </w:tr>
      <w:tr w:rsidR="00EC5476" w14:paraId="18201A8D" w14:textId="77777777" w:rsidTr="00E3630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107"/>
              <w:gridCol w:w="1135"/>
              <w:gridCol w:w="1135"/>
              <w:gridCol w:w="1133"/>
              <w:gridCol w:w="995"/>
            </w:tblGrid>
            <w:tr w:rsidR="008F4AF6" w14:paraId="202C9031" w14:textId="77777777" w:rsidTr="008F4AF6">
              <w:trPr>
                <w:tblHeader/>
              </w:trPr>
              <w:tc>
                <w:tcPr>
                  <w:tcW w:w="2414" w:type="pct"/>
                  <w:tcBorders>
                    <w:top w:val="single" w:sz="6" w:space="0" w:color="BFBFBF"/>
                    <w:bottom w:val="single" w:sz="6" w:space="0" w:color="BFBFBF"/>
                  </w:tcBorders>
                  <w:shd w:val="clear" w:color="auto" w:fill="auto"/>
                  <w:tcMar>
                    <w:top w:w="28" w:type="dxa"/>
                  </w:tcMar>
                </w:tcPr>
                <w:p w14:paraId="6A10ADEF" w14:textId="77777777" w:rsidR="008F4AF6" w:rsidRDefault="008F4AF6" w:rsidP="008F4AF6">
                  <w:pPr>
                    <w:pStyle w:val="TableColumnHeading"/>
                    <w:jc w:val="left"/>
                  </w:pPr>
                </w:p>
              </w:tc>
              <w:tc>
                <w:tcPr>
                  <w:tcW w:w="667" w:type="pct"/>
                  <w:tcBorders>
                    <w:top w:val="single" w:sz="6" w:space="0" w:color="BFBFBF"/>
                    <w:bottom w:val="single" w:sz="6" w:space="0" w:color="BFBFBF"/>
                  </w:tcBorders>
                </w:tcPr>
                <w:p w14:paraId="1CED9054" w14:textId="5D833E4F" w:rsidR="008F4AF6" w:rsidRDefault="008F4AF6" w:rsidP="008F4AF6">
                  <w:pPr>
                    <w:pStyle w:val="TableColumnHeading"/>
                  </w:pPr>
                  <w:r w:rsidRPr="00AC5269">
                    <w:t>Company form</w:t>
                  </w:r>
                </w:p>
              </w:tc>
              <w:tc>
                <w:tcPr>
                  <w:tcW w:w="667" w:type="pct"/>
                  <w:tcBorders>
                    <w:top w:val="single" w:sz="6" w:space="0" w:color="BFBFBF"/>
                    <w:bottom w:val="single" w:sz="6" w:space="0" w:color="BFBFBF"/>
                  </w:tcBorders>
                </w:tcPr>
                <w:p w14:paraId="487FBC05" w14:textId="0EFA3E8F" w:rsidR="008F4AF6" w:rsidRDefault="008F4AF6" w:rsidP="008F4AF6">
                  <w:pPr>
                    <w:pStyle w:val="TableColumnHeading"/>
                  </w:pPr>
                  <w:r w:rsidRPr="00AC5269">
                    <w:t>Partnership form</w:t>
                  </w:r>
                </w:p>
              </w:tc>
              <w:tc>
                <w:tcPr>
                  <w:tcW w:w="666" w:type="pct"/>
                  <w:tcBorders>
                    <w:top w:val="single" w:sz="6" w:space="0" w:color="BFBFBF"/>
                    <w:bottom w:val="single" w:sz="6" w:space="0" w:color="BFBFBF"/>
                  </w:tcBorders>
                  <w:shd w:val="clear" w:color="auto" w:fill="auto"/>
                  <w:tcMar>
                    <w:top w:w="28" w:type="dxa"/>
                  </w:tcMar>
                </w:tcPr>
                <w:p w14:paraId="60C6AC92" w14:textId="313EAFF8" w:rsidR="008F4AF6" w:rsidRDefault="008F4AF6" w:rsidP="008F4AF6">
                  <w:pPr>
                    <w:pStyle w:val="TableColumnHeading"/>
                  </w:pPr>
                  <w:r w:rsidRPr="00AC5269">
                    <w:t>Trust form</w:t>
                  </w:r>
                </w:p>
              </w:tc>
              <w:tc>
                <w:tcPr>
                  <w:tcW w:w="585" w:type="pct"/>
                  <w:tcBorders>
                    <w:top w:val="single" w:sz="6" w:space="0" w:color="BFBFBF"/>
                    <w:bottom w:val="single" w:sz="6" w:space="0" w:color="BFBFBF"/>
                  </w:tcBorders>
                  <w:shd w:val="clear" w:color="auto" w:fill="auto"/>
                  <w:tcMar>
                    <w:top w:w="28" w:type="dxa"/>
                  </w:tcMar>
                </w:tcPr>
                <w:p w14:paraId="40D756DF" w14:textId="4CF18387" w:rsidR="008F4AF6" w:rsidRDefault="008F4AF6" w:rsidP="008F4AF6">
                  <w:pPr>
                    <w:pStyle w:val="TableColumnHeading"/>
                    <w:ind w:right="28"/>
                  </w:pPr>
                  <w:r w:rsidRPr="00AC5269">
                    <w:t>Individual form</w:t>
                  </w:r>
                </w:p>
              </w:tc>
            </w:tr>
            <w:tr w:rsidR="008F4AF6" w14:paraId="1B8A178D" w14:textId="77777777" w:rsidTr="008F4AF6">
              <w:tc>
                <w:tcPr>
                  <w:tcW w:w="2414" w:type="pct"/>
                </w:tcPr>
                <w:p w14:paraId="422C8B07" w14:textId="5B41CF68" w:rsidR="008F4AF6" w:rsidRDefault="008F4AF6" w:rsidP="008F4AF6">
                  <w:pPr>
                    <w:pStyle w:val="TableBodyText"/>
                    <w:jc w:val="left"/>
                  </w:pPr>
                  <w:r w:rsidRPr="00172FB0">
                    <w:rPr>
                      <w:b/>
                      <w:bCs/>
                    </w:rPr>
                    <w:t>Financial and other information</w:t>
                  </w:r>
                </w:p>
              </w:tc>
              <w:tc>
                <w:tcPr>
                  <w:tcW w:w="667" w:type="pct"/>
                </w:tcPr>
                <w:p w14:paraId="41DE6BAD" w14:textId="77777777" w:rsidR="008F4AF6" w:rsidRDefault="008F4AF6" w:rsidP="008F4AF6">
                  <w:pPr>
                    <w:pStyle w:val="TableBodyText"/>
                  </w:pPr>
                </w:p>
              </w:tc>
              <w:tc>
                <w:tcPr>
                  <w:tcW w:w="667" w:type="pct"/>
                </w:tcPr>
                <w:p w14:paraId="4BDA8A8E" w14:textId="77777777" w:rsidR="008F4AF6" w:rsidRDefault="008F4AF6" w:rsidP="008F4AF6">
                  <w:pPr>
                    <w:pStyle w:val="TableBodyText"/>
                  </w:pPr>
                </w:p>
              </w:tc>
              <w:tc>
                <w:tcPr>
                  <w:tcW w:w="666" w:type="pct"/>
                </w:tcPr>
                <w:p w14:paraId="0CD5A76A" w14:textId="5CB2A115" w:rsidR="008F4AF6" w:rsidRDefault="008F4AF6" w:rsidP="008F4AF6">
                  <w:pPr>
                    <w:pStyle w:val="TableBodyText"/>
                  </w:pPr>
                </w:p>
              </w:tc>
              <w:tc>
                <w:tcPr>
                  <w:tcW w:w="585" w:type="pct"/>
                </w:tcPr>
                <w:p w14:paraId="7B843FA2" w14:textId="77777777" w:rsidR="008F4AF6" w:rsidRDefault="008F4AF6" w:rsidP="008F4AF6">
                  <w:pPr>
                    <w:pStyle w:val="TableBodyText"/>
                    <w:ind w:right="28"/>
                  </w:pPr>
                </w:p>
              </w:tc>
            </w:tr>
            <w:tr w:rsidR="00A672EE" w14:paraId="3C9E5D3C" w14:textId="77777777" w:rsidTr="008F4AF6">
              <w:tc>
                <w:tcPr>
                  <w:tcW w:w="2414" w:type="pct"/>
                </w:tcPr>
                <w:p w14:paraId="30F0D4A4" w14:textId="36AF59CE" w:rsidR="00A672EE" w:rsidRDefault="00A672EE" w:rsidP="00A672EE">
                  <w:pPr>
                    <w:pStyle w:val="TableBodyText"/>
                    <w:jc w:val="left"/>
                  </w:pPr>
                  <w:r w:rsidRPr="00171AC3">
                    <w:t>Percentage of foreign shareholding</w:t>
                  </w:r>
                </w:p>
              </w:tc>
              <w:tc>
                <w:tcPr>
                  <w:tcW w:w="667" w:type="pct"/>
                </w:tcPr>
                <w:p w14:paraId="221A54CC" w14:textId="001515C5" w:rsidR="00A672EE" w:rsidRDefault="00A672EE" w:rsidP="00A672EE">
                  <w:pPr>
                    <w:pStyle w:val="TableBodyText"/>
                  </w:pPr>
                  <w:r w:rsidRPr="00612267">
                    <w:rPr>
                      <w:rFonts w:ascii="Wingdings" w:hAnsi="Wingdings"/>
                    </w:rPr>
                    <w:t></w:t>
                  </w:r>
                </w:p>
              </w:tc>
              <w:tc>
                <w:tcPr>
                  <w:tcW w:w="667" w:type="pct"/>
                </w:tcPr>
                <w:p w14:paraId="5EE65E09" w14:textId="77777777" w:rsidR="00A672EE" w:rsidRDefault="00A672EE" w:rsidP="00A672EE">
                  <w:pPr>
                    <w:pStyle w:val="TableBodyText"/>
                  </w:pPr>
                </w:p>
              </w:tc>
              <w:tc>
                <w:tcPr>
                  <w:tcW w:w="666" w:type="pct"/>
                </w:tcPr>
                <w:p w14:paraId="6733D8F1" w14:textId="25A25011" w:rsidR="00A672EE" w:rsidRDefault="00A672EE" w:rsidP="00A672EE">
                  <w:pPr>
                    <w:pStyle w:val="TableBodyText"/>
                  </w:pPr>
                </w:p>
              </w:tc>
              <w:tc>
                <w:tcPr>
                  <w:tcW w:w="585" w:type="pct"/>
                </w:tcPr>
                <w:p w14:paraId="4B1696A7" w14:textId="77777777" w:rsidR="00A672EE" w:rsidRDefault="00A672EE" w:rsidP="00A672EE">
                  <w:pPr>
                    <w:pStyle w:val="TableBodyText"/>
                    <w:ind w:right="28"/>
                  </w:pPr>
                </w:p>
              </w:tc>
            </w:tr>
            <w:tr w:rsidR="00A672EE" w14:paraId="7BB3E8EA" w14:textId="77777777" w:rsidTr="008F4AF6">
              <w:tc>
                <w:tcPr>
                  <w:tcW w:w="2414" w:type="pct"/>
                </w:tcPr>
                <w:p w14:paraId="11572AFA" w14:textId="43F0E98D" w:rsidR="00A672EE" w:rsidRDefault="00A672EE" w:rsidP="00A672EE">
                  <w:pPr>
                    <w:pStyle w:val="TableBodyText"/>
                    <w:jc w:val="left"/>
                  </w:pPr>
                  <w:r w:rsidRPr="00171AC3">
                    <w:t>Shareholders' funds</w:t>
                  </w:r>
                </w:p>
              </w:tc>
              <w:tc>
                <w:tcPr>
                  <w:tcW w:w="667" w:type="pct"/>
                </w:tcPr>
                <w:p w14:paraId="5818780F" w14:textId="0C3CAEE7" w:rsidR="00A672EE" w:rsidRDefault="00A672EE" w:rsidP="00A672EE">
                  <w:pPr>
                    <w:pStyle w:val="TableBodyText"/>
                  </w:pPr>
                  <w:r w:rsidRPr="00612267">
                    <w:rPr>
                      <w:rFonts w:ascii="Wingdings" w:hAnsi="Wingdings"/>
                    </w:rPr>
                    <w:t></w:t>
                  </w:r>
                </w:p>
              </w:tc>
              <w:tc>
                <w:tcPr>
                  <w:tcW w:w="667" w:type="pct"/>
                </w:tcPr>
                <w:p w14:paraId="2D690DE3" w14:textId="77777777" w:rsidR="00A672EE" w:rsidRDefault="00A672EE" w:rsidP="00A672EE">
                  <w:pPr>
                    <w:pStyle w:val="TableBodyText"/>
                  </w:pPr>
                </w:p>
              </w:tc>
              <w:tc>
                <w:tcPr>
                  <w:tcW w:w="666" w:type="pct"/>
                </w:tcPr>
                <w:p w14:paraId="3DC2BCFA" w14:textId="12C868CC" w:rsidR="00A672EE" w:rsidRDefault="00A672EE" w:rsidP="00A672EE">
                  <w:pPr>
                    <w:pStyle w:val="TableBodyText"/>
                  </w:pPr>
                </w:p>
              </w:tc>
              <w:tc>
                <w:tcPr>
                  <w:tcW w:w="585" w:type="pct"/>
                </w:tcPr>
                <w:p w14:paraId="72D8A161" w14:textId="77777777" w:rsidR="00A672EE" w:rsidRDefault="00A672EE" w:rsidP="00A672EE">
                  <w:pPr>
                    <w:pStyle w:val="TableBodyText"/>
                    <w:ind w:right="28"/>
                  </w:pPr>
                </w:p>
              </w:tc>
            </w:tr>
            <w:tr w:rsidR="00A672EE" w14:paraId="70977142" w14:textId="77777777" w:rsidTr="008F4AF6">
              <w:tc>
                <w:tcPr>
                  <w:tcW w:w="2414" w:type="pct"/>
                </w:tcPr>
                <w:p w14:paraId="4619160D" w14:textId="0F0E8B85" w:rsidR="00A672EE" w:rsidRDefault="00A672EE" w:rsidP="00A672EE">
                  <w:pPr>
                    <w:pStyle w:val="TableBodyText"/>
                    <w:jc w:val="left"/>
                  </w:pPr>
                  <w:r w:rsidRPr="00171AC3">
                    <w:t>Proprietors' funds</w:t>
                  </w:r>
                </w:p>
              </w:tc>
              <w:tc>
                <w:tcPr>
                  <w:tcW w:w="667" w:type="pct"/>
                </w:tcPr>
                <w:p w14:paraId="4B6FD6B3" w14:textId="77777777" w:rsidR="00A672EE" w:rsidRDefault="00A672EE" w:rsidP="00A672EE">
                  <w:pPr>
                    <w:pStyle w:val="TableBodyText"/>
                  </w:pPr>
                </w:p>
              </w:tc>
              <w:tc>
                <w:tcPr>
                  <w:tcW w:w="667" w:type="pct"/>
                </w:tcPr>
                <w:p w14:paraId="1FD31DA3" w14:textId="3C0B1840" w:rsidR="00A672EE" w:rsidRDefault="00A672EE" w:rsidP="00A672EE">
                  <w:pPr>
                    <w:pStyle w:val="TableBodyText"/>
                  </w:pPr>
                  <w:r w:rsidRPr="00612267">
                    <w:rPr>
                      <w:rFonts w:ascii="Wingdings" w:hAnsi="Wingdings"/>
                    </w:rPr>
                    <w:t></w:t>
                  </w:r>
                </w:p>
              </w:tc>
              <w:tc>
                <w:tcPr>
                  <w:tcW w:w="666" w:type="pct"/>
                </w:tcPr>
                <w:p w14:paraId="1C8C7309" w14:textId="10AE2C2A" w:rsidR="00A672EE" w:rsidRDefault="00A672EE" w:rsidP="00A672EE">
                  <w:pPr>
                    <w:pStyle w:val="TableBodyText"/>
                  </w:pPr>
                  <w:r w:rsidRPr="00612267">
                    <w:rPr>
                      <w:rFonts w:ascii="Wingdings" w:hAnsi="Wingdings"/>
                    </w:rPr>
                    <w:t></w:t>
                  </w:r>
                </w:p>
              </w:tc>
              <w:tc>
                <w:tcPr>
                  <w:tcW w:w="585" w:type="pct"/>
                </w:tcPr>
                <w:p w14:paraId="5325EA39" w14:textId="77777777" w:rsidR="00A672EE" w:rsidRDefault="00A672EE" w:rsidP="00A672EE">
                  <w:pPr>
                    <w:pStyle w:val="TableBodyText"/>
                    <w:ind w:right="28"/>
                  </w:pPr>
                </w:p>
              </w:tc>
            </w:tr>
            <w:tr w:rsidR="00A672EE" w14:paraId="4314377A" w14:textId="77777777" w:rsidTr="008F4AF6">
              <w:tc>
                <w:tcPr>
                  <w:tcW w:w="2414" w:type="pct"/>
                </w:tcPr>
                <w:p w14:paraId="150C9BBC" w14:textId="04E103BB" w:rsidR="00A672EE" w:rsidRDefault="00A672EE" w:rsidP="00A672EE">
                  <w:pPr>
                    <w:pStyle w:val="TableBodyText"/>
                    <w:jc w:val="left"/>
                  </w:pPr>
                  <w:r w:rsidRPr="00171AC3">
                    <w:t>Attributed foreign income - Listed country</w:t>
                  </w:r>
                </w:p>
              </w:tc>
              <w:tc>
                <w:tcPr>
                  <w:tcW w:w="667" w:type="pct"/>
                </w:tcPr>
                <w:p w14:paraId="1FBF299B" w14:textId="4758C073" w:rsidR="00A672EE" w:rsidRDefault="00A672EE" w:rsidP="00A672EE">
                  <w:pPr>
                    <w:pStyle w:val="TableBodyText"/>
                  </w:pPr>
                  <w:r w:rsidRPr="00612267">
                    <w:rPr>
                      <w:rFonts w:ascii="Wingdings" w:hAnsi="Wingdings"/>
                    </w:rPr>
                    <w:t></w:t>
                  </w:r>
                </w:p>
              </w:tc>
              <w:tc>
                <w:tcPr>
                  <w:tcW w:w="667" w:type="pct"/>
                </w:tcPr>
                <w:p w14:paraId="652C827D" w14:textId="77777777" w:rsidR="00A672EE" w:rsidRDefault="00A672EE" w:rsidP="00A672EE">
                  <w:pPr>
                    <w:pStyle w:val="TableBodyText"/>
                  </w:pPr>
                </w:p>
              </w:tc>
              <w:tc>
                <w:tcPr>
                  <w:tcW w:w="666" w:type="pct"/>
                </w:tcPr>
                <w:p w14:paraId="03ABDC87" w14:textId="7BFE4867" w:rsidR="00A672EE" w:rsidRDefault="00A672EE" w:rsidP="00A672EE">
                  <w:pPr>
                    <w:pStyle w:val="TableBodyText"/>
                  </w:pPr>
                </w:p>
              </w:tc>
              <w:tc>
                <w:tcPr>
                  <w:tcW w:w="585" w:type="pct"/>
                </w:tcPr>
                <w:p w14:paraId="7337E9E0" w14:textId="77777777" w:rsidR="00A672EE" w:rsidRDefault="00A672EE" w:rsidP="00A672EE">
                  <w:pPr>
                    <w:pStyle w:val="TableBodyText"/>
                    <w:ind w:right="28"/>
                  </w:pPr>
                </w:p>
              </w:tc>
            </w:tr>
            <w:tr w:rsidR="00A672EE" w14:paraId="03BD2F59" w14:textId="77777777" w:rsidTr="008F4AF6">
              <w:tc>
                <w:tcPr>
                  <w:tcW w:w="2414" w:type="pct"/>
                </w:tcPr>
                <w:p w14:paraId="3DF2614D" w14:textId="32DBD95D" w:rsidR="00A672EE" w:rsidRDefault="00A672EE" w:rsidP="00A672EE">
                  <w:pPr>
                    <w:pStyle w:val="TableBodyText"/>
                    <w:jc w:val="left"/>
                  </w:pPr>
                  <w:r w:rsidRPr="00171AC3">
                    <w:t>Attributed foreign income - Section 404 country</w:t>
                  </w:r>
                </w:p>
              </w:tc>
              <w:tc>
                <w:tcPr>
                  <w:tcW w:w="667" w:type="pct"/>
                </w:tcPr>
                <w:p w14:paraId="168B91C1" w14:textId="372E999B" w:rsidR="00A672EE" w:rsidRDefault="00A672EE" w:rsidP="00A672EE">
                  <w:pPr>
                    <w:pStyle w:val="TableBodyText"/>
                  </w:pPr>
                  <w:r w:rsidRPr="00612267">
                    <w:rPr>
                      <w:rFonts w:ascii="Wingdings" w:hAnsi="Wingdings"/>
                    </w:rPr>
                    <w:t></w:t>
                  </w:r>
                </w:p>
              </w:tc>
              <w:tc>
                <w:tcPr>
                  <w:tcW w:w="667" w:type="pct"/>
                </w:tcPr>
                <w:p w14:paraId="0363573C" w14:textId="77777777" w:rsidR="00A672EE" w:rsidRDefault="00A672EE" w:rsidP="00A672EE">
                  <w:pPr>
                    <w:pStyle w:val="TableBodyText"/>
                  </w:pPr>
                </w:p>
              </w:tc>
              <w:tc>
                <w:tcPr>
                  <w:tcW w:w="666" w:type="pct"/>
                </w:tcPr>
                <w:p w14:paraId="15163C2A" w14:textId="77777777" w:rsidR="00A672EE" w:rsidRDefault="00A672EE" w:rsidP="00A672EE">
                  <w:pPr>
                    <w:pStyle w:val="TableBodyText"/>
                  </w:pPr>
                </w:p>
              </w:tc>
              <w:tc>
                <w:tcPr>
                  <w:tcW w:w="585" w:type="pct"/>
                </w:tcPr>
                <w:p w14:paraId="110EE6E9" w14:textId="77777777" w:rsidR="00A672EE" w:rsidRDefault="00A672EE" w:rsidP="00A672EE">
                  <w:pPr>
                    <w:pStyle w:val="TableBodyText"/>
                    <w:ind w:right="28"/>
                  </w:pPr>
                </w:p>
              </w:tc>
            </w:tr>
            <w:tr w:rsidR="00A672EE" w14:paraId="2D2BA666" w14:textId="77777777" w:rsidTr="008F4AF6">
              <w:tc>
                <w:tcPr>
                  <w:tcW w:w="2414" w:type="pct"/>
                </w:tcPr>
                <w:p w14:paraId="780337CD" w14:textId="11C79A77" w:rsidR="00A672EE" w:rsidRDefault="00A672EE" w:rsidP="00A672EE">
                  <w:pPr>
                    <w:pStyle w:val="TableBodyText"/>
                    <w:jc w:val="left"/>
                  </w:pPr>
                  <w:r w:rsidRPr="00171AC3">
                    <w:t>Attributed foreign income - Transferor trust</w:t>
                  </w:r>
                </w:p>
              </w:tc>
              <w:tc>
                <w:tcPr>
                  <w:tcW w:w="667" w:type="pct"/>
                </w:tcPr>
                <w:p w14:paraId="2E80B8D9" w14:textId="317D81D3" w:rsidR="00A672EE" w:rsidRDefault="00A672EE" w:rsidP="00A672EE">
                  <w:pPr>
                    <w:pStyle w:val="TableBodyText"/>
                  </w:pPr>
                  <w:r w:rsidRPr="00612267">
                    <w:rPr>
                      <w:rFonts w:ascii="Wingdings" w:hAnsi="Wingdings"/>
                    </w:rPr>
                    <w:t></w:t>
                  </w:r>
                </w:p>
              </w:tc>
              <w:tc>
                <w:tcPr>
                  <w:tcW w:w="667" w:type="pct"/>
                </w:tcPr>
                <w:p w14:paraId="1B401C99" w14:textId="77777777" w:rsidR="00A672EE" w:rsidRDefault="00A672EE" w:rsidP="00A672EE">
                  <w:pPr>
                    <w:pStyle w:val="TableBodyText"/>
                  </w:pPr>
                </w:p>
              </w:tc>
              <w:tc>
                <w:tcPr>
                  <w:tcW w:w="666" w:type="pct"/>
                </w:tcPr>
                <w:p w14:paraId="0595E32A" w14:textId="77777777" w:rsidR="00A672EE" w:rsidRDefault="00A672EE" w:rsidP="00A672EE">
                  <w:pPr>
                    <w:pStyle w:val="TableBodyText"/>
                  </w:pPr>
                </w:p>
              </w:tc>
              <w:tc>
                <w:tcPr>
                  <w:tcW w:w="585" w:type="pct"/>
                </w:tcPr>
                <w:p w14:paraId="623883F8" w14:textId="77777777" w:rsidR="00A672EE" w:rsidRDefault="00A672EE" w:rsidP="00A672EE">
                  <w:pPr>
                    <w:pStyle w:val="TableBodyText"/>
                    <w:ind w:right="28"/>
                  </w:pPr>
                </w:p>
              </w:tc>
            </w:tr>
            <w:tr w:rsidR="00A672EE" w14:paraId="741C9B44" w14:textId="77777777" w:rsidTr="008F4AF6">
              <w:tc>
                <w:tcPr>
                  <w:tcW w:w="2414" w:type="pct"/>
                </w:tcPr>
                <w:p w14:paraId="52C68B6D" w14:textId="36EA5724" w:rsidR="00A672EE" w:rsidRDefault="00A672EE" w:rsidP="00A672EE">
                  <w:pPr>
                    <w:pStyle w:val="TableBodyText"/>
                    <w:jc w:val="left"/>
                  </w:pPr>
                  <w:r w:rsidRPr="00171AC3">
                    <w:t>Attributed foreign income - Unlisted country</w:t>
                  </w:r>
                </w:p>
              </w:tc>
              <w:tc>
                <w:tcPr>
                  <w:tcW w:w="667" w:type="pct"/>
                </w:tcPr>
                <w:p w14:paraId="25DFAB37" w14:textId="571DD199" w:rsidR="00A672EE" w:rsidRDefault="00A672EE" w:rsidP="00A672EE">
                  <w:pPr>
                    <w:pStyle w:val="TableBodyText"/>
                  </w:pPr>
                  <w:r w:rsidRPr="00612267">
                    <w:rPr>
                      <w:rFonts w:ascii="Wingdings" w:hAnsi="Wingdings"/>
                    </w:rPr>
                    <w:t></w:t>
                  </w:r>
                </w:p>
              </w:tc>
              <w:tc>
                <w:tcPr>
                  <w:tcW w:w="667" w:type="pct"/>
                </w:tcPr>
                <w:p w14:paraId="10B835EC" w14:textId="77777777" w:rsidR="00A672EE" w:rsidRDefault="00A672EE" w:rsidP="00A672EE">
                  <w:pPr>
                    <w:pStyle w:val="TableBodyText"/>
                  </w:pPr>
                </w:p>
              </w:tc>
              <w:tc>
                <w:tcPr>
                  <w:tcW w:w="666" w:type="pct"/>
                </w:tcPr>
                <w:p w14:paraId="05F96984" w14:textId="77777777" w:rsidR="00A672EE" w:rsidRDefault="00A672EE" w:rsidP="00A672EE">
                  <w:pPr>
                    <w:pStyle w:val="TableBodyText"/>
                  </w:pPr>
                </w:p>
              </w:tc>
              <w:tc>
                <w:tcPr>
                  <w:tcW w:w="585" w:type="pct"/>
                </w:tcPr>
                <w:p w14:paraId="4C51AB11" w14:textId="77777777" w:rsidR="00A672EE" w:rsidRDefault="00A672EE" w:rsidP="00A672EE">
                  <w:pPr>
                    <w:pStyle w:val="TableBodyText"/>
                    <w:ind w:right="28"/>
                  </w:pPr>
                </w:p>
              </w:tc>
            </w:tr>
            <w:tr w:rsidR="00A672EE" w14:paraId="5AB1E00A" w14:textId="77777777" w:rsidTr="008F4AF6">
              <w:tc>
                <w:tcPr>
                  <w:tcW w:w="2414" w:type="pct"/>
                </w:tcPr>
                <w:p w14:paraId="39A1B49D" w14:textId="2DFECC66" w:rsidR="00A672EE" w:rsidRDefault="00A672EE" w:rsidP="00A672EE">
                  <w:pPr>
                    <w:pStyle w:val="TableBodyText"/>
                    <w:jc w:val="left"/>
                  </w:pPr>
                  <w:r w:rsidRPr="00171AC3">
                    <w:t>Commercial debt forgiveness</w:t>
                  </w:r>
                </w:p>
              </w:tc>
              <w:tc>
                <w:tcPr>
                  <w:tcW w:w="667" w:type="pct"/>
                </w:tcPr>
                <w:p w14:paraId="0B9ABD76" w14:textId="22F43B86" w:rsidR="00A672EE" w:rsidRDefault="00A672EE" w:rsidP="00A672EE">
                  <w:pPr>
                    <w:pStyle w:val="TableBodyText"/>
                  </w:pPr>
                  <w:r w:rsidRPr="00612267">
                    <w:rPr>
                      <w:rFonts w:ascii="Wingdings" w:hAnsi="Wingdings"/>
                    </w:rPr>
                    <w:t></w:t>
                  </w:r>
                </w:p>
              </w:tc>
              <w:tc>
                <w:tcPr>
                  <w:tcW w:w="667" w:type="pct"/>
                </w:tcPr>
                <w:p w14:paraId="4A6303DA" w14:textId="77777777" w:rsidR="00A672EE" w:rsidRDefault="00A672EE" w:rsidP="00A672EE">
                  <w:pPr>
                    <w:pStyle w:val="TableBodyText"/>
                  </w:pPr>
                </w:p>
              </w:tc>
              <w:tc>
                <w:tcPr>
                  <w:tcW w:w="666" w:type="pct"/>
                </w:tcPr>
                <w:p w14:paraId="53978D93" w14:textId="77777777" w:rsidR="00A672EE" w:rsidRDefault="00A672EE" w:rsidP="00A672EE">
                  <w:pPr>
                    <w:pStyle w:val="TableBodyText"/>
                  </w:pPr>
                </w:p>
              </w:tc>
              <w:tc>
                <w:tcPr>
                  <w:tcW w:w="585" w:type="pct"/>
                </w:tcPr>
                <w:p w14:paraId="781F0FE6" w14:textId="77777777" w:rsidR="00A672EE" w:rsidRDefault="00A672EE" w:rsidP="00A672EE">
                  <w:pPr>
                    <w:pStyle w:val="TableBodyText"/>
                    <w:ind w:right="28"/>
                  </w:pPr>
                </w:p>
              </w:tc>
            </w:tr>
            <w:tr w:rsidR="00A672EE" w14:paraId="12DA7CA3" w14:textId="77777777" w:rsidTr="008F4AF6">
              <w:tc>
                <w:tcPr>
                  <w:tcW w:w="2414" w:type="pct"/>
                </w:tcPr>
                <w:p w14:paraId="4B770AE1" w14:textId="0E9C4EB0" w:rsidR="00A672EE" w:rsidRDefault="00A672EE" w:rsidP="00A672EE">
                  <w:pPr>
                    <w:pStyle w:val="TableBodyText"/>
                    <w:jc w:val="left"/>
                  </w:pPr>
                  <w:r w:rsidRPr="00171AC3">
                    <w:t>Deductions relating to distribution in labels B and R - NPP</w:t>
                  </w:r>
                </w:p>
              </w:tc>
              <w:tc>
                <w:tcPr>
                  <w:tcW w:w="667" w:type="pct"/>
                </w:tcPr>
                <w:p w14:paraId="30E933CE" w14:textId="77777777" w:rsidR="00A672EE" w:rsidRDefault="00A672EE" w:rsidP="00A672EE">
                  <w:pPr>
                    <w:pStyle w:val="TableBodyText"/>
                  </w:pPr>
                </w:p>
              </w:tc>
              <w:tc>
                <w:tcPr>
                  <w:tcW w:w="667" w:type="pct"/>
                </w:tcPr>
                <w:p w14:paraId="7D75260C" w14:textId="1D836299" w:rsidR="00A672EE" w:rsidRDefault="00A672EE" w:rsidP="00A672EE">
                  <w:pPr>
                    <w:pStyle w:val="TableBodyText"/>
                  </w:pPr>
                  <w:r w:rsidRPr="00612267">
                    <w:rPr>
                      <w:rFonts w:ascii="Wingdings" w:hAnsi="Wingdings"/>
                    </w:rPr>
                    <w:t></w:t>
                  </w:r>
                </w:p>
              </w:tc>
              <w:tc>
                <w:tcPr>
                  <w:tcW w:w="666" w:type="pct"/>
                </w:tcPr>
                <w:p w14:paraId="12418DC1" w14:textId="77777777" w:rsidR="00A672EE" w:rsidRDefault="00A672EE" w:rsidP="00A672EE">
                  <w:pPr>
                    <w:pStyle w:val="TableBodyText"/>
                  </w:pPr>
                </w:p>
              </w:tc>
              <w:tc>
                <w:tcPr>
                  <w:tcW w:w="585" w:type="pct"/>
                </w:tcPr>
                <w:p w14:paraId="77E7CE19" w14:textId="77777777" w:rsidR="00A672EE" w:rsidRDefault="00A672EE" w:rsidP="00A672EE">
                  <w:pPr>
                    <w:pStyle w:val="TableBodyText"/>
                    <w:ind w:right="28"/>
                  </w:pPr>
                </w:p>
              </w:tc>
            </w:tr>
            <w:tr w:rsidR="00A672EE" w14:paraId="645358E3" w14:textId="77777777" w:rsidTr="008F4AF6">
              <w:tc>
                <w:tcPr>
                  <w:tcW w:w="2414" w:type="pct"/>
                </w:tcPr>
                <w:p w14:paraId="55970B16" w14:textId="546A44F3" w:rsidR="00A672EE" w:rsidRDefault="00A672EE" w:rsidP="00A672EE">
                  <w:pPr>
                    <w:pStyle w:val="TableBodyText"/>
                    <w:jc w:val="left"/>
                  </w:pPr>
                  <w:r w:rsidRPr="00171AC3">
                    <w:t>Distribution from partnerships, less foreign income - NPP</w:t>
                  </w:r>
                </w:p>
              </w:tc>
              <w:tc>
                <w:tcPr>
                  <w:tcW w:w="667" w:type="pct"/>
                </w:tcPr>
                <w:p w14:paraId="1E9128F4" w14:textId="77777777" w:rsidR="00A672EE" w:rsidRDefault="00A672EE" w:rsidP="00A672EE">
                  <w:pPr>
                    <w:pStyle w:val="TableBodyText"/>
                  </w:pPr>
                </w:p>
              </w:tc>
              <w:tc>
                <w:tcPr>
                  <w:tcW w:w="667" w:type="pct"/>
                </w:tcPr>
                <w:p w14:paraId="41DCE9F0" w14:textId="0BE3EF0E" w:rsidR="00A672EE" w:rsidRDefault="00A672EE" w:rsidP="00A672EE">
                  <w:pPr>
                    <w:pStyle w:val="TableBodyText"/>
                  </w:pPr>
                  <w:r w:rsidRPr="00612267">
                    <w:rPr>
                      <w:rFonts w:ascii="Wingdings" w:hAnsi="Wingdings"/>
                    </w:rPr>
                    <w:t></w:t>
                  </w:r>
                </w:p>
              </w:tc>
              <w:tc>
                <w:tcPr>
                  <w:tcW w:w="666" w:type="pct"/>
                </w:tcPr>
                <w:p w14:paraId="53077919" w14:textId="77777777" w:rsidR="00A672EE" w:rsidRDefault="00A672EE" w:rsidP="00A672EE">
                  <w:pPr>
                    <w:pStyle w:val="TableBodyText"/>
                  </w:pPr>
                </w:p>
              </w:tc>
              <w:tc>
                <w:tcPr>
                  <w:tcW w:w="585" w:type="pct"/>
                </w:tcPr>
                <w:p w14:paraId="60BD96E9" w14:textId="77777777" w:rsidR="00A672EE" w:rsidRDefault="00A672EE" w:rsidP="00A672EE">
                  <w:pPr>
                    <w:pStyle w:val="TableBodyText"/>
                    <w:ind w:right="28"/>
                  </w:pPr>
                </w:p>
              </w:tc>
            </w:tr>
            <w:tr w:rsidR="00A672EE" w14:paraId="1AE7C6EE" w14:textId="77777777" w:rsidTr="008F4AF6">
              <w:tc>
                <w:tcPr>
                  <w:tcW w:w="2414" w:type="pct"/>
                </w:tcPr>
                <w:p w14:paraId="24B2B756" w14:textId="42569838" w:rsidR="00A672EE" w:rsidRDefault="00A672EE" w:rsidP="00A672EE">
                  <w:pPr>
                    <w:pStyle w:val="TableBodyText"/>
                    <w:jc w:val="left"/>
                  </w:pPr>
                  <w:r w:rsidRPr="00171AC3">
                    <w:t>Distribution from trusts, less net capital gain and foreign income - NPP</w:t>
                  </w:r>
                </w:p>
              </w:tc>
              <w:tc>
                <w:tcPr>
                  <w:tcW w:w="667" w:type="pct"/>
                </w:tcPr>
                <w:p w14:paraId="77302772" w14:textId="77777777" w:rsidR="00A672EE" w:rsidRDefault="00A672EE" w:rsidP="00A672EE">
                  <w:pPr>
                    <w:pStyle w:val="TableBodyText"/>
                  </w:pPr>
                </w:p>
              </w:tc>
              <w:tc>
                <w:tcPr>
                  <w:tcW w:w="667" w:type="pct"/>
                </w:tcPr>
                <w:p w14:paraId="0D662C04" w14:textId="0F1A75A9" w:rsidR="00A672EE" w:rsidRDefault="00A672EE" w:rsidP="00A672EE">
                  <w:pPr>
                    <w:pStyle w:val="TableBodyText"/>
                  </w:pPr>
                  <w:r w:rsidRPr="00612267">
                    <w:rPr>
                      <w:rFonts w:ascii="Wingdings" w:hAnsi="Wingdings"/>
                    </w:rPr>
                    <w:t></w:t>
                  </w:r>
                </w:p>
              </w:tc>
              <w:tc>
                <w:tcPr>
                  <w:tcW w:w="666" w:type="pct"/>
                </w:tcPr>
                <w:p w14:paraId="23B342A3" w14:textId="77777777" w:rsidR="00A672EE" w:rsidRDefault="00A672EE" w:rsidP="00A672EE">
                  <w:pPr>
                    <w:pStyle w:val="TableBodyText"/>
                  </w:pPr>
                </w:p>
              </w:tc>
              <w:tc>
                <w:tcPr>
                  <w:tcW w:w="585" w:type="pct"/>
                </w:tcPr>
                <w:p w14:paraId="2F102EFF" w14:textId="77777777" w:rsidR="00A672EE" w:rsidRDefault="00A672EE" w:rsidP="00A672EE">
                  <w:pPr>
                    <w:pStyle w:val="TableBodyText"/>
                    <w:ind w:right="28"/>
                  </w:pPr>
                </w:p>
              </w:tc>
            </w:tr>
            <w:tr w:rsidR="00A672EE" w14:paraId="26905F63" w14:textId="77777777" w:rsidTr="008F4AF6">
              <w:tc>
                <w:tcPr>
                  <w:tcW w:w="2414" w:type="pct"/>
                </w:tcPr>
                <w:p w14:paraId="63A00130" w14:textId="05209BA8" w:rsidR="00A672EE" w:rsidRDefault="00A672EE" w:rsidP="00A672EE">
                  <w:pPr>
                    <w:pStyle w:val="TableBodyText"/>
                    <w:jc w:val="left"/>
                  </w:pPr>
                  <w:r w:rsidRPr="00171AC3">
                    <w:t>Excess franking offsets</w:t>
                  </w:r>
                </w:p>
              </w:tc>
              <w:tc>
                <w:tcPr>
                  <w:tcW w:w="667" w:type="pct"/>
                </w:tcPr>
                <w:p w14:paraId="0C5A6D4D" w14:textId="4F00258A" w:rsidR="00A672EE" w:rsidRDefault="00A672EE" w:rsidP="00A672EE">
                  <w:pPr>
                    <w:pStyle w:val="TableBodyText"/>
                  </w:pPr>
                  <w:r w:rsidRPr="00612267">
                    <w:rPr>
                      <w:rFonts w:ascii="Wingdings" w:hAnsi="Wingdings"/>
                    </w:rPr>
                    <w:t></w:t>
                  </w:r>
                </w:p>
              </w:tc>
              <w:tc>
                <w:tcPr>
                  <w:tcW w:w="667" w:type="pct"/>
                </w:tcPr>
                <w:p w14:paraId="041FD4CE" w14:textId="77777777" w:rsidR="00A672EE" w:rsidRDefault="00A672EE" w:rsidP="00A672EE">
                  <w:pPr>
                    <w:pStyle w:val="TableBodyText"/>
                  </w:pPr>
                </w:p>
              </w:tc>
              <w:tc>
                <w:tcPr>
                  <w:tcW w:w="666" w:type="pct"/>
                </w:tcPr>
                <w:p w14:paraId="54338E4B" w14:textId="77777777" w:rsidR="00A672EE" w:rsidRDefault="00A672EE" w:rsidP="00A672EE">
                  <w:pPr>
                    <w:pStyle w:val="TableBodyText"/>
                  </w:pPr>
                </w:p>
              </w:tc>
              <w:tc>
                <w:tcPr>
                  <w:tcW w:w="585" w:type="pct"/>
                </w:tcPr>
                <w:p w14:paraId="58E6BA92" w14:textId="77777777" w:rsidR="00A672EE" w:rsidRDefault="00A672EE" w:rsidP="00A672EE">
                  <w:pPr>
                    <w:pStyle w:val="TableBodyText"/>
                    <w:ind w:right="28"/>
                  </w:pPr>
                </w:p>
              </w:tc>
            </w:tr>
            <w:tr w:rsidR="00A672EE" w14:paraId="6DA2286A" w14:textId="77777777" w:rsidTr="008F4AF6">
              <w:tc>
                <w:tcPr>
                  <w:tcW w:w="2414" w:type="pct"/>
                </w:tcPr>
                <w:p w14:paraId="2C51801D" w14:textId="53AD1119" w:rsidR="00A672EE" w:rsidRDefault="00A672EE" w:rsidP="00A672EE">
                  <w:pPr>
                    <w:pStyle w:val="TableBodyText"/>
                    <w:jc w:val="left"/>
                  </w:pPr>
                  <w:r w:rsidRPr="00171AC3">
                    <w:t>Franked dividends paid</w:t>
                  </w:r>
                </w:p>
              </w:tc>
              <w:tc>
                <w:tcPr>
                  <w:tcW w:w="667" w:type="pct"/>
                </w:tcPr>
                <w:p w14:paraId="4DAC96A6" w14:textId="3175D07D" w:rsidR="00A672EE" w:rsidRDefault="00A672EE" w:rsidP="00A672EE">
                  <w:pPr>
                    <w:pStyle w:val="TableBodyText"/>
                  </w:pPr>
                  <w:r w:rsidRPr="00612267">
                    <w:rPr>
                      <w:rFonts w:ascii="Wingdings" w:hAnsi="Wingdings"/>
                    </w:rPr>
                    <w:t></w:t>
                  </w:r>
                </w:p>
              </w:tc>
              <w:tc>
                <w:tcPr>
                  <w:tcW w:w="667" w:type="pct"/>
                </w:tcPr>
                <w:p w14:paraId="711C4E65" w14:textId="77777777" w:rsidR="00A672EE" w:rsidRDefault="00A672EE" w:rsidP="00A672EE">
                  <w:pPr>
                    <w:pStyle w:val="TableBodyText"/>
                  </w:pPr>
                </w:p>
              </w:tc>
              <w:tc>
                <w:tcPr>
                  <w:tcW w:w="666" w:type="pct"/>
                </w:tcPr>
                <w:p w14:paraId="65F86EB4" w14:textId="77777777" w:rsidR="00A672EE" w:rsidRDefault="00A672EE" w:rsidP="00A672EE">
                  <w:pPr>
                    <w:pStyle w:val="TableBodyText"/>
                  </w:pPr>
                </w:p>
              </w:tc>
              <w:tc>
                <w:tcPr>
                  <w:tcW w:w="585" w:type="pct"/>
                </w:tcPr>
                <w:p w14:paraId="06BBCC88" w14:textId="77777777" w:rsidR="00A672EE" w:rsidRDefault="00A672EE" w:rsidP="00A672EE">
                  <w:pPr>
                    <w:pStyle w:val="TableBodyText"/>
                    <w:ind w:right="28"/>
                  </w:pPr>
                </w:p>
              </w:tc>
            </w:tr>
            <w:tr w:rsidR="00A672EE" w14:paraId="3A6AE79C" w14:textId="77777777" w:rsidTr="008F4AF6">
              <w:tc>
                <w:tcPr>
                  <w:tcW w:w="2414" w:type="pct"/>
                </w:tcPr>
                <w:p w14:paraId="39618C82" w14:textId="0FCC0E2D" w:rsidR="00A672EE" w:rsidRDefault="00A672EE" w:rsidP="00A672EE">
                  <w:pPr>
                    <w:pStyle w:val="TableBodyText"/>
                    <w:jc w:val="left"/>
                  </w:pPr>
                  <w:r w:rsidRPr="00171AC3">
                    <w:t>Franking account balance</w:t>
                  </w:r>
                </w:p>
              </w:tc>
              <w:tc>
                <w:tcPr>
                  <w:tcW w:w="667" w:type="pct"/>
                </w:tcPr>
                <w:p w14:paraId="6E582992" w14:textId="224881C2" w:rsidR="00A672EE" w:rsidRDefault="00A672EE" w:rsidP="00A672EE">
                  <w:pPr>
                    <w:pStyle w:val="TableBodyText"/>
                  </w:pPr>
                  <w:r w:rsidRPr="00612267">
                    <w:rPr>
                      <w:rFonts w:ascii="Wingdings" w:hAnsi="Wingdings"/>
                    </w:rPr>
                    <w:t></w:t>
                  </w:r>
                </w:p>
              </w:tc>
              <w:tc>
                <w:tcPr>
                  <w:tcW w:w="667" w:type="pct"/>
                </w:tcPr>
                <w:p w14:paraId="473FB7C8" w14:textId="77777777" w:rsidR="00A672EE" w:rsidRDefault="00A672EE" w:rsidP="00A672EE">
                  <w:pPr>
                    <w:pStyle w:val="TableBodyText"/>
                  </w:pPr>
                </w:p>
              </w:tc>
              <w:tc>
                <w:tcPr>
                  <w:tcW w:w="666" w:type="pct"/>
                </w:tcPr>
                <w:p w14:paraId="727A434D" w14:textId="77777777" w:rsidR="00A672EE" w:rsidRDefault="00A672EE" w:rsidP="00A672EE">
                  <w:pPr>
                    <w:pStyle w:val="TableBodyText"/>
                  </w:pPr>
                </w:p>
              </w:tc>
              <w:tc>
                <w:tcPr>
                  <w:tcW w:w="585" w:type="pct"/>
                </w:tcPr>
                <w:p w14:paraId="5774E465" w14:textId="77777777" w:rsidR="00A672EE" w:rsidRDefault="00A672EE" w:rsidP="00A672EE">
                  <w:pPr>
                    <w:pStyle w:val="TableBodyText"/>
                    <w:ind w:right="28"/>
                  </w:pPr>
                </w:p>
              </w:tc>
            </w:tr>
            <w:tr w:rsidR="00A672EE" w14:paraId="64BBA120" w14:textId="77777777" w:rsidTr="008F4AF6">
              <w:tc>
                <w:tcPr>
                  <w:tcW w:w="2414" w:type="pct"/>
                </w:tcPr>
                <w:p w14:paraId="0BAAD428" w14:textId="52A6A5CC" w:rsidR="00A672EE" w:rsidRDefault="00A672EE" w:rsidP="00A672EE">
                  <w:pPr>
                    <w:pStyle w:val="TableBodyText"/>
                    <w:jc w:val="left"/>
                  </w:pPr>
                  <w:r w:rsidRPr="00171AC3">
                    <w:t>Gross foreign income</w:t>
                  </w:r>
                </w:p>
              </w:tc>
              <w:tc>
                <w:tcPr>
                  <w:tcW w:w="667" w:type="pct"/>
                </w:tcPr>
                <w:p w14:paraId="3399CB4A" w14:textId="5E337766" w:rsidR="00A672EE" w:rsidRDefault="00A672EE" w:rsidP="00A672EE">
                  <w:pPr>
                    <w:pStyle w:val="TableBodyText"/>
                  </w:pPr>
                  <w:r w:rsidRPr="00612267">
                    <w:rPr>
                      <w:rFonts w:ascii="Wingdings" w:hAnsi="Wingdings"/>
                    </w:rPr>
                    <w:t></w:t>
                  </w:r>
                </w:p>
              </w:tc>
              <w:tc>
                <w:tcPr>
                  <w:tcW w:w="667" w:type="pct"/>
                </w:tcPr>
                <w:p w14:paraId="2E1897AC" w14:textId="77777777" w:rsidR="00A672EE" w:rsidRDefault="00A672EE" w:rsidP="00A672EE">
                  <w:pPr>
                    <w:pStyle w:val="TableBodyText"/>
                  </w:pPr>
                </w:p>
              </w:tc>
              <w:tc>
                <w:tcPr>
                  <w:tcW w:w="666" w:type="pct"/>
                </w:tcPr>
                <w:p w14:paraId="007F6766" w14:textId="77777777" w:rsidR="00A672EE" w:rsidRDefault="00A672EE" w:rsidP="00A672EE">
                  <w:pPr>
                    <w:pStyle w:val="TableBodyText"/>
                  </w:pPr>
                </w:p>
              </w:tc>
              <w:tc>
                <w:tcPr>
                  <w:tcW w:w="585" w:type="pct"/>
                </w:tcPr>
                <w:p w14:paraId="32AE533A" w14:textId="77777777" w:rsidR="00A672EE" w:rsidRDefault="00A672EE" w:rsidP="00A672EE">
                  <w:pPr>
                    <w:pStyle w:val="TableBodyText"/>
                    <w:ind w:right="28"/>
                  </w:pPr>
                </w:p>
              </w:tc>
            </w:tr>
            <w:tr w:rsidR="00A672EE" w14:paraId="3930162A" w14:textId="77777777" w:rsidTr="008F4AF6">
              <w:tc>
                <w:tcPr>
                  <w:tcW w:w="2414" w:type="pct"/>
                </w:tcPr>
                <w:p w14:paraId="509A47DB" w14:textId="77785A4B" w:rsidR="00A672EE" w:rsidRDefault="00A672EE" w:rsidP="00A672EE">
                  <w:pPr>
                    <w:pStyle w:val="TableBodyText"/>
                    <w:jc w:val="left"/>
                  </w:pPr>
                  <w:r w:rsidRPr="00171AC3">
                    <w:t>Loans to shareholders and their associates</w:t>
                  </w:r>
                </w:p>
              </w:tc>
              <w:tc>
                <w:tcPr>
                  <w:tcW w:w="667" w:type="pct"/>
                </w:tcPr>
                <w:p w14:paraId="49C37400" w14:textId="5F2CF212" w:rsidR="00A672EE" w:rsidRDefault="00A672EE" w:rsidP="00A672EE">
                  <w:pPr>
                    <w:pStyle w:val="TableBodyText"/>
                  </w:pPr>
                  <w:r w:rsidRPr="00612267">
                    <w:rPr>
                      <w:rFonts w:ascii="Wingdings" w:hAnsi="Wingdings"/>
                    </w:rPr>
                    <w:t></w:t>
                  </w:r>
                </w:p>
              </w:tc>
              <w:tc>
                <w:tcPr>
                  <w:tcW w:w="667" w:type="pct"/>
                </w:tcPr>
                <w:p w14:paraId="6A45FCDD" w14:textId="77777777" w:rsidR="00A672EE" w:rsidRDefault="00A672EE" w:rsidP="00A672EE">
                  <w:pPr>
                    <w:pStyle w:val="TableBodyText"/>
                  </w:pPr>
                </w:p>
              </w:tc>
              <w:tc>
                <w:tcPr>
                  <w:tcW w:w="666" w:type="pct"/>
                </w:tcPr>
                <w:p w14:paraId="1A029476" w14:textId="77777777" w:rsidR="00A672EE" w:rsidRDefault="00A672EE" w:rsidP="00A672EE">
                  <w:pPr>
                    <w:pStyle w:val="TableBodyText"/>
                  </w:pPr>
                </w:p>
              </w:tc>
              <w:tc>
                <w:tcPr>
                  <w:tcW w:w="585" w:type="pct"/>
                </w:tcPr>
                <w:p w14:paraId="7006351A" w14:textId="77777777" w:rsidR="00A672EE" w:rsidRDefault="00A672EE" w:rsidP="00A672EE">
                  <w:pPr>
                    <w:pStyle w:val="TableBodyText"/>
                    <w:ind w:right="28"/>
                  </w:pPr>
                </w:p>
              </w:tc>
            </w:tr>
            <w:tr w:rsidR="00A672EE" w14:paraId="1B2CA0CB" w14:textId="77777777" w:rsidTr="008F4AF6">
              <w:tc>
                <w:tcPr>
                  <w:tcW w:w="2414" w:type="pct"/>
                </w:tcPr>
                <w:p w14:paraId="6485E940" w14:textId="5A4F7C12" w:rsidR="00A672EE" w:rsidRDefault="00A672EE" w:rsidP="00A672EE">
                  <w:pPr>
                    <w:pStyle w:val="TableBodyText"/>
                    <w:jc w:val="left"/>
                  </w:pPr>
                  <w:r w:rsidRPr="00171AC3">
                    <w:t>TOFA gains from unrealised movements in the value of financial arrangements</w:t>
                  </w:r>
                </w:p>
              </w:tc>
              <w:tc>
                <w:tcPr>
                  <w:tcW w:w="667" w:type="pct"/>
                </w:tcPr>
                <w:p w14:paraId="0052224E" w14:textId="3657AF15" w:rsidR="00A672EE" w:rsidRDefault="00A672EE" w:rsidP="00A672EE">
                  <w:pPr>
                    <w:pStyle w:val="TableBodyText"/>
                  </w:pPr>
                  <w:r w:rsidRPr="00612267">
                    <w:rPr>
                      <w:rFonts w:ascii="Wingdings" w:hAnsi="Wingdings"/>
                    </w:rPr>
                    <w:t></w:t>
                  </w:r>
                </w:p>
              </w:tc>
              <w:tc>
                <w:tcPr>
                  <w:tcW w:w="667" w:type="pct"/>
                </w:tcPr>
                <w:p w14:paraId="69FACCF2" w14:textId="77777777" w:rsidR="00A672EE" w:rsidRDefault="00A672EE" w:rsidP="00A672EE">
                  <w:pPr>
                    <w:pStyle w:val="TableBodyText"/>
                  </w:pPr>
                </w:p>
              </w:tc>
              <w:tc>
                <w:tcPr>
                  <w:tcW w:w="666" w:type="pct"/>
                </w:tcPr>
                <w:p w14:paraId="55954C1C" w14:textId="77777777" w:rsidR="00A672EE" w:rsidRDefault="00A672EE" w:rsidP="00A672EE">
                  <w:pPr>
                    <w:pStyle w:val="TableBodyText"/>
                  </w:pPr>
                </w:p>
              </w:tc>
              <w:tc>
                <w:tcPr>
                  <w:tcW w:w="585" w:type="pct"/>
                </w:tcPr>
                <w:p w14:paraId="5B95C17C" w14:textId="77777777" w:rsidR="00A672EE" w:rsidRDefault="00A672EE" w:rsidP="00A672EE">
                  <w:pPr>
                    <w:pStyle w:val="TableBodyText"/>
                    <w:ind w:right="28"/>
                  </w:pPr>
                </w:p>
              </w:tc>
            </w:tr>
            <w:tr w:rsidR="00A672EE" w14:paraId="08C5CE9F" w14:textId="77777777" w:rsidTr="008F4AF6">
              <w:tc>
                <w:tcPr>
                  <w:tcW w:w="2414" w:type="pct"/>
                </w:tcPr>
                <w:p w14:paraId="754F1519" w14:textId="5CE48BB9" w:rsidR="00A672EE" w:rsidRDefault="00A672EE" w:rsidP="00A672EE">
                  <w:pPr>
                    <w:pStyle w:val="TableBodyText"/>
                    <w:jc w:val="left"/>
                  </w:pPr>
                  <w:r w:rsidRPr="00171AC3">
                    <w:t>TOFA transitional balancing adjustment</w:t>
                  </w:r>
                </w:p>
              </w:tc>
              <w:tc>
                <w:tcPr>
                  <w:tcW w:w="667" w:type="pct"/>
                </w:tcPr>
                <w:p w14:paraId="75E94CE0" w14:textId="46D122E8" w:rsidR="00A672EE" w:rsidRDefault="00A672EE" w:rsidP="00A672EE">
                  <w:pPr>
                    <w:pStyle w:val="TableBodyText"/>
                  </w:pPr>
                  <w:r w:rsidRPr="00612267">
                    <w:rPr>
                      <w:rFonts w:ascii="Wingdings" w:hAnsi="Wingdings"/>
                    </w:rPr>
                    <w:t></w:t>
                  </w:r>
                </w:p>
              </w:tc>
              <w:tc>
                <w:tcPr>
                  <w:tcW w:w="667" w:type="pct"/>
                </w:tcPr>
                <w:p w14:paraId="123723B1" w14:textId="77777777" w:rsidR="00A672EE" w:rsidRDefault="00A672EE" w:rsidP="00A672EE">
                  <w:pPr>
                    <w:pStyle w:val="TableBodyText"/>
                  </w:pPr>
                </w:p>
              </w:tc>
              <w:tc>
                <w:tcPr>
                  <w:tcW w:w="666" w:type="pct"/>
                </w:tcPr>
                <w:p w14:paraId="6860E995" w14:textId="77777777" w:rsidR="00A672EE" w:rsidRDefault="00A672EE" w:rsidP="00A672EE">
                  <w:pPr>
                    <w:pStyle w:val="TableBodyText"/>
                  </w:pPr>
                </w:p>
              </w:tc>
              <w:tc>
                <w:tcPr>
                  <w:tcW w:w="585" w:type="pct"/>
                </w:tcPr>
                <w:p w14:paraId="68EDE061" w14:textId="77777777" w:rsidR="00A672EE" w:rsidRDefault="00A672EE" w:rsidP="00A672EE">
                  <w:pPr>
                    <w:pStyle w:val="TableBodyText"/>
                    <w:ind w:right="28"/>
                  </w:pPr>
                </w:p>
              </w:tc>
            </w:tr>
            <w:tr w:rsidR="00A672EE" w14:paraId="4A0F8AE0" w14:textId="77777777" w:rsidTr="008F4AF6">
              <w:tc>
                <w:tcPr>
                  <w:tcW w:w="2414" w:type="pct"/>
                </w:tcPr>
                <w:p w14:paraId="4058BD81" w14:textId="6034EAEE" w:rsidR="00A672EE" w:rsidRDefault="00A672EE" w:rsidP="00A672EE">
                  <w:pPr>
                    <w:pStyle w:val="TableBodyText"/>
                    <w:jc w:val="left"/>
                  </w:pPr>
                  <w:r w:rsidRPr="00171AC3">
                    <w:t>Tax spared foreign tax credits</w:t>
                  </w:r>
                </w:p>
              </w:tc>
              <w:tc>
                <w:tcPr>
                  <w:tcW w:w="667" w:type="pct"/>
                </w:tcPr>
                <w:p w14:paraId="276ACB91" w14:textId="6925A5B1" w:rsidR="00A672EE" w:rsidRDefault="00A672EE" w:rsidP="00A672EE">
                  <w:pPr>
                    <w:pStyle w:val="TableBodyText"/>
                  </w:pPr>
                  <w:r w:rsidRPr="00612267">
                    <w:rPr>
                      <w:rFonts w:ascii="Wingdings" w:hAnsi="Wingdings"/>
                    </w:rPr>
                    <w:t></w:t>
                  </w:r>
                </w:p>
              </w:tc>
              <w:tc>
                <w:tcPr>
                  <w:tcW w:w="667" w:type="pct"/>
                </w:tcPr>
                <w:p w14:paraId="47103B03" w14:textId="77777777" w:rsidR="00A672EE" w:rsidRDefault="00A672EE" w:rsidP="00A672EE">
                  <w:pPr>
                    <w:pStyle w:val="TableBodyText"/>
                  </w:pPr>
                </w:p>
              </w:tc>
              <w:tc>
                <w:tcPr>
                  <w:tcW w:w="666" w:type="pct"/>
                </w:tcPr>
                <w:p w14:paraId="54B4CAEA" w14:textId="77777777" w:rsidR="00A672EE" w:rsidRDefault="00A672EE" w:rsidP="00A672EE">
                  <w:pPr>
                    <w:pStyle w:val="TableBodyText"/>
                  </w:pPr>
                </w:p>
              </w:tc>
              <w:tc>
                <w:tcPr>
                  <w:tcW w:w="585" w:type="pct"/>
                </w:tcPr>
                <w:p w14:paraId="36D95145" w14:textId="77777777" w:rsidR="00A672EE" w:rsidRDefault="00A672EE" w:rsidP="00A672EE">
                  <w:pPr>
                    <w:pStyle w:val="TableBodyText"/>
                    <w:ind w:right="28"/>
                  </w:pPr>
                </w:p>
              </w:tc>
            </w:tr>
            <w:tr w:rsidR="00A672EE" w14:paraId="102F8938" w14:textId="77777777" w:rsidTr="008F4AF6">
              <w:tc>
                <w:tcPr>
                  <w:tcW w:w="2414" w:type="pct"/>
                </w:tcPr>
                <w:p w14:paraId="3F242074" w14:textId="64527374" w:rsidR="00A672EE" w:rsidRDefault="00A672EE" w:rsidP="00A672EE">
                  <w:pPr>
                    <w:pStyle w:val="TableBodyText"/>
                    <w:jc w:val="left"/>
                  </w:pPr>
                  <w:r w:rsidRPr="00171AC3">
                    <w:t>Total TOFA gains</w:t>
                  </w:r>
                </w:p>
              </w:tc>
              <w:tc>
                <w:tcPr>
                  <w:tcW w:w="667" w:type="pct"/>
                </w:tcPr>
                <w:p w14:paraId="67FDC75F" w14:textId="4A242885" w:rsidR="00A672EE" w:rsidRDefault="00A672EE" w:rsidP="00A672EE">
                  <w:pPr>
                    <w:pStyle w:val="TableBodyText"/>
                  </w:pPr>
                  <w:r w:rsidRPr="00612267">
                    <w:rPr>
                      <w:rFonts w:ascii="Wingdings" w:hAnsi="Wingdings"/>
                    </w:rPr>
                    <w:t></w:t>
                  </w:r>
                </w:p>
              </w:tc>
              <w:tc>
                <w:tcPr>
                  <w:tcW w:w="667" w:type="pct"/>
                </w:tcPr>
                <w:p w14:paraId="0DD6816C" w14:textId="77777777" w:rsidR="00A672EE" w:rsidRDefault="00A672EE" w:rsidP="00A672EE">
                  <w:pPr>
                    <w:pStyle w:val="TableBodyText"/>
                  </w:pPr>
                </w:p>
              </w:tc>
              <w:tc>
                <w:tcPr>
                  <w:tcW w:w="666" w:type="pct"/>
                </w:tcPr>
                <w:p w14:paraId="792FD403" w14:textId="68334810" w:rsidR="00A672EE" w:rsidRDefault="00A672EE" w:rsidP="00A672EE">
                  <w:pPr>
                    <w:pStyle w:val="TableBodyText"/>
                  </w:pPr>
                  <w:r w:rsidRPr="00612267">
                    <w:rPr>
                      <w:rFonts w:ascii="Wingdings" w:hAnsi="Wingdings"/>
                    </w:rPr>
                    <w:t></w:t>
                  </w:r>
                </w:p>
              </w:tc>
              <w:tc>
                <w:tcPr>
                  <w:tcW w:w="585" w:type="pct"/>
                </w:tcPr>
                <w:p w14:paraId="3AE577BE" w14:textId="77777777" w:rsidR="00A672EE" w:rsidRDefault="00A672EE" w:rsidP="00A672EE">
                  <w:pPr>
                    <w:pStyle w:val="TableBodyText"/>
                    <w:ind w:right="28"/>
                  </w:pPr>
                </w:p>
              </w:tc>
            </w:tr>
            <w:tr w:rsidR="00A672EE" w14:paraId="092D775A" w14:textId="77777777" w:rsidTr="008F4AF6">
              <w:tc>
                <w:tcPr>
                  <w:tcW w:w="2414" w:type="pct"/>
                </w:tcPr>
                <w:p w14:paraId="64C5F665" w14:textId="12606E2C" w:rsidR="00A672EE" w:rsidRDefault="00A672EE" w:rsidP="00A672EE">
                  <w:pPr>
                    <w:pStyle w:val="TableBodyText"/>
                    <w:jc w:val="left"/>
                  </w:pPr>
                  <w:r w:rsidRPr="00171AC3">
                    <w:t>Total TOFA losses</w:t>
                  </w:r>
                </w:p>
              </w:tc>
              <w:tc>
                <w:tcPr>
                  <w:tcW w:w="667" w:type="pct"/>
                </w:tcPr>
                <w:p w14:paraId="198A706A" w14:textId="186F5817" w:rsidR="00A672EE" w:rsidRDefault="00A672EE" w:rsidP="00A672EE">
                  <w:pPr>
                    <w:pStyle w:val="TableBodyText"/>
                  </w:pPr>
                  <w:r w:rsidRPr="00612267">
                    <w:rPr>
                      <w:rFonts w:ascii="Wingdings" w:hAnsi="Wingdings"/>
                    </w:rPr>
                    <w:t></w:t>
                  </w:r>
                </w:p>
              </w:tc>
              <w:tc>
                <w:tcPr>
                  <w:tcW w:w="667" w:type="pct"/>
                </w:tcPr>
                <w:p w14:paraId="6F073F50" w14:textId="77777777" w:rsidR="00A672EE" w:rsidRDefault="00A672EE" w:rsidP="00A672EE">
                  <w:pPr>
                    <w:pStyle w:val="TableBodyText"/>
                  </w:pPr>
                </w:p>
              </w:tc>
              <w:tc>
                <w:tcPr>
                  <w:tcW w:w="666" w:type="pct"/>
                </w:tcPr>
                <w:p w14:paraId="0414D1BC" w14:textId="0293367D" w:rsidR="00A672EE" w:rsidRDefault="00A672EE" w:rsidP="00A672EE">
                  <w:pPr>
                    <w:pStyle w:val="TableBodyText"/>
                  </w:pPr>
                  <w:r w:rsidRPr="00612267">
                    <w:rPr>
                      <w:rFonts w:ascii="Wingdings" w:hAnsi="Wingdings"/>
                    </w:rPr>
                    <w:t></w:t>
                  </w:r>
                </w:p>
              </w:tc>
              <w:tc>
                <w:tcPr>
                  <w:tcW w:w="585" w:type="pct"/>
                </w:tcPr>
                <w:p w14:paraId="2DBEBB8A" w14:textId="77777777" w:rsidR="00A672EE" w:rsidRDefault="00A672EE" w:rsidP="00A672EE">
                  <w:pPr>
                    <w:pStyle w:val="TableBodyText"/>
                    <w:ind w:right="28"/>
                  </w:pPr>
                </w:p>
              </w:tc>
            </w:tr>
            <w:tr w:rsidR="00A672EE" w14:paraId="08DEB576" w14:textId="77777777" w:rsidTr="008F4AF6">
              <w:tc>
                <w:tcPr>
                  <w:tcW w:w="2414" w:type="pct"/>
                </w:tcPr>
                <w:p w14:paraId="47CE4379" w14:textId="649DFB80" w:rsidR="00A672EE" w:rsidRDefault="00A672EE" w:rsidP="00A672EE">
                  <w:pPr>
                    <w:pStyle w:val="TableBodyText"/>
                    <w:jc w:val="left"/>
                  </w:pPr>
                  <w:r w:rsidRPr="00171AC3">
                    <w:t>Total debt</w:t>
                  </w:r>
                </w:p>
              </w:tc>
              <w:tc>
                <w:tcPr>
                  <w:tcW w:w="667" w:type="pct"/>
                </w:tcPr>
                <w:p w14:paraId="4EFF453C" w14:textId="1BC65025" w:rsidR="00A672EE" w:rsidRDefault="00A672EE" w:rsidP="00A672EE">
                  <w:pPr>
                    <w:pStyle w:val="TableBodyText"/>
                  </w:pPr>
                  <w:r w:rsidRPr="00612267">
                    <w:rPr>
                      <w:rFonts w:ascii="Wingdings" w:hAnsi="Wingdings"/>
                    </w:rPr>
                    <w:t></w:t>
                  </w:r>
                </w:p>
              </w:tc>
              <w:tc>
                <w:tcPr>
                  <w:tcW w:w="667" w:type="pct"/>
                </w:tcPr>
                <w:p w14:paraId="320FE531" w14:textId="77777777" w:rsidR="00A672EE" w:rsidRDefault="00A672EE" w:rsidP="00A672EE">
                  <w:pPr>
                    <w:pStyle w:val="TableBodyText"/>
                  </w:pPr>
                </w:p>
              </w:tc>
              <w:tc>
                <w:tcPr>
                  <w:tcW w:w="666" w:type="pct"/>
                </w:tcPr>
                <w:p w14:paraId="26D84CD6" w14:textId="77777777" w:rsidR="00A672EE" w:rsidRDefault="00A672EE" w:rsidP="00A672EE">
                  <w:pPr>
                    <w:pStyle w:val="TableBodyText"/>
                  </w:pPr>
                </w:p>
              </w:tc>
              <w:tc>
                <w:tcPr>
                  <w:tcW w:w="585" w:type="pct"/>
                </w:tcPr>
                <w:p w14:paraId="530884E2" w14:textId="77777777" w:rsidR="00A672EE" w:rsidRDefault="00A672EE" w:rsidP="00A672EE">
                  <w:pPr>
                    <w:pStyle w:val="TableBodyText"/>
                    <w:ind w:right="28"/>
                  </w:pPr>
                </w:p>
              </w:tc>
            </w:tr>
            <w:tr w:rsidR="00DD54E7" w14:paraId="61BE6C5B" w14:textId="77777777" w:rsidTr="008F4AF6">
              <w:tc>
                <w:tcPr>
                  <w:tcW w:w="2414" w:type="pct"/>
                </w:tcPr>
                <w:p w14:paraId="4447C9E1" w14:textId="6B0BCED4" w:rsidR="00DD54E7" w:rsidRDefault="00DD54E7" w:rsidP="00DD54E7">
                  <w:pPr>
                    <w:pStyle w:val="TableBodyText"/>
                    <w:jc w:val="left"/>
                  </w:pPr>
                  <w:r w:rsidRPr="00171AC3">
                    <w:t>Unfranked dividends paid</w:t>
                  </w:r>
                </w:p>
              </w:tc>
              <w:tc>
                <w:tcPr>
                  <w:tcW w:w="667" w:type="pct"/>
                </w:tcPr>
                <w:p w14:paraId="11188DAA" w14:textId="127361CE" w:rsidR="00DD54E7" w:rsidRDefault="00DD54E7" w:rsidP="00DD54E7">
                  <w:pPr>
                    <w:pStyle w:val="TableBodyText"/>
                  </w:pPr>
                  <w:r w:rsidRPr="00612267">
                    <w:rPr>
                      <w:rFonts w:ascii="Wingdings" w:hAnsi="Wingdings"/>
                    </w:rPr>
                    <w:t></w:t>
                  </w:r>
                </w:p>
              </w:tc>
              <w:tc>
                <w:tcPr>
                  <w:tcW w:w="667" w:type="pct"/>
                </w:tcPr>
                <w:p w14:paraId="75FF6CD3" w14:textId="77777777" w:rsidR="00DD54E7" w:rsidRDefault="00DD54E7" w:rsidP="00DD54E7">
                  <w:pPr>
                    <w:pStyle w:val="TableBodyText"/>
                  </w:pPr>
                </w:p>
              </w:tc>
              <w:tc>
                <w:tcPr>
                  <w:tcW w:w="666" w:type="pct"/>
                </w:tcPr>
                <w:p w14:paraId="62FED216" w14:textId="77777777" w:rsidR="00DD54E7" w:rsidRDefault="00DD54E7" w:rsidP="00DD54E7">
                  <w:pPr>
                    <w:pStyle w:val="TableBodyText"/>
                  </w:pPr>
                </w:p>
              </w:tc>
              <w:tc>
                <w:tcPr>
                  <w:tcW w:w="585" w:type="pct"/>
                </w:tcPr>
                <w:p w14:paraId="64CE8482" w14:textId="77777777" w:rsidR="00DD54E7" w:rsidRDefault="00DD54E7" w:rsidP="00DD54E7">
                  <w:pPr>
                    <w:pStyle w:val="TableBodyText"/>
                    <w:ind w:right="28"/>
                  </w:pPr>
                </w:p>
              </w:tc>
            </w:tr>
            <w:tr w:rsidR="00DD54E7" w14:paraId="28EE2DCE" w14:textId="77777777" w:rsidTr="008F4AF6">
              <w:tc>
                <w:tcPr>
                  <w:tcW w:w="2414" w:type="pct"/>
                </w:tcPr>
                <w:p w14:paraId="2F7B63AA" w14:textId="7BE6E091" w:rsidR="00DD54E7" w:rsidRDefault="00DD54E7" w:rsidP="00DD54E7">
                  <w:pPr>
                    <w:pStyle w:val="TableBodyText"/>
                    <w:jc w:val="left"/>
                  </w:pPr>
                  <w:r w:rsidRPr="00171AC3">
                    <w:t>Attributed foreign income: FIF/FLP income</w:t>
                  </w:r>
                </w:p>
              </w:tc>
              <w:tc>
                <w:tcPr>
                  <w:tcW w:w="667" w:type="pct"/>
                </w:tcPr>
                <w:p w14:paraId="2BAB41E8" w14:textId="63421BC7" w:rsidR="00DD54E7" w:rsidRDefault="00DD54E7" w:rsidP="00DD54E7">
                  <w:pPr>
                    <w:pStyle w:val="TableBodyText"/>
                  </w:pPr>
                </w:p>
              </w:tc>
              <w:tc>
                <w:tcPr>
                  <w:tcW w:w="667" w:type="pct"/>
                </w:tcPr>
                <w:p w14:paraId="640C3041" w14:textId="7A3079EE" w:rsidR="00DD54E7" w:rsidRDefault="00DD54E7" w:rsidP="00DD54E7">
                  <w:pPr>
                    <w:pStyle w:val="TableBodyText"/>
                  </w:pPr>
                  <w:r w:rsidRPr="00612267">
                    <w:rPr>
                      <w:rFonts w:ascii="Wingdings" w:hAnsi="Wingdings"/>
                    </w:rPr>
                    <w:t></w:t>
                  </w:r>
                </w:p>
              </w:tc>
              <w:tc>
                <w:tcPr>
                  <w:tcW w:w="666" w:type="pct"/>
                </w:tcPr>
                <w:p w14:paraId="42A418B0" w14:textId="30C29B18" w:rsidR="00DD54E7" w:rsidRDefault="00DD54E7" w:rsidP="00DD54E7">
                  <w:pPr>
                    <w:pStyle w:val="TableBodyText"/>
                  </w:pPr>
                  <w:r w:rsidRPr="00612267">
                    <w:rPr>
                      <w:rFonts w:ascii="Wingdings" w:hAnsi="Wingdings"/>
                    </w:rPr>
                    <w:t></w:t>
                  </w:r>
                </w:p>
              </w:tc>
              <w:tc>
                <w:tcPr>
                  <w:tcW w:w="585" w:type="pct"/>
                </w:tcPr>
                <w:p w14:paraId="2C53E112" w14:textId="77777777" w:rsidR="00DD54E7" w:rsidRDefault="00DD54E7" w:rsidP="00DD54E7">
                  <w:pPr>
                    <w:pStyle w:val="TableBodyText"/>
                    <w:ind w:right="28"/>
                  </w:pPr>
                </w:p>
              </w:tc>
            </w:tr>
            <w:tr w:rsidR="00DD54E7" w14:paraId="213B3289" w14:textId="77777777" w:rsidTr="008F4AF6">
              <w:tc>
                <w:tcPr>
                  <w:tcW w:w="2414" w:type="pct"/>
                </w:tcPr>
                <w:p w14:paraId="3A857F5F" w14:textId="7998EFC2" w:rsidR="00DD54E7" w:rsidRDefault="00DD54E7" w:rsidP="00DD54E7">
                  <w:pPr>
                    <w:pStyle w:val="TableBodyText"/>
                    <w:jc w:val="left"/>
                  </w:pPr>
                  <w:r w:rsidRPr="00171AC3">
                    <w:t>Attributed foreign income: foreign investment fund income</w:t>
                  </w:r>
                </w:p>
              </w:tc>
              <w:tc>
                <w:tcPr>
                  <w:tcW w:w="667" w:type="pct"/>
                </w:tcPr>
                <w:p w14:paraId="2E743801" w14:textId="7B32E154" w:rsidR="00DD54E7" w:rsidRDefault="00DD54E7" w:rsidP="00DD54E7">
                  <w:pPr>
                    <w:pStyle w:val="TableBodyText"/>
                  </w:pPr>
                  <w:r w:rsidRPr="00612267">
                    <w:rPr>
                      <w:rFonts w:ascii="Wingdings" w:hAnsi="Wingdings"/>
                    </w:rPr>
                    <w:t></w:t>
                  </w:r>
                </w:p>
              </w:tc>
              <w:tc>
                <w:tcPr>
                  <w:tcW w:w="667" w:type="pct"/>
                </w:tcPr>
                <w:p w14:paraId="3B9545B2" w14:textId="69FB5D75" w:rsidR="00DD54E7" w:rsidRDefault="00DD54E7" w:rsidP="00DD54E7">
                  <w:pPr>
                    <w:pStyle w:val="TableBodyText"/>
                  </w:pPr>
                </w:p>
              </w:tc>
              <w:tc>
                <w:tcPr>
                  <w:tcW w:w="666" w:type="pct"/>
                </w:tcPr>
                <w:p w14:paraId="689F9481" w14:textId="6B3D3AC7" w:rsidR="00DD54E7" w:rsidRDefault="00DD54E7" w:rsidP="00DD54E7">
                  <w:pPr>
                    <w:pStyle w:val="TableBodyText"/>
                  </w:pPr>
                </w:p>
              </w:tc>
              <w:tc>
                <w:tcPr>
                  <w:tcW w:w="585" w:type="pct"/>
                </w:tcPr>
                <w:p w14:paraId="4D1106B5" w14:textId="77777777" w:rsidR="00DD54E7" w:rsidRDefault="00DD54E7" w:rsidP="00DD54E7">
                  <w:pPr>
                    <w:pStyle w:val="TableBodyText"/>
                    <w:ind w:right="28"/>
                  </w:pPr>
                </w:p>
              </w:tc>
            </w:tr>
            <w:tr w:rsidR="00DD54E7" w14:paraId="58C8319D" w14:textId="77777777" w:rsidTr="008F4AF6">
              <w:tc>
                <w:tcPr>
                  <w:tcW w:w="2414" w:type="pct"/>
                </w:tcPr>
                <w:p w14:paraId="0A3C0E93" w14:textId="7D2CC271" w:rsidR="00DD54E7" w:rsidRDefault="00DD54E7" w:rsidP="00DD54E7">
                  <w:pPr>
                    <w:pStyle w:val="TableBodyText"/>
                    <w:jc w:val="left"/>
                  </w:pPr>
                  <w:r w:rsidRPr="00171AC3">
                    <w:t>Attributed foreign income: foreign life policy</w:t>
                  </w:r>
                </w:p>
              </w:tc>
              <w:tc>
                <w:tcPr>
                  <w:tcW w:w="667" w:type="pct"/>
                </w:tcPr>
                <w:p w14:paraId="3D07D9DF" w14:textId="762267B4" w:rsidR="00DD54E7" w:rsidRDefault="00DD54E7" w:rsidP="00DD54E7">
                  <w:pPr>
                    <w:pStyle w:val="TableBodyText"/>
                  </w:pPr>
                  <w:r w:rsidRPr="00612267">
                    <w:rPr>
                      <w:rFonts w:ascii="Wingdings" w:hAnsi="Wingdings"/>
                    </w:rPr>
                    <w:t></w:t>
                  </w:r>
                </w:p>
              </w:tc>
              <w:tc>
                <w:tcPr>
                  <w:tcW w:w="667" w:type="pct"/>
                </w:tcPr>
                <w:p w14:paraId="713E09E3" w14:textId="77777777" w:rsidR="00DD54E7" w:rsidRDefault="00DD54E7" w:rsidP="00DD54E7">
                  <w:pPr>
                    <w:pStyle w:val="TableBodyText"/>
                  </w:pPr>
                </w:p>
              </w:tc>
              <w:tc>
                <w:tcPr>
                  <w:tcW w:w="666" w:type="pct"/>
                </w:tcPr>
                <w:p w14:paraId="740E4D69" w14:textId="77777777" w:rsidR="00DD54E7" w:rsidRDefault="00DD54E7" w:rsidP="00DD54E7">
                  <w:pPr>
                    <w:pStyle w:val="TableBodyText"/>
                  </w:pPr>
                </w:p>
              </w:tc>
              <w:tc>
                <w:tcPr>
                  <w:tcW w:w="585" w:type="pct"/>
                </w:tcPr>
                <w:p w14:paraId="63BCB066" w14:textId="77777777" w:rsidR="00DD54E7" w:rsidRDefault="00DD54E7" w:rsidP="00DD54E7">
                  <w:pPr>
                    <w:pStyle w:val="TableBodyText"/>
                    <w:ind w:right="28"/>
                  </w:pPr>
                </w:p>
              </w:tc>
            </w:tr>
            <w:tr w:rsidR="00DD54E7" w14:paraId="25AB966C" w14:textId="77777777" w:rsidTr="008F4AF6">
              <w:tc>
                <w:tcPr>
                  <w:tcW w:w="2414" w:type="pct"/>
                </w:tcPr>
                <w:p w14:paraId="63EA754E" w14:textId="63FB3796" w:rsidR="00DD54E7" w:rsidRDefault="00DD54E7" w:rsidP="00DD54E7">
                  <w:pPr>
                    <w:pStyle w:val="TableBodyText"/>
                    <w:jc w:val="left"/>
                  </w:pPr>
                  <w:r w:rsidRPr="00171AC3">
                    <w:t>AFI - listed country</w:t>
                  </w:r>
                </w:p>
              </w:tc>
              <w:tc>
                <w:tcPr>
                  <w:tcW w:w="667" w:type="pct"/>
                </w:tcPr>
                <w:p w14:paraId="34A3131E" w14:textId="379069EE" w:rsidR="00DD54E7" w:rsidRDefault="00DD54E7" w:rsidP="00DD54E7">
                  <w:pPr>
                    <w:pStyle w:val="TableBodyText"/>
                  </w:pPr>
                </w:p>
              </w:tc>
              <w:tc>
                <w:tcPr>
                  <w:tcW w:w="667" w:type="pct"/>
                </w:tcPr>
                <w:p w14:paraId="6F21414F" w14:textId="3A3CB3A4" w:rsidR="00DD54E7" w:rsidRDefault="00DD54E7" w:rsidP="00DD54E7">
                  <w:pPr>
                    <w:pStyle w:val="TableBodyText"/>
                  </w:pPr>
                  <w:r w:rsidRPr="00612267">
                    <w:rPr>
                      <w:rFonts w:ascii="Wingdings" w:hAnsi="Wingdings"/>
                    </w:rPr>
                    <w:t></w:t>
                  </w:r>
                </w:p>
              </w:tc>
              <w:tc>
                <w:tcPr>
                  <w:tcW w:w="666" w:type="pct"/>
                </w:tcPr>
                <w:p w14:paraId="69D3649D" w14:textId="45C46ECC" w:rsidR="00DD54E7" w:rsidRDefault="00DD54E7" w:rsidP="00DD54E7">
                  <w:pPr>
                    <w:pStyle w:val="TableBodyText"/>
                  </w:pPr>
                  <w:r w:rsidRPr="00612267">
                    <w:rPr>
                      <w:rFonts w:ascii="Wingdings" w:hAnsi="Wingdings"/>
                    </w:rPr>
                    <w:t></w:t>
                  </w:r>
                </w:p>
              </w:tc>
              <w:tc>
                <w:tcPr>
                  <w:tcW w:w="585" w:type="pct"/>
                </w:tcPr>
                <w:p w14:paraId="6DC7D10B" w14:textId="77777777" w:rsidR="00DD54E7" w:rsidRDefault="00DD54E7" w:rsidP="00DD54E7">
                  <w:pPr>
                    <w:pStyle w:val="TableBodyText"/>
                    <w:ind w:right="28"/>
                  </w:pPr>
                </w:p>
              </w:tc>
            </w:tr>
            <w:tr w:rsidR="00DD54E7" w14:paraId="2EECAA08" w14:textId="77777777" w:rsidTr="008F4AF6">
              <w:tc>
                <w:tcPr>
                  <w:tcW w:w="2414" w:type="pct"/>
                </w:tcPr>
                <w:p w14:paraId="0B21D1A0" w14:textId="4B3AEE16" w:rsidR="00DD54E7" w:rsidRDefault="00DD54E7" w:rsidP="00DD54E7">
                  <w:pPr>
                    <w:pStyle w:val="TableBodyText"/>
                    <w:jc w:val="left"/>
                  </w:pPr>
                  <w:r w:rsidRPr="00171AC3">
                    <w:t>AFI - section 404 country</w:t>
                  </w:r>
                </w:p>
              </w:tc>
              <w:tc>
                <w:tcPr>
                  <w:tcW w:w="667" w:type="pct"/>
                </w:tcPr>
                <w:p w14:paraId="2B73ABFC" w14:textId="2ECC9A7C" w:rsidR="00DD54E7" w:rsidRDefault="00DD54E7" w:rsidP="00DD54E7">
                  <w:pPr>
                    <w:pStyle w:val="TableBodyText"/>
                  </w:pPr>
                </w:p>
              </w:tc>
              <w:tc>
                <w:tcPr>
                  <w:tcW w:w="667" w:type="pct"/>
                </w:tcPr>
                <w:p w14:paraId="0F99B99E" w14:textId="7A4F4E60" w:rsidR="00DD54E7" w:rsidRDefault="00DD54E7" w:rsidP="00DD54E7">
                  <w:pPr>
                    <w:pStyle w:val="TableBodyText"/>
                  </w:pPr>
                  <w:r w:rsidRPr="00612267">
                    <w:rPr>
                      <w:rFonts w:ascii="Wingdings" w:hAnsi="Wingdings"/>
                    </w:rPr>
                    <w:t></w:t>
                  </w:r>
                </w:p>
              </w:tc>
              <w:tc>
                <w:tcPr>
                  <w:tcW w:w="666" w:type="pct"/>
                </w:tcPr>
                <w:p w14:paraId="1772986D" w14:textId="4F7EB614" w:rsidR="00DD54E7" w:rsidRDefault="00DD54E7" w:rsidP="00DD54E7">
                  <w:pPr>
                    <w:pStyle w:val="TableBodyText"/>
                  </w:pPr>
                  <w:r w:rsidRPr="00612267">
                    <w:rPr>
                      <w:rFonts w:ascii="Wingdings" w:hAnsi="Wingdings"/>
                    </w:rPr>
                    <w:t></w:t>
                  </w:r>
                </w:p>
              </w:tc>
              <w:tc>
                <w:tcPr>
                  <w:tcW w:w="585" w:type="pct"/>
                </w:tcPr>
                <w:p w14:paraId="224E3FA7" w14:textId="77777777" w:rsidR="00DD54E7" w:rsidRDefault="00DD54E7" w:rsidP="00DD54E7">
                  <w:pPr>
                    <w:pStyle w:val="TableBodyText"/>
                    <w:ind w:right="28"/>
                  </w:pPr>
                </w:p>
              </w:tc>
            </w:tr>
            <w:tr w:rsidR="00DD54E7" w14:paraId="0E8AB6C5" w14:textId="77777777" w:rsidTr="008F4AF6">
              <w:tc>
                <w:tcPr>
                  <w:tcW w:w="2414" w:type="pct"/>
                </w:tcPr>
                <w:p w14:paraId="7D25DA22" w14:textId="0DE5F5D3" w:rsidR="00DD54E7" w:rsidRDefault="00DD54E7" w:rsidP="00DD54E7">
                  <w:pPr>
                    <w:pStyle w:val="TableBodyText"/>
                    <w:jc w:val="left"/>
                  </w:pPr>
                  <w:r w:rsidRPr="00171AC3">
                    <w:t>AFI - unlisted country</w:t>
                  </w:r>
                </w:p>
              </w:tc>
              <w:tc>
                <w:tcPr>
                  <w:tcW w:w="667" w:type="pct"/>
                </w:tcPr>
                <w:p w14:paraId="302E4203" w14:textId="4A145AC5" w:rsidR="00DD54E7" w:rsidRDefault="00DD54E7" w:rsidP="00DD54E7">
                  <w:pPr>
                    <w:pStyle w:val="TableBodyText"/>
                  </w:pPr>
                </w:p>
              </w:tc>
              <w:tc>
                <w:tcPr>
                  <w:tcW w:w="667" w:type="pct"/>
                </w:tcPr>
                <w:p w14:paraId="79A74A13" w14:textId="09EB1D79" w:rsidR="00DD54E7" w:rsidRDefault="00DD54E7" w:rsidP="00DD54E7">
                  <w:pPr>
                    <w:pStyle w:val="TableBodyText"/>
                  </w:pPr>
                  <w:r w:rsidRPr="00612267">
                    <w:rPr>
                      <w:rFonts w:ascii="Wingdings" w:hAnsi="Wingdings"/>
                    </w:rPr>
                    <w:t></w:t>
                  </w:r>
                </w:p>
              </w:tc>
              <w:tc>
                <w:tcPr>
                  <w:tcW w:w="666" w:type="pct"/>
                </w:tcPr>
                <w:p w14:paraId="21D1A4B4" w14:textId="1BD65FA2" w:rsidR="00DD54E7" w:rsidRDefault="00DD54E7" w:rsidP="00DD54E7">
                  <w:pPr>
                    <w:pStyle w:val="TableBodyText"/>
                  </w:pPr>
                  <w:r w:rsidRPr="00612267">
                    <w:rPr>
                      <w:rFonts w:ascii="Wingdings" w:hAnsi="Wingdings"/>
                    </w:rPr>
                    <w:t></w:t>
                  </w:r>
                </w:p>
              </w:tc>
              <w:tc>
                <w:tcPr>
                  <w:tcW w:w="585" w:type="pct"/>
                </w:tcPr>
                <w:p w14:paraId="02A85327" w14:textId="77777777" w:rsidR="00DD54E7" w:rsidRDefault="00DD54E7" w:rsidP="00DD54E7">
                  <w:pPr>
                    <w:pStyle w:val="TableBodyText"/>
                    <w:ind w:right="28"/>
                  </w:pPr>
                </w:p>
              </w:tc>
            </w:tr>
            <w:tr w:rsidR="00DD54E7" w14:paraId="5CB0B701" w14:textId="77777777" w:rsidTr="008F4AF6">
              <w:tc>
                <w:tcPr>
                  <w:tcW w:w="2414" w:type="pct"/>
                </w:tcPr>
                <w:p w14:paraId="6D12DC4E" w14:textId="79144346" w:rsidR="00DD54E7" w:rsidRDefault="00DD54E7" w:rsidP="00DD54E7">
                  <w:pPr>
                    <w:pStyle w:val="TableBodyText"/>
                    <w:jc w:val="left"/>
                  </w:pPr>
                  <w:r w:rsidRPr="00171AC3">
                    <w:t>Foreign income tax offset</w:t>
                  </w:r>
                </w:p>
              </w:tc>
              <w:tc>
                <w:tcPr>
                  <w:tcW w:w="667" w:type="pct"/>
                </w:tcPr>
                <w:p w14:paraId="079A8F94" w14:textId="71C38638" w:rsidR="00DD54E7" w:rsidRDefault="00DD54E7" w:rsidP="00DD54E7">
                  <w:pPr>
                    <w:pStyle w:val="TableBodyText"/>
                  </w:pPr>
                  <w:r w:rsidRPr="00612267">
                    <w:rPr>
                      <w:rFonts w:ascii="Wingdings" w:hAnsi="Wingdings"/>
                    </w:rPr>
                    <w:t></w:t>
                  </w:r>
                </w:p>
              </w:tc>
              <w:tc>
                <w:tcPr>
                  <w:tcW w:w="667" w:type="pct"/>
                </w:tcPr>
                <w:p w14:paraId="4F82E254" w14:textId="75011444" w:rsidR="00DD54E7" w:rsidRDefault="00DD54E7" w:rsidP="00DD54E7">
                  <w:pPr>
                    <w:pStyle w:val="TableBodyText"/>
                  </w:pPr>
                  <w:r w:rsidRPr="00612267">
                    <w:rPr>
                      <w:rFonts w:ascii="Wingdings" w:hAnsi="Wingdings"/>
                    </w:rPr>
                    <w:t></w:t>
                  </w:r>
                </w:p>
              </w:tc>
              <w:tc>
                <w:tcPr>
                  <w:tcW w:w="666" w:type="pct"/>
                </w:tcPr>
                <w:p w14:paraId="6B3187E1" w14:textId="457373B5" w:rsidR="00DD54E7" w:rsidRDefault="00DD54E7" w:rsidP="00DD54E7">
                  <w:pPr>
                    <w:pStyle w:val="TableBodyText"/>
                  </w:pPr>
                  <w:r w:rsidRPr="00612267">
                    <w:rPr>
                      <w:rFonts w:ascii="Wingdings" w:hAnsi="Wingdings"/>
                    </w:rPr>
                    <w:t></w:t>
                  </w:r>
                </w:p>
              </w:tc>
              <w:tc>
                <w:tcPr>
                  <w:tcW w:w="585" w:type="pct"/>
                </w:tcPr>
                <w:p w14:paraId="6636BAFF" w14:textId="77777777" w:rsidR="00DD54E7" w:rsidRDefault="00DD54E7" w:rsidP="00DD54E7">
                  <w:pPr>
                    <w:pStyle w:val="TableBodyText"/>
                    <w:ind w:right="28"/>
                  </w:pPr>
                </w:p>
              </w:tc>
            </w:tr>
            <w:tr w:rsidR="00320FEB" w14:paraId="3D15E837" w14:textId="77777777" w:rsidTr="008F4AF6">
              <w:tc>
                <w:tcPr>
                  <w:tcW w:w="2414" w:type="pct"/>
                </w:tcPr>
                <w:p w14:paraId="591EACFD" w14:textId="36C81256" w:rsidR="00320FEB" w:rsidRDefault="00320FEB" w:rsidP="00320FEB">
                  <w:pPr>
                    <w:pStyle w:val="TableBodyText"/>
                    <w:jc w:val="left"/>
                  </w:pPr>
                  <w:r w:rsidRPr="00171AC3">
                    <w:t>Loss carry-back tax offset</w:t>
                  </w:r>
                </w:p>
              </w:tc>
              <w:tc>
                <w:tcPr>
                  <w:tcW w:w="667" w:type="pct"/>
                </w:tcPr>
                <w:p w14:paraId="08DF4A78" w14:textId="69737DD8" w:rsidR="00320FEB" w:rsidRDefault="00320FEB" w:rsidP="00320FEB">
                  <w:pPr>
                    <w:pStyle w:val="TableBodyText"/>
                  </w:pPr>
                  <w:r w:rsidRPr="00612267">
                    <w:rPr>
                      <w:rFonts w:ascii="Wingdings" w:hAnsi="Wingdings"/>
                    </w:rPr>
                    <w:t></w:t>
                  </w:r>
                </w:p>
              </w:tc>
              <w:tc>
                <w:tcPr>
                  <w:tcW w:w="667" w:type="pct"/>
                </w:tcPr>
                <w:p w14:paraId="793887ED" w14:textId="31E4B238" w:rsidR="00320FEB" w:rsidRDefault="00320FEB" w:rsidP="00320FEB">
                  <w:pPr>
                    <w:pStyle w:val="TableBodyText"/>
                  </w:pPr>
                </w:p>
              </w:tc>
              <w:tc>
                <w:tcPr>
                  <w:tcW w:w="666" w:type="pct"/>
                </w:tcPr>
                <w:p w14:paraId="08C380FE" w14:textId="77777777" w:rsidR="00320FEB" w:rsidRDefault="00320FEB" w:rsidP="00320FEB">
                  <w:pPr>
                    <w:pStyle w:val="TableBodyText"/>
                  </w:pPr>
                </w:p>
              </w:tc>
              <w:tc>
                <w:tcPr>
                  <w:tcW w:w="585" w:type="pct"/>
                </w:tcPr>
                <w:p w14:paraId="4F384758" w14:textId="77777777" w:rsidR="00320FEB" w:rsidRDefault="00320FEB" w:rsidP="00320FEB">
                  <w:pPr>
                    <w:pStyle w:val="TableBodyText"/>
                    <w:ind w:right="28"/>
                  </w:pPr>
                </w:p>
              </w:tc>
            </w:tr>
            <w:tr w:rsidR="00320FEB" w14:paraId="3E32389A" w14:textId="77777777" w:rsidTr="008F4AF6">
              <w:tc>
                <w:tcPr>
                  <w:tcW w:w="2414" w:type="pct"/>
                </w:tcPr>
                <w:p w14:paraId="7BE16956" w14:textId="07CB4BD3" w:rsidR="00320FEB" w:rsidRDefault="00320FEB" w:rsidP="00320FEB">
                  <w:pPr>
                    <w:pStyle w:val="TableBodyText"/>
                    <w:jc w:val="left"/>
                  </w:pPr>
                  <w:r w:rsidRPr="00171AC3">
                    <w:t>Tax loss for middle year (not already utilised) chosen to be carried back to earliest year</w:t>
                  </w:r>
                </w:p>
              </w:tc>
              <w:tc>
                <w:tcPr>
                  <w:tcW w:w="667" w:type="pct"/>
                </w:tcPr>
                <w:p w14:paraId="1192FA5C" w14:textId="1D289840" w:rsidR="00320FEB" w:rsidRDefault="00320FEB" w:rsidP="00320FEB">
                  <w:pPr>
                    <w:pStyle w:val="TableBodyText"/>
                  </w:pPr>
                  <w:r w:rsidRPr="00612267">
                    <w:rPr>
                      <w:rFonts w:ascii="Wingdings" w:hAnsi="Wingdings"/>
                    </w:rPr>
                    <w:t></w:t>
                  </w:r>
                </w:p>
              </w:tc>
              <w:tc>
                <w:tcPr>
                  <w:tcW w:w="667" w:type="pct"/>
                </w:tcPr>
                <w:p w14:paraId="4E9B6779" w14:textId="39658460" w:rsidR="00320FEB" w:rsidRDefault="00320FEB" w:rsidP="00320FEB">
                  <w:pPr>
                    <w:pStyle w:val="TableBodyText"/>
                  </w:pPr>
                </w:p>
              </w:tc>
              <w:tc>
                <w:tcPr>
                  <w:tcW w:w="666" w:type="pct"/>
                </w:tcPr>
                <w:p w14:paraId="3ADD74CF" w14:textId="06942867" w:rsidR="00320FEB" w:rsidRDefault="00320FEB" w:rsidP="00320FEB">
                  <w:pPr>
                    <w:pStyle w:val="TableBodyText"/>
                  </w:pPr>
                </w:p>
              </w:tc>
              <w:tc>
                <w:tcPr>
                  <w:tcW w:w="585" w:type="pct"/>
                </w:tcPr>
                <w:p w14:paraId="5CD6F999" w14:textId="77777777" w:rsidR="00320FEB" w:rsidRDefault="00320FEB" w:rsidP="00320FEB">
                  <w:pPr>
                    <w:pStyle w:val="TableBodyText"/>
                    <w:ind w:right="28"/>
                  </w:pPr>
                </w:p>
              </w:tc>
            </w:tr>
            <w:tr w:rsidR="00320FEB" w14:paraId="510D1612" w14:textId="77777777" w:rsidTr="008F4AF6">
              <w:tc>
                <w:tcPr>
                  <w:tcW w:w="2414" w:type="pct"/>
                </w:tcPr>
                <w:p w14:paraId="38F279F3" w14:textId="0326FDB3" w:rsidR="00320FEB" w:rsidRDefault="00320FEB" w:rsidP="00320FEB">
                  <w:pPr>
                    <w:pStyle w:val="TableBodyText"/>
                    <w:jc w:val="left"/>
                  </w:pPr>
                  <w:r w:rsidRPr="00171AC3">
                    <w:t>Tax loss for current year chosen to be carried back to earliest year</w:t>
                  </w:r>
                </w:p>
              </w:tc>
              <w:tc>
                <w:tcPr>
                  <w:tcW w:w="667" w:type="pct"/>
                </w:tcPr>
                <w:p w14:paraId="493D2051" w14:textId="599212E2" w:rsidR="00320FEB" w:rsidRDefault="00320FEB" w:rsidP="00320FEB">
                  <w:pPr>
                    <w:pStyle w:val="TableBodyText"/>
                  </w:pPr>
                  <w:r w:rsidRPr="00612267">
                    <w:rPr>
                      <w:rFonts w:ascii="Wingdings" w:hAnsi="Wingdings"/>
                    </w:rPr>
                    <w:t></w:t>
                  </w:r>
                </w:p>
              </w:tc>
              <w:tc>
                <w:tcPr>
                  <w:tcW w:w="667" w:type="pct"/>
                </w:tcPr>
                <w:p w14:paraId="0C3C22BB" w14:textId="3A85D0F0" w:rsidR="00320FEB" w:rsidRDefault="00320FEB" w:rsidP="00320FEB">
                  <w:pPr>
                    <w:pStyle w:val="TableBodyText"/>
                  </w:pPr>
                </w:p>
              </w:tc>
              <w:tc>
                <w:tcPr>
                  <w:tcW w:w="666" w:type="pct"/>
                </w:tcPr>
                <w:p w14:paraId="490D9060" w14:textId="5EC37A6A" w:rsidR="00320FEB" w:rsidRDefault="00320FEB" w:rsidP="00320FEB">
                  <w:pPr>
                    <w:pStyle w:val="TableBodyText"/>
                  </w:pPr>
                </w:p>
              </w:tc>
              <w:tc>
                <w:tcPr>
                  <w:tcW w:w="585" w:type="pct"/>
                </w:tcPr>
                <w:p w14:paraId="2868A19F" w14:textId="77777777" w:rsidR="00320FEB" w:rsidRDefault="00320FEB" w:rsidP="00320FEB">
                  <w:pPr>
                    <w:pStyle w:val="TableBodyText"/>
                    <w:ind w:right="28"/>
                  </w:pPr>
                </w:p>
              </w:tc>
            </w:tr>
            <w:tr w:rsidR="008055B1" w14:paraId="66D95BBE" w14:textId="77777777" w:rsidTr="008F4AF6">
              <w:tc>
                <w:tcPr>
                  <w:tcW w:w="2414" w:type="pct"/>
                </w:tcPr>
                <w:p w14:paraId="73DBA257" w14:textId="6BD0C7CF" w:rsidR="008055B1" w:rsidRDefault="008055B1" w:rsidP="008055B1">
                  <w:pPr>
                    <w:pStyle w:val="TableBodyText"/>
                    <w:jc w:val="left"/>
                  </w:pPr>
                  <w:r w:rsidRPr="00171AC3">
                    <w:t>Net exempt income for earliest year</w:t>
                  </w:r>
                </w:p>
              </w:tc>
              <w:tc>
                <w:tcPr>
                  <w:tcW w:w="667" w:type="pct"/>
                </w:tcPr>
                <w:p w14:paraId="4BEFD0DA" w14:textId="4111E63E" w:rsidR="008055B1" w:rsidRDefault="008055B1" w:rsidP="008055B1">
                  <w:pPr>
                    <w:pStyle w:val="TableBodyText"/>
                  </w:pPr>
                  <w:r w:rsidRPr="00612267">
                    <w:rPr>
                      <w:rFonts w:ascii="Wingdings" w:hAnsi="Wingdings"/>
                    </w:rPr>
                    <w:t></w:t>
                  </w:r>
                </w:p>
              </w:tc>
              <w:tc>
                <w:tcPr>
                  <w:tcW w:w="667" w:type="pct"/>
                </w:tcPr>
                <w:p w14:paraId="4A2C0EBD" w14:textId="77777777" w:rsidR="008055B1" w:rsidRDefault="008055B1" w:rsidP="008055B1">
                  <w:pPr>
                    <w:pStyle w:val="TableBodyText"/>
                  </w:pPr>
                </w:p>
              </w:tc>
              <w:tc>
                <w:tcPr>
                  <w:tcW w:w="666" w:type="pct"/>
                </w:tcPr>
                <w:p w14:paraId="173E56CF" w14:textId="77777777" w:rsidR="008055B1" w:rsidRDefault="008055B1" w:rsidP="008055B1">
                  <w:pPr>
                    <w:pStyle w:val="TableBodyText"/>
                  </w:pPr>
                </w:p>
              </w:tc>
              <w:tc>
                <w:tcPr>
                  <w:tcW w:w="585" w:type="pct"/>
                </w:tcPr>
                <w:p w14:paraId="4D94F720" w14:textId="77777777" w:rsidR="008055B1" w:rsidRDefault="008055B1" w:rsidP="008055B1">
                  <w:pPr>
                    <w:pStyle w:val="TableBodyText"/>
                    <w:ind w:right="28"/>
                  </w:pPr>
                </w:p>
              </w:tc>
            </w:tr>
            <w:tr w:rsidR="008055B1" w14:paraId="1C009E14" w14:textId="77777777" w:rsidTr="00E3630A">
              <w:tc>
                <w:tcPr>
                  <w:tcW w:w="2414" w:type="pct"/>
                </w:tcPr>
                <w:p w14:paraId="1BB62CB4" w14:textId="24258247" w:rsidR="008055B1" w:rsidRDefault="008055B1" w:rsidP="008055B1">
                  <w:pPr>
                    <w:pStyle w:val="TableBodyText"/>
                    <w:jc w:val="left"/>
                  </w:pPr>
                  <w:r w:rsidRPr="00171AC3">
                    <w:t>Income tax liability for earliest year</w:t>
                  </w:r>
                </w:p>
              </w:tc>
              <w:tc>
                <w:tcPr>
                  <w:tcW w:w="667" w:type="pct"/>
                </w:tcPr>
                <w:p w14:paraId="36DDBCE0" w14:textId="4E039F21" w:rsidR="008055B1" w:rsidRDefault="008055B1" w:rsidP="008055B1">
                  <w:pPr>
                    <w:pStyle w:val="TableBodyText"/>
                  </w:pPr>
                  <w:r w:rsidRPr="00612267">
                    <w:rPr>
                      <w:rFonts w:ascii="Wingdings" w:hAnsi="Wingdings"/>
                    </w:rPr>
                    <w:t></w:t>
                  </w:r>
                </w:p>
              </w:tc>
              <w:tc>
                <w:tcPr>
                  <w:tcW w:w="667" w:type="pct"/>
                </w:tcPr>
                <w:p w14:paraId="21A98899" w14:textId="7BFC9DCF" w:rsidR="008055B1" w:rsidRDefault="008055B1" w:rsidP="008055B1">
                  <w:pPr>
                    <w:pStyle w:val="TableBodyText"/>
                  </w:pPr>
                </w:p>
              </w:tc>
              <w:tc>
                <w:tcPr>
                  <w:tcW w:w="666" w:type="pct"/>
                </w:tcPr>
                <w:p w14:paraId="73A39BCA" w14:textId="253F12D3" w:rsidR="008055B1" w:rsidRDefault="008055B1" w:rsidP="008055B1">
                  <w:pPr>
                    <w:pStyle w:val="TableBodyText"/>
                  </w:pPr>
                </w:p>
              </w:tc>
              <w:tc>
                <w:tcPr>
                  <w:tcW w:w="585" w:type="pct"/>
                </w:tcPr>
                <w:p w14:paraId="669C79FC" w14:textId="77777777" w:rsidR="008055B1" w:rsidRDefault="008055B1" w:rsidP="008055B1">
                  <w:pPr>
                    <w:pStyle w:val="TableBodyText"/>
                    <w:ind w:right="28"/>
                  </w:pPr>
                </w:p>
              </w:tc>
            </w:tr>
          </w:tbl>
          <w:p w14:paraId="5EBD1D76" w14:textId="77777777" w:rsidR="00EC5476" w:rsidRDefault="00EC5476" w:rsidP="00E3630A">
            <w:pPr>
              <w:pStyle w:val="Box"/>
            </w:pPr>
          </w:p>
        </w:tc>
      </w:tr>
      <w:tr w:rsidR="00EC5476" w14:paraId="50E5DC02" w14:textId="77777777" w:rsidTr="00E3630A">
        <w:tc>
          <w:tcPr>
            <w:tcW w:w="5000" w:type="pct"/>
            <w:tcBorders>
              <w:top w:val="nil"/>
              <w:left w:val="nil"/>
              <w:bottom w:val="nil"/>
              <w:right w:val="nil"/>
            </w:tcBorders>
            <w:shd w:val="clear" w:color="auto" w:fill="auto"/>
          </w:tcPr>
          <w:p w14:paraId="75FEF40F" w14:textId="4E7A79AA" w:rsidR="00EC5476" w:rsidRDefault="001D763C" w:rsidP="001D763C">
            <w:pPr>
              <w:pStyle w:val="Source"/>
              <w:jc w:val="right"/>
            </w:pPr>
            <w:r>
              <w:t>(continued)</w:t>
            </w:r>
          </w:p>
        </w:tc>
      </w:tr>
      <w:tr w:rsidR="00EC5476" w14:paraId="3FF44505" w14:textId="77777777" w:rsidTr="00E3630A">
        <w:tc>
          <w:tcPr>
            <w:tcW w:w="5000" w:type="pct"/>
            <w:tcBorders>
              <w:top w:val="nil"/>
              <w:left w:val="nil"/>
              <w:bottom w:val="single" w:sz="6" w:space="0" w:color="78A22F"/>
              <w:right w:val="nil"/>
            </w:tcBorders>
            <w:shd w:val="clear" w:color="auto" w:fill="auto"/>
          </w:tcPr>
          <w:p w14:paraId="1D361C9C" w14:textId="77777777" w:rsidR="00EC5476" w:rsidRDefault="00EC5476" w:rsidP="00E3630A">
            <w:pPr>
              <w:pStyle w:val="Box"/>
              <w:spacing w:before="0" w:line="120" w:lineRule="exact"/>
            </w:pPr>
          </w:p>
        </w:tc>
      </w:tr>
      <w:tr w:rsidR="00EC5476" w:rsidRPr="000863A5" w14:paraId="7A31DB9A" w14:textId="77777777" w:rsidTr="00E3630A">
        <w:tc>
          <w:tcPr>
            <w:tcW w:w="5000" w:type="pct"/>
            <w:tcBorders>
              <w:top w:val="single" w:sz="6" w:space="0" w:color="78A22F"/>
              <w:left w:val="nil"/>
              <w:bottom w:val="nil"/>
              <w:right w:val="nil"/>
            </w:tcBorders>
          </w:tcPr>
          <w:p w14:paraId="19089B13" w14:textId="0BDBED95" w:rsidR="00EC5476" w:rsidRPr="00626D32" w:rsidRDefault="00EC5476" w:rsidP="00E3630A">
            <w:pPr>
              <w:pStyle w:val="BoxSpaceBelow"/>
            </w:pPr>
          </w:p>
        </w:tc>
      </w:tr>
    </w:tbl>
    <w:p w14:paraId="6EF4D0C8" w14:textId="0F361A3D" w:rsidR="008C6489" w:rsidRDefault="008C6489" w:rsidP="00E3630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C6489" w14:paraId="3A59BEE2" w14:textId="77777777" w:rsidTr="00E3630A">
        <w:trPr>
          <w:tblHeader/>
        </w:trPr>
        <w:tc>
          <w:tcPr>
            <w:tcW w:w="5000" w:type="pct"/>
            <w:tcBorders>
              <w:top w:val="single" w:sz="6" w:space="0" w:color="78A22F"/>
              <w:left w:val="nil"/>
              <w:bottom w:val="nil"/>
              <w:right w:val="nil"/>
            </w:tcBorders>
            <w:shd w:val="clear" w:color="auto" w:fill="auto"/>
          </w:tcPr>
          <w:p w14:paraId="11FDDBA6" w14:textId="24274193" w:rsidR="00ED6E23" w:rsidRDefault="008C6489" w:rsidP="00ED6E23">
            <w:pPr>
              <w:pStyle w:val="TableTitle"/>
            </w:pPr>
            <w:r>
              <w:rPr>
                <w:b w:val="0"/>
              </w:rPr>
              <w:t xml:space="preserve">Table </w:t>
            </w:r>
            <w:r w:rsidR="007169DF">
              <w:rPr>
                <w:b w:val="0"/>
              </w:rPr>
              <w:t>B.1</w:t>
            </w:r>
            <w:r>
              <w:tab/>
            </w:r>
            <w:r w:rsidR="00ED6E23" w:rsidRPr="00DB79BC">
              <w:rPr>
                <w:b w:val="0"/>
                <w:bCs/>
                <w:sz w:val="18"/>
                <w:szCs w:val="18"/>
              </w:rPr>
              <w:t>(continued)</w:t>
            </w:r>
          </w:p>
          <w:p w14:paraId="62BAFBC6" w14:textId="5324BE23" w:rsidR="008C6489" w:rsidRPr="00784A05" w:rsidRDefault="00ED6E23" w:rsidP="00E3630A">
            <w:pPr>
              <w:pStyle w:val="Subtitle"/>
            </w:pPr>
            <w:r w:rsidRPr="00ED6E23">
              <w:t>Variables included by type of business entity</w:t>
            </w:r>
          </w:p>
        </w:tc>
      </w:tr>
      <w:tr w:rsidR="008C6489" w14:paraId="2104CCBE" w14:textId="77777777" w:rsidTr="00E3630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966"/>
              <w:gridCol w:w="1134"/>
              <w:gridCol w:w="1135"/>
              <w:gridCol w:w="1135"/>
              <w:gridCol w:w="1135"/>
            </w:tblGrid>
            <w:tr w:rsidR="008C6489" w14:paraId="53FC43C1" w14:textId="77777777" w:rsidTr="008C6489">
              <w:trPr>
                <w:tblHeader/>
              </w:trPr>
              <w:tc>
                <w:tcPr>
                  <w:tcW w:w="2332" w:type="pct"/>
                  <w:tcBorders>
                    <w:top w:val="single" w:sz="6" w:space="0" w:color="BFBFBF"/>
                    <w:bottom w:val="single" w:sz="6" w:space="0" w:color="BFBFBF"/>
                  </w:tcBorders>
                  <w:shd w:val="clear" w:color="auto" w:fill="auto"/>
                  <w:tcMar>
                    <w:top w:w="28" w:type="dxa"/>
                  </w:tcMar>
                </w:tcPr>
                <w:p w14:paraId="1FFCC9C8" w14:textId="77777777" w:rsidR="008C6489" w:rsidRDefault="008C6489" w:rsidP="008C6489">
                  <w:pPr>
                    <w:pStyle w:val="TableColumnHeading"/>
                    <w:jc w:val="left"/>
                  </w:pPr>
                </w:p>
              </w:tc>
              <w:tc>
                <w:tcPr>
                  <w:tcW w:w="667" w:type="pct"/>
                  <w:tcBorders>
                    <w:top w:val="single" w:sz="6" w:space="0" w:color="BFBFBF"/>
                    <w:bottom w:val="single" w:sz="6" w:space="0" w:color="BFBFBF"/>
                  </w:tcBorders>
                </w:tcPr>
                <w:p w14:paraId="416AD0B2" w14:textId="0C14FBAC" w:rsidR="008C6489" w:rsidRDefault="008C6489" w:rsidP="008C6489">
                  <w:pPr>
                    <w:pStyle w:val="TableColumnHeading"/>
                  </w:pPr>
                  <w:r w:rsidRPr="00AC5269">
                    <w:t>Company form</w:t>
                  </w:r>
                </w:p>
              </w:tc>
              <w:tc>
                <w:tcPr>
                  <w:tcW w:w="667" w:type="pct"/>
                  <w:tcBorders>
                    <w:top w:val="single" w:sz="6" w:space="0" w:color="BFBFBF"/>
                    <w:bottom w:val="single" w:sz="6" w:space="0" w:color="BFBFBF"/>
                  </w:tcBorders>
                </w:tcPr>
                <w:p w14:paraId="3FD5C3CA" w14:textId="1C07AF08" w:rsidR="008C6489" w:rsidRDefault="008C6489" w:rsidP="008C6489">
                  <w:pPr>
                    <w:pStyle w:val="TableColumnHeading"/>
                  </w:pPr>
                  <w:r w:rsidRPr="00AC5269">
                    <w:t>Partnership form</w:t>
                  </w:r>
                </w:p>
              </w:tc>
              <w:tc>
                <w:tcPr>
                  <w:tcW w:w="667" w:type="pct"/>
                  <w:tcBorders>
                    <w:top w:val="single" w:sz="6" w:space="0" w:color="BFBFBF"/>
                    <w:bottom w:val="single" w:sz="6" w:space="0" w:color="BFBFBF"/>
                  </w:tcBorders>
                  <w:shd w:val="clear" w:color="auto" w:fill="auto"/>
                  <w:tcMar>
                    <w:top w:w="28" w:type="dxa"/>
                  </w:tcMar>
                </w:tcPr>
                <w:p w14:paraId="06C4F6D3" w14:textId="6DD28C90" w:rsidR="008C6489" w:rsidRDefault="008C6489" w:rsidP="008C6489">
                  <w:pPr>
                    <w:pStyle w:val="TableColumnHeading"/>
                  </w:pPr>
                  <w:r w:rsidRPr="00AC5269">
                    <w:t>Trust form</w:t>
                  </w:r>
                </w:p>
              </w:tc>
              <w:tc>
                <w:tcPr>
                  <w:tcW w:w="667" w:type="pct"/>
                  <w:tcBorders>
                    <w:top w:val="single" w:sz="6" w:space="0" w:color="BFBFBF"/>
                    <w:bottom w:val="single" w:sz="6" w:space="0" w:color="BFBFBF"/>
                  </w:tcBorders>
                  <w:shd w:val="clear" w:color="auto" w:fill="auto"/>
                  <w:tcMar>
                    <w:top w:w="28" w:type="dxa"/>
                  </w:tcMar>
                </w:tcPr>
                <w:p w14:paraId="4D3DB958" w14:textId="4167552B" w:rsidR="008C6489" w:rsidRDefault="008C6489" w:rsidP="008C6489">
                  <w:pPr>
                    <w:pStyle w:val="TableColumnHeading"/>
                    <w:ind w:right="28"/>
                  </w:pPr>
                  <w:r w:rsidRPr="00AC5269">
                    <w:t>Individual form</w:t>
                  </w:r>
                </w:p>
              </w:tc>
            </w:tr>
            <w:tr w:rsidR="008C6489" w14:paraId="1DDF5D04" w14:textId="77777777" w:rsidTr="008C6489">
              <w:tc>
                <w:tcPr>
                  <w:tcW w:w="2332" w:type="pct"/>
                </w:tcPr>
                <w:p w14:paraId="2361E4A8" w14:textId="32D0ADFB" w:rsidR="008C6489" w:rsidRDefault="008D34FA" w:rsidP="00E3630A">
                  <w:pPr>
                    <w:pStyle w:val="TableBodyText"/>
                    <w:jc w:val="left"/>
                  </w:pPr>
                  <w:r w:rsidRPr="00172FB0">
                    <w:rPr>
                      <w:b/>
                      <w:bCs/>
                    </w:rPr>
                    <w:t>Financial and other information</w:t>
                  </w:r>
                </w:p>
              </w:tc>
              <w:tc>
                <w:tcPr>
                  <w:tcW w:w="667" w:type="pct"/>
                </w:tcPr>
                <w:p w14:paraId="41EFFF7A" w14:textId="77777777" w:rsidR="008C6489" w:rsidRDefault="008C6489" w:rsidP="00E3630A">
                  <w:pPr>
                    <w:pStyle w:val="TableBodyText"/>
                  </w:pPr>
                </w:p>
              </w:tc>
              <w:tc>
                <w:tcPr>
                  <w:tcW w:w="667" w:type="pct"/>
                </w:tcPr>
                <w:p w14:paraId="7D8DCA4F" w14:textId="7E669F08" w:rsidR="008C6489" w:rsidRDefault="008C6489" w:rsidP="00E3630A">
                  <w:pPr>
                    <w:pStyle w:val="TableBodyText"/>
                  </w:pPr>
                </w:p>
              </w:tc>
              <w:tc>
                <w:tcPr>
                  <w:tcW w:w="667" w:type="pct"/>
                </w:tcPr>
                <w:p w14:paraId="43972B44" w14:textId="77777777" w:rsidR="008C6489" w:rsidRDefault="008C6489" w:rsidP="00E3630A">
                  <w:pPr>
                    <w:pStyle w:val="TableBodyText"/>
                  </w:pPr>
                </w:p>
              </w:tc>
              <w:tc>
                <w:tcPr>
                  <w:tcW w:w="667" w:type="pct"/>
                </w:tcPr>
                <w:p w14:paraId="19639F34" w14:textId="77777777" w:rsidR="008C6489" w:rsidRDefault="008C6489" w:rsidP="00E3630A">
                  <w:pPr>
                    <w:pStyle w:val="TableBodyText"/>
                    <w:ind w:right="28"/>
                  </w:pPr>
                </w:p>
              </w:tc>
            </w:tr>
            <w:tr w:rsidR="00AA0B4F" w14:paraId="28C896E7" w14:textId="77777777" w:rsidTr="008C6489">
              <w:tc>
                <w:tcPr>
                  <w:tcW w:w="2332" w:type="pct"/>
                </w:tcPr>
                <w:p w14:paraId="1D8E8BD2" w14:textId="29ACEBFD" w:rsidR="00AA0B4F" w:rsidRDefault="00AA0B4F" w:rsidP="00AA0B4F">
                  <w:pPr>
                    <w:pStyle w:val="TableBodyText"/>
                    <w:jc w:val="left"/>
                  </w:pPr>
                  <w:r w:rsidRPr="00171AC3">
                    <w:t>Percentage of non-member income</w:t>
                  </w:r>
                </w:p>
              </w:tc>
              <w:tc>
                <w:tcPr>
                  <w:tcW w:w="667" w:type="pct"/>
                </w:tcPr>
                <w:p w14:paraId="2F4AA8AF" w14:textId="69E608AC" w:rsidR="00AA0B4F" w:rsidRDefault="00AA0B4F" w:rsidP="00AA0B4F">
                  <w:pPr>
                    <w:pStyle w:val="TableBodyText"/>
                  </w:pPr>
                  <w:r w:rsidRPr="00612267">
                    <w:rPr>
                      <w:rFonts w:ascii="Wingdings" w:hAnsi="Wingdings"/>
                    </w:rPr>
                    <w:t></w:t>
                  </w:r>
                </w:p>
              </w:tc>
              <w:tc>
                <w:tcPr>
                  <w:tcW w:w="667" w:type="pct"/>
                </w:tcPr>
                <w:p w14:paraId="0096BA47" w14:textId="5D7A137E" w:rsidR="00AA0B4F" w:rsidRDefault="00AA0B4F" w:rsidP="00AA0B4F">
                  <w:pPr>
                    <w:pStyle w:val="TableBodyText"/>
                  </w:pPr>
                </w:p>
              </w:tc>
              <w:tc>
                <w:tcPr>
                  <w:tcW w:w="667" w:type="pct"/>
                </w:tcPr>
                <w:p w14:paraId="3174F81B" w14:textId="77777777" w:rsidR="00AA0B4F" w:rsidRDefault="00AA0B4F" w:rsidP="00AA0B4F">
                  <w:pPr>
                    <w:pStyle w:val="TableBodyText"/>
                  </w:pPr>
                </w:p>
              </w:tc>
              <w:tc>
                <w:tcPr>
                  <w:tcW w:w="667" w:type="pct"/>
                </w:tcPr>
                <w:p w14:paraId="6F5EF421" w14:textId="77777777" w:rsidR="00AA0B4F" w:rsidRDefault="00AA0B4F" w:rsidP="00AA0B4F">
                  <w:pPr>
                    <w:pStyle w:val="TableBodyText"/>
                    <w:ind w:right="28"/>
                  </w:pPr>
                </w:p>
              </w:tc>
            </w:tr>
            <w:tr w:rsidR="00AA0B4F" w14:paraId="6C4B31D0" w14:textId="77777777" w:rsidTr="008C6489">
              <w:tc>
                <w:tcPr>
                  <w:tcW w:w="2332" w:type="pct"/>
                </w:tcPr>
                <w:p w14:paraId="2D65BB09" w14:textId="38E79E6E" w:rsidR="00AA0B4F" w:rsidRDefault="00AA0B4F" w:rsidP="00AA0B4F">
                  <w:pPr>
                    <w:pStyle w:val="TableBodyText"/>
                    <w:jc w:val="left"/>
                  </w:pPr>
                  <w:r w:rsidRPr="00171AC3">
                    <w:t>Unfranked amount</w:t>
                  </w:r>
                </w:p>
              </w:tc>
              <w:tc>
                <w:tcPr>
                  <w:tcW w:w="667" w:type="pct"/>
                </w:tcPr>
                <w:p w14:paraId="36B460C3" w14:textId="77777777" w:rsidR="00AA0B4F" w:rsidRDefault="00AA0B4F" w:rsidP="00AA0B4F">
                  <w:pPr>
                    <w:pStyle w:val="TableBodyText"/>
                  </w:pPr>
                </w:p>
              </w:tc>
              <w:tc>
                <w:tcPr>
                  <w:tcW w:w="667" w:type="pct"/>
                </w:tcPr>
                <w:p w14:paraId="32C508DC" w14:textId="28B5A3AD" w:rsidR="00AA0B4F" w:rsidRDefault="00AA0B4F" w:rsidP="00AA0B4F">
                  <w:pPr>
                    <w:pStyle w:val="TableBodyText"/>
                  </w:pPr>
                  <w:r w:rsidRPr="00612267">
                    <w:rPr>
                      <w:rFonts w:ascii="Wingdings" w:hAnsi="Wingdings"/>
                    </w:rPr>
                    <w:t></w:t>
                  </w:r>
                </w:p>
              </w:tc>
              <w:tc>
                <w:tcPr>
                  <w:tcW w:w="667" w:type="pct"/>
                </w:tcPr>
                <w:p w14:paraId="4BF1A96D" w14:textId="5B54E2C9" w:rsidR="00AA0B4F" w:rsidRDefault="00AA0B4F" w:rsidP="00AA0B4F">
                  <w:pPr>
                    <w:pStyle w:val="TableBodyText"/>
                  </w:pPr>
                  <w:r w:rsidRPr="00612267">
                    <w:rPr>
                      <w:rFonts w:ascii="Wingdings" w:hAnsi="Wingdings"/>
                    </w:rPr>
                    <w:t></w:t>
                  </w:r>
                </w:p>
              </w:tc>
              <w:tc>
                <w:tcPr>
                  <w:tcW w:w="667" w:type="pct"/>
                </w:tcPr>
                <w:p w14:paraId="10FD9BB5" w14:textId="77777777" w:rsidR="00AA0B4F" w:rsidRDefault="00AA0B4F" w:rsidP="00AA0B4F">
                  <w:pPr>
                    <w:pStyle w:val="TableBodyText"/>
                    <w:ind w:right="28"/>
                  </w:pPr>
                </w:p>
              </w:tc>
            </w:tr>
            <w:tr w:rsidR="00AA0B4F" w14:paraId="3A54083F" w14:textId="77777777" w:rsidTr="008C6489">
              <w:tc>
                <w:tcPr>
                  <w:tcW w:w="2332" w:type="pct"/>
                </w:tcPr>
                <w:p w14:paraId="7921DEDC" w14:textId="628D2909" w:rsidR="00AA0B4F" w:rsidRDefault="00AA0B4F" w:rsidP="00AA0B4F">
                  <w:pPr>
                    <w:pStyle w:val="TableBodyText"/>
                    <w:jc w:val="left"/>
                  </w:pPr>
                  <w:r w:rsidRPr="00171AC3">
                    <w:t>Franked amount</w:t>
                  </w:r>
                </w:p>
              </w:tc>
              <w:tc>
                <w:tcPr>
                  <w:tcW w:w="667" w:type="pct"/>
                </w:tcPr>
                <w:p w14:paraId="1AF8A1DF" w14:textId="77777777" w:rsidR="00AA0B4F" w:rsidRDefault="00AA0B4F" w:rsidP="00AA0B4F">
                  <w:pPr>
                    <w:pStyle w:val="TableBodyText"/>
                  </w:pPr>
                </w:p>
              </w:tc>
              <w:tc>
                <w:tcPr>
                  <w:tcW w:w="667" w:type="pct"/>
                </w:tcPr>
                <w:p w14:paraId="236F96C9" w14:textId="5C6C2D50" w:rsidR="00AA0B4F" w:rsidRDefault="00AA0B4F" w:rsidP="00AA0B4F">
                  <w:pPr>
                    <w:pStyle w:val="TableBodyText"/>
                  </w:pPr>
                  <w:r w:rsidRPr="00612267">
                    <w:rPr>
                      <w:rFonts w:ascii="Wingdings" w:hAnsi="Wingdings"/>
                    </w:rPr>
                    <w:t></w:t>
                  </w:r>
                </w:p>
              </w:tc>
              <w:tc>
                <w:tcPr>
                  <w:tcW w:w="667" w:type="pct"/>
                </w:tcPr>
                <w:p w14:paraId="0AF8500D" w14:textId="3D13373F" w:rsidR="00AA0B4F" w:rsidRDefault="00AA0B4F" w:rsidP="00AA0B4F">
                  <w:pPr>
                    <w:pStyle w:val="TableBodyText"/>
                  </w:pPr>
                  <w:r w:rsidRPr="00612267">
                    <w:rPr>
                      <w:rFonts w:ascii="Wingdings" w:hAnsi="Wingdings"/>
                    </w:rPr>
                    <w:t></w:t>
                  </w:r>
                </w:p>
              </w:tc>
              <w:tc>
                <w:tcPr>
                  <w:tcW w:w="667" w:type="pct"/>
                </w:tcPr>
                <w:p w14:paraId="7323AA95" w14:textId="77777777" w:rsidR="00AA0B4F" w:rsidRDefault="00AA0B4F" w:rsidP="00AA0B4F">
                  <w:pPr>
                    <w:pStyle w:val="TableBodyText"/>
                    <w:ind w:right="28"/>
                  </w:pPr>
                </w:p>
              </w:tc>
            </w:tr>
            <w:tr w:rsidR="00AA0B4F" w14:paraId="25DA9700" w14:textId="77777777" w:rsidTr="008C6489">
              <w:tc>
                <w:tcPr>
                  <w:tcW w:w="2332" w:type="pct"/>
                </w:tcPr>
                <w:p w14:paraId="2965CA75" w14:textId="253B35EB" w:rsidR="00AA0B4F" w:rsidRDefault="00AA0B4F" w:rsidP="00AA0B4F">
                  <w:pPr>
                    <w:pStyle w:val="TableBodyText"/>
                    <w:jc w:val="left"/>
                  </w:pPr>
                  <w:r w:rsidRPr="00171AC3">
                    <w:t>Franking credit</w:t>
                  </w:r>
                </w:p>
              </w:tc>
              <w:tc>
                <w:tcPr>
                  <w:tcW w:w="667" w:type="pct"/>
                </w:tcPr>
                <w:p w14:paraId="073EFBAE" w14:textId="77777777" w:rsidR="00AA0B4F" w:rsidRDefault="00AA0B4F" w:rsidP="00AA0B4F">
                  <w:pPr>
                    <w:pStyle w:val="TableBodyText"/>
                  </w:pPr>
                </w:p>
              </w:tc>
              <w:tc>
                <w:tcPr>
                  <w:tcW w:w="667" w:type="pct"/>
                </w:tcPr>
                <w:p w14:paraId="4114C671" w14:textId="6B903D87" w:rsidR="00AA0B4F" w:rsidRDefault="00AA0B4F" w:rsidP="00AA0B4F">
                  <w:pPr>
                    <w:pStyle w:val="TableBodyText"/>
                  </w:pPr>
                  <w:r w:rsidRPr="00612267">
                    <w:rPr>
                      <w:rFonts w:ascii="Wingdings" w:hAnsi="Wingdings"/>
                    </w:rPr>
                    <w:t></w:t>
                  </w:r>
                </w:p>
              </w:tc>
              <w:tc>
                <w:tcPr>
                  <w:tcW w:w="667" w:type="pct"/>
                </w:tcPr>
                <w:p w14:paraId="550DB205" w14:textId="179556FC" w:rsidR="00AA0B4F" w:rsidRDefault="00AA0B4F" w:rsidP="00AA0B4F">
                  <w:pPr>
                    <w:pStyle w:val="TableBodyText"/>
                  </w:pPr>
                  <w:r w:rsidRPr="00612267">
                    <w:rPr>
                      <w:rFonts w:ascii="Wingdings" w:hAnsi="Wingdings"/>
                    </w:rPr>
                    <w:t></w:t>
                  </w:r>
                </w:p>
              </w:tc>
              <w:tc>
                <w:tcPr>
                  <w:tcW w:w="667" w:type="pct"/>
                </w:tcPr>
                <w:p w14:paraId="097342E9" w14:textId="77777777" w:rsidR="00AA0B4F" w:rsidRDefault="00AA0B4F" w:rsidP="00AA0B4F">
                  <w:pPr>
                    <w:pStyle w:val="TableBodyText"/>
                    <w:ind w:right="28"/>
                  </w:pPr>
                </w:p>
              </w:tc>
            </w:tr>
            <w:tr w:rsidR="00AA0B4F" w14:paraId="7BCC5078" w14:textId="77777777" w:rsidTr="008C6489">
              <w:tc>
                <w:tcPr>
                  <w:tcW w:w="2332" w:type="pct"/>
                </w:tcPr>
                <w:p w14:paraId="3BE8C2A8" w14:textId="5736CD99" w:rsidR="00AA0B4F" w:rsidRDefault="00AA0B4F" w:rsidP="00AA0B4F">
                  <w:pPr>
                    <w:pStyle w:val="TableBodyText"/>
                    <w:jc w:val="left"/>
                  </w:pPr>
                  <w:r w:rsidRPr="00171AC3">
                    <w:t>Gross rent</w:t>
                  </w:r>
                </w:p>
              </w:tc>
              <w:tc>
                <w:tcPr>
                  <w:tcW w:w="667" w:type="pct"/>
                </w:tcPr>
                <w:p w14:paraId="41847E61" w14:textId="77777777" w:rsidR="00AA0B4F" w:rsidRDefault="00AA0B4F" w:rsidP="00AA0B4F">
                  <w:pPr>
                    <w:pStyle w:val="TableBodyText"/>
                  </w:pPr>
                </w:p>
              </w:tc>
              <w:tc>
                <w:tcPr>
                  <w:tcW w:w="667" w:type="pct"/>
                </w:tcPr>
                <w:p w14:paraId="6B806C6A" w14:textId="6C7A4E6E" w:rsidR="00AA0B4F" w:rsidRDefault="00AA0B4F" w:rsidP="00AA0B4F">
                  <w:pPr>
                    <w:pStyle w:val="TableBodyText"/>
                  </w:pPr>
                  <w:r w:rsidRPr="00612267">
                    <w:rPr>
                      <w:rFonts w:ascii="Wingdings" w:hAnsi="Wingdings"/>
                    </w:rPr>
                    <w:t></w:t>
                  </w:r>
                </w:p>
              </w:tc>
              <w:tc>
                <w:tcPr>
                  <w:tcW w:w="667" w:type="pct"/>
                </w:tcPr>
                <w:p w14:paraId="38CBFFFE" w14:textId="2B1FC8B9" w:rsidR="00AA0B4F" w:rsidRDefault="00AA0B4F" w:rsidP="00AA0B4F">
                  <w:pPr>
                    <w:pStyle w:val="TableBodyText"/>
                  </w:pPr>
                  <w:r w:rsidRPr="00612267">
                    <w:rPr>
                      <w:rFonts w:ascii="Wingdings" w:hAnsi="Wingdings"/>
                    </w:rPr>
                    <w:t></w:t>
                  </w:r>
                </w:p>
              </w:tc>
              <w:tc>
                <w:tcPr>
                  <w:tcW w:w="667" w:type="pct"/>
                </w:tcPr>
                <w:p w14:paraId="052872E4" w14:textId="77777777" w:rsidR="00AA0B4F" w:rsidRDefault="00AA0B4F" w:rsidP="00AA0B4F">
                  <w:pPr>
                    <w:pStyle w:val="TableBodyText"/>
                    <w:ind w:right="28"/>
                  </w:pPr>
                </w:p>
              </w:tc>
            </w:tr>
            <w:tr w:rsidR="00AA0B4F" w14:paraId="20B0FBA7" w14:textId="77777777" w:rsidTr="008C6489">
              <w:tc>
                <w:tcPr>
                  <w:tcW w:w="2332" w:type="pct"/>
                </w:tcPr>
                <w:p w14:paraId="486EFA39" w14:textId="7D64374C" w:rsidR="00AA0B4F" w:rsidRDefault="00AA0B4F" w:rsidP="00AA0B4F">
                  <w:pPr>
                    <w:pStyle w:val="TableBodyText"/>
                    <w:jc w:val="left"/>
                  </w:pPr>
                  <w:r w:rsidRPr="00171AC3">
                    <w:t>Other Australian income</w:t>
                  </w:r>
                </w:p>
              </w:tc>
              <w:tc>
                <w:tcPr>
                  <w:tcW w:w="667" w:type="pct"/>
                </w:tcPr>
                <w:p w14:paraId="1D3BAC3D" w14:textId="77777777" w:rsidR="00AA0B4F" w:rsidRDefault="00AA0B4F" w:rsidP="00AA0B4F">
                  <w:pPr>
                    <w:pStyle w:val="TableBodyText"/>
                  </w:pPr>
                </w:p>
              </w:tc>
              <w:tc>
                <w:tcPr>
                  <w:tcW w:w="667" w:type="pct"/>
                </w:tcPr>
                <w:p w14:paraId="64822B91" w14:textId="08AA5380" w:rsidR="00AA0B4F" w:rsidRDefault="00AA0B4F" w:rsidP="00AA0B4F">
                  <w:pPr>
                    <w:pStyle w:val="TableBodyText"/>
                  </w:pPr>
                  <w:r w:rsidRPr="00612267">
                    <w:rPr>
                      <w:rFonts w:ascii="Wingdings" w:hAnsi="Wingdings"/>
                    </w:rPr>
                    <w:t></w:t>
                  </w:r>
                </w:p>
              </w:tc>
              <w:tc>
                <w:tcPr>
                  <w:tcW w:w="667" w:type="pct"/>
                </w:tcPr>
                <w:p w14:paraId="70CE4D83" w14:textId="095216C4" w:rsidR="00AA0B4F" w:rsidRDefault="00AA0B4F" w:rsidP="00AA0B4F">
                  <w:pPr>
                    <w:pStyle w:val="TableBodyText"/>
                  </w:pPr>
                  <w:r w:rsidRPr="00612267">
                    <w:rPr>
                      <w:rFonts w:ascii="Wingdings" w:hAnsi="Wingdings"/>
                    </w:rPr>
                    <w:t></w:t>
                  </w:r>
                </w:p>
              </w:tc>
              <w:tc>
                <w:tcPr>
                  <w:tcW w:w="667" w:type="pct"/>
                </w:tcPr>
                <w:p w14:paraId="358093C0" w14:textId="77777777" w:rsidR="00AA0B4F" w:rsidRDefault="00AA0B4F" w:rsidP="00AA0B4F">
                  <w:pPr>
                    <w:pStyle w:val="TableBodyText"/>
                    <w:ind w:right="28"/>
                  </w:pPr>
                </w:p>
              </w:tc>
            </w:tr>
            <w:tr w:rsidR="00AA0B4F" w14:paraId="3E70BC55" w14:textId="77777777" w:rsidTr="008C6489">
              <w:tc>
                <w:tcPr>
                  <w:tcW w:w="2332" w:type="pct"/>
                </w:tcPr>
                <w:p w14:paraId="7685A21B" w14:textId="2D4018B3" w:rsidR="00AA0B4F" w:rsidRDefault="00AA0B4F" w:rsidP="00AA0B4F">
                  <w:pPr>
                    <w:pStyle w:val="TableBodyText"/>
                    <w:jc w:val="left"/>
                  </w:pPr>
                  <w:r w:rsidRPr="00171AC3">
                    <w:t>Interest deductions</w:t>
                  </w:r>
                </w:p>
              </w:tc>
              <w:tc>
                <w:tcPr>
                  <w:tcW w:w="667" w:type="pct"/>
                </w:tcPr>
                <w:p w14:paraId="426086D1" w14:textId="77777777" w:rsidR="00AA0B4F" w:rsidRDefault="00AA0B4F" w:rsidP="00AA0B4F">
                  <w:pPr>
                    <w:pStyle w:val="TableBodyText"/>
                  </w:pPr>
                </w:p>
              </w:tc>
              <w:tc>
                <w:tcPr>
                  <w:tcW w:w="667" w:type="pct"/>
                </w:tcPr>
                <w:p w14:paraId="7FA8D0F4" w14:textId="0F00470C" w:rsidR="00AA0B4F" w:rsidRDefault="00AA0B4F" w:rsidP="00AA0B4F">
                  <w:pPr>
                    <w:pStyle w:val="TableBodyText"/>
                  </w:pPr>
                  <w:r w:rsidRPr="00612267">
                    <w:rPr>
                      <w:rFonts w:ascii="Wingdings" w:hAnsi="Wingdings"/>
                    </w:rPr>
                    <w:t></w:t>
                  </w:r>
                </w:p>
              </w:tc>
              <w:tc>
                <w:tcPr>
                  <w:tcW w:w="667" w:type="pct"/>
                </w:tcPr>
                <w:p w14:paraId="0A651741" w14:textId="18B25DCB" w:rsidR="00AA0B4F" w:rsidRDefault="00AA0B4F" w:rsidP="00AA0B4F">
                  <w:pPr>
                    <w:pStyle w:val="TableBodyText"/>
                  </w:pPr>
                  <w:r w:rsidRPr="00612267">
                    <w:rPr>
                      <w:rFonts w:ascii="Wingdings" w:hAnsi="Wingdings"/>
                    </w:rPr>
                    <w:t></w:t>
                  </w:r>
                </w:p>
              </w:tc>
              <w:tc>
                <w:tcPr>
                  <w:tcW w:w="667" w:type="pct"/>
                </w:tcPr>
                <w:p w14:paraId="6339E0C4" w14:textId="77777777" w:rsidR="00AA0B4F" w:rsidRDefault="00AA0B4F" w:rsidP="00AA0B4F">
                  <w:pPr>
                    <w:pStyle w:val="TableBodyText"/>
                    <w:ind w:right="28"/>
                  </w:pPr>
                </w:p>
              </w:tc>
            </w:tr>
            <w:tr w:rsidR="00AA0B4F" w14:paraId="60FB8E67" w14:textId="77777777" w:rsidTr="008C6489">
              <w:tc>
                <w:tcPr>
                  <w:tcW w:w="2332" w:type="pct"/>
                </w:tcPr>
                <w:p w14:paraId="28E5ABD4" w14:textId="0DC504B3" w:rsidR="00AA0B4F" w:rsidRDefault="00AA0B4F" w:rsidP="00AA0B4F">
                  <w:pPr>
                    <w:pStyle w:val="TableBodyText"/>
                    <w:jc w:val="left"/>
                  </w:pPr>
                  <w:r w:rsidRPr="00171AC3">
                    <w:t>Gross - Other assessable foreign source income</w:t>
                  </w:r>
                </w:p>
              </w:tc>
              <w:tc>
                <w:tcPr>
                  <w:tcW w:w="667" w:type="pct"/>
                </w:tcPr>
                <w:p w14:paraId="0DFD9E2A" w14:textId="77777777" w:rsidR="00AA0B4F" w:rsidRDefault="00AA0B4F" w:rsidP="00AA0B4F">
                  <w:pPr>
                    <w:pStyle w:val="TableBodyText"/>
                  </w:pPr>
                </w:p>
              </w:tc>
              <w:tc>
                <w:tcPr>
                  <w:tcW w:w="667" w:type="pct"/>
                </w:tcPr>
                <w:p w14:paraId="55A962EF" w14:textId="5A51F33C" w:rsidR="00AA0B4F" w:rsidRDefault="00AA0B4F" w:rsidP="00AA0B4F">
                  <w:pPr>
                    <w:pStyle w:val="TableBodyText"/>
                  </w:pPr>
                  <w:r w:rsidRPr="00612267">
                    <w:rPr>
                      <w:rFonts w:ascii="Wingdings" w:hAnsi="Wingdings"/>
                    </w:rPr>
                    <w:t></w:t>
                  </w:r>
                </w:p>
              </w:tc>
              <w:tc>
                <w:tcPr>
                  <w:tcW w:w="667" w:type="pct"/>
                </w:tcPr>
                <w:p w14:paraId="5E455512" w14:textId="14ED2515" w:rsidR="00AA0B4F" w:rsidRDefault="00AA0B4F" w:rsidP="00AA0B4F">
                  <w:pPr>
                    <w:pStyle w:val="TableBodyText"/>
                  </w:pPr>
                  <w:r w:rsidRPr="00612267">
                    <w:rPr>
                      <w:rFonts w:ascii="Wingdings" w:hAnsi="Wingdings"/>
                    </w:rPr>
                    <w:t></w:t>
                  </w:r>
                </w:p>
              </w:tc>
              <w:tc>
                <w:tcPr>
                  <w:tcW w:w="667" w:type="pct"/>
                </w:tcPr>
                <w:p w14:paraId="24DD831C" w14:textId="77777777" w:rsidR="00AA0B4F" w:rsidRDefault="00AA0B4F" w:rsidP="00AA0B4F">
                  <w:pPr>
                    <w:pStyle w:val="TableBodyText"/>
                    <w:ind w:right="28"/>
                  </w:pPr>
                </w:p>
              </w:tc>
            </w:tr>
            <w:tr w:rsidR="00AA0B4F" w14:paraId="793949AC" w14:textId="77777777" w:rsidTr="008C6489">
              <w:tc>
                <w:tcPr>
                  <w:tcW w:w="2332" w:type="pct"/>
                </w:tcPr>
                <w:p w14:paraId="55CEC629" w14:textId="68B459C3" w:rsidR="00AA0B4F" w:rsidRDefault="00AA0B4F" w:rsidP="00AA0B4F">
                  <w:pPr>
                    <w:pStyle w:val="TableBodyText"/>
                    <w:jc w:val="left"/>
                  </w:pPr>
                  <w:r w:rsidRPr="00171AC3">
                    <w:t>Net - Other assessable foreign source income</w:t>
                  </w:r>
                </w:p>
              </w:tc>
              <w:tc>
                <w:tcPr>
                  <w:tcW w:w="667" w:type="pct"/>
                </w:tcPr>
                <w:p w14:paraId="7894F86B" w14:textId="77777777" w:rsidR="00AA0B4F" w:rsidRDefault="00AA0B4F" w:rsidP="00AA0B4F">
                  <w:pPr>
                    <w:pStyle w:val="TableBodyText"/>
                  </w:pPr>
                </w:p>
              </w:tc>
              <w:tc>
                <w:tcPr>
                  <w:tcW w:w="667" w:type="pct"/>
                </w:tcPr>
                <w:p w14:paraId="060B25CC" w14:textId="77777777" w:rsidR="00AA0B4F" w:rsidRDefault="00AA0B4F" w:rsidP="00AA0B4F">
                  <w:pPr>
                    <w:pStyle w:val="TableBodyText"/>
                  </w:pPr>
                </w:p>
              </w:tc>
              <w:tc>
                <w:tcPr>
                  <w:tcW w:w="667" w:type="pct"/>
                </w:tcPr>
                <w:p w14:paraId="74B5BF93" w14:textId="69E48473" w:rsidR="00AA0B4F" w:rsidRDefault="00AA0B4F" w:rsidP="00AA0B4F">
                  <w:pPr>
                    <w:pStyle w:val="TableBodyText"/>
                  </w:pPr>
                  <w:r w:rsidRPr="00612267">
                    <w:rPr>
                      <w:rFonts w:ascii="Wingdings" w:hAnsi="Wingdings"/>
                    </w:rPr>
                    <w:t></w:t>
                  </w:r>
                </w:p>
              </w:tc>
              <w:tc>
                <w:tcPr>
                  <w:tcW w:w="667" w:type="pct"/>
                </w:tcPr>
                <w:p w14:paraId="7B835AA4" w14:textId="77777777" w:rsidR="00AA0B4F" w:rsidRDefault="00AA0B4F" w:rsidP="00AA0B4F">
                  <w:pPr>
                    <w:pStyle w:val="TableBodyText"/>
                    <w:ind w:right="28"/>
                  </w:pPr>
                </w:p>
              </w:tc>
            </w:tr>
            <w:tr w:rsidR="00AA0B4F" w14:paraId="21595BB2" w14:textId="77777777" w:rsidTr="008C6489">
              <w:tc>
                <w:tcPr>
                  <w:tcW w:w="2332" w:type="pct"/>
                </w:tcPr>
                <w:p w14:paraId="4F6316B6" w14:textId="7EBA1E38" w:rsidR="00AA0B4F" w:rsidRDefault="00AA0B4F" w:rsidP="00AA0B4F">
                  <w:pPr>
                    <w:pStyle w:val="TableBodyText"/>
                    <w:jc w:val="left"/>
                  </w:pPr>
                  <w:r w:rsidRPr="00171AC3">
                    <w:t>Net rent</w:t>
                  </w:r>
                </w:p>
              </w:tc>
              <w:tc>
                <w:tcPr>
                  <w:tcW w:w="667" w:type="pct"/>
                </w:tcPr>
                <w:p w14:paraId="276B2F6B" w14:textId="77777777" w:rsidR="00AA0B4F" w:rsidRDefault="00AA0B4F" w:rsidP="00AA0B4F">
                  <w:pPr>
                    <w:pStyle w:val="TableBodyText"/>
                  </w:pPr>
                </w:p>
              </w:tc>
              <w:tc>
                <w:tcPr>
                  <w:tcW w:w="667" w:type="pct"/>
                </w:tcPr>
                <w:p w14:paraId="5606D38B" w14:textId="45264081" w:rsidR="00AA0B4F" w:rsidRDefault="00AA0B4F" w:rsidP="00AA0B4F">
                  <w:pPr>
                    <w:pStyle w:val="TableBodyText"/>
                  </w:pPr>
                  <w:r w:rsidRPr="00612267">
                    <w:rPr>
                      <w:rFonts w:ascii="Wingdings" w:hAnsi="Wingdings"/>
                    </w:rPr>
                    <w:t></w:t>
                  </w:r>
                </w:p>
              </w:tc>
              <w:tc>
                <w:tcPr>
                  <w:tcW w:w="667" w:type="pct"/>
                </w:tcPr>
                <w:p w14:paraId="5EEE53C3" w14:textId="67857FEF" w:rsidR="00AA0B4F" w:rsidRDefault="00AA0B4F" w:rsidP="00AA0B4F">
                  <w:pPr>
                    <w:pStyle w:val="TableBodyText"/>
                  </w:pPr>
                  <w:r w:rsidRPr="00612267">
                    <w:rPr>
                      <w:rFonts w:ascii="Wingdings" w:hAnsi="Wingdings"/>
                    </w:rPr>
                    <w:t></w:t>
                  </w:r>
                </w:p>
              </w:tc>
              <w:tc>
                <w:tcPr>
                  <w:tcW w:w="667" w:type="pct"/>
                </w:tcPr>
                <w:p w14:paraId="781038A0" w14:textId="77777777" w:rsidR="00AA0B4F" w:rsidRDefault="00AA0B4F" w:rsidP="00AA0B4F">
                  <w:pPr>
                    <w:pStyle w:val="TableBodyText"/>
                    <w:ind w:right="28"/>
                  </w:pPr>
                </w:p>
              </w:tc>
            </w:tr>
            <w:tr w:rsidR="00AA0B4F" w14:paraId="72F12757" w14:textId="77777777" w:rsidTr="008C6489">
              <w:tc>
                <w:tcPr>
                  <w:tcW w:w="2332" w:type="pct"/>
                </w:tcPr>
                <w:p w14:paraId="48B65FCC" w14:textId="0789E352" w:rsidR="00AA0B4F" w:rsidRDefault="00AA0B4F" w:rsidP="00AA0B4F">
                  <w:pPr>
                    <w:pStyle w:val="TableBodyText"/>
                    <w:jc w:val="left"/>
                  </w:pPr>
                  <w:r w:rsidRPr="00171AC3">
                    <w:t>Other rental deductions</w:t>
                  </w:r>
                </w:p>
              </w:tc>
              <w:tc>
                <w:tcPr>
                  <w:tcW w:w="667" w:type="pct"/>
                </w:tcPr>
                <w:p w14:paraId="1785E0CA" w14:textId="77777777" w:rsidR="00AA0B4F" w:rsidRDefault="00AA0B4F" w:rsidP="00AA0B4F">
                  <w:pPr>
                    <w:pStyle w:val="TableBodyText"/>
                  </w:pPr>
                </w:p>
              </w:tc>
              <w:tc>
                <w:tcPr>
                  <w:tcW w:w="667" w:type="pct"/>
                </w:tcPr>
                <w:p w14:paraId="060D6A65" w14:textId="4FE27F0E" w:rsidR="00AA0B4F" w:rsidRDefault="00AA0B4F" w:rsidP="00AA0B4F">
                  <w:pPr>
                    <w:pStyle w:val="TableBodyText"/>
                  </w:pPr>
                  <w:r w:rsidRPr="00612267">
                    <w:rPr>
                      <w:rFonts w:ascii="Wingdings" w:hAnsi="Wingdings"/>
                    </w:rPr>
                    <w:t></w:t>
                  </w:r>
                </w:p>
              </w:tc>
              <w:tc>
                <w:tcPr>
                  <w:tcW w:w="667" w:type="pct"/>
                </w:tcPr>
                <w:p w14:paraId="4BB76355" w14:textId="3F3113C1" w:rsidR="00AA0B4F" w:rsidRDefault="00AA0B4F" w:rsidP="00AA0B4F">
                  <w:pPr>
                    <w:pStyle w:val="TableBodyText"/>
                  </w:pPr>
                  <w:r w:rsidRPr="00612267">
                    <w:rPr>
                      <w:rFonts w:ascii="Wingdings" w:hAnsi="Wingdings"/>
                    </w:rPr>
                    <w:t></w:t>
                  </w:r>
                </w:p>
              </w:tc>
              <w:tc>
                <w:tcPr>
                  <w:tcW w:w="667" w:type="pct"/>
                </w:tcPr>
                <w:p w14:paraId="556A8806" w14:textId="77777777" w:rsidR="00AA0B4F" w:rsidRDefault="00AA0B4F" w:rsidP="00AA0B4F">
                  <w:pPr>
                    <w:pStyle w:val="TableBodyText"/>
                    <w:ind w:right="28"/>
                  </w:pPr>
                </w:p>
              </w:tc>
            </w:tr>
            <w:tr w:rsidR="00AA0B4F" w14:paraId="6F8E1369" w14:textId="77777777" w:rsidTr="008C6489">
              <w:tc>
                <w:tcPr>
                  <w:tcW w:w="2332" w:type="pct"/>
                </w:tcPr>
                <w:p w14:paraId="2DDFF7B5" w14:textId="58CF9A85" w:rsidR="00AA0B4F" w:rsidRDefault="00AA0B4F" w:rsidP="00AA0B4F">
                  <w:pPr>
                    <w:pStyle w:val="TableBodyText"/>
                    <w:jc w:val="left"/>
                  </w:pPr>
                  <w:r w:rsidRPr="00171AC3">
                    <w:t>Deductions relating to Australian investment income</w:t>
                  </w:r>
                </w:p>
              </w:tc>
              <w:tc>
                <w:tcPr>
                  <w:tcW w:w="667" w:type="pct"/>
                </w:tcPr>
                <w:p w14:paraId="042EB319" w14:textId="77777777" w:rsidR="00AA0B4F" w:rsidRDefault="00AA0B4F" w:rsidP="00AA0B4F">
                  <w:pPr>
                    <w:pStyle w:val="TableBodyText"/>
                  </w:pPr>
                </w:p>
              </w:tc>
              <w:tc>
                <w:tcPr>
                  <w:tcW w:w="667" w:type="pct"/>
                </w:tcPr>
                <w:p w14:paraId="0E997F7B" w14:textId="77777777" w:rsidR="00AA0B4F" w:rsidRDefault="00AA0B4F" w:rsidP="00AA0B4F">
                  <w:pPr>
                    <w:pStyle w:val="TableBodyText"/>
                  </w:pPr>
                </w:p>
              </w:tc>
              <w:tc>
                <w:tcPr>
                  <w:tcW w:w="667" w:type="pct"/>
                </w:tcPr>
                <w:p w14:paraId="31BC4A68" w14:textId="2F67BE21" w:rsidR="00AA0B4F" w:rsidRDefault="00AA0B4F" w:rsidP="00AA0B4F">
                  <w:pPr>
                    <w:pStyle w:val="TableBodyText"/>
                  </w:pPr>
                  <w:r w:rsidRPr="00612267">
                    <w:rPr>
                      <w:rFonts w:ascii="Wingdings" w:hAnsi="Wingdings"/>
                    </w:rPr>
                    <w:t></w:t>
                  </w:r>
                </w:p>
              </w:tc>
              <w:tc>
                <w:tcPr>
                  <w:tcW w:w="667" w:type="pct"/>
                </w:tcPr>
                <w:p w14:paraId="1F7F3E84" w14:textId="77777777" w:rsidR="00AA0B4F" w:rsidRDefault="00AA0B4F" w:rsidP="00AA0B4F">
                  <w:pPr>
                    <w:pStyle w:val="TableBodyText"/>
                    <w:ind w:right="28"/>
                  </w:pPr>
                </w:p>
              </w:tc>
            </w:tr>
            <w:tr w:rsidR="008F1C5D" w14:paraId="4E18AAD6" w14:textId="77777777" w:rsidTr="008C6489">
              <w:tc>
                <w:tcPr>
                  <w:tcW w:w="2332" w:type="pct"/>
                </w:tcPr>
                <w:p w14:paraId="609CD11F" w14:textId="356235FC" w:rsidR="008F1C5D" w:rsidRDefault="008F1C5D" w:rsidP="008F1C5D">
                  <w:pPr>
                    <w:pStyle w:val="TableBodyText"/>
                    <w:jc w:val="left"/>
                  </w:pPr>
                  <w:r w:rsidRPr="00171AC3">
                    <w:t>Credit for TFN amounts withheld from payments from closely held trusts</w:t>
                  </w:r>
                </w:p>
              </w:tc>
              <w:tc>
                <w:tcPr>
                  <w:tcW w:w="667" w:type="pct"/>
                </w:tcPr>
                <w:p w14:paraId="65921451" w14:textId="13BDC583" w:rsidR="008F1C5D" w:rsidRDefault="008F1C5D" w:rsidP="008F1C5D">
                  <w:pPr>
                    <w:pStyle w:val="TableBodyText"/>
                  </w:pPr>
                </w:p>
              </w:tc>
              <w:tc>
                <w:tcPr>
                  <w:tcW w:w="667" w:type="pct"/>
                </w:tcPr>
                <w:p w14:paraId="7B0F7311" w14:textId="2EA0B024" w:rsidR="008F1C5D" w:rsidRDefault="008F1C5D" w:rsidP="008F1C5D">
                  <w:pPr>
                    <w:pStyle w:val="TableBodyText"/>
                  </w:pPr>
                </w:p>
              </w:tc>
              <w:tc>
                <w:tcPr>
                  <w:tcW w:w="667" w:type="pct"/>
                </w:tcPr>
                <w:p w14:paraId="1ABE4718" w14:textId="724EF892" w:rsidR="008F1C5D" w:rsidRDefault="008F1C5D" w:rsidP="008F1C5D">
                  <w:pPr>
                    <w:pStyle w:val="TableBodyText"/>
                  </w:pPr>
                  <w:r w:rsidRPr="00612267">
                    <w:rPr>
                      <w:rFonts w:ascii="Wingdings" w:hAnsi="Wingdings"/>
                    </w:rPr>
                    <w:t></w:t>
                  </w:r>
                </w:p>
              </w:tc>
              <w:tc>
                <w:tcPr>
                  <w:tcW w:w="667" w:type="pct"/>
                </w:tcPr>
                <w:p w14:paraId="10BA1733" w14:textId="77777777" w:rsidR="008F1C5D" w:rsidRDefault="008F1C5D" w:rsidP="008F1C5D">
                  <w:pPr>
                    <w:pStyle w:val="TableBodyText"/>
                    <w:ind w:right="28"/>
                  </w:pPr>
                </w:p>
              </w:tc>
            </w:tr>
            <w:tr w:rsidR="008F1C5D" w14:paraId="50FEFDFE" w14:textId="77777777" w:rsidTr="008C6489">
              <w:tc>
                <w:tcPr>
                  <w:tcW w:w="2332" w:type="pct"/>
                </w:tcPr>
                <w:p w14:paraId="01A2E274" w14:textId="3740E84B" w:rsidR="008F1C5D" w:rsidRDefault="008F1C5D" w:rsidP="008F1C5D">
                  <w:pPr>
                    <w:pStyle w:val="TableBodyText"/>
                    <w:jc w:val="left"/>
                  </w:pPr>
                  <w:r w:rsidRPr="00171AC3">
                    <w:t>Deductions relating to Franked distributions</w:t>
                  </w:r>
                </w:p>
              </w:tc>
              <w:tc>
                <w:tcPr>
                  <w:tcW w:w="667" w:type="pct"/>
                </w:tcPr>
                <w:p w14:paraId="60D633E3" w14:textId="77777777" w:rsidR="008F1C5D" w:rsidRDefault="008F1C5D" w:rsidP="008F1C5D">
                  <w:pPr>
                    <w:pStyle w:val="TableBodyText"/>
                  </w:pPr>
                </w:p>
              </w:tc>
              <w:tc>
                <w:tcPr>
                  <w:tcW w:w="667" w:type="pct"/>
                </w:tcPr>
                <w:p w14:paraId="14916AB4" w14:textId="501C43E3" w:rsidR="008F1C5D" w:rsidRDefault="008F1C5D" w:rsidP="008F1C5D">
                  <w:pPr>
                    <w:pStyle w:val="TableBodyText"/>
                  </w:pPr>
                </w:p>
              </w:tc>
              <w:tc>
                <w:tcPr>
                  <w:tcW w:w="667" w:type="pct"/>
                </w:tcPr>
                <w:p w14:paraId="29B73529" w14:textId="2FE04CD6" w:rsidR="008F1C5D" w:rsidRDefault="008F1C5D" w:rsidP="008F1C5D">
                  <w:pPr>
                    <w:pStyle w:val="TableBodyText"/>
                  </w:pPr>
                  <w:r w:rsidRPr="00612267">
                    <w:rPr>
                      <w:rFonts w:ascii="Wingdings" w:hAnsi="Wingdings"/>
                    </w:rPr>
                    <w:t></w:t>
                  </w:r>
                </w:p>
              </w:tc>
              <w:tc>
                <w:tcPr>
                  <w:tcW w:w="667" w:type="pct"/>
                </w:tcPr>
                <w:p w14:paraId="747F4174" w14:textId="77777777" w:rsidR="008F1C5D" w:rsidRDefault="008F1C5D" w:rsidP="008F1C5D">
                  <w:pPr>
                    <w:pStyle w:val="TableBodyText"/>
                    <w:ind w:right="28"/>
                  </w:pPr>
                </w:p>
              </w:tc>
            </w:tr>
            <w:tr w:rsidR="008F1C5D" w14:paraId="5E6B5210" w14:textId="77777777" w:rsidTr="008C6489">
              <w:tc>
                <w:tcPr>
                  <w:tcW w:w="2332" w:type="pct"/>
                </w:tcPr>
                <w:p w14:paraId="76C3FB72" w14:textId="4AF08D6D" w:rsidR="008F1C5D" w:rsidRDefault="008F1C5D" w:rsidP="008F1C5D">
                  <w:pPr>
                    <w:pStyle w:val="TableBodyText"/>
                    <w:jc w:val="left"/>
                  </w:pPr>
                  <w:r w:rsidRPr="00171AC3">
                    <w:t>TFN amounts withheld from dividends</w:t>
                  </w:r>
                </w:p>
              </w:tc>
              <w:tc>
                <w:tcPr>
                  <w:tcW w:w="667" w:type="pct"/>
                </w:tcPr>
                <w:p w14:paraId="57923F5F" w14:textId="77777777" w:rsidR="008F1C5D" w:rsidRDefault="008F1C5D" w:rsidP="008F1C5D">
                  <w:pPr>
                    <w:pStyle w:val="TableBodyText"/>
                  </w:pPr>
                </w:p>
              </w:tc>
              <w:tc>
                <w:tcPr>
                  <w:tcW w:w="667" w:type="pct"/>
                </w:tcPr>
                <w:p w14:paraId="2095FC33" w14:textId="77777777" w:rsidR="008F1C5D" w:rsidRDefault="008F1C5D" w:rsidP="008F1C5D">
                  <w:pPr>
                    <w:pStyle w:val="TableBodyText"/>
                  </w:pPr>
                </w:p>
              </w:tc>
              <w:tc>
                <w:tcPr>
                  <w:tcW w:w="667" w:type="pct"/>
                </w:tcPr>
                <w:p w14:paraId="34F8FE74" w14:textId="096E66B8" w:rsidR="008F1C5D" w:rsidRDefault="008F1C5D" w:rsidP="008F1C5D">
                  <w:pPr>
                    <w:pStyle w:val="TableBodyText"/>
                  </w:pPr>
                  <w:r w:rsidRPr="00612267">
                    <w:rPr>
                      <w:rFonts w:ascii="Wingdings" w:hAnsi="Wingdings"/>
                    </w:rPr>
                    <w:t></w:t>
                  </w:r>
                </w:p>
              </w:tc>
              <w:tc>
                <w:tcPr>
                  <w:tcW w:w="667" w:type="pct"/>
                </w:tcPr>
                <w:p w14:paraId="4F467E62" w14:textId="77777777" w:rsidR="008F1C5D" w:rsidRDefault="008F1C5D" w:rsidP="008F1C5D">
                  <w:pPr>
                    <w:pStyle w:val="TableBodyText"/>
                    <w:ind w:right="28"/>
                  </w:pPr>
                </w:p>
              </w:tc>
            </w:tr>
            <w:tr w:rsidR="008F1C5D" w14:paraId="69CBED79" w14:textId="77777777" w:rsidTr="008C6489">
              <w:tc>
                <w:tcPr>
                  <w:tcW w:w="2332" w:type="pct"/>
                </w:tcPr>
                <w:p w14:paraId="561EA1BE" w14:textId="6B674555" w:rsidR="008F1C5D" w:rsidRDefault="008F1C5D" w:rsidP="008F1C5D">
                  <w:pPr>
                    <w:pStyle w:val="TableBodyText"/>
                    <w:jc w:val="left"/>
                  </w:pPr>
                  <w:proofErr w:type="gramStart"/>
                  <w:r w:rsidRPr="00171AC3">
                    <w:t>Early stage</w:t>
                  </w:r>
                  <w:proofErr w:type="gramEnd"/>
                  <w:r w:rsidRPr="00171AC3">
                    <w:t xml:space="preserve"> investor tax offset - current year tax offset</w:t>
                  </w:r>
                </w:p>
              </w:tc>
              <w:tc>
                <w:tcPr>
                  <w:tcW w:w="667" w:type="pct"/>
                </w:tcPr>
                <w:p w14:paraId="702FCDE9" w14:textId="73DBB953" w:rsidR="008F1C5D" w:rsidRDefault="008F1C5D" w:rsidP="008F1C5D">
                  <w:pPr>
                    <w:pStyle w:val="TableBodyText"/>
                  </w:pPr>
                  <w:r w:rsidRPr="00612267">
                    <w:rPr>
                      <w:rFonts w:ascii="Wingdings" w:hAnsi="Wingdings"/>
                    </w:rPr>
                    <w:t></w:t>
                  </w:r>
                </w:p>
              </w:tc>
              <w:tc>
                <w:tcPr>
                  <w:tcW w:w="667" w:type="pct"/>
                </w:tcPr>
                <w:p w14:paraId="74FB6651" w14:textId="77777777" w:rsidR="008F1C5D" w:rsidRDefault="008F1C5D" w:rsidP="008F1C5D">
                  <w:pPr>
                    <w:pStyle w:val="TableBodyText"/>
                  </w:pPr>
                </w:p>
              </w:tc>
              <w:tc>
                <w:tcPr>
                  <w:tcW w:w="667" w:type="pct"/>
                </w:tcPr>
                <w:p w14:paraId="6B91293C" w14:textId="77777777" w:rsidR="008F1C5D" w:rsidRDefault="008F1C5D" w:rsidP="008F1C5D">
                  <w:pPr>
                    <w:pStyle w:val="TableBodyText"/>
                  </w:pPr>
                </w:p>
              </w:tc>
              <w:tc>
                <w:tcPr>
                  <w:tcW w:w="667" w:type="pct"/>
                </w:tcPr>
                <w:p w14:paraId="3AE7CDB8" w14:textId="77777777" w:rsidR="008F1C5D" w:rsidRDefault="008F1C5D" w:rsidP="008F1C5D">
                  <w:pPr>
                    <w:pStyle w:val="TableBodyText"/>
                    <w:ind w:right="28"/>
                  </w:pPr>
                </w:p>
              </w:tc>
            </w:tr>
            <w:tr w:rsidR="008F1C5D" w14:paraId="513D5ADD" w14:textId="77777777" w:rsidTr="008C6489">
              <w:tc>
                <w:tcPr>
                  <w:tcW w:w="2332" w:type="pct"/>
                </w:tcPr>
                <w:p w14:paraId="73B3B665" w14:textId="4F619146" w:rsidR="008F1C5D" w:rsidRDefault="008F1C5D" w:rsidP="008F1C5D">
                  <w:pPr>
                    <w:pStyle w:val="TableBodyText"/>
                    <w:jc w:val="left"/>
                  </w:pPr>
                  <w:proofErr w:type="gramStart"/>
                  <w:r w:rsidRPr="00171AC3">
                    <w:t>Early stage</w:t>
                  </w:r>
                  <w:proofErr w:type="gramEnd"/>
                  <w:r w:rsidRPr="00171AC3">
                    <w:t xml:space="preserve"> investor tax offset - tax offset carried forward from a previous year</w:t>
                  </w:r>
                </w:p>
              </w:tc>
              <w:tc>
                <w:tcPr>
                  <w:tcW w:w="667" w:type="pct"/>
                </w:tcPr>
                <w:p w14:paraId="506945C4" w14:textId="6D0F0876" w:rsidR="008F1C5D" w:rsidRDefault="008F1C5D" w:rsidP="008F1C5D">
                  <w:pPr>
                    <w:pStyle w:val="TableBodyText"/>
                  </w:pPr>
                  <w:r w:rsidRPr="00612267">
                    <w:rPr>
                      <w:rFonts w:ascii="Wingdings" w:hAnsi="Wingdings"/>
                    </w:rPr>
                    <w:t></w:t>
                  </w:r>
                </w:p>
              </w:tc>
              <w:tc>
                <w:tcPr>
                  <w:tcW w:w="667" w:type="pct"/>
                </w:tcPr>
                <w:p w14:paraId="71A645FE" w14:textId="77777777" w:rsidR="008F1C5D" w:rsidRDefault="008F1C5D" w:rsidP="008F1C5D">
                  <w:pPr>
                    <w:pStyle w:val="TableBodyText"/>
                  </w:pPr>
                </w:p>
              </w:tc>
              <w:tc>
                <w:tcPr>
                  <w:tcW w:w="667" w:type="pct"/>
                </w:tcPr>
                <w:p w14:paraId="12D820A8" w14:textId="77777777" w:rsidR="008F1C5D" w:rsidRDefault="008F1C5D" w:rsidP="008F1C5D">
                  <w:pPr>
                    <w:pStyle w:val="TableBodyText"/>
                  </w:pPr>
                </w:p>
              </w:tc>
              <w:tc>
                <w:tcPr>
                  <w:tcW w:w="667" w:type="pct"/>
                </w:tcPr>
                <w:p w14:paraId="0869786B" w14:textId="77777777" w:rsidR="008F1C5D" w:rsidRDefault="008F1C5D" w:rsidP="008F1C5D">
                  <w:pPr>
                    <w:pStyle w:val="TableBodyText"/>
                    <w:ind w:right="28"/>
                  </w:pPr>
                </w:p>
              </w:tc>
            </w:tr>
            <w:tr w:rsidR="008F1C5D" w14:paraId="5BCB5FA8" w14:textId="77777777" w:rsidTr="008C6489">
              <w:tc>
                <w:tcPr>
                  <w:tcW w:w="2332" w:type="pct"/>
                </w:tcPr>
                <w:p w14:paraId="3A64DFB0" w14:textId="74C4957E" w:rsidR="008F1C5D" w:rsidRDefault="008F1C5D" w:rsidP="008F1C5D">
                  <w:pPr>
                    <w:pStyle w:val="TableBodyText"/>
                    <w:jc w:val="left"/>
                  </w:pPr>
                  <w:proofErr w:type="gramStart"/>
                  <w:r w:rsidRPr="00171AC3">
                    <w:t>Early stage</w:t>
                  </w:r>
                  <w:proofErr w:type="gramEnd"/>
                  <w:r w:rsidRPr="00171AC3">
                    <w:t xml:space="preserve"> venture capital limited partnership tax offset - current year tax offset</w:t>
                  </w:r>
                </w:p>
              </w:tc>
              <w:tc>
                <w:tcPr>
                  <w:tcW w:w="667" w:type="pct"/>
                </w:tcPr>
                <w:p w14:paraId="4AE634FC" w14:textId="34A80214" w:rsidR="008F1C5D" w:rsidRDefault="008F1C5D" w:rsidP="008F1C5D">
                  <w:pPr>
                    <w:pStyle w:val="TableBodyText"/>
                  </w:pPr>
                  <w:r w:rsidRPr="00612267">
                    <w:rPr>
                      <w:rFonts w:ascii="Wingdings" w:hAnsi="Wingdings"/>
                    </w:rPr>
                    <w:t></w:t>
                  </w:r>
                </w:p>
              </w:tc>
              <w:tc>
                <w:tcPr>
                  <w:tcW w:w="667" w:type="pct"/>
                </w:tcPr>
                <w:p w14:paraId="7C8B7D69" w14:textId="77777777" w:rsidR="008F1C5D" w:rsidRDefault="008F1C5D" w:rsidP="008F1C5D">
                  <w:pPr>
                    <w:pStyle w:val="TableBodyText"/>
                  </w:pPr>
                </w:p>
              </w:tc>
              <w:tc>
                <w:tcPr>
                  <w:tcW w:w="667" w:type="pct"/>
                </w:tcPr>
                <w:p w14:paraId="0E572B7F" w14:textId="77777777" w:rsidR="008F1C5D" w:rsidRDefault="008F1C5D" w:rsidP="008F1C5D">
                  <w:pPr>
                    <w:pStyle w:val="TableBodyText"/>
                  </w:pPr>
                </w:p>
              </w:tc>
              <w:tc>
                <w:tcPr>
                  <w:tcW w:w="667" w:type="pct"/>
                </w:tcPr>
                <w:p w14:paraId="412C4E79" w14:textId="77777777" w:rsidR="008F1C5D" w:rsidRDefault="008F1C5D" w:rsidP="008F1C5D">
                  <w:pPr>
                    <w:pStyle w:val="TableBodyText"/>
                    <w:ind w:right="28"/>
                  </w:pPr>
                </w:p>
              </w:tc>
            </w:tr>
            <w:tr w:rsidR="008F1C5D" w14:paraId="68D7A8DF" w14:textId="77777777" w:rsidTr="008C6489">
              <w:tc>
                <w:tcPr>
                  <w:tcW w:w="2332" w:type="pct"/>
                </w:tcPr>
                <w:p w14:paraId="0460F90E" w14:textId="2C64841F" w:rsidR="008F1C5D" w:rsidRDefault="008F1C5D" w:rsidP="008F1C5D">
                  <w:pPr>
                    <w:pStyle w:val="TableBodyText"/>
                    <w:jc w:val="left"/>
                  </w:pPr>
                  <w:proofErr w:type="gramStart"/>
                  <w:r w:rsidRPr="00171AC3">
                    <w:t>Early stage</w:t>
                  </w:r>
                  <w:proofErr w:type="gramEnd"/>
                  <w:r w:rsidRPr="00171AC3">
                    <w:t xml:space="preserve"> venture capital limited partnership tax offset - tax offset carried forward from a previous year</w:t>
                  </w:r>
                </w:p>
              </w:tc>
              <w:tc>
                <w:tcPr>
                  <w:tcW w:w="667" w:type="pct"/>
                </w:tcPr>
                <w:p w14:paraId="173F3B6C" w14:textId="272D5E59" w:rsidR="008F1C5D" w:rsidRDefault="008F1C5D" w:rsidP="008F1C5D">
                  <w:pPr>
                    <w:pStyle w:val="TableBodyText"/>
                  </w:pPr>
                  <w:r w:rsidRPr="00612267">
                    <w:rPr>
                      <w:rFonts w:ascii="Wingdings" w:hAnsi="Wingdings"/>
                    </w:rPr>
                    <w:t></w:t>
                  </w:r>
                </w:p>
              </w:tc>
              <w:tc>
                <w:tcPr>
                  <w:tcW w:w="667" w:type="pct"/>
                </w:tcPr>
                <w:p w14:paraId="6FD74D96" w14:textId="77777777" w:rsidR="008F1C5D" w:rsidRDefault="008F1C5D" w:rsidP="008F1C5D">
                  <w:pPr>
                    <w:pStyle w:val="TableBodyText"/>
                  </w:pPr>
                </w:p>
              </w:tc>
              <w:tc>
                <w:tcPr>
                  <w:tcW w:w="667" w:type="pct"/>
                </w:tcPr>
                <w:p w14:paraId="31C86BE7" w14:textId="77777777" w:rsidR="008F1C5D" w:rsidRDefault="008F1C5D" w:rsidP="008F1C5D">
                  <w:pPr>
                    <w:pStyle w:val="TableBodyText"/>
                  </w:pPr>
                </w:p>
              </w:tc>
              <w:tc>
                <w:tcPr>
                  <w:tcW w:w="667" w:type="pct"/>
                </w:tcPr>
                <w:p w14:paraId="70E052DC" w14:textId="77777777" w:rsidR="008F1C5D" w:rsidRDefault="008F1C5D" w:rsidP="008F1C5D">
                  <w:pPr>
                    <w:pStyle w:val="TableBodyText"/>
                    <w:ind w:right="28"/>
                  </w:pPr>
                </w:p>
              </w:tc>
            </w:tr>
            <w:tr w:rsidR="008F1C5D" w14:paraId="7DCB9BEF" w14:textId="77777777" w:rsidTr="008C6489">
              <w:tc>
                <w:tcPr>
                  <w:tcW w:w="2332" w:type="pct"/>
                </w:tcPr>
                <w:p w14:paraId="5983E126" w14:textId="128941F2" w:rsidR="008F1C5D" w:rsidRDefault="008F1C5D" w:rsidP="008F1C5D">
                  <w:pPr>
                    <w:pStyle w:val="TableBodyText"/>
                    <w:jc w:val="left"/>
                  </w:pPr>
                  <w:r w:rsidRPr="00171AC3">
                    <w:t>Credit for TFN amounts withheld from payments from closely held trusts</w:t>
                  </w:r>
                </w:p>
              </w:tc>
              <w:tc>
                <w:tcPr>
                  <w:tcW w:w="667" w:type="pct"/>
                </w:tcPr>
                <w:p w14:paraId="33615E13" w14:textId="77777777" w:rsidR="008F1C5D" w:rsidRDefault="008F1C5D" w:rsidP="008F1C5D">
                  <w:pPr>
                    <w:pStyle w:val="TableBodyText"/>
                  </w:pPr>
                </w:p>
              </w:tc>
              <w:tc>
                <w:tcPr>
                  <w:tcW w:w="667" w:type="pct"/>
                </w:tcPr>
                <w:p w14:paraId="3962CEA0" w14:textId="77777777" w:rsidR="008F1C5D" w:rsidRDefault="008F1C5D" w:rsidP="008F1C5D">
                  <w:pPr>
                    <w:pStyle w:val="TableBodyText"/>
                  </w:pPr>
                </w:p>
              </w:tc>
              <w:tc>
                <w:tcPr>
                  <w:tcW w:w="667" w:type="pct"/>
                </w:tcPr>
                <w:p w14:paraId="1E9DB428" w14:textId="36B38A93" w:rsidR="008F1C5D" w:rsidRDefault="008F1C5D" w:rsidP="008F1C5D">
                  <w:pPr>
                    <w:pStyle w:val="TableBodyText"/>
                  </w:pPr>
                  <w:r w:rsidRPr="00612267">
                    <w:rPr>
                      <w:rFonts w:ascii="Wingdings" w:hAnsi="Wingdings"/>
                    </w:rPr>
                    <w:t></w:t>
                  </w:r>
                </w:p>
              </w:tc>
              <w:tc>
                <w:tcPr>
                  <w:tcW w:w="667" w:type="pct"/>
                </w:tcPr>
                <w:p w14:paraId="231528D1" w14:textId="77777777" w:rsidR="008F1C5D" w:rsidRDefault="008F1C5D" w:rsidP="008F1C5D">
                  <w:pPr>
                    <w:pStyle w:val="TableBodyText"/>
                    <w:ind w:right="28"/>
                  </w:pPr>
                </w:p>
              </w:tc>
            </w:tr>
            <w:tr w:rsidR="004E16B9" w14:paraId="327284D3" w14:textId="77777777" w:rsidTr="008C6489">
              <w:tc>
                <w:tcPr>
                  <w:tcW w:w="2332" w:type="pct"/>
                </w:tcPr>
                <w:p w14:paraId="404765AF" w14:textId="021208AC" w:rsidR="004E16B9" w:rsidRDefault="004E16B9" w:rsidP="004E16B9">
                  <w:pPr>
                    <w:pStyle w:val="TableBodyText"/>
                    <w:jc w:val="left"/>
                  </w:pPr>
                  <w:r w:rsidRPr="00171AC3">
                    <w:t>Total amount of deductions against PSI included at item 5 expense labels</w:t>
                  </w:r>
                </w:p>
              </w:tc>
              <w:tc>
                <w:tcPr>
                  <w:tcW w:w="667" w:type="pct"/>
                </w:tcPr>
                <w:p w14:paraId="0E14D2F4" w14:textId="77777777" w:rsidR="004E16B9" w:rsidRDefault="004E16B9" w:rsidP="004E16B9">
                  <w:pPr>
                    <w:pStyle w:val="TableBodyText"/>
                  </w:pPr>
                </w:p>
              </w:tc>
              <w:tc>
                <w:tcPr>
                  <w:tcW w:w="667" w:type="pct"/>
                </w:tcPr>
                <w:p w14:paraId="4FED8F17" w14:textId="77777777" w:rsidR="004E16B9" w:rsidRDefault="004E16B9" w:rsidP="004E16B9">
                  <w:pPr>
                    <w:pStyle w:val="TableBodyText"/>
                  </w:pPr>
                </w:p>
              </w:tc>
              <w:tc>
                <w:tcPr>
                  <w:tcW w:w="667" w:type="pct"/>
                </w:tcPr>
                <w:p w14:paraId="679744E3" w14:textId="164EAAC0" w:rsidR="004E16B9" w:rsidRDefault="004E16B9" w:rsidP="004E16B9">
                  <w:pPr>
                    <w:pStyle w:val="TableBodyText"/>
                  </w:pPr>
                  <w:r w:rsidRPr="00612267">
                    <w:rPr>
                      <w:rFonts w:ascii="Wingdings" w:hAnsi="Wingdings"/>
                    </w:rPr>
                    <w:t></w:t>
                  </w:r>
                </w:p>
              </w:tc>
              <w:tc>
                <w:tcPr>
                  <w:tcW w:w="667" w:type="pct"/>
                </w:tcPr>
                <w:p w14:paraId="313AA902" w14:textId="77777777" w:rsidR="004E16B9" w:rsidRDefault="004E16B9" w:rsidP="004E16B9">
                  <w:pPr>
                    <w:pStyle w:val="TableBodyText"/>
                    <w:ind w:right="28"/>
                  </w:pPr>
                </w:p>
              </w:tc>
            </w:tr>
            <w:tr w:rsidR="004E16B9" w14:paraId="09E4FE76" w14:textId="77777777" w:rsidTr="008C6489">
              <w:tc>
                <w:tcPr>
                  <w:tcW w:w="2332" w:type="pct"/>
                </w:tcPr>
                <w:p w14:paraId="646362F4" w14:textId="115593C2" w:rsidR="004E16B9" w:rsidRDefault="004E16B9" w:rsidP="004E16B9">
                  <w:pPr>
                    <w:pStyle w:val="TableBodyText"/>
                    <w:jc w:val="left"/>
                  </w:pPr>
                  <w:r w:rsidRPr="00171AC3">
                    <w:t>Share of franking credits from franked distributions</w:t>
                  </w:r>
                </w:p>
              </w:tc>
              <w:tc>
                <w:tcPr>
                  <w:tcW w:w="667" w:type="pct"/>
                </w:tcPr>
                <w:p w14:paraId="53D80800" w14:textId="77777777" w:rsidR="004E16B9" w:rsidRDefault="004E16B9" w:rsidP="004E16B9">
                  <w:pPr>
                    <w:pStyle w:val="TableBodyText"/>
                  </w:pPr>
                </w:p>
              </w:tc>
              <w:tc>
                <w:tcPr>
                  <w:tcW w:w="667" w:type="pct"/>
                </w:tcPr>
                <w:p w14:paraId="21B7CE47" w14:textId="77777777" w:rsidR="004E16B9" w:rsidRDefault="004E16B9" w:rsidP="004E16B9">
                  <w:pPr>
                    <w:pStyle w:val="TableBodyText"/>
                  </w:pPr>
                </w:p>
              </w:tc>
              <w:tc>
                <w:tcPr>
                  <w:tcW w:w="667" w:type="pct"/>
                </w:tcPr>
                <w:p w14:paraId="23715150" w14:textId="24E2EC57" w:rsidR="004E16B9" w:rsidRDefault="004E16B9" w:rsidP="004E16B9">
                  <w:pPr>
                    <w:pStyle w:val="TableBodyText"/>
                  </w:pPr>
                  <w:r w:rsidRPr="00612267">
                    <w:rPr>
                      <w:rFonts w:ascii="Wingdings" w:hAnsi="Wingdings"/>
                    </w:rPr>
                    <w:t></w:t>
                  </w:r>
                </w:p>
              </w:tc>
              <w:tc>
                <w:tcPr>
                  <w:tcW w:w="667" w:type="pct"/>
                </w:tcPr>
                <w:p w14:paraId="4D492388" w14:textId="77777777" w:rsidR="004E16B9" w:rsidRDefault="004E16B9" w:rsidP="004E16B9">
                  <w:pPr>
                    <w:pStyle w:val="TableBodyText"/>
                    <w:ind w:right="28"/>
                  </w:pPr>
                </w:p>
              </w:tc>
            </w:tr>
            <w:tr w:rsidR="004E16B9" w14:paraId="474A1A2C" w14:textId="77777777" w:rsidTr="008C6489">
              <w:tc>
                <w:tcPr>
                  <w:tcW w:w="2332" w:type="pct"/>
                </w:tcPr>
                <w:p w14:paraId="14F33994" w14:textId="30917B41" w:rsidR="004E16B9" w:rsidRDefault="004E16B9" w:rsidP="004E16B9">
                  <w:pPr>
                    <w:pStyle w:val="TableBodyText"/>
                    <w:jc w:val="left"/>
                  </w:pPr>
                  <w:r w:rsidRPr="00171AC3">
                    <w:t>Forestry management investment scheme deduction</w:t>
                  </w:r>
                </w:p>
              </w:tc>
              <w:tc>
                <w:tcPr>
                  <w:tcW w:w="667" w:type="pct"/>
                </w:tcPr>
                <w:p w14:paraId="51F4980A" w14:textId="77777777" w:rsidR="004E16B9" w:rsidRDefault="004E16B9" w:rsidP="004E16B9">
                  <w:pPr>
                    <w:pStyle w:val="TableBodyText"/>
                  </w:pPr>
                </w:p>
              </w:tc>
              <w:tc>
                <w:tcPr>
                  <w:tcW w:w="667" w:type="pct"/>
                </w:tcPr>
                <w:p w14:paraId="2F799718" w14:textId="77777777" w:rsidR="004E16B9" w:rsidRDefault="004E16B9" w:rsidP="004E16B9">
                  <w:pPr>
                    <w:pStyle w:val="TableBodyText"/>
                  </w:pPr>
                </w:p>
              </w:tc>
              <w:tc>
                <w:tcPr>
                  <w:tcW w:w="667" w:type="pct"/>
                </w:tcPr>
                <w:p w14:paraId="66A636ED" w14:textId="5832488D" w:rsidR="004E16B9" w:rsidRDefault="004E16B9" w:rsidP="004E16B9">
                  <w:pPr>
                    <w:pStyle w:val="TableBodyText"/>
                  </w:pPr>
                  <w:r w:rsidRPr="00612267">
                    <w:rPr>
                      <w:rFonts w:ascii="Wingdings" w:hAnsi="Wingdings"/>
                    </w:rPr>
                    <w:t></w:t>
                  </w:r>
                </w:p>
              </w:tc>
              <w:tc>
                <w:tcPr>
                  <w:tcW w:w="667" w:type="pct"/>
                </w:tcPr>
                <w:p w14:paraId="11961FAE" w14:textId="77777777" w:rsidR="004E16B9" w:rsidRDefault="004E16B9" w:rsidP="004E16B9">
                  <w:pPr>
                    <w:pStyle w:val="TableBodyText"/>
                    <w:ind w:right="28"/>
                  </w:pPr>
                </w:p>
              </w:tc>
            </w:tr>
            <w:tr w:rsidR="004E16B9" w14:paraId="2B9F9038" w14:textId="77777777" w:rsidTr="008C6489">
              <w:tc>
                <w:tcPr>
                  <w:tcW w:w="2332" w:type="pct"/>
                </w:tcPr>
                <w:p w14:paraId="64D6F692" w14:textId="1C161E32" w:rsidR="004E16B9" w:rsidRDefault="004E16B9" w:rsidP="004E16B9">
                  <w:pPr>
                    <w:pStyle w:val="TableBodyText"/>
                    <w:jc w:val="left"/>
                  </w:pPr>
                  <w:r w:rsidRPr="00171AC3">
                    <w:t>Forestry management investment scheme income</w:t>
                  </w:r>
                </w:p>
              </w:tc>
              <w:tc>
                <w:tcPr>
                  <w:tcW w:w="667" w:type="pct"/>
                </w:tcPr>
                <w:p w14:paraId="07628190" w14:textId="77777777" w:rsidR="004E16B9" w:rsidRDefault="004E16B9" w:rsidP="004E16B9">
                  <w:pPr>
                    <w:pStyle w:val="TableBodyText"/>
                  </w:pPr>
                </w:p>
              </w:tc>
              <w:tc>
                <w:tcPr>
                  <w:tcW w:w="667" w:type="pct"/>
                </w:tcPr>
                <w:p w14:paraId="25BE1EE0" w14:textId="238D8636" w:rsidR="004E16B9" w:rsidRDefault="004E16B9" w:rsidP="004E16B9">
                  <w:pPr>
                    <w:pStyle w:val="TableBodyText"/>
                  </w:pPr>
                </w:p>
              </w:tc>
              <w:tc>
                <w:tcPr>
                  <w:tcW w:w="667" w:type="pct"/>
                </w:tcPr>
                <w:p w14:paraId="09B33711" w14:textId="179116E5" w:rsidR="004E16B9" w:rsidRDefault="004E16B9" w:rsidP="004E16B9">
                  <w:pPr>
                    <w:pStyle w:val="TableBodyText"/>
                  </w:pPr>
                  <w:r w:rsidRPr="00612267">
                    <w:rPr>
                      <w:rFonts w:ascii="Wingdings" w:hAnsi="Wingdings"/>
                    </w:rPr>
                    <w:t></w:t>
                  </w:r>
                </w:p>
              </w:tc>
              <w:tc>
                <w:tcPr>
                  <w:tcW w:w="667" w:type="pct"/>
                </w:tcPr>
                <w:p w14:paraId="3B5449CA" w14:textId="77777777" w:rsidR="004E16B9" w:rsidRDefault="004E16B9" w:rsidP="004E16B9">
                  <w:pPr>
                    <w:pStyle w:val="TableBodyText"/>
                    <w:ind w:right="28"/>
                  </w:pPr>
                </w:p>
              </w:tc>
            </w:tr>
            <w:tr w:rsidR="004E16B9" w14:paraId="48883093" w14:textId="77777777" w:rsidTr="008C6489">
              <w:tc>
                <w:tcPr>
                  <w:tcW w:w="2332" w:type="pct"/>
                </w:tcPr>
                <w:p w14:paraId="11D711C2" w14:textId="3428018B" w:rsidR="004E16B9" w:rsidRDefault="004E16B9" w:rsidP="004E16B9">
                  <w:pPr>
                    <w:pStyle w:val="TableBodyText"/>
                    <w:jc w:val="left"/>
                  </w:pPr>
                  <w:r w:rsidRPr="00171AC3">
                    <w:t>Share of credit for tax withheld - foreign resident withholding (excluding capital gains)</w:t>
                  </w:r>
                </w:p>
              </w:tc>
              <w:tc>
                <w:tcPr>
                  <w:tcW w:w="667" w:type="pct"/>
                </w:tcPr>
                <w:p w14:paraId="2270E3FD" w14:textId="77777777" w:rsidR="004E16B9" w:rsidRDefault="004E16B9" w:rsidP="004E16B9">
                  <w:pPr>
                    <w:pStyle w:val="TableBodyText"/>
                  </w:pPr>
                </w:p>
              </w:tc>
              <w:tc>
                <w:tcPr>
                  <w:tcW w:w="667" w:type="pct"/>
                </w:tcPr>
                <w:p w14:paraId="02D0F893" w14:textId="4D2BBFFB" w:rsidR="004E16B9" w:rsidRDefault="004E16B9" w:rsidP="004E16B9">
                  <w:pPr>
                    <w:pStyle w:val="TableBodyText"/>
                  </w:pPr>
                </w:p>
              </w:tc>
              <w:tc>
                <w:tcPr>
                  <w:tcW w:w="667" w:type="pct"/>
                </w:tcPr>
                <w:p w14:paraId="25DCE29D" w14:textId="7DD00DBB" w:rsidR="004E16B9" w:rsidRDefault="004E16B9" w:rsidP="004E16B9">
                  <w:pPr>
                    <w:pStyle w:val="TableBodyText"/>
                  </w:pPr>
                  <w:r w:rsidRPr="00612267">
                    <w:rPr>
                      <w:rFonts w:ascii="Wingdings" w:hAnsi="Wingdings"/>
                    </w:rPr>
                    <w:t></w:t>
                  </w:r>
                </w:p>
              </w:tc>
              <w:tc>
                <w:tcPr>
                  <w:tcW w:w="667" w:type="pct"/>
                </w:tcPr>
                <w:p w14:paraId="25EE7842" w14:textId="77777777" w:rsidR="004E16B9" w:rsidRDefault="004E16B9" w:rsidP="004E16B9">
                  <w:pPr>
                    <w:pStyle w:val="TableBodyText"/>
                    <w:ind w:right="28"/>
                  </w:pPr>
                </w:p>
              </w:tc>
            </w:tr>
            <w:tr w:rsidR="004E16B9" w14:paraId="154DAAC3" w14:textId="77777777" w:rsidTr="008C6489">
              <w:tc>
                <w:tcPr>
                  <w:tcW w:w="2332" w:type="pct"/>
                </w:tcPr>
                <w:p w14:paraId="0A3B275A" w14:textId="31ABAFC7" w:rsidR="004E16B9" w:rsidRDefault="004E16B9" w:rsidP="004E16B9">
                  <w:pPr>
                    <w:pStyle w:val="TableBodyText"/>
                    <w:jc w:val="left"/>
                  </w:pPr>
                  <w:r w:rsidRPr="00171AC3">
                    <w:t>Total amount of PSI included at item 5 income labels</w:t>
                  </w:r>
                </w:p>
              </w:tc>
              <w:tc>
                <w:tcPr>
                  <w:tcW w:w="667" w:type="pct"/>
                </w:tcPr>
                <w:p w14:paraId="6B7E9BAC" w14:textId="77777777" w:rsidR="004E16B9" w:rsidRDefault="004E16B9" w:rsidP="004E16B9">
                  <w:pPr>
                    <w:pStyle w:val="TableBodyText"/>
                  </w:pPr>
                </w:p>
              </w:tc>
              <w:tc>
                <w:tcPr>
                  <w:tcW w:w="667" w:type="pct"/>
                </w:tcPr>
                <w:p w14:paraId="1A615DDF" w14:textId="5E4DD8AF" w:rsidR="004E16B9" w:rsidRDefault="004E16B9" w:rsidP="004E16B9">
                  <w:pPr>
                    <w:pStyle w:val="TableBodyText"/>
                  </w:pPr>
                </w:p>
              </w:tc>
              <w:tc>
                <w:tcPr>
                  <w:tcW w:w="667" w:type="pct"/>
                </w:tcPr>
                <w:p w14:paraId="245AF401" w14:textId="22832E0D" w:rsidR="004E16B9" w:rsidRDefault="004E16B9" w:rsidP="004E16B9">
                  <w:pPr>
                    <w:pStyle w:val="TableBodyText"/>
                  </w:pPr>
                  <w:r w:rsidRPr="00612267">
                    <w:rPr>
                      <w:rFonts w:ascii="Wingdings" w:hAnsi="Wingdings"/>
                    </w:rPr>
                    <w:t></w:t>
                  </w:r>
                </w:p>
              </w:tc>
              <w:tc>
                <w:tcPr>
                  <w:tcW w:w="667" w:type="pct"/>
                </w:tcPr>
                <w:p w14:paraId="504F827C" w14:textId="77777777" w:rsidR="004E16B9" w:rsidRDefault="004E16B9" w:rsidP="004E16B9">
                  <w:pPr>
                    <w:pStyle w:val="TableBodyText"/>
                    <w:ind w:right="28"/>
                  </w:pPr>
                </w:p>
              </w:tc>
            </w:tr>
            <w:tr w:rsidR="004E16B9" w14:paraId="2056F182" w14:textId="77777777" w:rsidTr="00E3630A">
              <w:tc>
                <w:tcPr>
                  <w:tcW w:w="2332" w:type="pct"/>
                </w:tcPr>
                <w:p w14:paraId="1D00351A" w14:textId="1D8A6A83" w:rsidR="004E16B9" w:rsidRDefault="004E16B9" w:rsidP="004E16B9">
                  <w:pPr>
                    <w:pStyle w:val="TableBodyText"/>
                    <w:jc w:val="left"/>
                  </w:pPr>
                  <w:r w:rsidRPr="00171AC3">
                    <w:t>Total amount of deductions against PSI included at item 5 expense labels</w:t>
                  </w:r>
                </w:p>
              </w:tc>
              <w:tc>
                <w:tcPr>
                  <w:tcW w:w="667" w:type="pct"/>
                </w:tcPr>
                <w:p w14:paraId="6B9B9F11" w14:textId="77777777" w:rsidR="004E16B9" w:rsidRDefault="004E16B9" w:rsidP="004E16B9">
                  <w:pPr>
                    <w:pStyle w:val="TableBodyText"/>
                  </w:pPr>
                </w:p>
              </w:tc>
              <w:tc>
                <w:tcPr>
                  <w:tcW w:w="667" w:type="pct"/>
                </w:tcPr>
                <w:p w14:paraId="2C01E756" w14:textId="78A1A09D" w:rsidR="004E16B9" w:rsidRDefault="004E16B9" w:rsidP="004E16B9">
                  <w:pPr>
                    <w:pStyle w:val="TableBodyText"/>
                  </w:pPr>
                </w:p>
              </w:tc>
              <w:tc>
                <w:tcPr>
                  <w:tcW w:w="667" w:type="pct"/>
                </w:tcPr>
                <w:p w14:paraId="60148D41" w14:textId="6224E97F" w:rsidR="004E16B9" w:rsidRDefault="004E16B9" w:rsidP="004E16B9">
                  <w:pPr>
                    <w:pStyle w:val="TableBodyText"/>
                  </w:pPr>
                  <w:r w:rsidRPr="00612267">
                    <w:rPr>
                      <w:rFonts w:ascii="Wingdings" w:hAnsi="Wingdings"/>
                    </w:rPr>
                    <w:t></w:t>
                  </w:r>
                </w:p>
              </w:tc>
              <w:tc>
                <w:tcPr>
                  <w:tcW w:w="667" w:type="pct"/>
                </w:tcPr>
                <w:p w14:paraId="0F7BED9A" w14:textId="77777777" w:rsidR="004E16B9" w:rsidRDefault="004E16B9" w:rsidP="004E16B9">
                  <w:pPr>
                    <w:pStyle w:val="TableBodyText"/>
                    <w:ind w:right="28"/>
                  </w:pPr>
                </w:p>
              </w:tc>
            </w:tr>
          </w:tbl>
          <w:p w14:paraId="427BC36C" w14:textId="77777777" w:rsidR="008C6489" w:rsidRDefault="008C6489" w:rsidP="00E3630A">
            <w:pPr>
              <w:pStyle w:val="Box"/>
            </w:pPr>
          </w:p>
        </w:tc>
      </w:tr>
      <w:tr w:rsidR="008C6489" w14:paraId="313DD603" w14:textId="77777777" w:rsidTr="00E3630A">
        <w:tc>
          <w:tcPr>
            <w:tcW w:w="5000" w:type="pct"/>
            <w:tcBorders>
              <w:top w:val="nil"/>
              <w:left w:val="nil"/>
              <w:bottom w:val="nil"/>
              <w:right w:val="nil"/>
            </w:tcBorders>
            <w:shd w:val="clear" w:color="auto" w:fill="auto"/>
          </w:tcPr>
          <w:p w14:paraId="0B149FA9" w14:textId="47621F32" w:rsidR="008C6489" w:rsidRDefault="00ED6E23" w:rsidP="00ED6E23">
            <w:pPr>
              <w:pStyle w:val="Source"/>
              <w:jc w:val="right"/>
            </w:pPr>
            <w:r>
              <w:t>(continued)</w:t>
            </w:r>
          </w:p>
        </w:tc>
      </w:tr>
      <w:tr w:rsidR="008C6489" w14:paraId="5E51B240" w14:textId="77777777" w:rsidTr="00E3630A">
        <w:tc>
          <w:tcPr>
            <w:tcW w:w="5000" w:type="pct"/>
            <w:tcBorders>
              <w:top w:val="nil"/>
              <w:left w:val="nil"/>
              <w:bottom w:val="single" w:sz="6" w:space="0" w:color="78A22F"/>
              <w:right w:val="nil"/>
            </w:tcBorders>
            <w:shd w:val="clear" w:color="auto" w:fill="auto"/>
          </w:tcPr>
          <w:p w14:paraId="2C47ECBC" w14:textId="77777777" w:rsidR="008C6489" w:rsidRDefault="008C6489" w:rsidP="00E3630A">
            <w:pPr>
              <w:pStyle w:val="Box"/>
              <w:spacing w:before="0" w:line="120" w:lineRule="exact"/>
            </w:pPr>
          </w:p>
        </w:tc>
      </w:tr>
      <w:tr w:rsidR="008C6489" w:rsidRPr="000863A5" w14:paraId="75272088" w14:textId="77777777" w:rsidTr="00E3630A">
        <w:tc>
          <w:tcPr>
            <w:tcW w:w="5000" w:type="pct"/>
            <w:tcBorders>
              <w:top w:val="single" w:sz="6" w:space="0" w:color="78A22F"/>
              <w:left w:val="nil"/>
              <w:bottom w:val="nil"/>
              <w:right w:val="nil"/>
            </w:tcBorders>
          </w:tcPr>
          <w:p w14:paraId="7F3025CD" w14:textId="299956FA" w:rsidR="008C6489" w:rsidRPr="00626D32" w:rsidRDefault="008C6489" w:rsidP="00E3630A">
            <w:pPr>
              <w:pStyle w:val="BoxSpaceBelow"/>
            </w:pPr>
          </w:p>
        </w:tc>
      </w:tr>
    </w:tbl>
    <w:p w14:paraId="110B58C8" w14:textId="7AAA6CDD" w:rsidR="007169DF" w:rsidRDefault="007169DF" w:rsidP="00E3630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7169DF" w14:paraId="2A147D81" w14:textId="77777777" w:rsidTr="00E3630A">
        <w:trPr>
          <w:tblHeader/>
        </w:trPr>
        <w:tc>
          <w:tcPr>
            <w:tcW w:w="5000" w:type="pct"/>
            <w:tcBorders>
              <w:top w:val="single" w:sz="6" w:space="0" w:color="78A22F"/>
              <w:left w:val="nil"/>
              <w:bottom w:val="nil"/>
              <w:right w:val="nil"/>
            </w:tcBorders>
            <w:shd w:val="clear" w:color="auto" w:fill="auto"/>
          </w:tcPr>
          <w:p w14:paraId="0C6674A4" w14:textId="77777777" w:rsidR="002B4D2E" w:rsidRDefault="007169DF" w:rsidP="002B4D2E">
            <w:pPr>
              <w:pStyle w:val="TableTitle"/>
            </w:pPr>
            <w:r>
              <w:rPr>
                <w:b w:val="0"/>
              </w:rPr>
              <w:t>Table B.1</w:t>
            </w:r>
            <w:r>
              <w:tab/>
            </w:r>
            <w:r w:rsidR="002B4D2E" w:rsidRPr="00DB79BC">
              <w:rPr>
                <w:b w:val="0"/>
                <w:bCs/>
                <w:sz w:val="18"/>
                <w:szCs w:val="18"/>
              </w:rPr>
              <w:t>(continued)</w:t>
            </w:r>
          </w:p>
          <w:p w14:paraId="38C9A039" w14:textId="72454E5D" w:rsidR="007169DF" w:rsidRPr="00784A05" w:rsidRDefault="002B4D2E" w:rsidP="00E3630A">
            <w:pPr>
              <w:pStyle w:val="Subtitle"/>
            </w:pPr>
            <w:r w:rsidRPr="00ED6E23">
              <w:t>Variables included by type of business entity</w:t>
            </w:r>
          </w:p>
        </w:tc>
      </w:tr>
      <w:tr w:rsidR="007169DF" w14:paraId="79E94263" w14:textId="77777777" w:rsidTr="00E3630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532"/>
              <w:gridCol w:w="970"/>
              <w:gridCol w:w="1040"/>
              <w:gridCol w:w="980"/>
              <w:gridCol w:w="983"/>
            </w:tblGrid>
            <w:tr w:rsidR="002B4D2E" w14:paraId="5F93534C" w14:textId="77777777" w:rsidTr="00F42F30">
              <w:trPr>
                <w:tblHeader/>
              </w:trPr>
              <w:tc>
                <w:tcPr>
                  <w:tcW w:w="2664" w:type="pct"/>
                  <w:tcBorders>
                    <w:top w:val="single" w:sz="6" w:space="0" w:color="BFBFBF"/>
                    <w:bottom w:val="single" w:sz="6" w:space="0" w:color="BFBFBF"/>
                  </w:tcBorders>
                  <w:shd w:val="clear" w:color="auto" w:fill="auto"/>
                  <w:tcMar>
                    <w:top w:w="28" w:type="dxa"/>
                  </w:tcMar>
                </w:tcPr>
                <w:p w14:paraId="6F1F8CAF" w14:textId="77777777" w:rsidR="002B4D2E" w:rsidRDefault="002B4D2E" w:rsidP="002B4D2E">
                  <w:pPr>
                    <w:pStyle w:val="TableColumnHeading"/>
                    <w:jc w:val="left"/>
                  </w:pPr>
                </w:p>
              </w:tc>
              <w:tc>
                <w:tcPr>
                  <w:tcW w:w="570" w:type="pct"/>
                  <w:tcBorders>
                    <w:top w:val="single" w:sz="6" w:space="0" w:color="BFBFBF"/>
                    <w:bottom w:val="single" w:sz="6" w:space="0" w:color="BFBFBF"/>
                  </w:tcBorders>
                </w:tcPr>
                <w:p w14:paraId="28651913" w14:textId="57FD464D" w:rsidR="002B4D2E" w:rsidRDefault="002B4D2E" w:rsidP="002B4D2E">
                  <w:pPr>
                    <w:pStyle w:val="TableColumnHeading"/>
                  </w:pPr>
                  <w:r w:rsidRPr="00AC5269">
                    <w:t>Company form</w:t>
                  </w:r>
                </w:p>
              </w:tc>
              <w:tc>
                <w:tcPr>
                  <w:tcW w:w="611" w:type="pct"/>
                  <w:tcBorders>
                    <w:top w:val="single" w:sz="6" w:space="0" w:color="BFBFBF"/>
                    <w:bottom w:val="single" w:sz="6" w:space="0" w:color="BFBFBF"/>
                  </w:tcBorders>
                </w:tcPr>
                <w:p w14:paraId="568B8D8B" w14:textId="2A7EDA21" w:rsidR="002B4D2E" w:rsidRDefault="002B4D2E" w:rsidP="002B4D2E">
                  <w:pPr>
                    <w:pStyle w:val="TableColumnHeading"/>
                  </w:pPr>
                  <w:r w:rsidRPr="00AC5269">
                    <w:t>Partnership form</w:t>
                  </w:r>
                </w:p>
              </w:tc>
              <w:tc>
                <w:tcPr>
                  <w:tcW w:w="576" w:type="pct"/>
                  <w:tcBorders>
                    <w:top w:val="single" w:sz="6" w:space="0" w:color="BFBFBF"/>
                    <w:bottom w:val="single" w:sz="6" w:space="0" w:color="BFBFBF"/>
                  </w:tcBorders>
                  <w:shd w:val="clear" w:color="auto" w:fill="auto"/>
                  <w:tcMar>
                    <w:top w:w="28" w:type="dxa"/>
                  </w:tcMar>
                </w:tcPr>
                <w:p w14:paraId="497FBF59" w14:textId="5F82FBE1" w:rsidR="002B4D2E" w:rsidRDefault="002B4D2E" w:rsidP="002B4D2E">
                  <w:pPr>
                    <w:pStyle w:val="TableColumnHeading"/>
                  </w:pPr>
                  <w:r w:rsidRPr="00AC5269">
                    <w:t>Trust form</w:t>
                  </w:r>
                </w:p>
              </w:tc>
              <w:tc>
                <w:tcPr>
                  <w:tcW w:w="578" w:type="pct"/>
                  <w:tcBorders>
                    <w:top w:val="single" w:sz="6" w:space="0" w:color="BFBFBF"/>
                    <w:bottom w:val="single" w:sz="6" w:space="0" w:color="BFBFBF"/>
                  </w:tcBorders>
                  <w:shd w:val="clear" w:color="auto" w:fill="auto"/>
                  <w:tcMar>
                    <w:top w:w="28" w:type="dxa"/>
                  </w:tcMar>
                </w:tcPr>
                <w:p w14:paraId="44DCA42E" w14:textId="3F05C30D" w:rsidR="002B4D2E" w:rsidRDefault="002B4D2E" w:rsidP="002B4D2E">
                  <w:pPr>
                    <w:pStyle w:val="TableColumnHeading"/>
                    <w:ind w:right="28"/>
                  </w:pPr>
                  <w:r w:rsidRPr="00AC5269">
                    <w:t>Individual form</w:t>
                  </w:r>
                </w:p>
              </w:tc>
            </w:tr>
            <w:tr w:rsidR="002B4D2E" w14:paraId="46338A9B" w14:textId="77777777" w:rsidTr="00F42F30">
              <w:tc>
                <w:tcPr>
                  <w:tcW w:w="2664" w:type="pct"/>
                  <w:tcBorders>
                    <w:top w:val="single" w:sz="6" w:space="0" w:color="BFBFBF"/>
                  </w:tcBorders>
                </w:tcPr>
                <w:p w14:paraId="31EF7B9A" w14:textId="08395635" w:rsidR="002B4D2E" w:rsidRDefault="002B4D2E" w:rsidP="00E3630A">
                  <w:pPr>
                    <w:pStyle w:val="TableUnitsRow"/>
                    <w:jc w:val="left"/>
                  </w:pPr>
                  <w:r w:rsidRPr="00172FB0">
                    <w:rPr>
                      <w:b/>
                      <w:bCs/>
                    </w:rPr>
                    <w:t>Financial and other information</w:t>
                  </w:r>
                </w:p>
              </w:tc>
              <w:tc>
                <w:tcPr>
                  <w:tcW w:w="570" w:type="pct"/>
                  <w:tcBorders>
                    <w:top w:val="single" w:sz="6" w:space="0" w:color="BFBFBF"/>
                  </w:tcBorders>
                </w:tcPr>
                <w:p w14:paraId="4B65997D" w14:textId="77777777" w:rsidR="002B4D2E" w:rsidRDefault="002B4D2E" w:rsidP="00E3630A">
                  <w:pPr>
                    <w:pStyle w:val="TableUnitsRow"/>
                  </w:pPr>
                </w:p>
              </w:tc>
              <w:tc>
                <w:tcPr>
                  <w:tcW w:w="611" w:type="pct"/>
                  <w:tcBorders>
                    <w:top w:val="single" w:sz="6" w:space="0" w:color="BFBFBF"/>
                  </w:tcBorders>
                </w:tcPr>
                <w:p w14:paraId="5BCCC898" w14:textId="77777777" w:rsidR="002B4D2E" w:rsidRDefault="002B4D2E" w:rsidP="00E3630A">
                  <w:pPr>
                    <w:pStyle w:val="TableUnitsRow"/>
                  </w:pPr>
                </w:p>
              </w:tc>
              <w:tc>
                <w:tcPr>
                  <w:tcW w:w="576" w:type="pct"/>
                  <w:tcBorders>
                    <w:top w:val="single" w:sz="6" w:space="0" w:color="BFBFBF"/>
                  </w:tcBorders>
                </w:tcPr>
                <w:p w14:paraId="13BE2262" w14:textId="584EA2EA" w:rsidR="002B4D2E" w:rsidRDefault="002B4D2E" w:rsidP="00E3630A">
                  <w:pPr>
                    <w:pStyle w:val="TableUnitsRow"/>
                  </w:pPr>
                </w:p>
              </w:tc>
              <w:tc>
                <w:tcPr>
                  <w:tcW w:w="578" w:type="pct"/>
                  <w:tcBorders>
                    <w:top w:val="single" w:sz="6" w:space="0" w:color="BFBFBF"/>
                  </w:tcBorders>
                </w:tcPr>
                <w:p w14:paraId="0039D881" w14:textId="77777777" w:rsidR="002B4D2E" w:rsidRDefault="002B4D2E" w:rsidP="00E3630A">
                  <w:pPr>
                    <w:pStyle w:val="TableUnitsRow"/>
                    <w:ind w:right="28"/>
                  </w:pPr>
                </w:p>
              </w:tc>
            </w:tr>
            <w:tr w:rsidR="007315E1" w14:paraId="37647E88" w14:textId="77777777" w:rsidTr="00F42F30">
              <w:tc>
                <w:tcPr>
                  <w:tcW w:w="2664" w:type="pct"/>
                </w:tcPr>
                <w:p w14:paraId="42592990" w14:textId="75DB700C" w:rsidR="007315E1" w:rsidRDefault="007315E1" w:rsidP="007315E1">
                  <w:pPr>
                    <w:pStyle w:val="TableBodyText"/>
                    <w:jc w:val="left"/>
                  </w:pPr>
                  <w:r w:rsidRPr="00171AC3">
                    <w:t>Total other deductions</w:t>
                  </w:r>
                </w:p>
              </w:tc>
              <w:tc>
                <w:tcPr>
                  <w:tcW w:w="570" w:type="pct"/>
                </w:tcPr>
                <w:p w14:paraId="719C4596" w14:textId="77777777" w:rsidR="007315E1" w:rsidRDefault="007315E1" w:rsidP="007315E1">
                  <w:pPr>
                    <w:pStyle w:val="TableBodyText"/>
                  </w:pPr>
                </w:p>
              </w:tc>
              <w:tc>
                <w:tcPr>
                  <w:tcW w:w="611" w:type="pct"/>
                </w:tcPr>
                <w:p w14:paraId="20BE634F" w14:textId="77777777" w:rsidR="007315E1" w:rsidRDefault="007315E1" w:rsidP="007315E1">
                  <w:pPr>
                    <w:pStyle w:val="TableBodyText"/>
                  </w:pPr>
                </w:p>
              </w:tc>
              <w:tc>
                <w:tcPr>
                  <w:tcW w:w="576" w:type="pct"/>
                </w:tcPr>
                <w:p w14:paraId="13268840" w14:textId="7E667A16" w:rsidR="007315E1" w:rsidRDefault="007315E1" w:rsidP="007315E1">
                  <w:pPr>
                    <w:pStyle w:val="TableBodyText"/>
                  </w:pPr>
                  <w:r w:rsidRPr="00612267">
                    <w:rPr>
                      <w:rFonts w:ascii="Wingdings" w:hAnsi="Wingdings"/>
                    </w:rPr>
                    <w:t></w:t>
                  </w:r>
                </w:p>
              </w:tc>
              <w:tc>
                <w:tcPr>
                  <w:tcW w:w="578" w:type="pct"/>
                </w:tcPr>
                <w:p w14:paraId="4845C35C" w14:textId="77777777" w:rsidR="007315E1" w:rsidRDefault="007315E1" w:rsidP="007315E1">
                  <w:pPr>
                    <w:pStyle w:val="TableBodyText"/>
                    <w:ind w:right="28"/>
                  </w:pPr>
                </w:p>
              </w:tc>
            </w:tr>
            <w:tr w:rsidR="007315E1" w14:paraId="6324A60F" w14:textId="77777777" w:rsidTr="00F42F30">
              <w:tc>
                <w:tcPr>
                  <w:tcW w:w="2664" w:type="pct"/>
                </w:tcPr>
                <w:p w14:paraId="7B9A509E" w14:textId="3C669667" w:rsidR="007315E1" w:rsidRDefault="007315E1" w:rsidP="007315E1">
                  <w:pPr>
                    <w:pStyle w:val="TableBodyText"/>
                    <w:jc w:val="left"/>
                  </w:pPr>
                  <w:r w:rsidRPr="00171AC3">
                    <w:t>Share of credit for TFN amounts withheld from interest, dividends and unit trust distributions</w:t>
                  </w:r>
                </w:p>
              </w:tc>
              <w:tc>
                <w:tcPr>
                  <w:tcW w:w="570" w:type="pct"/>
                </w:tcPr>
                <w:p w14:paraId="6A13CA69" w14:textId="77777777" w:rsidR="007315E1" w:rsidRDefault="007315E1" w:rsidP="007315E1">
                  <w:pPr>
                    <w:pStyle w:val="TableBodyText"/>
                  </w:pPr>
                </w:p>
              </w:tc>
              <w:tc>
                <w:tcPr>
                  <w:tcW w:w="611" w:type="pct"/>
                </w:tcPr>
                <w:p w14:paraId="687F8AC9" w14:textId="77777777" w:rsidR="007315E1" w:rsidRDefault="007315E1" w:rsidP="007315E1">
                  <w:pPr>
                    <w:pStyle w:val="TableBodyText"/>
                  </w:pPr>
                </w:p>
              </w:tc>
              <w:tc>
                <w:tcPr>
                  <w:tcW w:w="576" w:type="pct"/>
                </w:tcPr>
                <w:p w14:paraId="144918A8" w14:textId="46A4C35C" w:rsidR="007315E1" w:rsidRDefault="007315E1" w:rsidP="007315E1">
                  <w:pPr>
                    <w:pStyle w:val="TableBodyText"/>
                  </w:pPr>
                  <w:r w:rsidRPr="00612267">
                    <w:rPr>
                      <w:rFonts w:ascii="Wingdings" w:hAnsi="Wingdings"/>
                    </w:rPr>
                    <w:t></w:t>
                  </w:r>
                </w:p>
              </w:tc>
              <w:tc>
                <w:tcPr>
                  <w:tcW w:w="578" w:type="pct"/>
                </w:tcPr>
                <w:p w14:paraId="534397D5" w14:textId="77777777" w:rsidR="007315E1" w:rsidRDefault="007315E1" w:rsidP="007315E1">
                  <w:pPr>
                    <w:pStyle w:val="TableBodyText"/>
                    <w:ind w:right="28"/>
                  </w:pPr>
                </w:p>
              </w:tc>
            </w:tr>
            <w:tr w:rsidR="007315E1" w14:paraId="21253CD5" w14:textId="77777777" w:rsidTr="00F42F30">
              <w:tc>
                <w:tcPr>
                  <w:tcW w:w="2664" w:type="pct"/>
                </w:tcPr>
                <w:p w14:paraId="5E1FA348" w14:textId="39E78760" w:rsidR="007315E1" w:rsidRDefault="007315E1" w:rsidP="007315E1">
                  <w:pPr>
                    <w:pStyle w:val="TableBodyText"/>
                    <w:jc w:val="left"/>
                  </w:pPr>
                  <w:r w:rsidRPr="00171AC3">
                    <w:t>Share of credit for tax withheld where ABN not quoted</w:t>
                  </w:r>
                </w:p>
              </w:tc>
              <w:tc>
                <w:tcPr>
                  <w:tcW w:w="570" w:type="pct"/>
                </w:tcPr>
                <w:p w14:paraId="7EC7F391" w14:textId="77777777" w:rsidR="007315E1" w:rsidRDefault="007315E1" w:rsidP="007315E1">
                  <w:pPr>
                    <w:pStyle w:val="TableBodyText"/>
                  </w:pPr>
                </w:p>
              </w:tc>
              <w:tc>
                <w:tcPr>
                  <w:tcW w:w="611" w:type="pct"/>
                </w:tcPr>
                <w:p w14:paraId="2AEC6722" w14:textId="77777777" w:rsidR="007315E1" w:rsidRDefault="007315E1" w:rsidP="007315E1">
                  <w:pPr>
                    <w:pStyle w:val="TableBodyText"/>
                  </w:pPr>
                </w:p>
              </w:tc>
              <w:tc>
                <w:tcPr>
                  <w:tcW w:w="576" w:type="pct"/>
                </w:tcPr>
                <w:p w14:paraId="57D80FE3" w14:textId="02413762" w:rsidR="007315E1" w:rsidRDefault="007315E1" w:rsidP="007315E1">
                  <w:pPr>
                    <w:pStyle w:val="TableBodyText"/>
                  </w:pPr>
                  <w:r w:rsidRPr="00612267">
                    <w:rPr>
                      <w:rFonts w:ascii="Wingdings" w:hAnsi="Wingdings"/>
                    </w:rPr>
                    <w:t></w:t>
                  </w:r>
                </w:p>
              </w:tc>
              <w:tc>
                <w:tcPr>
                  <w:tcW w:w="578" w:type="pct"/>
                </w:tcPr>
                <w:p w14:paraId="16E66E61" w14:textId="77777777" w:rsidR="007315E1" w:rsidRDefault="007315E1" w:rsidP="007315E1">
                  <w:pPr>
                    <w:pStyle w:val="TableBodyText"/>
                    <w:ind w:right="28"/>
                  </w:pPr>
                </w:p>
              </w:tc>
            </w:tr>
            <w:tr w:rsidR="000F0250" w14:paraId="50396DEF" w14:textId="77777777" w:rsidTr="00F42F30">
              <w:tc>
                <w:tcPr>
                  <w:tcW w:w="2664" w:type="pct"/>
                </w:tcPr>
                <w:p w14:paraId="6877F859" w14:textId="44B571B4" w:rsidR="000F0250" w:rsidRDefault="000F0250" w:rsidP="000F0250">
                  <w:pPr>
                    <w:pStyle w:val="TableBodyText"/>
                    <w:jc w:val="left"/>
                  </w:pPr>
                  <w:r w:rsidRPr="00FF6461">
                    <w:rPr>
                      <w:b/>
                      <w:bCs/>
                    </w:rPr>
                    <w:t>Capital allowances</w:t>
                  </w:r>
                </w:p>
              </w:tc>
              <w:tc>
                <w:tcPr>
                  <w:tcW w:w="570" w:type="pct"/>
                </w:tcPr>
                <w:p w14:paraId="5D7F634B" w14:textId="77777777" w:rsidR="000F0250" w:rsidRDefault="000F0250" w:rsidP="000F0250">
                  <w:pPr>
                    <w:pStyle w:val="TableBodyText"/>
                  </w:pPr>
                </w:p>
              </w:tc>
              <w:tc>
                <w:tcPr>
                  <w:tcW w:w="611" w:type="pct"/>
                </w:tcPr>
                <w:p w14:paraId="0915E8FD" w14:textId="77777777" w:rsidR="000F0250" w:rsidRDefault="000F0250" w:rsidP="000F0250">
                  <w:pPr>
                    <w:pStyle w:val="TableBodyText"/>
                  </w:pPr>
                </w:p>
              </w:tc>
              <w:tc>
                <w:tcPr>
                  <w:tcW w:w="576" w:type="pct"/>
                </w:tcPr>
                <w:p w14:paraId="7B1122D6" w14:textId="35514020" w:rsidR="000F0250" w:rsidRDefault="000F0250" w:rsidP="000F0250">
                  <w:pPr>
                    <w:pStyle w:val="TableBodyText"/>
                  </w:pPr>
                </w:p>
              </w:tc>
              <w:tc>
                <w:tcPr>
                  <w:tcW w:w="578" w:type="pct"/>
                </w:tcPr>
                <w:p w14:paraId="5B726FD7" w14:textId="77777777" w:rsidR="000F0250" w:rsidRDefault="000F0250" w:rsidP="000F0250">
                  <w:pPr>
                    <w:pStyle w:val="TableBodyText"/>
                    <w:ind w:right="28"/>
                  </w:pPr>
                </w:p>
              </w:tc>
            </w:tr>
            <w:tr w:rsidR="000F0250" w14:paraId="2B0227E4" w14:textId="77777777" w:rsidTr="00F42F30">
              <w:tc>
                <w:tcPr>
                  <w:tcW w:w="2664" w:type="pct"/>
                </w:tcPr>
                <w:p w14:paraId="470B7DD1" w14:textId="7FD7D224" w:rsidR="000F0250" w:rsidRDefault="000F0250" w:rsidP="000F0250">
                  <w:pPr>
                    <w:pStyle w:val="TableBodyText"/>
                    <w:jc w:val="left"/>
                  </w:pPr>
                  <w:r w:rsidRPr="00171AC3">
                    <w:t>Other depreciating assets first deducted</w:t>
                  </w:r>
                </w:p>
              </w:tc>
              <w:tc>
                <w:tcPr>
                  <w:tcW w:w="570" w:type="pct"/>
                </w:tcPr>
                <w:p w14:paraId="1EE6966A" w14:textId="15A5A16C" w:rsidR="000F0250" w:rsidRDefault="000F0250" w:rsidP="000F0250">
                  <w:pPr>
                    <w:pStyle w:val="TableBodyText"/>
                  </w:pPr>
                  <w:r w:rsidRPr="00612267">
                    <w:rPr>
                      <w:rFonts w:ascii="Wingdings" w:hAnsi="Wingdings"/>
                    </w:rPr>
                    <w:t></w:t>
                  </w:r>
                </w:p>
              </w:tc>
              <w:tc>
                <w:tcPr>
                  <w:tcW w:w="611" w:type="pct"/>
                </w:tcPr>
                <w:p w14:paraId="246F1032" w14:textId="0E2E66E8" w:rsidR="000F0250" w:rsidRDefault="000F0250" w:rsidP="000F0250">
                  <w:pPr>
                    <w:pStyle w:val="TableBodyText"/>
                  </w:pPr>
                  <w:r w:rsidRPr="00612267">
                    <w:rPr>
                      <w:rFonts w:ascii="Wingdings" w:hAnsi="Wingdings"/>
                    </w:rPr>
                    <w:t></w:t>
                  </w:r>
                </w:p>
              </w:tc>
              <w:tc>
                <w:tcPr>
                  <w:tcW w:w="576" w:type="pct"/>
                </w:tcPr>
                <w:p w14:paraId="0F253208" w14:textId="252E8E60" w:rsidR="000F0250" w:rsidRDefault="000F0250" w:rsidP="000F0250">
                  <w:pPr>
                    <w:pStyle w:val="TableBodyText"/>
                  </w:pPr>
                  <w:r w:rsidRPr="00612267">
                    <w:rPr>
                      <w:rFonts w:ascii="Wingdings" w:hAnsi="Wingdings"/>
                    </w:rPr>
                    <w:t></w:t>
                  </w:r>
                </w:p>
              </w:tc>
              <w:tc>
                <w:tcPr>
                  <w:tcW w:w="578" w:type="pct"/>
                </w:tcPr>
                <w:p w14:paraId="20FD285C" w14:textId="0618C648" w:rsidR="000F0250" w:rsidRDefault="000F0250" w:rsidP="000F0250">
                  <w:pPr>
                    <w:pStyle w:val="TableBodyText"/>
                    <w:ind w:right="28"/>
                  </w:pPr>
                  <w:r w:rsidRPr="00612267">
                    <w:rPr>
                      <w:rFonts w:ascii="Wingdings" w:hAnsi="Wingdings"/>
                    </w:rPr>
                    <w:t></w:t>
                  </w:r>
                </w:p>
              </w:tc>
            </w:tr>
            <w:tr w:rsidR="000F0250" w14:paraId="702C8462" w14:textId="77777777" w:rsidTr="00F42F30">
              <w:tc>
                <w:tcPr>
                  <w:tcW w:w="2664" w:type="pct"/>
                </w:tcPr>
                <w:p w14:paraId="1557F955" w14:textId="7F7B5D9E" w:rsidR="000F0250" w:rsidRDefault="000F0250" w:rsidP="000F0250">
                  <w:pPr>
                    <w:pStyle w:val="TableBodyText"/>
                    <w:jc w:val="left"/>
                  </w:pPr>
                  <w:r w:rsidRPr="00171AC3">
                    <w:t>Intangible depreciating assets first deducted</w:t>
                  </w:r>
                </w:p>
              </w:tc>
              <w:tc>
                <w:tcPr>
                  <w:tcW w:w="570" w:type="pct"/>
                </w:tcPr>
                <w:p w14:paraId="6B04E1C1" w14:textId="3AC36FB5" w:rsidR="000F0250" w:rsidRDefault="000F0250" w:rsidP="000F0250">
                  <w:pPr>
                    <w:pStyle w:val="TableBodyText"/>
                  </w:pPr>
                  <w:r w:rsidRPr="00612267">
                    <w:rPr>
                      <w:rFonts w:ascii="Wingdings" w:hAnsi="Wingdings"/>
                    </w:rPr>
                    <w:t></w:t>
                  </w:r>
                </w:p>
              </w:tc>
              <w:tc>
                <w:tcPr>
                  <w:tcW w:w="611" w:type="pct"/>
                </w:tcPr>
                <w:p w14:paraId="4D724D3E" w14:textId="76A14F96" w:rsidR="000F0250" w:rsidRDefault="000F0250" w:rsidP="000F0250">
                  <w:pPr>
                    <w:pStyle w:val="TableBodyText"/>
                  </w:pPr>
                  <w:r w:rsidRPr="00612267">
                    <w:rPr>
                      <w:rFonts w:ascii="Wingdings" w:hAnsi="Wingdings"/>
                    </w:rPr>
                    <w:t></w:t>
                  </w:r>
                </w:p>
              </w:tc>
              <w:tc>
                <w:tcPr>
                  <w:tcW w:w="576" w:type="pct"/>
                </w:tcPr>
                <w:p w14:paraId="3555ABF0" w14:textId="25772FB8" w:rsidR="000F0250" w:rsidRDefault="000F0250" w:rsidP="000F0250">
                  <w:pPr>
                    <w:pStyle w:val="TableBodyText"/>
                  </w:pPr>
                  <w:r w:rsidRPr="00612267">
                    <w:rPr>
                      <w:rFonts w:ascii="Wingdings" w:hAnsi="Wingdings"/>
                    </w:rPr>
                    <w:t></w:t>
                  </w:r>
                </w:p>
              </w:tc>
              <w:tc>
                <w:tcPr>
                  <w:tcW w:w="578" w:type="pct"/>
                </w:tcPr>
                <w:p w14:paraId="32B1F5B9" w14:textId="686E73FE" w:rsidR="000F0250" w:rsidRDefault="000F0250" w:rsidP="000F0250">
                  <w:pPr>
                    <w:pStyle w:val="TableBodyText"/>
                    <w:ind w:right="28"/>
                  </w:pPr>
                  <w:r w:rsidRPr="00612267">
                    <w:rPr>
                      <w:rFonts w:ascii="Wingdings" w:hAnsi="Wingdings"/>
                    </w:rPr>
                    <w:t></w:t>
                  </w:r>
                </w:p>
              </w:tc>
            </w:tr>
            <w:tr w:rsidR="000F0250" w14:paraId="33ACE90D" w14:textId="77777777" w:rsidTr="00F42F30">
              <w:tc>
                <w:tcPr>
                  <w:tcW w:w="2664" w:type="pct"/>
                </w:tcPr>
                <w:p w14:paraId="759ACEA1" w14:textId="7064C26B" w:rsidR="000F0250" w:rsidRDefault="000F0250" w:rsidP="000F0250">
                  <w:pPr>
                    <w:pStyle w:val="TableBodyText"/>
                    <w:jc w:val="left"/>
                  </w:pPr>
                  <w:r w:rsidRPr="00171AC3">
                    <w:t>Termination value of intangible depreciating assets</w:t>
                  </w:r>
                </w:p>
              </w:tc>
              <w:tc>
                <w:tcPr>
                  <w:tcW w:w="570" w:type="pct"/>
                </w:tcPr>
                <w:p w14:paraId="4EF5EE99" w14:textId="64837955" w:rsidR="000F0250" w:rsidRDefault="000F0250" w:rsidP="000F0250">
                  <w:pPr>
                    <w:pStyle w:val="TableBodyText"/>
                  </w:pPr>
                  <w:r w:rsidRPr="00612267">
                    <w:rPr>
                      <w:rFonts w:ascii="Wingdings" w:hAnsi="Wingdings"/>
                    </w:rPr>
                    <w:t></w:t>
                  </w:r>
                </w:p>
              </w:tc>
              <w:tc>
                <w:tcPr>
                  <w:tcW w:w="611" w:type="pct"/>
                </w:tcPr>
                <w:p w14:paraId="6A618F8A" w14:textId="22D29277" w:rsidR="000F0250" w:rsidRDefault="000F0250" w:rsidP="000F0250">
                  <w:pPr>
                    <w:pStyle w:val="TableBodyText"/>
                  </w:pPr>
                  <w:r w:rsidRPr="00612267">
                    <w:rPr>
                      <w:rFonts w:ascii="Wingdings" w:hAnsi="Wingdings"/>
                    </w:rPr>
                    <w:t></w:t>
                  </w:r>
                </w:p>
              </w:tc>
              <w:tc>
                <w:tcPr>
                  <w:tcW w:w="576" w:type="pct"/>
                </w:tcPr>
                <w:p w14:paraId="4BCF4404" w14:textId="034997E1" w:rsidR="000F0250" w:rsidRDefault="000F0250" w:rsidP="000F0250">
                  <w:pPr>
                    <w:pStyle w:val="TableBodyText"/>
                  </w:pPr>
                  <w:r w:rsidRPr="00612267">
                    <w:rPr>
                      <w:rFonts w:ascii="Wingdings" w:hAnsi="Wingdings"/>
                    </w:rPr>
                    <w:t></w:t>
                  </w:r>
                </w:p>
              </w:tc>
              <w:tc>
                <w:tcPr>
                  <w:tcW w:w="578" w:type="pct"/>
                </w:tcPr>
                <w:p w14:paraId="69711E86" w14:textId="39545281" w:rsidR="000F0250" w:rsidRDefault="000F0250" w:rsidP="000F0250">
                  <w:pPr>
                    <w:pStyle w:val="TableBodyText"/>
                    <w:ind w:right="28"/>
                  </w:pPr>
                  <w:r w:rsidRPr="00612267">
                    <w:rPr>
                      <w:rFonts w:ascii="Wingdings" w:hAnsi="Wingdings"/>
                    </w:rPr>
                    <w:t></w:t>
                  </w:r>
                </w:p>
              </w:tc>
            </w:tr>
            <w:tr w:rsidR="000F0250" w14:paraId="0B68EBE2" w14:textId="77777777" w:rsidTr="00F42F30">
              <w:tc>
                <w:tcPr>
                  <w:tcW w:w="2664" w:type="pct"/>
                </w:tcPr>
                <w:p w14:paraId="5547FC7F" w14:textId="72EDE871" w:rsidR="000F0250" w:rsidRDefault="000F0250" w:rsidP="000F0250">
                  <w:pPr>
                    <w:pStyle w:val="TableBodyText"/>
                    <w:jc w:val="left"/>
                  </w:pPr>
                  <w:r w:rsidRPr="00171AC3">
                    <w:t>Termination value of other depreciating assets</w:t>
                  </w:r>
                </w:p>
              </w:tc>
              <w:tc>
                <w:tcPr>
                  <w:tcW w:w="570" w:type="pct"/>
                </w:tcPr>
                <w:p w14:paraId="45AE838E" w14:textId="2BFB3621" w:rsidR="000F0250" w:rsidRDefault="000F0250" w:rsidP="000F0250">
                  <w:pPr>
                    <w:pStyle w:val="TableBodyText"/>
                  </w:pPr>
                  <w:r w:rsidRPr="00612267">
                    <w:rPr>
                      <w:rFonts w:ascii="Wingdings" w:hAnsi="Wingdings"/>
                    </w:rPr>
                    <w:t></w:t>
                  </w:r>
                </w:p>
              </w:tc>
              <w:tc>
                <w:tcPr>
                  <w:tcW w:w="611" w:type="pct"/>
                </w:tcPr>
                <w:p w14:paraId="1815AE94" w14:textId="5F586C39" w:rsidR="000F0250" w:rsidRDefault="000F0250" w:rsidP="000F0250">
                  <w:pPr>
                    <w:pStyle w:val="TableBodyText"/>
                  </w:pPr>
                  <w:r w:rsidRPr="00612267">
                    <w:rPr>
                      <w:rFonts w:ascii="Wingdings" w:hAnsi="Wingdings"/>
                    </w:rPr>
                    <w:t></w:t>
                  </w:r>
                </w:p>
              </w:tc>
              <w:tc>
                <w:tcPr>
                  <w:tcW w:w="576" w:type="pct"/>
                </w:tcPr>
                <w:p w14:paraId="52F9BC3F" w14:textId="5E3CB78C" w:rsidR="000F0250" w:rsidRDefault="000F0250" w:rsidP="000F0250">
                  <w:pPr>
                    <w:pStyle w:val="TableBodyText"/>
                  </w:pPr>
                  <w:r w:rsidRPr="00612267">
                    <w:rPr>
                      <w:rFonts w:ascii="Wingdings" w:hAnsi="Wingdings"/>
                    </w:rPr>
                    <w:t></w:t>
                  </w:r>
                </w:p>
              </w:tc>
              <w:tc>
                <w:tcPr>
                  <w:tcW w:w="578" w:type="pct"/>
                </w:tcPr>
                <w:p w14:paraId="51B798AC" w14:textId="5A5A64D4" w:rsidR="000F0250" w:rsidRDefault="000F0250" w:rsidP="000F0250">
                  <w:pPr>
                    <w:pStyle w:val="TableBodyText"/>
                    <w:ind w:right="28"/>
                  </w:pPr>
                  <w:r w:rsidRPr="00612267">
                    <w:rPr>
                      <w:rFonts w:ascii="Wingdings" w:hAnsi="Wingdings"/>
                    </w:rPr>
                    <w:t></w:t>
                  </w:r>
                </w:p>
              </w:tc>
            </w:tr>
            <w:tr w:rsidR="000F0250" w14:paraId="14AC9529" w14:textId="77777777" w:rsidTr="00F42F30">
              <w:tc>
                <w:tcPr>
                  <w:tcW w:w="2664" w:type="pct"/>
                </w:tcPr>
                <w:p w14:paraId="57F5646D" w14:textId="58DAF33A" w:rsidR="000F0250" w:rsidRDefault="000F0250" w:rsidP="000F0250">
                  <w:pPr>
                    <w:pStyle w:val="TableBodyText"/>
                    <w:jc w:val="left"/>
                  </w:pPr>
                  <w:r w:rsidRPr="00171AC3">
                    <w:t>Assessable balancing adjustments on the disposal of intangible depreciating assets</w:t>
                  </w:r>
                </w:p>
              </w:tc>
              <w:tc>
                <w:tcPr>
                  <w:tcW w:w="570" w:type="pct"/>
                </w:tcPr>
                <w:p w14:paraId="7C1A80A9" w14:textId="77777777" w:rsidR="000F0250" w:rsidRDefault="000F0250" w:rsidP="000F0250">
                  <w:pPr>
                    <w:pStyle w:val="TableBodyText"/>
                  </w:pPr>
                </w:p>
              </w:tc>
              <w:tc>
                <w:tcPr>
                  <w:tcW w:w="611" w:type="pct"/>
                </w:tcPr>
                <w:p w14:paraId="13E5B412" w14:textId="62B1EC95" w:rsidR="000F0250" w:rsidRDefault="000F0250" w:rsidP="000F0250">
                  <w:pPr>
                    <w:pStyle w:val="TableBodyText"/>
                  </w:pPr>
                  <w:r w:rsidRPr="00612267">
                    <w:rPr>
                      <w:rFonts w:ascii="Wingdings" w:hAnsi="Wingdings"/>
                    </w:rPr>
                    <w:t></w:t>
                  </w:r>
                </w:p>
              </w:tc>
              <w:tc>
                <w:tcPr>
                  <w:tcW w:w="576" w:type="pct"/>
                </w:tcPr>
                <w:p w14:paraId="1FC6D626" w14:textId="5ECDFB46" w:rsidR="000F0250" w:rsidRDefault="000F0250" w:rsidP="000F0250">
                  <w:pPr>
                    <w:pStyle w:val="TableBodyText"/>
                  </w:pPr>
                  <w:r w:rsidRPr="00612267">
                    <w:rPr>
                      <w:rFonts w:ascii="Wingdings" w:hAnsi="Wingdings"/>
                    </w:rPr>
                    <w:t></w:t>
                  </w:r>
                </w:p>
              </w:tc>
              <w:tc>
                <w:tcPr>
                  <w:tcW w:w="578" w:type="pct"/>
                </w:tcPr>
                <w:p w14:paraId="2A1221EF" w14:textId="77777777" w:rsidR="000F0250" w:rsidRDefault="000F0250" w:rsidP="000F0250">
                  <w:pPr>
                    <w:pStyle w:val="TableBodyText"/>
                    <w:ind w:right="28"/>
                  </w:pPr>
                </w:p>
              </w:tc>
            </w:tr>
            <w:tr w:rsidR="000F0250" w14:paraId="7EB4D941" w14:textId="77777777" w:rsidTr="00F42F30">
              <w:tc>
                <w:tcPr>
                  <w:tcW w:w="2664" w:type="pct"/>
                </w:tcPr>
                <w:p w14:paraId="11357780" w14:textId="1F2DA2E5" w:rsidR="000F0250" w:rsidRDefault="000F0250" w:rsidP="000F0250">
                  <w:pPr>
                    <w:pStyle w:val="TableBodyText"/>
                    <w:jc w:val="left"/>
                  </w:pPr>
                  <w:r w:rsidRPr="00171AC3">
                    <w:t>Deductible balancing adjustments on the disposal of intangible depreciating assets</w:t>
                  </w:r>
                </w:p>
              </w:tc>
              <w:tc>
                <w:tcPr>
                  <w:tcW w:w="570" w:type="pct"/>
                </w:tcPr>
                <w:p w14:paraId="4B3621B2" w14:textId="77777777" w:rsidR="000F0250" w:rsidRDefault="000F0250" w:rsidP="000F0250">
                  <w:pPr>
                    <w:pStyle w:val="TableBodyText"/>
                  </w:pPr>
                </w:p>
              </w:tc>
              <w:tc>
                <w:tcPr>
                  <w:tcW w:w="611" w:type="pct"/>
                </w:tcPr>
                <w:p w14:paraId="7B0D46BF" w14:textId="34CEE556" w:rsidR="000F0250" w:rsidRDefault="000F0250" w:rsidP="000F0250">
                  <w:pPr>
                    <w:pStyle w:val="TableBodyText"/>
                  </w:pPr>
                  <w:r w:rsidRPr="00612267">
                    <w:rPr>
                      <w:rFonts w:ascii="Wingdings" w:hAnsi="Wingdings"/>
                    </w:rPr>
                    <w:t></w:t>
                  </w:r>
                </w:p>
              </w:tc>
              <w:tc>
                <w:tcPr>
                  <w:tcW w:w="576" w:type="pct"/>
                </w:tcPr>
                <w:p w14:paraId="76B78C57" w14:textId="0040EC4A" w:rsidR="000F0250" w:rsidRDefault="000F0250" w:rsidP="000F0250">
                  <w:pPr>
                    <w:pStyle w:val="TableBodyText"/>
                  </w:pPr>
                  <w:r w:rsidRPr="00612267">
                    <w:rPr>
                      <w:rFonts w:ascii="Wingdings" w:hAnsi="Wingdings"/>
                    </w:rPr>
                    <w:t></w:t>
                  </w:r>
                </w:p>
              </w:tc>
              <w:tc>
                <w:tcPr>
                  <w:tcW w:w="578" w:type="pct"/>
                </w:tcPr>
                <w:p w14:paraId="7A8FEE45" w14:textId="77777777" w:rsidR="000F0250" w:rsidRDefault="000F0250" w:rsidP="000F0250">
                  <w:pPr>
                    <w:pStyle w:val="TableBodyText"/>
                    <w:ind w:right="28"/>
                  </w:pPr>
                </w:p>
              </w:tc>
            </w:tr>
            <w:tr w:rsidR="000F0250" w14:paraId="3C31F53E" w14:textId="77777777" w:rsidTr="00F42F30">
              <w:tc>
                <w:tcPr>
                  <w:tcW w:w="2664" w:type="pct"/>
                </w:tcPr>
                <w:p w14:paraId="106C0F86" w14:textId="55B57067" w:rsidR="000F0250" w:rsidRDefault="000F0250" w:rsidP="000F0250">
                  <w:pPr>
                    <w:pStyle w:val="TableBodyText"/>
                    <w:jc w:val="left"/>
                  </w:pPr>
                  <w:r w:rsidRPr="00171AC3">
                    <w:t>Total adjustable values at end of income year</w:t>
                  </w:r>
                </w:p>
              </w:tc>
              <w:tc>
                <w:tcPr>
                  <w:tcW w:w="570" w:type="pct"/>
                </w:tcPr>
                <w:p w14:paraId="1C9C47AC" w14:textId="77777777" w:rsidR="000F0250" w:rsidRDefault="000F0250" w:rsidP="000F0250">
                  <w:pPr>
                    <w:pStyle w:val="TableBodyText"/>
                  </w:pPr>
                </w:p>
              </w:tc>
              <w:tc>
                <w:tcPr>
                  <w:tcW w:w="611" w:type="pct"/>
                </w:tcPr>
                <w:p w14:paraId="6FCC81C5" w14:textId="2CA60EFD" w:rsidR="000F0250" w:rsidRDefault="000F0250" w:rsidP="000F0250">
                  <w:pPr>
                    <w:pStyle w:val="TableBodyText"/>
                  </w:pPr>
                  <w:r w:rsidRPr="00612267">
                    <w:rPr>
                      <w:rFonts w:ascii="Wingdings" w:hAnsi="Wingdings"/>
                    </w:rPr>
                    <w:t></w:t>
                  </w:r>
                </w:p>
              </w:tc>
              <w:tc>
                <w:tcPr>
                  <w:tcW w:w="576" w:type="pct"/>
                </w:tcPr>
                <w:p w14:paraId="3276499B" w14:textId="7999D387" w:rsidR="000F0250" w:rsidRDefault="000F0250" w:rsidP="000F0250">
                  <w:pPr>
                    <w:pStyle w:val="TableBodyText"/>
                  </w:pPr>
                  <w:r w:rsidRPr="00612267">
                    <w:rPr>
                      <w:rFonts w:ascii="Wingdings" w:hAnsi="Wingdings"/>
                    </w:rPr>
                    <w:t></w:t>
                  </w:r>
                </w:p>
              </w:tc>
              <w:tc>
                <w:tcPr>
                  <w:tcW w:w="578" w:type="pct"/>
                </w:tcPr>
                <w:p w14:paraId="7EF29B04" w14:textId="77777777" w:rsidR="000F0250" w:rsidRDefault="000F0250" w:rsidP="000F0250">
                  <w:pPr>
                    <w:pStyle w:val="TableBodyText"/>
                    <w:ind w:right="28"/>
                  </w:pPr>
                </w:p>
              </w:tc>
            </w:tr>
            <w:tr w:rsidR="000F0250" w14:paraId="5E21550B" w14:textId="77777777" w:rsidTr="00F42F30">
              <w:tc>
                <w:tcPr>
                  <w:tcW w:w="2664" w:type="pct"/>
                </w:tcPr>
                <w:p w14:paraId="33800C87" w14:textId="1D54D729" w:rsidR="000F0250" w:rsidRDefault="000F0250" w:rsidP="000F0250">
                  <w:pPr>
                    <w:pStyle w:val="TableBodyText"/>
                    <w:jc w:val="left"/>
                  </w:pPr>
                  <w:r w:rsidRPr="003A511C">
                    <w:rPr>
                      <w:b/>
                      <w:bCs/>
                    </w:rPr>
                    <w:t>Research and Development</w:t>
                  </w:r>
                </w:p>
              </w:tc>
              <w:tc>
                <w:tcPr>
                  <w:tcW w:w="570" w:type="pct"/>
                </w:tcPr>
                <w:p w14:paraId="526D66EA" w14:textId="77777777" w:rsidR="000F0250" w:rsidRDefault="000F0250" w:rsidP="000F0250">
                  <w:pPr>
                    <w:pStyle w:val="TableBodyText"/>
                  </w:pPr>
                </w:p>
              </w:tc>
              <w:tc>
                <w:tcPr>
                  <w:tcW w:w="611" w:type="pct"/>
                </w:tcPr>
                <w:p w14:paraId="19EA5DE0" w14:textId="77777777" w:rsidR="000F0250" w:rsidRDefault="000F0250" w:rsidP="000F0250">
                  <w:pPr>
                    <w:pStyle w:val="TableBodyText"/>
                  </w:pPr>
                </w:p>
              </w:tc>
              <w:tc>
                <w:tcPr>
                  <w:tcW w:w="576" w:type="pct"/>
                </w:tcPr>
                <w:p w14:paraId="4A1210F9" w14:textId="63AA5E23" w:rsidR="000F0250" w:rsidRDefault="000F0250" w:rsidP="000F0250">
                  <w:pPr>
                    <w:pStyle w:val="TableBodyText"/>
                  </w:pPr>
                </w:p>
              </w:tc>
              <w:tc>
                <w:tcPr>
                  <w:tcW w:w="578" w:type="pct"/>
                </w:tcPr>
                <w:p w14:paraId="322204DD" w14:textId="77777777" w:rsidR="000F0250" w:rsidRDefault="000F0250" w:rsidP="000F0250">
                  <w:pPr>
                    <w:pStyle w:val="TableBodyText"/>
                    <w:ind w:right="28"/>
                  </w:pPr>
                </w:p>
              </w:tc>
            </w:tr>
            <w:tr w:rsidR="000F0250" w14:paraId="3A73C460" w14:textId="77777777" w:rsidTr="00F42F30">
              <w:tc>
                <w:tcPr>
                  <w:tcW w:w="2664" w:type="pct"/>
                </w:tcPr>
                <w:p w14:paraId="12587831" w14:textId="5ACEEFC6" w:rsidR="000F0250" w:rsidRDefault="000F0250" w:rsidP="000F0250">
                  <w:pPr>
                    <w:pStyle w:val="TableBodyText"/>
                    <w:jc w:val="left"/>
                  </w:pPr>
                  <w:r w:rsidRPr="00171AC3">
                    <w:t>Accounting expenditure in item 6 subject to R&amp;D tax incentive</w:t>
                  </w:r>
                </w:p>
              </w:tc>
              <w:tc>
                <w:tcPr>
                  <w:tcW w:w="570" w:type="pct"/>
                </w:tcPr>
                <w:p w14:paraId="67079D81" w14:textId="4FD15B64" w:rsidR="000F0250" w:rsidRDefault="000F0250" w:rsidP="000F0250">
                  <w:pPr>
                    <w:pStyle w:val="TableBodyText"/>
                  </w:pPr>
                  <w:r w:rsidRPr="00612267">
                    <w:rPr>
                      <w:rFonts w:ascii="Wingdings" w:hAnsi="Wingdings"/>
                    </w:rPr>
                    <w:t></w:t>
                  </w:r>
                </w:p>
              </w:tc>
              <w:tc>
                <w:tcPr>
                  <w:tcW w:w="611" w:type="pct"/>
                </w:tcPr>
                <w:p w14:paraId="431C2ADE" w14:textId="77777777" w:rsidR="000F0250" w:rsidRDefault="000F0250" w:rsidP="000F0250">
                  <w:pPr>
                    <w:pStyle w:val="TableBodyText"/>
                  </w:pPr>
                </w:p>
              </w:tc>
              <w:tc>
                <w:tcPr>
                  <w:tcW w:w="576" w:type="pct"/>
                </w:tcPr>
                <w:p w14:paraId="2A32566D" w14:textId="72445921" w:rsidR="000F0250" w:rsidRDefault="000F0250" w:rsidP="000F0250">
                  <w:pPr>
                    <w:pStyle w:val="TableBodyText"/>
                  </w:pPr>
                </w:p>
              </w:tc>
              <w:tc>
                <w:tcPr>
                  <w:tcW w:w="578" w:type="pct"/>
                </w:tcPr>
                <w:p w14:paraId="682A5109" w14:textId="77777777" w:rsidR="000F0250" w:rsidRDefault="000F0250" w:rsidP="000F0250">
                  <w:pPr>
                    <w:pStyle w:val="TableBodyText"/>
                    <w:ind w:right="28"/>
                  </w:pPr>
                </w:p>
              </w:tc>
            </w:tr>
            <w:tr w:rsidR="000F0250" w14:paraId="1C89DC19" w14:textId="77777777" w:rsidTr="00F42F30">
              <w:tc>
                <w:tcPr>
                  <w:tcW w:w="2664" w:type="pct"/>
                </w:tcPr>
                <w:p w14:paraId="34813F98" w14:textId="2DABEAB7" w:rsidR="000F0250" w:rsidRDefault="000F0250" w:rsidP="000F0250">
                  <w:pPr>
                    <w:pStyle w:val="TableBodyText"/>
                    <w:jc w:val="left"/>
                  </w:pPr>
                  <w:r w:rsidRPr="00171AC3">
                    <w:t>Australian owned R&amp;D tax concession – not including label M</w:t>
                  </w:r>
                </w:p>
              </w:tc>
              <w:tc>
                <w:tcPr>
                  <w:tcW w:w="570" w:type="pct"/>
                </w:tcPr>
                <w:p w14:paraId="5D7173DF" w14:textId="37582AB9" w:rsidR="000F0250" w:rsidRDefault="000F0250" w:rsidP="000F0250">
                  <w:pPr>
                    <w:pStyle w:val="TableBodyText"/>
                  </w:pPr>
                  <w:r w:rsidRPr="00612267">
                    <w:rPr>
                      <w:rFonts w:ascii="Wingdings" w:hAnsi="Wingdings"/>
                    </w:rPr>
                    <w:t></w:t>
                  </w:r>
                </w:p>
              </w:tc>
              <w:tc>
                <w:tcPr>
                  <w:tcW w:w="611" w:type="pct"/>
                </w:tcPr>
                <w:p w14:paraId="1B7D736D" w14:textId="77777777" w:rsidR="000F0250" w:rsidRDefault="000F0250" w:rsidP="000F0250">
                  <w:pPr>
                    <w:pStyle w:val="TableBodyText"/>
                  </w:pPr>
                </w:p>
              </w:tc>
              <w:tc>
                <w:tcPr>
                  <w:tcW w:w="576" w:type="pct"/>
                </w:tcPr>
                <w:p w14:paraId="6477210E" w14:textId="4653E4CD" w:rsidR="000F0250" w:rsidRDefault="000F0250" w:rsidP="000F0250">
                  <w:pPr>
                    <w:pStyle w:val="TableBodyText"/>
                  </w:pPr>
                </w:p>
              </w:tc>
              <w:tc>
                <w:tcPr>
                  <w:tcW w:w="578" w:type="pct"/>
                </w:tcPr>
                <w:p w14:paraId="493BF745" w14:textId="77777777" w:rsidR="000F0250" w:rsidRDefault="000F0250" w:rsidP="000F0250">
                  <w:pPr>
                    <w:pStyle w:val="TableBodyText"/>
                    <w:ind w:right="28"/>
                  </w:pPr>
                </w:p>
              </w:tc>
            </w:tr>
            <w:tr w:rsidR="000F0250" w14:paraId="25F25945" w14:textId="77777777" w:rsidTr="00F42F30">
              <w:tc>
                <w:tcPr>
                  <w:tcW w:w="2664" w:type="pct"/>
                </w:tcPr>
                <w:p w14:paraId="023D6950" w14:textId="4C6BD68B" w:rsidR="000F0250" w:rsidRDefault="000F0250" w:rsidP="000F0250">
                  <w:pPr>
                    <w:pStyle w:val="TableBodyText"/>
                    <w:jc w:val="left"/>
                  </w:pPr>
                  <w:r w:rsidRPr="00171AC3">
                    <w:t>Australian owned R&amp;D – extra incremental 50% deduction</w:t>
                  </w:r>
                </w:p>
              </w:tc>
              <w:tc>
                <w:tcPr>
                  <w:tcW w:w="570" w:type="pct"/>
                </w:tcPr>
                <w:p w14:paraId="08FDD1B8" w14:textId="60127C71" w:rsidR="000F0250" w:rsidRDefault="000F0250" w:rsidP="000F0250">
                  <w:pPr>
                    <w:pStyle w:val="TableBodyText"/>
                  </w:pPr>
                  <w:r w:rsidRPr="00612267">
                    <w:rPr>
                      <w:rFonts w:ascii="Wingdings" w:hAnsi="Wingdings"/>
                    </w:rPr>
                    <w:t></w:t>
                  </w:r>
                </w:p>
              </w:tc>
              <w:tc>
                <w:tcPr>
                  <w:tcW w:w="611" w:type="pct"/>
                </w:tcPr>
                <w:p w14:paraId="7FD23F95" w14:textId="77777777" w:rsidR="000F0250" w:rsidRDefault="000F0250" w:rsidP="000F0250">
                  <w:pPr>
                    <w:pStyle w:val="TableBodyText"/>
                  </w:pPr>
                </w:p>
              </w:tc>
              <w:tc>
                <w:tcPr>
                  <w:tcW w:w="576" w:type="pct"/>
                </w:tcPr>
                <w:p w14:paraId="0C634768" w14:textId="2CA98EA6" w:rsidR="000F0250" w:rsidRDefault="000F0250" w:rsidP="000F0250">
                  <w:pPr>
                    <w:pStyle w:val="TableBodyText"/>
                  </w:pPr>
                </w:p>
              </w:tc>
              <w:tc>
                <w:tcPr>
                  <w:tcW w:w="578" w:type="pct"/>
                </w:tcPr>
                <w:p w14:paraId="57B716CB" w14:textId="77777777" w:rsidR="000F0250" w:rsidRDefault="000F0250" w:rsidP="000F0250">
                  <w:pPr>
                    <w:pStyle w:val="TableBodyText"/>
                    <w:ind w:right="28"/>
                  </w:pPr>
                </w:p>
              </w:tc>
            </w:tr>
            <w:tr w:rsidR="000F0250" w14:paraId="1C4F9676" w14:textId="77777777" w:rsidTr="00F42F30">
              <w:tc>
                <w:tcPr>
                  <w:tcW w:w="2664" w:type="pct"/>
                </w:tcPr>
                <w:p w14:paraId="3027C5DB" w14:textId="403CF51C" w:rsidR="000F0250" w:rsidRDefault="000F0250" w:rsidP="000F0250">
                  <w:pPr>
                    <w:pStyle w:val="TableBodyText"/>
                    <w:jc w:val="left"/>
                  </w:pPr>
                  <w:r w:rsidRPr="00171AC3">
                    <w:t>R&amp;D tax offset, if chosen</w:t>
                  </w:r>
                </w:p>
              </w:tc>
              <w:tc>
                <w:tcPr>
                  <w:tcW w:w="570" w:type="pct"/>
                </w:tcPr>
                <w:p w14:paraId="00DE3702" w14:textId="7D9408E3" w:rsidR="000F0250" w:rsidRDefault="000F0250" w:rsidP="000F0250">
                  <w:pPr>
                    <w:pStyle w:val="TableBodyText"/>
                  </w:pPr>
                  <w:r w:rsidRPr="00612267">
                    <w:rPr>
                      <w:rFonts w:ascii="Wingdings" w:hAnsi="Wingdings"/>
                    </w:rPr>
                    <w:t></w:t>
                  </w:r>
                </w:p>
              </w:tc>
              <w:tc>
                <w:tcPr>
                  <w:tcW w:w="611" w:type="pct"/>
                </w:tcPr>
                <w:p w14:paraId="5DD31D3F" w14:textId="77777777" w:rsidR="000F0250" w:rsidRDefault="000F0250" w:rsidP="000F0250">
                  <w:pPr>
                    <w:pStyle w:val="TableBodyText"/>
                  </w:pPr>
                </w:p>
              </w:tc>
              <w:tc>
                <w:tcPr>
                  <w:tcW w:w="576" w:type="pct"/>
                </w:tcPr>
                <w:p w14:paraId="67F0F009" w14:textId="15865763" w:rsidR="000F0250" w:rsidRDefault="000F0250" w:rsidP="000F0250">
                  <w:pPr>
                    <w:pStyle w:val="TableBodyText"/>
                  </w:pPr>
                </w:p>
              </w:tc>
              <w:tc>
                <w:tcPr>
                  <w:tcW w:w="578" w:type="pct"/>
                </w:tcPr>
                <w:p w14:paraId="21357ED6" w14:textId="77777777" w:rsidR="000F0250" w:rsidRDefault="000F0250" w:rsidP="000F0250">
                  <w:pPr>
                    <w:pStyle w:val="TableBodyText"/>
                    <w:ind w:right="28"/>
                  </w:pPr>
                </w:p>
              </w:tc>
            </w:tr>
            <w:tr w:rsidR="000F0250" w14:paraId="071C43B9" w14:textId="77777777" w:rsidTr="00F42F30">
              <w:tc>
                <w:tcPr>
                  <w:tcW w:w="2664" w:type="pct"/>
                </w:tcPr>
                <w:p w14:paraId="05A6AAD9" w14:textId="3325E4E0" w:rsidR="000F0250" w:rsidRDefault="000F0250" w:rsidP="000F0250">
                  <w:pPr>
                    <w:pStyle w:val="TableBodyText"/>
                    <w:jc w:val="left"/>
                  </w:pPr>
                  <w:r w:rsidRPr="00171AC3">
                    <w:t>Refundable R&amp;D tax offsets</w:t>
                  </w:r>
                </w:p>
              </w:tc>
              <w:tc>
                <w:tcPr>
                  <w:tcW w:w="570" w:type="pct"/>
                </w:tcPr>
                <w:p w14:paraId="65F4FEF4" w14:textId="4FCA3B51" w:rsidR="000F0250" w:rsidRDefault="000F0250" w:rsidP="000F0250">
                  <w:pPr>
                    <w:pStyle w:val="TableBodyText"/>
                  </w:pPr>
                  <w:r w:rsidRPr="00612267">
                    <w:rPr>
                      <w:rFonts w:ascii="Wingdings" w:hAnsi="Wingdings"/>
                    </w:rPr>
                    <w:t></w:t>
                  </w:r>
                </w:p>
              </w:tc>
              <w:tc>
                <w:tcPr>
                  <w:tcW w:w="611" w:type="pct"/>
                </w:tcPr>
                <w:p w14:paraId="0FADC288" w14:textId="77777777" w:rsidR="000F0250" w:rsidRDefault="000F0250" w:rsidP="000F0250">
                  <w:pPr>
                    <w:pStyle w:val="TableBodyText"/>
                  </w:pPr>
                </w:p>
              </w:tc>
              <w:tc>
                <w:tcPr>
                  <w:tcW w:w="576" w:type="pct"/>
                </w:tcPr>
                <w:p w14:paraId="02E5B25B" w14:textId="384A2658" w:rsidR="000F0250" w:rsidRDefault="000F0250" w:rsidP="000F0250">
                  <w:pPr>
                    <w:pStyle w:val="TableBodyText"/>
                  </w:pPr>
                </w:p>
              </w:tc>
              <w:tc>
                <w:tcPr>
                  <w:tcW w:w="578" w:type="pct"/>
                </w:tcPr>
                <w:p w14:paraId="40F80D1F" w14:textId="77777777" w:rsidR="000F0250" w:rsidRDefault="000F0250" w:rsidP="000F0250">
                  <w:pPr>
                    <w:pStyle w:val="TableBodyText"/>
                    <w:ind w:right="28"/>
                  </w:pPr>
                </w:p>
              </w:tc>
            </w:tr>
            <w:tr w:rsidR="000F0250" w14:paraId="5D66B872" w14:textId="77777777" w:rsidTr="00F42F30">
              <w:tc>
                <w:tcPr>
                  <w:tcW w:w="2664" w:type="pct"/>
                </w:tcPr>
                <w:p w14:paraId="345A3DA5" w14:textId="1C527961" w:rsidR="000F0250" w:rsidRDefault="000F0250" w:rsidP="000F0250">
                  <w:pPr>
                    <w:pStyle w:val="TableBodyText"/>
                    <w:jc w:val="left"/>
                  </w:pPr>
                  <w:r w:rsidRPr="00171AC3">
                    <w:t>Non-refundable R&amp;D tax offsets</w:t>
                  </w:r>
                </w:p>
              </w:tc>
              <w:tc>
                <w:tcPr>
                  <w:tcW w:w="570" w:type="pct"/>
                </w:tcPr>
                <w:p w14:paraId="04FBB5BE" w14:textId="230747BF" w:rsidR="000F0250" w:rsidRDefault="000F0250" w:rsidP="000F0250">
                  <w:pPr>
                    <w:pStyle w:val="TableBodyText"/>
                  </w:pPr>
                  <w:r w:rsidRPr="00612267">
                    <w:rPr>
                      <w:rFonts w:ascii="Wingdings" w:hAnsi="Wingdings"/>
                    </w:rPr>
                    <w:t></w:t>
                  </w:r>
                </w:p>
              </w:tc>
              <w:tc>
                <w:tcPr>
                  <w:tcW w:w="611" w:type="pct"/>
                </w:tcPr>
                <w:p w14:paraId="4E06DAE6" w14:textId="77777777" w:rsidR="000F0250" w:rsidRDefault="000F0250" w:rsidP="000F0250">
                  <w:pPr>
                    <w:pStyle w:val="TableBodyText"/>
                  </w:pPr>
                </w:p>
              </w:tc>
              <w:tc>
                <w:tcPr>
                  <w:tcW w:w="576" w:type="pct"/>
                </w:tcPr>
                <w:p w14:paraId="4777E27C" w14:textId="6020310E" w:rsidR="000F0250" w:rsidRDefault="000F0250" w:rsidP="000F0250">
                  <w:pPr>
                    <w:pStyle w:val="TableBodyText"/>
                  </w:pPr>
                </w:p>
              </w:tc>
              <w:tc>
                <w:tcPr>
                  <w:tcW w:w="578" w:type="pct"/>
                </w:tcPr>
                <w:p w14:paraId="5D388C2E" w14:textId="77777777" w:rsidR="000F0250" w:rsidRDefault="000F0250" w:rsidP="000F0250">
                  <w:pPr>
                    <w:pStyle w:val="TableBodyText"/>
                    <w:ind w:right="28"/>
                  </w:pPr>
                </w:p>
              </w:tc>
            </w:tr>
            <w:tr w:rsidR="000F0250" w14:paraId="1105EB8E" w14:textId="77777777" w:rsidTr="00F42F30">
              <w:tc>
                <w:tcPr>
                  <w:tcW w:w="2664" w:type="pct"/>
                </w:tcPr>
                <w:p w14:paraId="6FCDD6C9" w14:textId="69582521" w:rsidR="000F0250" w:rsidRDefault="000F0250" w:rsidP="000F0250">
                  <w:pPr>
                    <w:pStyle w:val="TableBodyText"/>
                    <w:jc w:val="left"/>
                  </w:pPr>
                  <w:r w:rsidRPr="00171AC3">
                    <w:t>R&amp;D recoupment tax</w:t>
                  </w:r>
                </w:p>
              </w:tc>
              <w:tc>
                <w:tcPr>
                  <w:tcW w:w="570" w:type="pct"/>
                </w:tcPr>
                <w:p w14:paraId="46B5DFD8" w14:textId="75954C69" w:rsidR="000F0250" w:rsidRDefault="000F0250" w:rsidP="000F0250">
                  <w:pPr>
                    <w:pStyle w:val="TableBodyText"/>
                  </w:pPr>
                  <w:r w:rsidRPr="00612267">
                    <w:rPr>
                      <w:rFonts w:ascii="Wingdings" w:hAnsi="Wingdings"/>
                    </w:rPr>
                    <w:t></w:t>
                  </w:r>
                </w:p>
              </w:tc>
              <w:tc>
                <w:tcPr>
                  <w:tcW w:w="611" w:type="pct"/>
                </w:tcPr>
                <w:p w14:paraId="4A594101" w14:textId="77777777" w:rsidR="000F0250" w:rsidRDefault="000F0250" w:rsidP="000F0250">
                  <w:pPr>
                    <w:pStyle w:val="TableBodyText"/>
                  </w:pPr>
                </w:p>
              </w:tc>
              <w:tc>
                <w:tcPr>
                  <w:tcW w:w="576" w:type="pct"/>
                </w:tcPr>
                <w:p w14:paraId="5D1F8D8A" w14:textId="77777777" w:rsidR="000F0250" w:rsidRDefault="000F0250" w:rsidP="000F0250">
                  <w:pPr>
                    <w:pStyle w:val="TableBodyText"/>
                  </w:pPr>
                </w:p>
              </w:tc>
              <w:tc>
                <w:tcPr>
                  <w:tcW w:w="578" w:type="pct"/>
                </w:tcPr>
                <w:p w14:paraId="1E85E098" w14:textId="77777777" w:rsidR="000F0250" w:rsidRDefault="000F0250" w:rsidP="000F0250">
                  <w:pPr>
                    <w:pStyle w:val="TableBodyText"/>
                    <w:ind w:right="28"/>
                  </w:pPr>
                </w:p>
              </w:tc>
            </w:tr>
            <w:tr w:rsidR="00A038C7" w14:paraId="21643D77" w14:textId="77777777" w:rsidTr="00F42F30">
              <w:tc>
                <w:tcPr>
                  <w:tcW w:w="2664" w:type="pct"/>
                </w:tcPr>
                <w:p w14:paraId="3ACCE662" w14:textId="213F9985" w:rsidR="00A038C7" w:rsidRDefault="00A038C7" w:rsidP="00A038C7">
                  <w:pPr>
                    <w:pStyle w:val="TableBodyText"/>
                    <w:jc w:val="left"/>
                  </w:pPr>
                  <w:r w:rsidRPr="00171AC3">
                    <w:t>R&amp;D tax offset</w:t>
                  </w:r>
                </w:p>
              </w:tc>
              <w:tc>
                <w:tcPr>
                  <w:tcW w:w="570" w:type="pct"/>
                </w:tcPr>
                <w:p w14:paraId="61AF07B4" w14:textId="1FF1354C" w:rsidR="00A038C7" w:rsidRDefault="00A038C7" w:rsidP="00A038C7">
                  <w:pPr>
                    <w:pStyle w:val="TableBodyText"/>
                  </w:pPr>
                  <w:r w:rsidRPr="00612267">
                    <w:rPr>
                      <w:rFonts w:ascii="Wingdings" w:hAnsi="Wingdings"/>
                    </w:rPr>
                    <w:t></w:t>
                  </w:r>
                </w:p>
              </w:tc>
              <w:tc>
                <w:tcPr>
                  <w:tcW w:w="611" w:type="pct"/>
                </w:tcPr>
                <w:p w14:paraId="12C776E2" w14:textId="77777777" w:rsidR="00A038C7" w:rsidRDefault="00A038C7" w:rsidP="00A038C7">
                  <w:pPr>
                    <w:pStyle w:val="TableBodyText"/>
                  </w:pPr>
                </w:p>
              </w:tc>
              <w:tc>
                <w:tcPr>
                  <w:tcW w:w="576" w:type="pct"/>
                </w:tcPr>
                <w:p w14:paraId="09288490" w14:textId="77777777" w:rsidR="00A038C7" w:rsidRDefault="00A038C7" w:rsidP="00A038C7">
                  <w:pPr>
                    <w:pStyle w:val="TableBodyText"/>
                  </w:pPr>
                </w:p>
              </w:tc>
              <w:tc>
                <w:tcPr>
                  <w:tcW w:w="578" w:type="pct"/>
                </w:tcPr>
                <w:p w14:paraId="72722E39" w14:textId="77777777" w:rsidR="00A038C7" w:rsidRDefault="00A038C7" w:rsidP="00A038C7">
                  <w:pPr>
                    <w:pStyle w:val="TableBodyText"/>
                    <w:ind w:right="28"/>
                  </w:pPr>
                </w:p>
              </w:tc>
            </w:tr>
            <w:tr w:rsidR="00A038C7" w14:paraId="37866F58" w14:textId="77777777" w:rsidTr="00F42F30">
              <w:tc>
                <w:tcPr>
                  <w:tcW w:w="2664" w:type="pct"/>
                </w:tcPr>
                <w:p w14:paraId="73136ADF" w14:textId="03965E02" w:rsidR="00A038C7" w:rsidRDefault="00A038C7" w:rsidP="00A038C7">
                  <w:pPr>
                    <w:pStyle w:val="TableBodyText"/>
                    <w:jc w:val="left"/>
                  </w:pPr>
                  <w:r w:rsidRPr="00171AC3">
                    <w:t>Non-refundable R&amp;D tax offset carried forward from previous year</w:t>
                  </w:r>
                </w:p>
              </w:tc>
              <w:tc>
                <w:tcPr>
                  <w:tcW w:w="570" w:type="pct"/>
                </w:tcPr>
                <w:p w14:paraId="4AF7F515" w14:textId="3AA12B73" w:rsidR="00A038C7" w:rsidRDefault="00A038C7" w:rsidP="00A038C7">
                  <w:pPr>
                    <w:pStyle w:val="TableBodyText"/>
                  </w:pPr>
                  <w:r w:rsidRPr="00612267">
                    <w:rPr>
                      <w:rFonts w:ascii="Wingdings" w:hAnsi="Wingdings"/>
                    </w:rPr>
                    <w:t></w:t>
                  </w:r>
                </w:p>
              </w:tc>
              <w:tc>
                <w:tcPr>
                  <w:tcW w:w="611" w:type="pct"/>
                </w:tcPr>
                <w:p w14:paraId="2581FB13" w14:textId="77777777" w:rsidR="00A038C7" w:rsidRDefault="00A038C7" w:rsidP="00A038C7">
                  <w:pPr>
                    <w:pStyle w:val="TableBodyText"/>
                  </w:pPr>
                </w:p>
              </w:tc>
              <w:tc>
                <w:tcPr>
                  <w:tcW w:w="576" w:type="pct"/>
                </w:tcPr>
                <w:p w14:paraId="0689D695" w14:textId="77777777" w:rsidR="00A038C7" w:rsidRDefault="00A038C7" w:rsidP="00A038C7">
                  <w:pPr>
                    <w:pStyle w:val="TableBodyText"/>
                  </w:pPr>
                </w:p>
              </w:tc>
              <w:tc>
                <w:tcPr>
                  <w:tcW w:w="578" w:type="pct"/>
                </w:tcPr>
                <w:p w14:paraId="70F9BAF6" w14:textId="77777777" w:rsidR="00A038C7" w:rsidRDefault="00A038C7" w:rsidP="00A038C7">
                  <w:pPr>
                    <w:pStyle w:val="TableBodyText"/>
                    <w:ind w:right="28"/>
                  </w:pPr>
                </w:p>
              </w:tc>
            </w:tr>
            <w:tr w:rsidR="00A038C7" w14:paraId="1BD05E55" w14:textId="77777777" w:rsidTr="00F42F30">
              <w:tc>
                <w:tcPr>
                  <w:tcW w:w="2664" w:type="pct"/>
                </w:tcPr>
                <w:p w14:paraId="41382BD1" w14:textId="540CA182" w:rsidR="00A038C7" w:rsidRDefault="00A038C7" w:rsidP="00A038C7">
                  <w:pPr>
                    <w:pStyle w:val="TableBodyText"/>
                    <w:jc w:val="left"/>
                  </w:pPr>
                  <w:r w:rsidRPr="00171AC3">
                    <w:t>Non-refundable R&amp;D tax offset carried forward to next year</w:t>
                  </w:r>
                </w:p>
              </w:tc>
              <w:tc>
                <w:tcPr>
                  <w:tcW w:w="570" w:type="pct"/>
                </w:tcPr>
                <w:p w14:paraId="22F5B7E3" w14:textId="039CE40D" w:rsidR="00A038C7" w:rsidRDefault="00A038C7" w:rsidP="00A038C7">
                  <w:pPr>
                    <w:pStyle w:val="TableBodyText"/>
                  </w:pPr>
                  <w:r w:rsidRPr="00612267">
                    <w:rPr>
                      <w:rFonts w:ascii="Wingdings" w:hAnsi="Wingdings"/>
                    </w:rPr>
                    <w:t></w:t>
                  </w:r>
                </w:p>
              </w:tc>
              <w:tc>
                <w:tcPr>
                  <w:tcW w:w="611" w:type="pct"/>
                </w:tcPr>
                <w:p w14:paraId="096116F9" w14:textId="77777777" w:rsidR="00A038C7" w:rsidRDefault="00A038C7" w:rsidP="00A038C7">
                  <w:pPr>
                    <w:pStyle w:val="TableBodyText"/>
                  </w:pPr>
                </w:p>
              </w:tc>
              <w:tc>
                <w:tcPr>
                  <w:tcW w:w="576" w:type="pct"/>
                </w:tcPr>
                <w:p w14:paraId="479C3377" w14:textId="11E7EC4E" w:rsidR="00A038C7" w:rsidRDefault="00A038C7" w:rsidP="00A038C7">
                  <w:pPr>
                    <w:pStyle w:val="TableBodyText"/>
                  </w:pPr>
                </w:p>
              </w:tc>
              <w:tc>
                <w:tcPr>
                  <w:tcW w:w="578" w:type="pct"/>
                </w:tcPr>
                <w:p w14:paraId="4E6F3851" w14:textId="77777777" w:rsidR="00A038C7" w:rsidRDefault="00A038C7" w:rsidP="00A038C7">
                  <w:pPr>
                    <w:pStyle w:val="TableBodyText"/>
                    <w:ind w:right="28"/>
                  </w:pPr>
                </w:p>
              </w:tc>
            </w:tr>
            <w:tr w:rsidR="00A038C7" w14:paraId="635B4AFF" w14:textId="77777777" w:rsidTr="00E3630A">
              <w:tc>
                <w:tcPr>
                  <w:tcW w:w="2664" w:type="pct"/>
                  <w:tcBorders>
                    <w:bottom w:val="single" w:sz="6" w:space="0" w:color="BFBFBF"/>
                  </w:tcBorders>
                  <w:shd w:val="clear" w:color="auto" w:fill="auto"/>
                </w:tcPr>
                <w:p w14:paraId="76B3733D" w14:textId="34E588CF" w:rsidR="00A038C7" w:rsidRDefault="00A038C7" w:rsidP="00A038C7">
                  <w:pPr>
                    <w:pStyle w:val="TableBodyText"/>
                    <w:jc w:val="left"/>
                  </w:pPr>
                  <w:r w:rsidRPr="00171AC3">
                    <w:t>Non-refundable R&amp;D tax offset to be utilised in current year</w:t>
                  </w:r>
                </w:p>
              </w:tc>
              <w:tc>
                <w:tcPr>
                  <w:tcW w:w="570" w:type="pct"/>
                  <w:tcBorders>
                    <w:bottom w:val="single" w:sz="6" w:space="0" w:color="BFBFBF"/>
                  </w:tcBorders>
                  <w:shd w:val="clear" w:color="auto" w:fill="auto"/>
                </w:tcPr>
                <w:p w14:paraId="5D58EAD6" w14:textId="64BE4EFB" w:rsidR="00A038C7" w:rsidRDefault="00A038C7" w:rsidP="00A038C7">
                  <w:pPr>
                    <w:pStyle w:val="TableBodyText"/>
                  </w:pPr>
                  <w:r w:rsidRPr="00612267">
                    <w:rPr>
                      <w:rFonts w:ascii="Wingdings" w:hAnsi="Wingdings"/>
                    </w:rPr>
                    <w:t></w:t>
                  </w:r>
                </w:p>
              </w:tc>
              <w:tc>
                <w:tcPr>
                  <w:tcW w:w="611" w:type="pct"/>
                  <w:tcBorders>
                    <w:bottom w:val="single" w:sz="6" w:space="0" w:color="BFBFBF"/>
                  </w:tcBorders>
                  <w:shd w:val="clear" w:color="auto" w:fill="auto"/>
                </w:tcPr>
                <w:p w14:paraId="304B91D7" w14:textId="77777777" w:rsidR="00A038C7" w:rsidRDefault="00A038C7" w:rsidP="00A038C7">
                  <w:pPr>
                    <w:pStyle w:val="TableBodyText"/>
                  </w:pPr>
                </w:p>
              </w:tc>
              <w:tc>
                <w:tcPr>
                  <w:tcW w:w="576" w:type="pct"/>
                  <w:tcBorders>
                    <w:bottom w:val="single" w:sz="6" w:space="0" w:color="BFBFBF"/>
                  </w:tcBorders>
                  <w:shd w:val="clear" w:color="auto" w:fill="auto"/>
                </w:tcPr>
                <w:p w14:paraId="3736015D" w14:textId="593062CF" w:rsidR="00A038C7" w:rsidRDefault="00A038C7" w:rsidP="00A038C7">
                  <w:pPr>
                    <w:pStyle w:val="TableBodyText"/>
                  </w:pPr>
                </w:p>
              </w:tc>
              <w:tc>
                <w:tcPr>
                  <w:tcW w:w="578" w:type="pct"/>
                  <w:tcBorders>
                    <w:bottom w:val="single" w:sz="6" w:space="0" w:color="BFBFBF"/>
                  </w:tcBorders>
                  <w:shd w:val="clear" w:color="auto" w:fill="auto"/>
                </w:tcPr>
                <w:p w14:paraId="2DDF1CA9" w14:textId="77777777" w:rsidR="00A038C7" w:rsidRDefault="00A038C7" w:rsidP="00A038C7">
                  <w:pPr>
                    <w:pStyle w:val="TableBodyText"/>
                    <w:ind w:right="28"/>
                  </w:pPr>
                </w:p>
              </w:tc>
            </w:tr>
          </w:tbl>
          <w:p w14:paraId="086731AC" w14:textId="77777777" w:rsidR="007169DF" w:rsidRDefault="007169DF" w:rsidP="00E3630A">
            <w:pPr>
              <w:pStyle w:val="Box"/>
            </w:pPr>
          </w:p>
        </w:tc>
      </w:tr>
      <w:tr w:rsidR="007169DF" w14:paraId="35BFE438" w14:textId="77777777" w:rsidTr="00E3630A">
        <w:tc>
          <w:tcPr>
            <w:tcW w:w="5000" w:type="pct"/>
            <w:tcBorders>
              <w:top w:val="nil"/>
              <w:left w:val="nil"/>
              <w:bottom w:val="single" w:sz="6" w:space="0" w:color="78A22F"/>
              <w:right w:val="nil"/>
            </w:tcBorders>
            <w:shd w:val="clear" w:color="auto" w:fill="auto"/>
          </w:tcPr>
          <w:p w14:paraId="7E91ADA7" w14:textId="77777777" w:rsidR="007169DF" w:rsidRDefault="007169DF" w:rsidP="00E3630A">
            <w:pPr>
              <w:pStyle w:val="Box"/>
              <w:spacing w:before="0" w:line="120" w:lineRule="exact"/>
            </w:pPr>
          </w:p>
        </w:tc>
      </w:tr>
      <w:tr w:rsidR="007169DF" w:rsidRPr="000863A5" w14:paraId="101AD37F" w14:textId="77777777" w:rsidTr="00E3630A">
        <w:tc>
          <w:tcPr>
            <w:tcW w:w="5000" w:type="pct"/>
            <w:tcBorders>
              <w:top w:val="single" w:sz="6" w:space="0" w:color="78A22F"/>
              <w:left w:val="nil"/>
              <w:bottom w:val="nil"/>
              <w:right w:val="nil"/>
            </w:tcBorders>
          </w:tcPr>
          <w:p w14:paraId="1DA2F843" w14:textId="771F5564" w:rsidR="007169DF" w:rsidRPr="00626D32" w:rsidRDefault="007169DF" w:rsidP="00E3630A">
            <w:pPr>
              <w:pStyle w:val="BoxSpaceBelow"/>
            </w:pPr>
          </w:p>
        </w:tc>
      </w:tr>
    </w:tbl>
    <w:p w14:paraId="22059542" w14:textId="01A8FD64" w:rsidR="00FB7D22" w:rsidRPr="00B94862" w:rsidRDefault="00FB7D22" w:rsidP="00B94862">
      <w:pPr>
        <w:pStyle w:val="BodyText"/>
      </w:pPr>
      <w:r w:rsidRPr="00B94862">
        <w:br w:type="page"/>
      </w:r>
    </w:p>
    <w:p w14:paraId="4B3BC1D1" w14:textId="5A6B96B2" w:rsidR="00B56C5F" w:rsidRDefault="000569AB" w:rsidP="00BB5E50">
      <w:pPr>
        <w:pStyle w:val="Heading2"/>
      </w:pPr>
      <w:bookmarkStart w:id="21" w:name="_Toc70321932"/>
      <w:r>
        <w:lastRenderedPageBreak/>
        <w:t>References</w:t>
      </w:r>
      <w:bookmarkEnd w:id="21"/>
    </w:p>
    <w:p w14:paraId="1B3E5D63" w14:textId="3C4967C6" w:rsidR="000779C1" w:rsidRPr="000779C1" w:rsidRDefault="000779C1" w:rsidP="004E22AE">
      <w:pPr>
        <w:pStyle w:val="Reference"/>
      </w:pPr>
      <w:r w:rsidRPr="000779C1">
        <w:t xml:space="preserve">ABARES (Department of Agriculture) 2019, </w:t>
      </w:r>
      <w:r w:rsidRPr="000779C1">
        <w:rPr>
          <w:i/>
          <w:iCs/>
        </w:rPr>
        <w:t xml:space="preserve">Introducing ABARES </w:t>
      </w:r>
      <w:proofErr w:type="spellStart"/>
      <w:r w:rsidRPr="000779C1">
        <w:rPr>
          <w:i/>
          <w:iCs/>
        </w:rPr>
        <w:t>farmpredict</w:t>
      </w:r>
      <w:proofErr w:type="spellEnd"/>
      <w:r w:rsidRPr="000779C1">
        <w:t>, https://www.agriculture.gov.au/abares/research-topics/working-papers/farmpredict (accessed 4 September 2020).</w:t>
      </w:r>
    </w:p>
    <w:p w14:paraId="42915E6E" w14:textId="77777777" w:rsidR="000779C1" w:rsidRPr="000779C1" w:rsidRDefault="000779C1" w:rsidP="004E22AE">
      <w:pPr>
        <w:pStyle w:val="Reference"/>
      </w:pPr>
      <w:r w:rsidRPr="000779C1">
        <w:t xml:space="preserve">ABS (Australian Bureau of Statistics) 2015, </w:t>
      </w:r>
      <w:r w:rsidRPr="000779C1">
        <w:rPr>
          <w:i/>
          <w:iCs/>
        </w:rPr>
        <w:t>Australian System of National Accounts Concepts, Sources and Methods</w:t>
      </w:r>
      <w:r w:rsidRPr="000779C1">
        <w:t>, Cat. No. 5216.0.</w:t>
      </w:r>
    </w:p>
    <w:p w14:paraId="5DE07607" w14:textId="5BA3F1DA" w:rsidR="000779C1" w:rsidRPr="000779C1" w:rsidRDefault="000779C1" w:rsidP="004E22AE">
      <w:pPr>
        <w:pStyle w:val="Reference"/>
      </w:pPr>
      <w:r w:rsidRPr="000779C1">
        <w:t xml:space="preserve">—— (Australian Bureau of Statistics) 2019, </w:t>
      </w:r>
      <w:r w:rsidRPr="000779C1">
        <w:rPr>
          <w:i/>
          <w:iCs/>
        </w:rPr>
        <w:t>Explanatory Notes - Counts of Australian Businesses, including Entries and Exits</w:t>
      </w:r>
      <w:r w:rsidRPr="000779C1">
        <w:t>, https://www.abs.gov.au/ausstats/abs@.nsf/</w:t>
      </w:r>
      <w:r w:rsidR="004E22AE">
        <w:br/>
      </w:r>
      <w:r w:rsidRPr="000779C1">
        <w:t>Lookup/8165.0Explanatory+Notes1June%202014%20to%20June%202018 (accessed 22 January 2020).</w:t>
      </w:r>
    </w:p>
    <w:p w14:paraId="071CE31B" w14:textId="77777777" w:rsidR="000779C1" w:rsidRPr="000779C1" w:rsidRDefault="000779C1" w:rsidP="004E22AE">
      <w:pPr>
        <w:pStyle w:val="Reference"/>
      </w:pPr>
      <w:r w:rsidRPr="000779C1">
        <w:t xml:space="preserve">—— (Australian Bureau of Statistics and Statistics New Zealand) 2006, </w:t>
      </w:r>
      <w:r w:rsidRPr="000779C1">
        <w:rPr>
          <w:i/>
          <w:iCs/>
        </w:rPr>
        <w:t>Australian and New Zealand Standard Industrial Classification (ANZSIC)</w:t>
      </w:r>
      <w:r w:rsidRPr="000779C1">
        <w:t>, Cat. no. 1292.0, Canberra.</w:t>
      </w:r>
    </w:p>
    <w:p w14:paraId="7A41403F" w14:textId="77777777" w:rsidR="000779C1" w:rsidRPr="000779C1" w:rsidRDefault="000779C1" w:rsidP="004E22AE">
      <w:pPr>
        <w:pStyle w:val="Reference"/>
      </w:pPr>
      <w:r w:rsidRPr="000779C1">
        <w:t xml:space="preserve">Agarwal, R., Bajada, C., Brown, P., Morgan, I. and Balaguer, A. 2019, </w:t>
      </w:r>
      <w:r w:rsidRPr="000779C1">
        <w:rPr>
          <w:i/>
          <w:iCs/>
        </w:rPr>
        <w:t>Development of Management Capability Scores</w:t>
      </w:r>
      <w:r w:rsidRPr="000779C1">
        <w:t>, Research Paper, Department of Industry, Innovation and Science.</w:t>
      </w:r>
    </w:p>
    <w:p w14:paraId="344AAEFE" w14:textId="3D879470" w:rsidR="000779C1" w:rsidRPr="000779C1" w:rsidRDefault="000779C1" w:rsidP="004E22AE">
      <w:pPr>
        <w:pStyle w:val="Reference"/>
      </w:pPr>
      <w:r w:rsidRPr="000779C1">
        <w:t xml:space="preserve">Andrews, D., </w:t>
      </w:r>
      <w:proofErr w:type="spellStart"/>
      <w:r w:rsidRPr="000779C1">
        <w:t>Deutscher</w:t>
      </w:r>
      <w:proofErr w:type="spellEnd"/>
      <w:r w:rsidRPr="000779C1">
        <w:t xml:space="preserve">, N., </w:t>
      </w:r>
      <w:proofErr w:type="spellStart"/>
      <w:r w:rsidRPr="000779C1">
        <w:t>Hambur</w:t>
      </w:r>
      <w:proofErr w:type="spellEnd"/>
      <w:r w:rsidRPr="000779C1">
        <w:t xml:space="preserve">, J. and </w:t>
      </w:r>
      <w:r w:rsidR="00CF35CC" w:rsidRPr="000779C1">
        <w:t>Hansell, D</w:t>
      </w:r>
      <w:r w:rsidRPr="000779C1">
        <w:t xml:space="preserve">. 2019, </w:t>
      </w:r>
      <w:r w:rsidRPr="000779C1">
        <w:rPr>
          <w:i/>
          <w:iCs/>
        </w:rPr>
        <w:t>Wage Growth in Australia: Lessons from Longitudinal Microdata</w:t>
      </w:r>
      <w:r w:rsidRPr="000779C1">
        <w:t>, Treasury.</w:t>
      </w:r>
    </w:p>
    <w:p w14:paraId="302814BA" w14:textId="77777777" w:rsidR="000779C1" w:rsidRPr="000779C1" w:rsidRDefault="000779C1" w:rsidP="004E22AE">
      <w:pPr>
        <w:pStyle w:val="Reference"/>
      </w:pPr>
      <w:r w:rsidRPr="000779C1">
        <w:t xml:space="preserve">—— and Hansell, D. 2019, </w:t>
      </w:r>
      <w:r w:rsidRPr="000779C1">
        <w:rPr>
          <w:i/>
          <w:iCs/>
        </w:rPr>
        <w:t>Productivity-enhancing labour reallocation in Australia</w:t>
      </w:r>
      <w:r w:rsidRPr="000779C1">
        <w:t>.</w:t>
      </w:r>
    </w:p>
    <w:p w14:paraId="0CAFDDDE" w14:textId="77777777" w:rsidR="000779C1" w:rsidRPr="000779C1" w:rsidRDefault="000779C1" w:rsidP="004E22AE">
      <w:pPr>
        <w:pStyle w:val="Reference"/>
      </w:pPr>
      <w:r w:rsidRPr="000779C1">
        <w:t xml:space="preserve">Araujo, G. and </w:t>
      </w:r>
      <w:proofErr w:type="spellStart"/>
      <w:r w:rsidRPr="000779C1">
        <w:t>Hambur</w:t>
      </w:r>
      <w:proofErr w:type="spellEnd"/>
      <w:r w:rsidRPr="000779C1">
        <w:t xml:space="preserve">, J. 2018, ‘Which Firms Get Credit? Evidence from Firm-level Data’, </w:t>
      </w:r>
      <w:r w:rsidRPr="000779C1">
        <w:rPr>
          <w:i/>
          <w:iCs/>
        </w:rPr>
        <w:t>RBA Bulletin</w:t>
      </w:r>
      <w:r w:rsidRPr="000779C1">
        <w:t>, vol December Quarter.</w:t>
      </w:r>
    </w:p>
    <w:p w14:paraId="51DF4D43" w14:textId="77777777" w:rsidR="000779C1" w:rsidRPr="000779C1" w:rsidRDefault="000779C1" w:rsidP="004E22AE">
      <w:pPr>
        <w:pStyle w:val="Reference"/>
      </w:pPr>
      <w:r w:rsidRPr="000779C1">
        <w:t xml:space="preserve">ATO (Australian Tax </w:t>
      </w:r>
      <w:proofErr w:type="spellStart"/>
      <w:r w:rsidRPr="000779C1">
        <w:t>Offfice</w:t>
      </w:r>
      <w:proofErr w:type="spellEnd"/>
      <w:r w:rsidRPr="000779C1">
        <w:t xml:space="preserve">) 2021, </w:t>
      </w:r>
      <w:r w:rsidRPr="000779C1">
        <w:rPr>
          <w:i/>
          <w:iCs/>
        </w:rPr>
        <w:t>Registering for GST</w:t>
      </w:r>
      <w:r w:rsidRPr="000779C1">
        <w:t>, Australian Tax Office, https://www.ato.gov.au/Business/GST/Registering-for-GST/#:~:text=You%20must%20register%20for%20GST,the%20first%20year%20of%20operation (accessed 14 April 2021).</w:t>
      </w:r>
    </w:p>
    <w:p w14:paraId="7EA3E558" w14:textId="77777777" w:rsidR="000779C1" w:rsidRPr="000779C1" w:rsidRDefault="000779C1" w:rsidP="004E22AE">
      <w:pPr>
        <w:pStyle w:val="Reference"/>
      </w:pPr>
      <w:r w:rsidRPr="000779C1">
        <w:t xml:space="preserve">Bakhtiari, S. 2017, </w:t>
      </w:r>
      <w:r w:rsidRPr="000779C1">
        <w:rPr>
          <w:i/>
          <w:iCs/>
        </w:rPr>
        <w:t>Entrepreneurship Dynamics in Australia: Lessons from Micro-data</w:t>
      </w:r>
      <w:r w:rsidRPr="000779C1">
        <w:t>, Department of Industry, Innovation and Science.</w:t>
      </w:r>
    </w:p>
    <w:p w14:paraId="70A25149" w14:textId="77777777" w:rsidR="000779C1" w:rsidRPr="000779C1" w:rsidRDefault="000779C1" w:rsidP="004E22AE">
      <w:pPr>
        <w:pStyle w:val="Reference"/>
      </w:pPr>
      <w:r w:rsidRPr="000779C1">
        <w:t xml:space="preserve">—— 2019, </w:t>
      </w:r>
      <w:r w:rsidRPr="000779C1">
        <w:rPr>
          <w:i/>
          <w:iCs/>
        </w:rPr>
        <w:t xml:space="preserve">Do manufacturing entrepreneurs in Australia have (or develop) a productivity </w:t>
      </w:r>
      <w:proofErr w:type="gramStart"/>
      <w:r w:rsidRPr="000779C1">
        <w:rPr>
          <w:i/>
          <w:iCs/>
        </w:rPr>
        <w:t>advantage?</w:t>
      </w:r>
      <w:r w:rsidRPr="000779C1">
        <w:t>,</w:t>
      </w:r>
      <w:proofErr w:type="gramEnd"/>
      <w:r w:rsidRPr="000779C1">
        <w:t xml:space="preserve"> 7/2019, Department of Industry, Innovation and Science.</w:t>
      </w:r>
    </w:p>
    <w:p w14:paraId="1E154227" w14:textId="77777777" w:rsidR="000779C1" w:rsidRPr="000779C1" w:rsidRDefault="000779C1" w:rsidP="004E22AE">
      <w:pPr>
        <w:pStyle w:val="Reference"/>
      </w:pPr>
      <w:r w:rsidRPr="000779C1">
        <w:t xml:space="preserve">Campbell, S., </w:t>
      </w:r>
      <w:proofErr w:type="spellStart"/>
      <w:r w:rsidRPr="000779C1">
        <w:t>Sibelle</w:t>
      </w:r>
      <w:proofErr w:type="spellEnd"/>
      <w:r w:rsidRPr="000779C1">
        <w:t xml:space="preserve">, A. and Soriano, F. 2019, </w:t>
      </w:r>
      <w:r w:rsidRPr="000779C1">
        <w:rPr>
          <w:i/>
          <w:iCs/>
        </w:rPr>
        <w:t>Measuring Productivity Dispersion in Selected Australian Industries</w:t>
      </w:r>
      <w:r w:rsidRPr="000779C1">
        <w:t>, Treasury-ABS Working Paper, Treasury.</w:t>
      </w:r>
    </w:p>
    <w:p w14:paraId="3097838C" w14:textId="77777777" w:rsidR="000779C1" w:rsidRPr="000779C1" w:rsidRDefault="000779C1" w:rsidP="004E22AE">
      <w:pPr>
        <w:pStyle w:val="Reference"/>
      </w:pPr>
      <w:r w:rsidRPr="000779C1">
        <w:t xml:space="preserve">Foster, L., </w:t>
      </w:r>
      <w:proofErr w:type="spellStart"/>
      <w:r w:rsidRPr="000779C1">
        <w:t>Haltiwanger</w:t>
      </w:r>
      <w:proofErr w:type="spellEnd"/>
      <w:r w:rsidRPr="000779C1">
        <w:t xml:space="preserve">, J. and </w:t>
      </w:r>
      <w:proofErr w:type="spellStart"/>
      <w:r w:rsidRPr="000779C1">
        <w:t>Syverson</w:t>
      </w:r>
      <w:proofErr w:type="spellEnd"/>
      <w:r w:rsidRPr="000779C1">
        <w:t xml:space="preserve">, C. 2008, ‘Reallocation, Firm Turnover, and Efficiency: Selection on Productivity or Profitability?’, </w:t>
      </w:r>
      <w:r w:rsidRPr="000779C1">
        <w:rPr>
          <w:i/>
          <w:iCs/>
        </w:rPr>
        <w:t>American Economic Association</w:t>
      </w:r>
      <w:r w:rsidRPr="000779C1">
        <w:t>, vol. 98, no. 1, pp. 394–425.</w:t>
      </w:r>
    </w:p>
    <w:p w14:paraId="3F9E603C" w14:textId="77777777" w:rsidR="000779C1" w:rsidRPr="004E22AE" w:rsidRDefault="000779C1" w:rsidP="004E22AE">
      <w:pPr>
        <w:pStyle w:val="Reference"/>
        <w:rPr>
          <w:spacing w:val="-4"/>
        </w:rPr>
      </w:pPr>
      <w:r w:rsidRPr="004E22AE">
        <w:rPr>
          <w:spacing w:val="-4"/>
        </w:rPr>
        <w:t>Fox, K. 2019, ‘MFP Measurement Using BLADE: Insights, Challenges and Future Directions’, https://www.business.unsw.edu.au/Campaigns-Site/emg-workshop-2019/Documents/Fox_MFP_BLADE_EMG_5Dec2019.pdf (accessed 18 December 2019).</w:t>
      </w:r>
    </w:p>
    <w:p w14:paraId="39DEB77D" w14:textId="77777777" w:rsidR="000779C1" w:rsidRPr="000779C1" w:rsidRDefault="000779C1" w:rsidP="004E22AE">
      <w:pPr>
        <w:pStyle w:val="Reference"/>
      </w:pPr>
      <w:proofErr w:type="spellStart"/>
      <w:r w:rsidRPr="000779C1">
        <w:t>Hambur</w:t>
      </w:r>
      <w:proofErr w:type="spellEnd"/>
      <w:r w:rsidRPr="000779C1">
        <w:t xml:space="preserve">, J. and La Cava, G. 2018, ‘Business Concentration and Mark-ups in the Retail Trade Sector’, </w:t>
      </w:r>
      <w:r w:rsidRPr="000779C1">
        <w:rPr>
          <w:i/>
          <w:iCs/>
        </w:rPr>
        <w:t>RBA Bulletin</w:t>
      </w:r>
      <w:r w:rsidRPr="000779C1">
        <w:t>, vol December Quarter`.</w:t>
      </w:r>
    </w:p>
    <w:p w14:paraId="3031FA26" w14:textId="77777777" w:rsidR="000779C1" w:rsidRPr="000779C1" w:rsidRDefault="000779C1" w:rsidP="004E22AE">
      <w:pPr>
        <w:pStyle w:val="Reference"/>
      </w:pPr>
      <w:r w:rsidRPr="000779C1">
        <w:lastRenderedPageBreak/>
        <w:t xml:space="preserve">Hansell, D., Nguyen, T. and Soriano, F. 2015, </w:t>
      </w:r>
      <w:r w:rsidRPr="000779C1">
        <w:rPr>
          <w:i/>
          <w:iCs/>
        </w:rPr>
        <w:t>Can we improve on a headcount? Estimating unobserved labour input with individual wage data</w:t>
      </w:r>
      <w:r w:rsidRPr="000779C1">
        <w:t>, Paper presented to the Australian Labour Market Research Workshop, Adelaide December.</w:t>
      </w:r>
    </w:p>
    <w:p w14:paraId="08563F14" w14:textId="77777777" w:rsidR="000779C1" w:rsidRPr="000779C1" w:rsidRDefault="000779C1" w:rsidP="004E22AE">
      <w:pPr>
        <w:pStyle w:val="Reference"/>
      </w:pPr>
      <w:r w:rsidRPr="000779C1">
        <w:t xml:space="preserve">Hendrickson, L., </w:t>
      </w:r>
      <w:proofErr w:type="spellStart"/>
      <w:r w:rsidRPr="000779C1">
        <w:t>Pachernegg</w:t>
      </w:r>
      <w:proofErr w:type="spellEnd"/>
      <w:r w:rsidRPr="000779C1">
        <w:t xml:space="preserve">, T., Boyle, M., </w:t>
      </w:r>
      <w:proofErr w:type="spellStart"/>
      <w:r w:rsidRPr="000779C1">
        <w:t>Bucifal</w:t>
      </w:r>
      <w:proofErr w:type="spellEnd"/>
      <w:r w:rsidRPr="000779C1">
        <w:t xml:space="preserve">, S. and Hansell, D. 2017, </w:t>
      </w:r>
      <w:r w:rsidRPr="000779C1">
        <w:rPr>
          <w:i/>
          <w:iCs/>
        </w:rPr>
        <w:t xml:space="preserve">The performance and characteristics of Australian firms with </w:t>
      </w:r>
      <w:proofErr w:type="spellStart"/>
      <w:r w:rsidRPr="000779C1">
        <w:rPr>
          <w:i/>
          <w:iCs/>
        </w:rPr>
        <w:t>Emkployee</w:t>
      </w:r>
      <w:proofErr w:type="spellEnd"/>
      <w:r w:rsidRPr="000779C1">
        <w:rPr>
          <w:i/>
          <w:iCs/>
        </w:rPr>
        <w:t xml:space="preserve"> Share Schemes</w:t>
      </w:r>
      <w:r w:rsidRPr="000779C1">
        <w:t>, Research Paper.</w:t>
      </w:r>
    </w:p>
    <w:p w14:paraId="6FBE8960" w14:textId="77777777" w:rsidR="000779C1" w:rsidRPr="000779C1" w:rsidRDefault="000779C1" w:rsidP="004E22AE">
      <w:pPr>
        <w:pStyle w:val="Reference"/>
      </w:pPr>
      <w:r w:rsidRPr="000779C1">
        <w:t xml:space="preserve">——, Taylor, D., Ang, L., Cao, K., Nguyen, T. and Soriano, F. 2018, </w:t>
      </w:r>
      <w:r w:rsidRPr="000779C1">
        <w:rPr>
          <w:i/>
          <w:iCs/>
        </w:rPr>
        <w:t>The impact of persistent innovation on business growth</w:t>
      </w:r>
      <w:r w:rsidRPr="000779C1">
        <w:t>, Research Paper.</w:t>
      </w:r>
    </w:p>
    <w:p w14:paraId="2265252C" w14:textId="77777777" w:rsidR="000779C1" w:rsidRPr="000779C1" w:rsidRDefault="000779C1" w:rsidP="004E22AE">
      <w:pPr>
        <w:pStyle w:val="Reference"/>
      </w:pPr>
      <w:r w:rsidRPr="000779C1">
        <w:t xml:space="preserve">Little, R. and Rubin, D. 2019, </w:t>
      </w:r>
      <w:r w:rsidRPr="000779C1">
        <w:rPr>
          <w:i/>
          <w:iCs/>
        </w:rPr>
        <w:t>Statistical Analysis with Missing Data</w:t>
      </w:r>
      <w:r w:rsidRPr="000779C1">
        <w:t xml:space="preserve">, 3rd </w:t>
      </w:r>
      <w:proofErr w:type="spellStart"/>
      <w:r w:rsidRPr="000779C1">
        <w:t>edn</w:t>
      </w:r>
      <w:proofErr w:type="spellEnd"/>
      <w:r w:rsidRPr="000779C1">
        <w:t>, John Wiley &amp; Sons, Inc.</w:t>
      </w:r>
    </w:p>
    <w:p w14:paraId="1D4FC6CD" w14:textId="77777777" w:rsidR="000779C1" w:rsidRPr="000779C1" w:rsidRDefault="000779C1" w:rsidP="004E22AE">
      <w:pPr>
        <w:pStyle w:val="Reference"/>
      </w:pPr>
      <w:r w:rsidRPr="000779C1">
        <w:t xml:space="preserve">Smith, R. and Hendrickson 2016, </w:t>
      </w:r>
      <w:r w:rsidRPr="000779C1">
        <w:rPr>
          <w:i/>
          <w:iCs/>
        </w:rPr>
        <w:t>The effect of age on Australian small-to-medium enterprises</w:t>
      </w:r>
      <w:r w:rsidRPr="000779C1">
        <w:t>, Research Paper, Department of Industry, Innovation and Science.</w:t>
      </w:r>
    </w:p>
    <w:p w14:paraId="188A7AB2" w14:textId="516F1280" w:rsidR="000779C1" w:rsidRPr="000779C1" w:rsidRDefault="000779C1" w:rsidP="004E22AE">
      <w:pPr>
        <w:pStyle w:val="Reference"/>
      </w:pPr>
      <w:r w:rsidRPr="000779C1">
        <w:t xml:space="preserve">Suresh, M., </w:t>
      </w:r>
      <w:proofErr w:type="spellStart"/>
      <w:r w:rsidRPr="000779C1">
        <w:t>Taib</w:t>
      </w:r>
      <w:proofErr w:type="spellEnd"/>
      <w:r w:rsidRPr="000779C1">
        <w:t xml:space="preserve">, R., Zhao, Y. and </w:t>
      </w:r>
      <w:proofErr w:type="spellStart"/>
      <w:r w:rsidRPr="000779C1">
        <w:t>Jin</w:t>
      </w:r>
      <w:proofErr w:type="spellEnd"/>
      <w:r w:rsidRPr="000779C1">
        <w:t xml:space="preserve">, W. 2019, ‘Sharpening the BLADE: Missing Data Imputation Using Supervised Machine Learning’, Liu, J. and Bailey, J. (eds), presented at the </w:t>
      </w:r>
      <w:r w:rsidRPr="000779C1">
        <w:rPr>
          <w:i/>
          <w:iCs/>
        </w:rPr>
        <w:t xml:space="preserve">AI 2019: Advances </w:t>
      </w:r>
      <w:proofErr w:type="spellStart"/>
      <w:r w:rsidRPr="000779C1">
        <w:rPr>
          <w:i/>
          <w:iCs/>
        </w:rPr>
        <w:t>in</w:t>
      </w:r>
      <w:r w:rsidR="00E51998">
        <w:rPr>
          <w:i/>
          <w:iCs/>
        </w:rPr>
        <w:t>g</w:t>
      </w:r>
      <w:proofErr w:type="spellEnd"/>
      <w:r w:rsidRPr="000779C1">
        <w:rPr>
          <w:i/>
          <w:iCs/>
        </w:rPr>
        <w:t xml:space="preserve"> Artificial Intelligence</w:t>
      </w:r>
      <w:r w:rsidRPr="000779C1">
        <w:t>, Springer International Publishing, Cham, pp. 215–227.</w:t>
      </w:r>
    </w:p>
    <w:p w14:paraId="1391B870" w14:textId="77777777" w:rsidR="000779C1" w:rsidRPr="000779C1" w:rsidRDefault="000779C1" w:rsidP="004E22AE">
      <w:pPr>
        <w:pStyle w:val="Reference"/>
      </w:pPr>
      <w:proofErr w:type="spellStart"/>
      <w:r w:rsidRPr="000779C1">
        <w:t>Tuhin</w:t>
      </w:r>
      <w:proofErr w:type="spellEnd"/>
      <w:r w:rsidRPr="000779C1">
        <w:t xml:space="preserve">, R. and Swanepoel, J.A. 2017, </w:t>
      </w:r>
      <w:r w:rsidRPr="000779C1">
        <w:rPr>
          <w:i/>
          <w:iCs/>
        </w:rPr>
        <w:t>Export behaviour and business performance: Evidence from Australian microdata</w:t>
      </w:r>
      <w:r w:rsidRPr="000779C1">
        <w:t>, Research Paper.</w:t>
      </w:r>
    </w:p>
    <w:p w14:paraId="585D55E3" w14:textId="7D90CE05" w:rsidR="000779C1" w:rsidRPr="00E51998" w:rsidRDefault="000779C1" w:rsidP="004E22AE">
      <w:pPr>
        <w:pStyle w:val="Reference"/>
        <w:rPr>
          <w:spacing w:val="-4"/>
        </w:rPr>
      </w:pPr>
      <w:r w:rsidRPr="00E51998">
        <w:rPr>
          <w:spacing w:val="-4"/>
        </w:rPr>
        <w:t xml:space="preserve">United States Census Bureau 2021, </w:t>
      </w:r>
      <w:r w:rsidRPr="00E51998">
        <w:rPr>
          <w:i/>
          <w:iCs/>
          <w:spacing w:val="-4"/>
        </w:rPr>
        <w:t>Longitudinal Business Database</w:t>
      </w:r>
      <w:r w:rsidRPr="00E51998">
        <w:rPr>
          <w:spacing w:val="-4"/>
        </w:rPr>
        <w:t>, United States Census Bureau, https://www.census.gov/programs-surveys/ces/data/restricted-use-data/longitudinal</w:t>
      </w:r>
      <w:r w:rsidR="00E51998">
        <w:rPr>
          <w:spacing w:val="-4"/>
        </w:rPr>
        <w:br/>
      </w:r>
      <w:r w:rsidRPr="00E51998">
        <w:rPr>
          <w:spacing w:val="-4"/>
        </w:rPr>
        <w:t>-business-database.html (accessed 14 April 2021).</w:t>
      </w:r>
    </w:p>
    <w:p w14:paraId="08ECE5CF" w14:textId="1D78BF23" w:rsidR="00DF5A83" w:rsidRPr="00410397" w:rsidRDefault="00DF5A83" w:rsidP="004E22AE">
      <w:pPr>
        <w:pStyle w:val="Reference"/>
      </w:pPr>
    </w:p>
    <w:sectPr w:rsidR="00DF5A83" w:rsidRPr="00410397" w:rsidSect="00062D22">
      <w:pgSz w:w="11907" w:h="16840" w:code="9"/>
      <w:pgMar w:top="1985" w:right="1304" w:bottom="1247" w:left="1814" w:header="1701" w:footer="397" w:gutter="0"/>
      <w:pgNumType w:start="18"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DFBFE" w14:textId="77777777" w:rsidR="008E5C6D" w:rsidRDefault="008E5C6D">
      <w:r>
        <w:separator/>
      </w:r>
    </w:p>
  </w:endnote>
  <w:endnote w:type="continuationSeparator" w:id="0">
    <w:p w14:paraId="5CB50D9F" w14:textId="77777777" w:rsidR="008E5C6D" w:rsidRDefault="008E5C6D">
      <w:r>
        <w:continuationSeparator/>
      </w:r>
    </w:p>
  </w:endnote>
  <w:endnote w:type="continuationNotice" w:id="1">
    <w:p w14:paraId="106F18EC" w14:textId="77777777" w:rsidR="008E5C6D" w:rsidRDefault="008E5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97580" w14:paraId="731D1636" w14:textId="77777777" w:rsidTr="0008783E">
      <w:trPr>
        <w:trHeight w:hRule="exact" w:val="567"/>
      </w:trPr>
      <w:tc>
        <w:tcPr>
          <w:tcW w:w="510" w:type="dxa"/>
        </w:tcPr>
        <w:p w14:paraId="6B38397F" w14:textId="77777777" w:rsidR="00697580" w:rsidRPr="007448F7" w:rsidRDefault="00697580" w:rsidP="0008783E">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vi</w:t>
          </w:r>
          <w:r w:rsidRPr="007448F7">
            <w:rPr>
              <w:rStyle w:val="PageNumber"/>
              <w:caps w:val="0"/>
            </w:rPr>
            <w:fldChar w:fldCharType="end"/>
          </w:r>
        </w:p>
      </w:tc>
      <w:tc>
        <w:tcPr>
          <w:tcW w:w="7767" w:type="dxa"/>
        </w:tcPr>
        <w:p w14:paraId="6702AD61" w14:textId="77777777" w:rsidR="00697580" w:rsidRPr="0013739A" w:rsidRDefault="00697580" w:rsidP="0008783E">
          <w:pPr>
            <w:pStyle w:val="Footer"/>
            <w:rPr>
              <w:rFonts w:cs="Arial"/>
            </w:rPr>
          </w:pPr>
          <w:r>
            <w:rPr>
              <w:rFonts w:cs="Arial"/>
            </w:rPr>
            <w:t>staff working paper</w:t>
          </w:r>
        </w:p>
      </w:tc>
      <w:tc>
        <w:tcPr>
          <w:tcW w:w="510" w:type="dxa"/>
        </w:tcPr>
        <w:p w14:paraId="6CC23FF9" w14:textId="77777777" w:rsidR="00697580" w:rsidRDefault="00697580" w:rsidP="0008783E">
          <w:pPr>
            <w:pStyle w:val="Footer"/>
          </w:pPr>
        </w:p>
      </w:tc>
    </w:tr>
  </w:tbl>
  <w:p w14:paraId="3DE9FF0B" w14:textId="77777777" w:rsidR="00697580" w:rsidRDefault="00697580" w:rsidP="0008783E">
    <w:pPr>
      <w:pStyle w:val="FooterEnd"/>
    </w:pPr>
  </w:p>
  <w:p w14:paraId="54EA125A" w14:textId="77777777" w:rsidR="00697580" w:rsidRDefault="00697580">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97580" w14:paraId="3745DDB5" w14:textId="77777777" w:rsidTr="005F48ED">
      <w:trPr>
        <w:trHeight w:hRule="exact" w:val="567"/>
      </w:trPr>
      <w:tc>
        <w:tcPr>
          <w:tcW w:w="510" w:type="dxa"/>
        </w:tcPr>
        <w:p w14:paraId="4488E4F4" w14:textId="77777777" w:rsidR="00697580" w:rsidRDefault="00697580">
          <w:pPr>
            <w:pStyle w:val="Footer"/>
            <w:ind w:right="360" w:firstLine="360"/>
          </w:pPr>
        </w:p>
      </w:tc>
      <w:tc>
        <w:tcPr>
          <w:tcW w:w="7767" w:type="dxa"/>
        </w:tcPr>
        <w:p w14:paraId="52C42D2C" w14:textId="77777777" w:rsidR="00697580" w:rsidRPr="00BA5B14" w:rsidRDefault="00697580" w:rsidP="0013739A">
          <w:pPr>
            <w:pStyle w:val="Footer"/>
            <w:jc w:val="right"/>
            <w:rPr>
              <w:rFonts w:cs="Arial"/>
            </w:rPr>
          </w:pPr>
          <w:r>
            <w:rPr>
              <w:rFonts w:cs="Arial"/>
            </w:rPr>
            <w:t>BLADE for productivity research</w:t>
          </w:r>
          <w:r w:rsidRPr="00BA5B14">
            <w:rPr>
              <w:rFonts w:cs="Arial"/>
            </w:rPr>
            <w:t xml:space="preserve"> </w:t>
          </w:r>
        </w:p>
      </w:tc>
      <w:tc>
        <w:tcPr>
          <w:tcW w:w="510" w:type="dxa"/>
        </w:tcPr>
        <w:p w14:paraId="4B05C43B" w14:textId="77777777" w:rsidR="00697580" w:rsidRPr="00A24443" w:rsidRDefault="00697580" w:rsidP="00B853E3">
          <w:pPr>
            <w:pStyle w:val="Footer"/>
            <w:tabs>
              <w:tab w:val="left" w:pos="386"/>
              <w:tab w:val="right" w:pos="504"/>
            </w:tabs>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C61DC">
            <w:rPr>
              <w:rStyle w:val="PageNumber"/>
              <w:caps w:val="0"/>
              <w:noProof/>
            </w:rPr>
            <w:t>iii</w:t>
          </w:r>
          <w:r w:rsidRPr="00A24443">
            <w:rPr>
              <w:rStyle w:val="PageNumber"/>
              <w:caps w:val="0"/>
            </w:rPr>
            <w:fldChar w:fldCharType="end"/>
          </w:r>
        </w:p>
      </w:tc>
    </w:tr>
  </w:tbl>
  <w:p w14:paraId="0E572D2B" w14:textId="77777777" w:rsidR="00697580" w:rsidRDefault="00697580">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97580" w14:paraId="32233C39" w14:textId="77777777" w:rsidTr="0008783E">
      <w:trPr>
        <w:trHeight w:hRule="exact" w:val="567"/>
      </w:trPr>
      <w:tc>
        <w:tcPr>
          <w:tcW w:w="510" w:type="dxa"/>
        </w:tcPr>
        <w:p w14:paraId="793FC17C" w14:textId="77777777" w:rsidR="00697580" w:rsidRPr="007448F7" w:rsidRDefault="00697580" w:rsidP="0008783E">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CC61DC">
            <w:rPr>
              <w:rStyle w:val="PageNumber"/>
              <w:caps w:val="0"/>
              <w:noProof/>
            </w:rPr>
            <w:t>iv</w:t>
          </w:r>
          <w:r w:rsidRPr="007448F7">
            <w:rPr>
              <w:rStyle w:val="PageNumber"/>
              <w:caps w:val="0"/>
            </w:rPr>
            <w:fldChar w:fldCharType="end"/>
          </w:r>
        </w:p>
      </w:tc>
      <w:tc>
        <w:tcPr>
          <w:tcW w:w="7767" w:type="dxa"/>
        </w:tcPr>
        <w:p w14:paraId="1DEEAE95" w14:textId="77777777" w:rsidR="00697580" w:rsidRPr="0013739A" w:rsidRDefault="00697580" w:rsidP="0008783E">
          <w:pPr>
            <w:pStyle w:val="Footer"/>
            <w:rPr>
              <w:rFonts w:cs="Arial"/>
            </w:rPr>
          </w:pPr>
          <w:r>
            <w:rPr>
              <w:rFonts w:cs="Arial"/>
            </w:rPr>
            <w:t>staff working paper</w:t>
          </w:r>
        </w:p>
      </w:tc>
      <w:tc>
        <w:tcPr>
          <w:tcW w:w="510" w:type="dxa"/>
        </w:tcPr>
        <w:p w14:paraId="68AC3968" w14:textId="77777777" w:rsidR="00697580" w:rsidRDefault="00697580" w:rsidP="0008783E">
          <w:pPr>
            <w:pStyle w:val="Footer"/>
          </w:pPr>
        </w:p>
      </w:tc>
    </w:tr>
  </w:tbl>
  <w:p w14:paraId="0CCA30B3" w14:textId="77777777" w:rsidR="00697580" w:rsidRDefault="00697580" w:rsidP="0008783E">
    <w:pPr>
      <w:pStyle w:val="FooterEnd"/>
    </w:pPr>
  </w:p>
  <w:p w14:paraId="43BAFC46" w14:textId="77777777" w:rsidR="00697580" w:rsidRDefault="00697580">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1603E" w14:paraId="2017BB5A" w14:textId="77777777" w:rsidTr="005F48ED">
      <w:trPr>
        <w:trHeight w:hRule="exact" w:val="567"/>
      </w:trPr>
      <w:tc>
        <w:tcPr>
          <w:tcW w:w="510" w:type="dxa"/>
        </w:tcPr>
        <w:p w14:paraId="1F55DED6" w14:textId="77777777" w:rsidR="00B1603E" w:rsidRPr="00A24443" w:rsidRDefault="00B1603E"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C61DC">
            <w:rPr>
              <w:rStyle w:val="PageNumber"/>
              <w:caps w:val="0"/>
              <w:noProof/>
            </w:rPr>
            <w:t>20</w:t>
          </w:r>
          <w:r w:rsidRPr="00A24443">
            <w:rPr>
              <w:rStyle w:val="PageNumber"/>
              <w:caps w:val="0"/>
            </w:rPr>
            <w:fldChar w:fldCharType="end"/>
          </w:r>
        </w:p>
      </w:tc>
      <w:tc>
        <w:tcPr>
          <w:tcW w:w="7767" w:type="dxa"/>
        </w:tcPr>
        <w:p w14:paraId="3C527C01" w14:textId="34BE6D04" w:rsidR="00B1603E" w:rsidRPr="0013739A" w:rsidRDefault="0009157B" w:rsidP="0013739A">
          <w:pPr>
            <w:pStyle w:val="Footer"/>
            <w:rPr>
              <w:rFonts w:cs="Arial"/>
            </w:rPr>
          </w:pPr>
          <w:bookmarkStart w:id="19" w:name="DraftReportEven"/>
          <w:bookmarkEnd w:id="19"/>
          <w:r>
            <w:rPr>
              <w:rFonts w:cs="Arial"/>
            </w:rPr>
            <w:t>staff working paper</w:t>
          </w:r>
        </w:p>
      </w:tc>
      <w:tc>
        <w:tcPr>
          <w:tcW w:w="510" w:type="dxa"/>
        </w:tcPr>
        <w:p w14:paraId="436BF80C" w14:textId="77777777" w:rsidR="00B1603E" w:rsidRDefault="00B1603E" w:rsidP="0019293B">
          <w:pPr>
            <w:pStyle w:val="Footer"/>
          </w:pPr>
        </w:p>
      </w:tc>
    </w:tr>
  </w:tbl>
  <w:p w14:paraId="497B411D" w14:textId="77777777" w:rsidR="00B1603E" w:rsidRDefault="00B1603E" w:rsidP="0019293B">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1603E" w14:paraId="4818855B" w14:textId="77777777" w:rsidTr="005F48ED">
      <w:trPr>
        <w:trHeight w:hRule="exact" w:val="567"/>
      </w:trPr>
      <w:tc>
        <w:tcPr>
          <w:tcW w:w="510" w:type="dxa"/>
        </w:tcPr>
        <w:p w14:paraId="2DF0E2E4" w14:textId="77777777" w:rsidR="00B1603E" w:rsidRDefault="00B1603E">
          <w:pPr>
            <w:pStyle w:val="Footer"/>
            <w:ind w:right="360" w:firstLine="360"/>
          </w:pPr>
        </w:p>
      </w:tc>
      <w:tc>
        <w:tcPr>
          <w:tcW w:w="7767" w:type="dxa"/>
        </w:tcPr>
        <w:p w14:paraId="0D3D2351" w14:textId="4CCCCB6E" w:rsidR="00B1603E" w:rsidRPr="00BA5B14" w:rsidRDefault="0045360F" w:rsidP="0013739A">
          <w:pPr>
            <w:pStyle w:val="Footer"/>
            <w:jc w:val="right"/>
            <w:rPr>
              <w:rFonts w:cs="Arial"/>
            </w:rPr>
          </w:pPr>
          <w:r>
            <w:rPr>
              <w:rFonts w:cs="Arial"/>
            </w:rPr>
            <w:t xml:space="preserve">BLADE for productivity research </w:t>
          </w:r>
          <w:bookmarkStart w:id="20" w:name="DraftReportOdd"/>
          <w:bookmarkEnd w:id="20"/>
        </w:p>
      </w:tc>
      <w:tc>
        <w:tcPr>
          <w:tcW w:w="510" w:type="dxa"/>
        </w:tcPr>
        <w:p w14:paraId="7D808FC5" w14:textId="147E89AE" w:rsidR="00B1603E" w:rsidRPr="00A24443" w:rsidRDefault="0008473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C61DC">
            <w:rPr>
              <w:rStyle w:val="PageNumber"/>
              <w:caps w:val="0"/>
              <w:noProof/>
            </w:rPr>
            <w:t>19</w:t>
          </w:r>
          <w:r w:rsidRPr="00A24443">
            <w:rPr>
              <w:rStyle w:val="PageNumber"/>
              <w:caps w:val="0"/>
            </w:rPr>
            <w:fldChar w:fldCharType="end"/>
          </w:r>
        </w:p>
      </w:tc>
    </w:tr>
  </w:tbl>
  <w:p w14:paraId="6FC0D995" w14:textId="77777777" w:rsidR="00B1603E" w:rsidRDefault="00B1603E">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7E8D0" w14:textId="77777777" w:rsidR="008E5C6D" w:rsidRDefault="008E5C6D">
      <w:r>
        <w:separator/>
      </w:r>
    </w:p>
  </w:footnote>
  <w:footnote w:type="continuationSeparator" w:id="0">
    <w:p w14:paraId="2A301616" w14:textId="77777777" w:rsidR="008E5C6D" w:rsidRDefault="008E5C6D">
      <w:r>
        <w:continuationSeparator/>
      </w:r>
    </w:p>
  </w:footnote>
  <w:footnote w:type="continuationNotice" w:id="1">
    <w:p w14:paraId="5E0C051F" w14:textId="77777777" w:rsidR="008E5C6D" w:rsidRDefault="008E5C6D"/>
  </w:footnote>
  <w:footnote w:id="2">
    <w:p w14:paraId="58A902F4" w14:textId="35A73A0D" w:rsidR="00B1603E" w:rsidRDefault="00B1603E">
      <w:pPr>
        <w:pStyle w:val="FootnoteText"/>
      </w:pPr>
      <w:r>
        <w:rPr>
          <w:rStyle w:val="FootnoteReference"/>
        </w:rPr>
        <w:footnoteRef/>
      </w:r>
      <w:r>
        <w:tab/>
        <w:t xml:space="preserve">BLADE also has a variable, Full-time equivalent employees (FTE) that the ABS imputes using the wages and headcount variables in the PAYG dataset </w:t>
      </w:r>
      <w:r w:rsidRPr="0005389B">
        <w:rPr>
          <w:szCs w:val="24"/>
        </w:rPr>
        <w:t>(Hansell, Nguyen and Soriano 2015)</w:t>
      </w:r>
      <w:r>
        <w:t xml:space="preserve">. </w:t>
      </w:r>
    </w:p>
  </w:footnote>
  <w:footnote w:id="3">
    <w:p w14:paraId="4223D56E" w14:textId="7A3F8462" w:rsidR="00B1603E" w:rsidRDefault="00B1603E">
      <w:pPr>
        <w:pStyle w:val="FootnoteText"/>
      </w:pPr>
      <w:r>
        <w:rPr>
          <w:rStyle w:val="FootnoteReference"/>
        </w:rPr>
        <w:footnoteRef/>
      </w:r>
      <w:r>
        <w:tab/>
        <w:t>These new variables for termination values of intangible and other depreciating assets are c_terindep, p_terintas, t_terintas, i_terdepas, c_terothde, p_terothas, t_terothas and i_terothas</w:t>
      </w:r>
    </w:p>
  </w:footnote>
  <w:footnote w:id="4">
    <w:p w14:paraId="0290ABE2" w14:textId="4F1F6CFD" w:rsidR="00B1603E" w:rsidRDefault="00B1603E">
      <w:pPr>
        <w:pStyle w:val="FootnoteText"/>
      </w:pPr>
      <w:r>
        <w:rPr>
          <w:rStyle w:val="FootnoteReference"/>
        </w:rPr>
        <w:footnoteRef/>
      </w:r>
      <w:r>
        <w:tab/>
        <w:t>Assumptions about the user cost of capital are also made to allow aggregation of different asset types into a measure of ‘capital services’.</w:t>
      </w:r>
    </w:p>
  </w:footnote>
  <w:footnote w:id="5">
    <w:p w14:paraId="6EEB5226" w14:textId="34EB0950" w:rsidR="00B1603E" w:rsidRDefault="00B1603E">
      <w:pPr>
        <w:pStyle w:val="FootnoteText"/>
      </w:pPr>
      <w:r>
        <w:rPr>
          <w:rStyle w:val="FootnoteReference"/>
        </w:rPr>
        <w:footnoteRef/>
      </w:r>
      <w:r>
        <w:tab/>
        <w:t xml:space="preserve">For access to these materials, please contact </w:t>
      </w:r>
      <w:r w:rsidRPr="00C03486">
        <w:t>David Hansell</w:t>
      </w:r>
      <w:r>
        <w:t xml:space="preserve"> (</w:t>
      </w:r>
      <w:r w:rsidR="00CF35CC" w:rsidRPr="00CF35CC">
        <w:t>david.hansell@treasury.gov.au</w:t>
      </w:r>
      <w:r>
        <w:t>).</w:t>
      </w:r>
    </w:p>
  </w:footnote>
  <w:footnote w:id="6">
    <w:p w14:paraId="24E59078" w14:textId="2B13F3C5" w:rsidR="00B1603E" w:rsidRDefault="00B1603E" w:rsidP="008F0884">
      <w:pPr>
        <w:pStyle w:val="FootnoteText"/>
      </w:pPr>
      <w:r>
        <w:rPr>
          <w:rStyle w:val="FootnoteReference"/>
        </w:rPr>
        <w:footnoteRef/>
      </w:r>
      <w:r>
        <w:tab/>
        <w:t>See ABS (</w:t>
      </w:r>
      <w:r w:rsidRPr="001A4085">
        <w:rPr>
          <w:i/>
        </w:rPr>
        <w:t>Counts of Australian Businesses, including Entries and Exits</w:t>
      </w:r>
      <w:r>
        <w:t>,</w:t>
      </w:r>
      <w:r w:rsidRPr="00B42B77">
        <w:t xml:space="preserve"> Cat. </w:t>
      </w:r>
      <w:r>
        <w:t>no.</w:t>
      </w:r>
      <w:r w:rsidRPr="00B42B77">
        <w:t xml:space="preserve"> 8165.0</w:t>
      </w:r>
      <w:r>
        <w:t>)</w:t>
      </w:r>
      <w:r w:rsidRPr="00DF785B">
        <w:t xml:space="preserve"> and explanatory notes for the Australian Bureau of Statistics Business Register</w:t>
      </w:r>
      <w:r>
        <w:t>.</w:t>
      </w:r>
    </w:p>
  </w:footnote>
  <w:footnote w:id="7">
    <w:p w14:paraId="15E402D2" w14:textId="77777777" w:rsidR="00B1603E" w:rsidRDefault="00B1603E" w:rsidP="008F0884">
      <w:pPr>
        <w:pStyle w:val="FootnoteText"/>
      </w:pPr>
      <w:r>
        <w:rPr>
          <w:rStyle w:val="FootnoteReference"/>
        </w:rPr>
        <w:footnoteRef/>
      </w:r>
      <w:r>
        <w:tab/>
        <w:t>$75 000 represents the threshold for GST liability. A GST liable firm is required to both have an ABN and complete a Business Activity Statement. Low revenue firms may still register an ABN to prevent payers from withholding the top marginal rate of PAYG tax from payments.</w:t>
      </w:r>
    </w:p>
  </w:footnote>
  <w:footnote w:id="8">
    <w:p w14:paraId="674CE0BE" w14:textId="56BD2743" w:rsidR="00B1603E" w:rsidRDefault="00B1603E" w:rsidP="008F0884">
      <w:pPr>
        <w:pStyle w:val="FootnoteText"/>
      </w:pPr>
      <w:r>
        <w:rPr>
          <w:rStyle w:val="FootnoteReference"/>
        </w:rPr>
        <w:footnoteRef/>
      </w:r>
      <w:r>
        <w:tab/>
        <w:t xml:space="preserve">More than three quarters of firms are non-employers in their first year of operation </w:t>
      </w:r>
      <w:r w:rsidRPr="004930BF">
        <w:rPr>
          <w:szCs w:val="24"/>
        </w:rPr>
        <w:t>(Bakhtiari 2017)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697580" w14:paraId="2B4E44E1" w14:textId="77777777" w:rsidTr="0008783E">
      <w:tc>
        <w:tcPr>
          <w:tcW w:w="2155" w:type="dxa"/>
          <w:tcBorders>
            <w:top w:val="single" w:sz="24" w:space="0" w:color="auto"/>
          </w:tcBorders>
        </w:tcPr>
        <w:p w14:paraId="5DECFD26" w14:textId="77777777" w:rsidR="00697580" w:rsidRDefault="00697580" w:rsidP="0008783E">
          <w:pPr>
            <w:pStyle w:val="HeaderEven"/>
          </w:pPr>
        </w:p>
      </w:tc>
      <w:tc>
        <w:tcPr>
          <w:tcW w:w="6634" w:type="dxa"/>
          <w:tcBorders>
            <w:top w:val="single" w:sz="6" w:space="0" w:color="auto"/>
          </w:tcBorders>
        </w:tcPr>
        <w:p w14:paraId="67B87ADC" w14:textId="77777777" w:rsidR="00697580" w:rsidRDefault="00697580" w:rsidP="0008783E">
          <w:pPr>
            <w:pStyle w:val="HeaderEven"/>
          </w:pPr>
        </w:p>
      </w:tc>
    </w:tr>
  </w:tbl>
  <w:p w14:paraId="74B54859" w14:textId="77777777" w:rsidR="00697580" w:rsidRDefault="00697580" w:rsidP="0008783E">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97580" w14:paraId="17563312" w14:textId="77777777">
      <w:tc>
        <w:tcPr>
          <w:tcW w:w="6634" w:type="dxa"/>
          <w:tcBorders>
            <w:top w:val="single" w:sz="6" w:space="0" w:color="auto"/>
          </w:tcBorders>
        </w:tcPr>
        <w:p w14:paraId="0A1FC01C" w14:textId="77777777" w:rsidR="00697580" w:rsidRDefault="00697580">
          <w:pPr>
            <w:pStyle w:val="HeaderOdd"/>
          </w:pPr>
        </w:p>
      </w:tc>
      <w:tc>
        <w:tcPr>
          <w:tcW w:w="2155" w:type="dxa"/>
          <w:tcBorders>
            <w:top w:val="single" w:sz="24" w:space="0" w:color="auto"/>
          </w:tcBorders>
        </w:tcPr>
        <w:p w14:paraId="7F19AEDC" w14:textId="77777777" w:rsidR="00697580" w:rsidRDefault="00697580">
          <w:pPr>
            <w:pStyle w:val="HeaderOdd"/>
          </w:pPr>
        </w:p>
      </w:tc>
    </w:tr>
  </w:tbl>
  <w:p w14:paraId="60F20AD6" w14:textId="77777777" w:rsidR="00697580" w:rsidRDefault="00697580" w:rsidP="0008783E">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B1603E" w14:paraId="3CE6F19F" w14:textId="77777777">
      <w:tc>
        <w:tcPr>
          <w:tcW w:w="2155" w:type="dxa"/>
          <w:tcBorders>
            <w:top w:val="single" w:sz="24" w:space="0" w:color="auto"/>
          </w:tcBorders>
        </w:tcPr>
        <w:p w14:paraId="00E8ECBA" w14:textId="77777777" w:rsidR="00B1603E" w:rsidRDefault="00B1603E" w:rsidP="0019293B">
          <w:pPr>
            <w:pStyle w:val="HeaderEven"/>
          </w:pPr>
        </w:p>
      </w:tc>
      <w:tc>
        <w:tcPr>
          <w:tcW w:w="6634" w:type="dxa"/>
          <w:tcBorders>
            <w:top w:val="single" w:sz="6" w:space="0" w:color="auto"/>
          </w:tcBorders>
        </w:tcPr>
        <w:p w14:paraId="02CE3C2B" w14:textId="77777777" w:rsidR="00B1603E" w:rsidRDefault="00B1603E" w:rsidP="0019293B">
          <w:pPr>
            <w:pStyle w:val="HeaderEven"/>
          </w:pPr>
        </w:p>
      </w:tc>
    </w:tr>
  </w:tbl>
  <w:p w14:paraId="02D0485A" w14:textId="77777777" w:rsidR="00B1603E" w:rsidRDefault="00B1603E" w:rsidP="0019293B">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1603E" w14:paraId="550692CD" w14:textId="77777777">
      <w:tc>
        <w:tcPr>
          <w:tcW w:w="6634" w:type="dxa"/>
          <w:tcBorders>
            <w:top w:val="single" w:sz="6" w:space="0" w:color="auto"/>
          </w:tcBorders>
        </w:tcPr>
        <w:p w14:paraId="0984205E" w14:textId="77777777" w:rsidR="00B1603E" w:rsidRDefault="00B1603E" w:rsidP="00E669E2">
          <w:pPr>
            <w:pStyle w:val="HeaderOdd"/>
          </w:pPr>
        </w:p>
      </w:tc>
      <w:tc>
        <w:tcPr>
          <w:tcW w:w="2155" w:type="dxa"/>
          <w:tcBorders>
            <w:top w:val="single" w:sz="24" w:space="0" w:color="auto"/>
          </w:tcBorders>
        </w:tcPr>
        <w:p w14:paraId="2CDA7D53" w14:textId="77777777" w:rsidR="00B1603E" w:rsidRDefault="00B1603E" w:rsidP="00E669E2">
          <w:pPr>
            <w:pStyle w:val="HeaderOdd"/>
          </w:pPr>
        </w:p>
      </w:tc>
    </w:tr>
  </w:tbl>
  <w:p w14:paraId="783A9783" w14:textId="77777777" w:rsidR="00B1603E" w:rsidRDefault="00B1603E"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B8C18EE"/>
    <w:multiLevelType w:val="hybridMultilevel"/>
    <w:tmpl w:val="86F25C3E"/>
    <w:lvl w:ilvl="0" w:tplc="74AC866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1"/>
  </w:num>
  <w:num w:numId="16">
    <w:abstractNumId w:val="13"/>
  </w:num>
  <w:num w:numId="17">
    <w:abstractNumId w:val="22"/>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2"/>
  </w:num>
  <w:num w:numId="23">
    <w:abstractNumId w:val="4"/>
  </w:num>
  <w:num w:numId="24">
    <w:abstractNumId w:val="14"/>
  </w:num>
  <w:num w:numId="2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BLADE for productivity research"/>
    <w:docVar w:name="ShortReportTitle" w:val="BLADE for productivity research"/>
  </w:docVars>
  <w:rsids>
    <w:rsidRoot w:val="00046565"/>
    <w:rsid w:val="00000AB9"/>
    <w:rsid w:val="00000E21"/>
    <w:rsid w:val="0000110C"/>
    <w:rsid w:val="000012BE"/>
    <w:rsid w:val="000018CB"/>
    <w:rsid w:val="00003E86"/>
    <w:rsid w:val="00004028"/>
    <w:rsid w:val="00004C24"/>
    <w:rsid w:val="000057F0"/>
    <w:rsid w:val="00006A6C"/>
    <w:rsid w:val="00010007"/>
    <w:rsid w:val="00010033"/>
    <w:rsid w:val="00010220"/>
    <w:rsid w:val="000106A6"/>
    <w:rsid w:val="000107BE"/>
    <w:rsid w:val="00010E0E"/>
    <w:rsid w:val="0001159E"/>
    <w:rsid w:val="00012929"/>
    <w:rsid w:val="000134C8"/>
    <w:rsid w:val="000135DD"/>
    <w:rsid w:val="00013AD1"/>
    <w:rsid w:val="00014F1C"/>
    <w:rsid w:val="00014FA8"/>
    <w:rsid w:val="00015A95"/>
    <w:rsid w:val="00015D0D"/>
    <w:rsid w:val="00015F99"/>
    <w:rsid w:val="00017001"/>
    <w:rsid w:val="000175A8"/>
    <w:rsid w:val="0001776A"/>
    <w:rsid w:val="00017F59"/>
    <w:rsid w:val="000207B6"/>
    <w:rsid w:val="000214F7"/>
    <w:rsid w:val="00021A6C"/>
    <w:rsid w:val="00021A8F"/>
    <w:rsid w:val="00021B83"/>
    <w:rsid w:val="000227D5"/>
    <w:rsid w:val="00022C78"/>
    <w:rsid w:val="00022D92"/>
    <w:rsid w:val="0002341C"/>
    <w:rsid w:val="00023D82"/>
    <w:rsid w:val="000245AA"/>
    <w:rsid w:val="0002644B"/>
    <w:rsid w:val="00031ABC"/>
    <w:rsid w:val="00032457"/>
    <w:rsid w:val="00034328"/>
    <w:rsid w:val="000346DA"/>
    <w:rsid w:val="00034B0E"/>
    <w:rsid w:val="00034B70"/>
    <w:rsid w:val="00035718"/>
    <w:rsid w:val="0003664B"/>
    <w:rsid w:val="00036908"/>
    <w:rsid w:val="00036B59"/>
    <w:rsid w:val="0004111F"/>
    <w:rsid w:val="00041B3C"/>
    <w:rsid w:val="000426D7"/>
    <w:rsid w:val="000456AA"/>
    <w:rsid w:val="00046565"/>
    <w:rsid w:val="000476C4"/>
    <w:rsid w:val="00047BE2"/>
    <w:rsid w:val="0005089B"/>
    <w:rsid w:val="00052DD7"/>
    <w:rsid w:val="0005389B"/>
    <w:rsid w:val="0005390D"/>
    <w:rsid w:val="00053AFE"/>
    <w:rsid w:val="000541F2"/>
    <w:rsid w:val="000543D6"/>
    <w:rsid w:val="00054412"/>
    <w:rsid w:val="0005480A"/>
    <w:rsid w:val="00054C2A"/>
    <w:rsid w:val="00055077"/>
    <w:rsid w:val="00055B10"/>
    <w:rsid w:val="00055DF0"/>
    <w:rsid w:val="000565B3"/>
    <w:rsid w:val="000569AB"/>
    <w:rsid w:val="000579B1"/>
    <w:rsid w:val="0006018D"/>
    <w:rsid w:val="00060A9F"/>
    <w:rsid w:val="00061860"/>
    <w:rsid w:val="00061A34"/>
    <w:rsid w:val="00061B7B"/>
    <w:rsid w:val="00061B8B"/>
    <w:rsid w:val="00062CA5"/>
    <w:rsid w:val="00062CCF"/>
    <w:rsid w:val="00062D22"/>
    <w:rsid w:val="00063BAB"/>
    <w:rsid w:val="00065F95"/>
    <w:rsid w:val="000668F5"/>
    <w:rsid w:val="00066E5D"/>
    <w:rsid w:val="00067150"/>
    <w:rsid w:val="0007005D"/>
    <w:rsid w:val="00071181"/>
    <w:rsid w:val="0007150B"/>
    <w:rsid w:val="00071E87"/>
    <w:rsid w:val="00072407"/>
    <w:rsid w:val="00072726"/>
    <w:rsid w:val="000729E2"/>
    <w:rsid w:val="00072A08"/>
    <w:rsid w:val="000731C4"/>
    <w:rsid w:val="000732FE"/>
    <w:rsid w:val="00074356"/>
    <w:rsid w:val="0007479F"/>
    <w:rsid w:val="000751C8"/>
    <w:rsid w:val="00076E97"/>
    <w:rsid w:val="00077540"/>
    <w:rsid w:val="000779C1"/>
    <w:rsid w:val="00082F33"/>
    <w:rsid w:val="000839C7"/>
    <w:rsid w:val="000843AD"/>
    <w:rsid w:val="000844DD"/>
    <w:rsid w:val="00084739"/>
    <w:rsid w:val="00084EDB"/>
    <w:rsid w:val="0008582E"/>
    <w:rsid w:val="00086C2E"/>
    <w:rsid w:val="00087FF7"/>
    <w:rsid w:val="0009157B"/>
    <w:rsid w:val="000918AA"/>
    <w:rsid w:val="00091CF0"/>
    <w:rsid w:val="00092A65"/>
    <w:rsid w:val="000931C1"/>
    <w:rsid w:val="0009379C"/>
    <w:rsid w:val="000938F5"/>
    <w:rsid w:val="00093C42"/>
    <w:rsid w:val="00093D52"/>
    <w:rsid w:val="00094886"/>
    <w:rsid w:val="00095663"/>
    <w:rsid w:val="00095669"/>
    <w:rsid w:val="00095875"/>
    <w:rsid w:val="00096BEF"/>
    <w:rsid w:val="00096D28"/>
    <w:rsid w:val="00096E55"/>
    <w:rsid w:val="00096E81"/>
    <w:rsid w:val="0009783E"/>
    <w:rsid w:val="00097F49"/>
    <w:rsid w:val="000A0378"/>
    <w:rsid w:val="000A06EA"/>
    <w:rsid w:val="000A146B"/>
    <w:rsid w:val="000A2E9E"/>
    <w:rsid w:val="000A3031"/>
    <w:rsid w:val="000A3227"/>
    <w:rsid w:val="000A35AF"/>
    <w:rsid w:val="000A3B4F"/>
    <w:rsid w:val="000A405B"/>
    <w:rsid w:val="000A464C"/>
    <w:rsid w:val="000A5782"/>
    <w:rsid w:val="000A582F"/>
    <w:rsid w:val="000A588E"/>
    <w:rsid w:val="000A636B"/>
    <w:rsid w:val="000A782E"/>
    <w:rsid w:val="000B00E6"/>
    <w:rsid w:val="000B0419"/>
    <w:rsid w:val="000B0D23"/>
    <w:rsid w:val="000B1018"/>
    <w:rsid w:val="000B1022"/>
    <w:rsid w:val="000B2927"/>
    <w:rsid w:val="000B29A6"/>
    <w:rsid w:val="000B2C74"/>
    <w:rsid w:val="000B2CDF"/>
    <w:rsid w:val="000B2D8D"/>
    <w:rsid w:val="000B2DC3"/>
    <w:rsid w:val="000B305B"/>
    <w:rsid w:val="000B4546"/>
    <w:rsid w:val="000B472D"/>
    <w:rsid w:val="000B5382"/>
    <w:rsid w:val="000B601B"/>
    <w:rsid w:val="000B6858"/>
    <w:rsid w:val="000B6E30"/>
    <w:rsid w:val="000B7113"/>
    <w:rsid w:val="000B7251"/>
    <w:rsid w:val="000C06A9"/>
    <w:rsid w:val="000C0FF8"/>
    <w:rsid w:val="000C128D"/>
    <w:rsid w:val="000C1404"/>
    <w:rsid w:val="000C1927"/>
    <w:rsid w:val="000C19D9"/>
    <w:rsid w:val="000C207E"/>
    <w:rsid w:val="000C3F1A"/>
    <w:rsid w:val="000C40E5"/>
    <w:rsid w:val="000C415A"/>
    <w:rsid w:val="000C60F8"/>
    <w:rsid w:val="000C7723"/>
    <w:rsid w:val="000C7990"/>
    <w:rsid w:val="000D1802"/>
    <w:rsid w:val="000D2963"/>
    <w:rsid w:val="000D2B50"/>
    <w:rsid w:val="000D303C"/>
    <w:rsid w:val="000D31CE"/>
    <w:rsid w:val="000D41E9"/>
    <w:rsid w:val="000D440B"/>
    <w:rsid w:val="000D4A11"/>
    <w:rsid w:val="000D53A3"/>
    <w:rsid w:val="000D5E1B"/>
    <w:rsid w:val="000D60EF"/>
    <w:rsid w:val="000D632A"/>
    <w:rsid w:val="000D7AE1"/>
    <w:rsid w:val="000E0377"/>
    <w:rsid w:val="000E0692"/>
    <w:rsid w:val="000E06F7"/>
    <w:rsid w:val="000E0ECD"/>
    <w:rsid w:val="000E0F19"/>
    <w:rsid w:val="000E1D7A"/>
    <w:rsid w:val="000E37D6"/>
    <w:rsid w:val="000E3E1F"/>
    <w:rsid w:val="000E45CC"/>
    <w:rsid w:val="000E5B67"/>
    <w:rsid w:val="000E794A"/>
    <w:rsid w:val="000E7AFC"/>
    <w:rsid w:val="000F0035"/>
    <w:rsid w:val="000F0250"/>
    <w:rsid w:val="000F02C4"/>
    <w:rsid w:val="000F04E7"/>
    <w:rsid w:val="000F060A"/>
    <w:rsid w:val="000F1259"/>
    <w:rsid w:val="000F1D03"/>
    <w:rsid w:val="000F2329"/>
    <w:rsid w:val="000F30CC"/>
    <w:rsid w:val="000F420B"/>
    <w:rsid w:val="000F47D2"/>
    <w:rsid w:val="000F4B52"/>
    <w:rsid w:val="000F539C"/>
    <w:rsid w:val="000F62E6"/>
    <w:rsid w:val="000F695B"/>
    <w:rsid w:val="000F6A39"/>
    <w:rsid w:val="000F73B1"/>
    <w:rsid w:val="000F7666"/>
    <w:rsid w:val="000F79B8"/>
    <w:rsid w:val="001006FA"/>
    <w:rsid w:val="001011A8"/>
    <w:rsid w:val="00102406"/>
    <w:rsid w:val="00102D54"/>
    <w:rsid w:val="00102DE9"/>
    <w:rsid w:val="00102DEB"/>
    <w:rsid w:val="001034C4"/>
    <w:rsid w:val="00105349"/>
    <w:rsid w:val="00105A15"/>
    <w:rsid w:val="0010681C"/>
    <w:rsid w:val="001069CC"/>
    <w:rsid w:val="001100AE"/>
    <w:rsid w:val="00110116"/>
    <w:rsid w:val="001101B8"/>
    <w:rsid w:val="0011128A"/>
    <w:rsid w:val="00111738"/>
    <w:rsid w:val="00111C4B"/>
    <w:rsid w:val="0011218B"/>
    <w:rsid w:val="0011241C"/>
    <w:rsid w:val="00112C19"/>
    <w:rsid w:val="00114748"/>
    <w:rsid w:val="00114B83"/>
    <w:rsid w:val="00115DDB"/>
    <w:rsid w:val="00120072"/>
    <w:rsid w:val="0012059E"/>
    <w:rsid w:val="00121292"/>
    <w:rsid w:val="00124032"/>
    <w:rsid w:val="0012490D"/>
    <w:rsid w:val="001251E4"/>
    <w:rsid w:val="001257F3"/>
    <w:rsid w:val="00125C1E"/>
    <w:rsid w:val="00126EB8"/>
    <w:rsid w:val="001272CB"/>
    <w:rsid w:val="0012739D"/>
    <w:rsid w:val="001274D4"/>
    <w:rsid w:val="00130848"/>
    <w:rsid w:val="00130C93"/>
    <w:rsid w:val="001311F2"/>
    <w:rsid w:val="0013212E"/>
    <w:rsid w:val="00132C0E"/>
    <w:rsid w:val="00133111"/>
    <w:rsid w:val="001363AA"/>
    <w:rsid w:val="001365B3"/>
    <w:rsid w:val="001371AD"/>
    <w:rsid w:val="0013739A"/>
    <w:rsid w:val="00137A74"/>
    <w:rsid w:val="00140B45"/>
    <w:rsid w:val="00142165"/>
    <w:rsid w:val="00143A0B"/>
    <w:rsid w:val="00144FE2"/>
    <w:rsid w:val="001456FE"/>
    <w:rsid w:val="001463EB"/>
    <w:rsid w:val="00146757"/>
    <w:rsid w:val="0014784D"/>
    <w:rsid w:val="00147CBF"/>
    <w:rsid w:val="00147D84"/>
    <w:rsid w:val="001519AD"/>
    <w:rsid w:val="00152E12"/>
    <w:rsid w:val="00154615"/>
    <w:rsid w:val="00154EE6"/>
    <w:rsid w:val="0015659E"/>
    <w:rsid w:val="00160EE0"/>
    <w:rsid w:val="00161010"/>
    <w:rsid w:val="00162434"/>
    <w:rsid w:val="001629AC"/>
    <w:rsid w:val="00162F15"/>
    <w:rsid w:val="00165249"/>
    <w:rsid w:val="00165994"/>
    <w:rsid w:val="00166469"/>
    <w:rsid w:val="00166A7B"/>
    <w:rsid w:val="00171A4E"/>
    <w:rsid w:val="00172CEA"/>
    <w:rsid w:val="00172E13"/>
    <w:rsid w:val="00172FB0"/>
    <w:rsid w:val="001738A9"/>
    <w:rsid w:val="00173B9C"/>
    <w:rsid w:val="00174652"/>
    <w:rsid w:val="00174824"/>
    <w:rsid w:val="00175162"/>
    <w:rsid w:val="00175769"/>
    <w:rsid w:val="00175CDB"/>
    <w:rsid w:val="00176051"/>
    <w:rsid w:val="001772A6"/>
    <w:rsid w:val="00180FD4"/>
    <w:rsid w:val="001834A5"/>
    <w:rsid w:val="001837CA"/>
    <w:rsid w:val="00183DAB"/>
    <w:rsid w:val="00183DC4"/>
    <w:rsid w:val="00183E82"/>
    <w:rsid w:val="00184085"/>
    <w:rsid w:val="00184D97"/>
    <w:rsid w:val="00185DC3"/>
    <w:rsid w:val="001862B8"/>
    <w:rsid w:val="00186930"/>
    <w:rsid w:val="0018781C"/>
    <w:rsid w:val="001878BB"/>
    <w:rsid w:val="00190AFE"/>
    <w:rsid w:val="00191AE0"/>
    <w:rsid w:val="00191B53"/>
    <w:rsid w:val="00192803"/>
    <w:rsid w:val="0019293B"/>
    <w:rsid w:val="00192D78"/>
    <w:rsid w:val="00192DAC"/>
    <w:rsid w:val="00192F81"/>
    <w:rsid w:val="0019426B"/>
    <w:rsid w:val="001942D3"/>
    <w:rsid w:val="00196945"/>
    <w:rsid w:val="00196FD4"/>
    <w:rsid w:val="001972A1"/>
    <w:rsid w:val="00197344"/>
    <w:rsid w:val="00197ADA"/>
    <w:rsid w:val="001A31CD"/>
    <w:rsid w:val="001A3222"/>
    <w:rsid w:val="001A369A"/>
    <w:rsid w:val="001A4085"/>
    <w:rsid w:val="001A431B"/>
    <w:rsid w:val="001A4322"/>
    <w:rsid w:val="001A464B"/>
    <w:rsid w:val="001A46F5"/>
    <w:rsid w:val="001A483F"/>
    <w:rsid w:val="001A6A4B"/>
    <w:rsid w:val="001A71DE"/>
    <w:rsid w:val="001A73BD"/>
    <w:rsid w:val="001A76ED"/>
    <w:rsid w:val="001A7FF2"/>
    <w:rsid w:val="001B0601"/>
    <w:rsid w:val="001B0D79"/>
    <w:rsid w:val="001B1103"/>
    <w:rsid w:val="001B1B50"/>
    <w:rsid w:val="001B1D95"/>
    <w:rsid w:val="001B2B7A"/>
    <w:rsid w:val="001B3600"/>
    <w:rsid w:val="001B4683"/>
    <w:rsid w:val="001B55F2"/>
    <w:rsid w:val="001B5C12"/>
    <w:rsid w:val="001B633C"/>
    <w:rsid w:val="001B6A18"/>
    <w:rsid w:val="001B782E"/>
    <w:rsid w:val="001B7B34"/>
    <w:rsid w:val="001C06BE"/>
    <w:rsid w:val="001C0865"/>
    <w:rsid w:val="001C0AED"/>
    <w:rsid w:val="001C0EE4"/>
    <w:rsid w:val="001C2219"/>
    <w:rsid w:val="001C3835"/>
    <w:rsid w:val="001C3ABA"/>
    <w:rsid w:val="001C5111"/>
    <w:rsid w:val="001C513A"/>
    <w:rsid w:val="001C7C79"/>
    <w:rsid w:val="001D09BC"/>
    <w:rsid w:val="001D0A6F"/>
    <w:rsid w:val="001D106E"/>
    <w:rsid w:val="001D39B3"/>
    <w:rsid w:val="001D666F"/>
    <w:rsid w:val="001D72E6"/>
    <w:rsid w:val="001D75ED"/>
    <w:rsid w:val="001D763C"/>
    <w:rsid w:val="001D7959"/>
    <w:rsid w:val="001D7D3B"/>
    <w:rsid w:val="001E0923"/>
    <w:rsid w:val="001E0DA9"/>
    <w:rsid w:val="001E1D1B"/>
    <w:rsid w:val="001E27BA"/>
    <w:rsid w:val="001E286E"/>
    <w:rsid w:val="001E29FA"/>
    <w:rsid w:val="001E3863"/>
    <w:rsid w:val="001E51BC"/>
    <w:rsid w:val="001E5253"/>
    <w:rsid w:val="001E716E"/>
    <w:rsid w:val="001E7BE8"/>
    <w:rsid w:val="001F0248"/>
    <w:rsid w:val="001F3EB3"/>
    <w:rsid w:val="001F4F86"/>
    <w:rsid w:val="001F525F"/>
    <w:rsid w:val="001F5EE2"/>
    <w:rsid w:val="001F653E"/>
    <w:rsid w:val="001F72D1"/>
    <w:rsid w:val="002002F0"/>
    <w:rsid w:val="00201B41"/>
    <w:rsid w:val="00201FF4"/>
    <w:rsid w:val="002024A5"/>
    <w:rsid w:val="00202C2C"/>
    <w:rsid w:val="00202E04"/>
    <w:rsid w:val="00203050"/>
    <w:rsid w:val="00203F49"/>
    <w:rsid w:val="0020402B"/>
    <w:rsid w:val="00204E73"/>
    <w:rsid w:val="00205B77"/>
    <w:rsid w:val="002066FD"/>
    <w:rsid w:val="00206775"/>
    <w:rsid w:val="00206E44"/>
    <w:rsid w:val="00207E7E"/>
    <w:rsid w:val="002106B0"/>
    <w:rsid w:val="00210876"/>
    <w:rsid w:val="00211F94"/>
    <w:rsid w:val="002130BF"/>
    <w:rsid w:val="002135AB"/>
    <w:rsid w:val="00213727"/>
    <w:rsid w:val="002144BE"/>
    <w:rsid w:val="0021497B"/>
    <w:rsid w:val="00214EBA"/>
    <w:rsid w:val="002154BC"/>
    <w:rsid w:val="00215C17"/>
    <w:rsid w:val="0021645D"/>
    <w:rsid w:val="00217040"/>
    <w:rsid w:val="0021705C"/>
    <w:rsid w:val="00220344"/>
    <w:rsid w:val="00221723"/>
    <w:rsid w:val="002229B6"/>
    <w:rsid w:val="002231A1"/>
    <w:rsid w:val="0022386D"/>
    <w:rsid w:val="00223C6A"/>
    <w:rsid w:val="0022523F"/>
    <w:rsid w:val="00225885"/>
    <w:rsid w:val="002259B9"/>
    <w:rsid w:val="00225DEB"/>
    <w:rsid w:val="00225E59"/>
    <w:rsid w:val="00226161"/>
    <w:rsid w:val="00226254"/>
    <w:rsid w:val="00226309"/>
    <w:rsid w:val="002269F3"/>
    <w:rsid w:val="002271A7"/>
    <w:rsid w:val="002277D1"/>
    <w:rsid w:val="0023031C"/>
    <w:rsid w:val="002312F3"/>
    <w:rsid w:val="002320B8"/>
    <w:rsid w:val="002324D7"/>
    <w:rsid w:val="0023333F"/>
    <w:rsid w:val="00235067"/>
    <w:rsid w:val="00235F74"/>
    <w:rsid w:val="0023655C"/>
    <w:rsid w:val="0023678C"/>
    <w:rsid w:val="00236D83"/>
    <w:rsid w:val="00236F04"/>
    <w:rsid w:val="002370F9"/>
    <w:rsid w:val="0024002C"/>
    <w:rsid w:val="002406C7"/>
    <w:rsid w:val="002408F4"/>
    <w:rsid w:val="00242279"/>
    <w:rsid w:val="00242418"/>
    <w:rsid w:val="00243997"/>
    <w:rsid w:val="002448E1"/>
    <w:rsid w:val="0024516C"/>
    <w:rsid w:val="00245C82"/>
    <w:rsid w:val="00245F07"/>
    <w:rsid w:val="002469F5"/>
    <w:rsid w:val="00246DC5"/>
    <w:rsid w:val="002475A7"/>
    <w:rsid w:val="00252831"/>
    <w:rsid w:val="00252E2E"/>
    <w:rsid w:val="00253A14"/>
    <w:rsid w:val="00255275"/>
    <w:rsid w:val="002558C0"/>
    <w:rsid w:val="002566AE"/>
    <w:rsid w:val="00256EA9"/>
    <w:rsid w:val="002615B2"/>
    <w:rsid w:val="0026312C"/>
    <w:rsid w:val="002632A4"/>
    <w:rsid w:val="00263602"/>
    <w:rsid w:val="002636D9"/>
    <w:rsid w:val="0026406F"/>
    <w:rsid w:val="002640B8"/>
    <w:rsid w:val="002645CB"/>
    <w:rsid w:val="0026462F"/>
    <w:rsid w:val="002672EF"/>
    <w:rsid w:val="00270A3E"/>
    <w:rsid w:val="00271CCE"/>
    <w:rsid w:val="00271ECA"/>
    <w:rsid w:val="002724BA"/>
    <w:rsid w:val="00272A66"/>
    <w:rsid w:val="00273417"/>
    <w:rsid w:val="00273CD4"/>
    <w:rsid w:val="00273E4A"/>
    <w:rsid w:val="00274BD4"/>
    <w:rsid w:val="00275A6A"/>
    <w:rsid w:val="00275AAE"/>
    <w:rsid w:val="00275CBE"/>
    <w:rsid w:val="002769CA"/>
    <w:rsid w:val="00276C7F"/>
    <w:rsid w:val="002777ED"/>
    <w:rsid w:val="00277ECC"/>
    <w:rsid w:val="00280EB9"/>
    <w:rsid w:val="00281BDB"/>
    <w:rsid w:val="00283F53"/>
    <w:rsid w:val="00284B30"/>
    <w:rsid w:val="00285494"/>
    <w:rsid w:val="0028777A"/>
    <w:rsid w:val="00287F91"/>
    <w:rsid w:val="0029082C"/>
    <w:rsid w:val="00291B40"/>
    <w:rsid w:val="0029310C"/>
    <w:rsid w:val="0029651A"/>
    <w:rsid w:val="002969B3"/>
    <w:rsid w:val="0029726F"/>
    <w:rsid w:val="002978E7"/>
    <w:rsid w:val="002A0032"/>
    <w:rsid w:val="002A032D"/>
    <w:rsid w:val="002A0F65"/>
    <w:rsid w:val="002A12F5"/>
    <w:rsid w:val="002A181D"/>
    <w:rsid w:val="002A2D07"/>
    <w:rsid w:val="002A33AE"/>
    <w:rsid w:val="002A3A3A"/>
    <w:rsid w:val="002A3CA0"/>
    <w:rsid w:val="002A4216"/>
    <w:rsid w:val="002A466F"/>
    <w:rsid w:val="002A4741"/>
    <w:rsid w:val="002A4F5C"/>
    <w:rsid w:val="002A51D3"/>
    <w:rsid w:val="002A619B"/>
    <w:rsid w:val="002A7611"/>
    <w:rsid w:val="002B07F6"/>
    <w:rsid w:val="002B0A09"/>
    <w:rsid w:val="002B3B61"/>
    <w:rsid w:val="002B4008"/>
    <w:rsid w:val="002B4D2E"/>
    <w:rsid w:val="002B4D76"/>
    <w:rsid w:val="002B6537"/>
    <w:rsid w:val="002B7892"/>
    <w:rsid w:val="002B7CD0"/>
    <w:rsid w:val="002B7DB4"/>
    <w:rsid w:val="002C2E68"/>
    <w:rsid w:val="002C439F"/>
    <w:rsid w:val="002C5818"/>
    <w:rsid w:val="002C5A8C"/>
    <w:rsid w:val="002C6BBC"/>
    <w:rsid w:val="002C733B"/>
    <w:rsid w:val="002D0C42"/>
    <w:rsid w:val="002D0E8E"/>
    <w:rsid w:val="002D1C1D"/>
    <w:rsid w:val="002D2383"/>
    <w:rsid w:val="002D4A18"/>
    <w:rsid w:val="002D53C9"/>
    <w:rsid w:val="002D5AD9"/>
    <w:rsid w:val="002D65E2"/>
    <w:rsid w:val="002D6CFA"/>
    <w:rsid w:val="002D6EA8"/>
    <w:rsid w:val="002D71B6"/>
    <w:rsid w:val="002D7224"/>
    <w:rsid w:val="002E0149"/>
    <w:rsid w:val="002E1030"/>
    <w:rsid w:val="002E1599"/>
    <w:rsid w:val="002E350A"/>
    <w:rsid w:val="002E4C42"/>
    <w:rsid w:val="002E4D1E"/>
    <w:rsid w:val="002E726C"/>
    <w:rsid w:val="002F0002"/>
    <w:rsid w:val="002F2C30"/>
    <w:rsid w:val="002F2CF4"/>
    <w:rsid w:val="002F42A9"/>
    <w:rsid w:val="002F4857"/>
    <w:rsid w:val="002F485C"/>
    <w:rsid w:val="002F4898"/>
    <w:rsid w:val="002F49B2"/>
    <w:rsid w:val="002F5874"/>
    <w:rsid w:val="002F5A79"/>
    <w:rsid w:val="002F5BA6"/>
    <w:rsid w:val="002F5F95"/>
    <w:rsid w:val="002F7165"/>
    <w:rsid w:val="00300044"/>
    <w:rsid w:val="003000CD"/>
    <w:rsid w:val="00300AB0"/>
    <w:rsid w:val="00300E95"/>
    <w:rsid w:val="00301189"/>
    <w:rsid w:val="003012AD"/>
    <w:rsid w:val="00301E4A"/>
    <w:rsid w:val="003022C4"/>
    <w:rsid w:val="00302E24"/>
    <w:rsid w:val="00302F92"/>
    <w:rsid w:val="0030385A"/>
    <w:rsid w:val="0030388F"/>
    <w:rsid w:val="00304624"/>
    <w:rsid w:val="00305964"/>
    <w:rsid w:val="00306629"/>
    <w:rsid w:val="00307723"/>
    <w:rsid w:val="00307B7E"/>
    <w:rsid w:val="00310F35"/>
    <w:rsid w:val="003125AE"/>
    <w:rsid w:val="00313563"/>
    <w:rsid w:val="00314467"/>
    <w:rsid w:val="00314B90"/>
    <w:rsid w:val="00314E33"/>
    <w:rsid w:val="00315AE7"/>
    <w:rsid w:val="003168B8"/>
    <w:rsid w:val="00317FDB"/>
    <w:rsid w:val="00320FEB"/>
    <w:rsid w:val="00321FF2"/>
    <w:rsid w:val="0032227F"/>
    <w:rsid w:val="00322712"/>
    <w:rsid w:val="00322D21"/>
    <w:rsid w:val="00322D64"/>
    <w:rsid w:val="0032343B"/>
    <w:rsid w:val="003235D6"/>
    <w:rsid w:val="003238EF"/>
    <w:rsid w:val="00323E09"/>
    <w:rsid w:val="00324915"/>
    <w:rsid w:val="00324B73"/>
    <w:rsid w:val="00324C33"/>
    <w:rsid w:val="0032574C"/>
    <w:rsid w:val="0032642E"/>
    <w:rsid w:val="0032778E"/>
    <w:rsid w:val="00327C12"/>
    <w:rsid w:val="003313B9"/>
    <w:rsid w:val="003318F1"/>
    <w:rsid w:val="00331D92"/>
    <w:rsid w:val="00333932"/>
    <w:rsid w:val="00333D17"/>
    <w:rsid w:val="0033445A"/>
    <w:rsid w:val="00337343"/>
    <w:rsid w:val="00340581"/>
    <w:rsid w:val="00341344"/>
    <w:rsid w:val="00343995"/>
    <w:rsid w:val="003458DA"/>
    <w:rsid w:val="00346927"/>
    <w:rsid w:val="003518AA"/>
    <w:rsid w:val="00351BA0"/>
    <w:rsid w:val="00352165"/>
    <w:rsid w:val="0035252B"/>
    <w:rsid w:val="003530CB"/>
    <w:rsid w:val="00353182"/>
    <w:rsid w:val="00354590"/>
    <w:rsid w:val="00354D88"/>
    <w:rsid w:val="00355D4C"/>
    <w:rsid w:val="00355F5D"/>
    <w:rsid w:val="003562A1"/>
    <w:rsid w:val="003565D9"/>
    <w:rsid w:val="003569DB"/>
    <w:rsid w:val="00356AEB"/>
    <w:rsid w:val="00360188"/>
    <w:rsid w:val="003602E1"/>
    <w:rsid w:val="00361575"/>
    <w:rsid w:val="0036178D"/>
    <w:rsid w:val="0036193B"/>
    <w:rsid w:val="00363AD8"/>
    <w:rsid w:val="003650FE"/>
    <w:rsid w:val="003670E7"/>
    <w:rsid w:val="00367F60"/>
    <w:rsid w:val="0037006A"/>
    <w:rsid w:val="0037026F"/>
    <w:rsid w:val="0037063D"/>
    <w:rsid w:val="00371122"/>
    <w:rsid w:val="00371240"/>
    <w:rsid w:val="00371413"/>
    <w:rsid w:val="003727ED"/>
    <w:rsid w:val="00373630"/>
    <w:rsid w:val="00374731"/>
    <w:rsid w:val="0037495E"/>
    <w:rsid w:val="00375C4B"/>
    <w:rsid w:val="0037696C"/>
    <w:rsid w:val="00376A34"/>
    <w:rsid w:val="00376E59"/>
    <w:rsid w:val="00376FDB"/>
    <w:rsid w:val="00377621"/>
    <w:rsid w:val="003777A6"/>
    <w:rsid w:val="00377A1C"/>
    <w:rsid w:val="00377A73"/>
    <w:rsid w:val="00377EC1"/>
    <w:rsid w:val="003800E5"/>
    <w:rsid w:val="00380340"/>
    <w:rsid w:val="00380589"/>
    <w:rsid w:val="00380BBC"/>
    <w:rsid w:val="0038186A"/>
    <w:rsid w:val="00382EEF"/>
    <w:rsid w:val="003831A9"/>
    <w:rsid w:val="00383789"/>
    <w:rsid w:val="00384F27"/>
    <w:rsid w:val="003871E8"/>
    <w:rsid w:val="0038747A"/>
    <w:rsid w:val="00387B29"/>
    <w:rsid w:val="0039063D"/>
    <w:rsid w:val="00391057"/>
    <w:rsid w:val="00391840"/>
    <w:rsid w:val="003919F9"/>
    <w:rsid w:val="00391CE0"/>
    <w:rsid w:val="00391D98"/>
    <w:rsid w:val="003920CF"/>
    <w:rsid w:val="0039285F"/>
    <w:rsid w:val="003940C4"/>
    <w:rsid w:val="003A016B"/>
    <w:rsid w:val="003A0345"/>
    <w:rsid w:val="003A0E88"/>
    <w:rsid w:val="003A185A"/>
    <w:rsid w:val="003A2EEE"/>
    <w:rsid w:val="003A31FE"/>
    <w:rsid w:val="003A3B23"/>
    <w:rsid w:val="003A511C"/>
    <w:rsid w:val="003A59FA"/>
    <w:rsid w:val="003A5B06"/>
    <w:rsid w:val="003A7229"/>
    <w:rsid w:val="003A7ABC"/>
    <w:rsid w:val="003B05C1"/>
    <w:rsid w:val="003B23C2"/>
    <w:rsid w:val="003B2458"/>
    <w:rsid w:val="003B2770"/>
    <w:rsid w:val="003B316A"/>
    <w:rsid w:val="003B3CCC"/>
    <w:rsid w:val="003B40E1"/>
    <w:rsid w:val="003B5E13"/>
    <w:rsid w:val="003B68A4"/>
    <w:rsid w:val="003B6A02"/>
    <w:rsid w:val="003B7F73"/>
    <w:rsid w:val="003B7FC7"/>
    <w:rsid w:val="003C0317"/>
    <w:rsid w:val="003C1172"/>
    <w:rsid w:val="003C38B5"/>
    <w:rsid w:val="003C5D99"/>
    <w:rsid w:val="003C5E6B"/>
    <w:rsid w:val="003D1087"/>
    <w:rsid w:val="003D1AA6"/>
    <w:rsid w:val="003D25B5"/>
    <w:rsid w:val="003D2E5D"/>
    <w:rsid w:val="003D3719"/>
    <w:rsid w:val="003D3D87"/>
    <w:rsid w:val="003D4A66"/>
    <w:rsid w:val="003D52F8"/>
    <w:rsid w:val="003D5F46"/>
    <w:rsid w:val="003D6721"/>
    <w:rsid w:val="003D7139"/>
    <w:rsid w:val="003E05F2"/>
    <w:rsid w:val="003E17C0"/>
    <w:rsid w:val="003E181E"/>
    <w:rsid w:val="003E2F59"/>
    <w:rsid w:val="003E318F"/>
    <w:rsid w:val="003E3A3E"/>
    <w:rsid w:val="003E4391"/>
    <w:rsid w:val="003E4E02"/>
    <w:rsid w:val="003E5517"/>
    <w:rsid w:val="003E60A5"/>
    <w:rsid w:val="003E6334"/>
    <w:rsid w:val="003E746B"/>
    <w:rsid w:val="003E770D"/>
    <w:rsid w:val="003E7E1E"/>
    <w:rsid w:val="003E7F0B"/>
    <w:rsid w:val="003F0789"/>
    <w:rsid w:val="003F0AC0"/>
    <w:rsid w:val="003F682D"/>
    <w:rsid w:val="003F6F2E"/>
    <w:rsid w:val="00400942"/>
    <w:rsid w:val="00401882"/>
    <w:rsid w:val="004043DB"/>
    <w:rsid w:val="004045AB"/>
    <w:rsid w:val="00404E45"/>
    <w:rsid w:val="0040545F"/>
    <w:rsid w:val="00405511"/>
    <w:rsid w:val="0040631C"/>
    <w:rsid w:val="004063B7"/>
    <w:rsid w:val="00406657"/>
    <w:rsid w:val="004068C8"/>
    <w:rsid w:val="0040711A"/>
    <w:rsid w:val="004100C8"/>
    <w:rsid w:val="00410397"/>
    <w:rsid w:val="004103D6"/>
    <w:rsid w:val="00410F28"/>
    <w:rsid w:val="00411DBD"/>
    <w:rsid w:val="00411E7A"/>
    <w:rsid w:val="00412ACE"/>
    <w:rsid w:val="004130E3"/>
    <w:rsid w:val="00413AE7"/>
    <w:rsid w:val="004145D2"/>
    <w:rsid w:val="0041470F"/>
    <w:rsid w:val="00414C24"/>
    <w:rsid w:val="00414E5B"/>
    <w:rsid w:val="00416682"/>
    <w:rsid w:val="00416835"/>
    <w:rsid w:val="004201E2"/>
    <w:rsid w:val="004204A0"/>
    <w:rsid w:val="00420D51"/>
    <w:rsid w:val="00422514"/>
    <w:rsid w:val="00425128"/>
    <w:rsid w:val="00425156"/>
    <w:rsid w:val="004254CF"/>
    <w:rsid w:val="00426A68"/>
    <w:rsid w:val="00426BF4"/>
    <w:rsid w:val="00426CB4"/>
    <w:rsid w:val="00427A66"/>
    <w:rsid w:val="00427E2F"/>
    <w:rsid w:val="0043074B"/>
    <w:rsid w:val="00431249"/>
    <w:rsid w:val="004313D8"/>
    <w:rsid w:val="00431E89"/>
    <w:rsid w:val="00434016"/>
    <w:rsid w:val="004346D2"/>
    <w:rsid w:val="004347DD"/>
    <w:rsid w:val="00434C19"/>
    <w:rsid w:val="00434DE0"/>
    <w:rsid w:val="00435228"/>
    <w:rsid w:val="00435572"/>
    <w:rsid w:val="00436470"/>
    <w:rsid w:val="004366DE"/>
    <w:rsid w:val="00436D8F"/>
    <w:rsid w:val="00436D99"/>
    <w:rsid w:val="00437086"/>
    <w:rsid w:val="00437DD4"/>
    <w:rsid w:val="00440114"/>
    <w:rsid w:val="00440EEE"/>
    <w:rsid w:val="00440FCA"/>
    <w:rsid w:val="0044175D"/>
    <w:rsid w:val="00442F64"/>
    <w:rsid w:val="00443B88"/>
    <w:rsid w:val="004455D8"/>
    <w:rsid w:val="00446735"/>
    <w:rsid w:val="0045042C"/>
    <w:rsid w:val="004505DA"/>
    <w:rsid w:val="00450810"/>
    <w:rsid w:val="004508B1"/>
    <w:rsid w:val="00452474"/>
    <w:rsid w:val="004533F2"/>
    <w:rsid w:val="0045360F"/>
    <w:rsid w:val="00453F84"/>
    <w:rsid w:val="00454002"/>
    <w:rsid w:val="004545E2"/>
    <w:rsid w:val="004547FB"/>
    <w:rsid w:val="004551A8"/>
    <w:rsid w:val="00457844"/>
    <w:rsid w:val="00457D90"/>
    <w:rsid w:val="004609C3"/>
    <w:rsid w:val="00460BE5"/>
    <w:rsid w:val="00460F20"/>
    <w:rsid w:val="004617C4"/>
    <w:rsid w:val="0046188F"/>
    <w:rsid w:val="004620A3"/>
    <w:rsid w:val="004621A1"/>
    <w:rsid w:val="00462C59"/>
    <w:rsid w:val="0046363C"/>
    <w:rsid w:val="004638FD"/>
    <w:rsid w:val="00463C54"/>
    <w:rsid w:val="004647CC"/>
    <w:rsid w:val="00464AAB"/>
    <w:rsid w:val="00464FF2"/>
    <w:rsid w:val="0046589D"/>
    <w:rsid w:val="004669F0"/>
    <w:rsid w:val="00467292"/>
    <w:rsid w:val="0046769D"/>
    <w:rsid w:val="00470320"/>
    <w:rsid w:val="00470737"/>
    <w:rsid w:val="00474C2F"/>
    <w:rsid w:val="00475527"/>
    <w:rsid w:val="0047585F"/>
    <w:rsid w:val="00475C25"/>
    <w:rsid w:val="00475E89"/>
    <w:rsid w:val="0047606F"/>
    <w:rsid w:val="00477144"/>
    <w:rsid w:val="0047725F"/>
    <w:rsid w:val="004773C4"/>
    <w:rsid w:val="00477EB0"/>
    <w:rsid w:val="0048006B"/>
    <w:rsid w:val="00480393"/>
    <w:rsid w:val="004808AB"/>
    <w:rsid w:val="00482BED"/>
    <w:rsid w:val="0048389E"/>
    <w:rsid w:val="004843F0"/>
    <w:rsid w:val="00484C09"/>
    <w:rsid w:val="004854B7"/>
    <w:rsid w:val="00485F53"/>
    <w:rsid w:val="00486196"/>
    <w:rsid w:val="00486920"/>
    <w:rsid w:val="004869BA"/>
    <w:rsid w:val="00486E97"/>
    <w:rsid w:val="00487D91"/>
    <w:rsid w:val="00490520"/>
    <w:rsid w:val="00490CE9"/>
    <w:rsid w:val="00491380"/>
    <w:rsid w:val="0049181F"/>
    <w:rsid w:val="004930BF"/>
    <w:rsid w:val="00493C3D"/>
    <w:rsid w:val="0049459F"/>
    <w:rsid w:val="00494742"/>
    <w:rsid w:val="0049592D"/>
    <w:rsid w:val="00495C65"/>
    <w:rsid w:val="004960F2"/>
    <w:rsid w:val="004962BB"/>
    <w:rsid w:val="004A0239"/>
    <w:rsid w:val="004A0769"/>
    <w:rsid w:val="004A0A73"/>
    <w:rsid w:val="004A2894"/>
    <w:rsid w:val="004A34EF"/>
    <w:rsid w:val="004A38DA"/>
    <w:rsid w:val="004A38DD"/>
    <w:rsid w:val="004A3D94"/>
    <w:rsid w:val="004A4328"/>
    <w:rsid w:val="004A46AA"/>
    <w:rsid w:val="004A56F5"/>
    <w:rsid w:val="004A62A4"/>
    <w:rsid w:val="004A7F09"/>
    <w:rsid w:val="004B1D33"/>
    <w:rsid w:val="004B23AA"/>
    <w:rsid w:val="004B388E"/>
    <w:rsid w:val="004B3EC0"/>
    <w:rsid w:val="004B43AE"/>
    <w:rsid w:val="004B4C99"/>
    <w:rsid w:val="004B6240"/>
    <w:rsid w:val="004B6756"/>
    <w:rsid w:val="004B732B"/>
    <w:rsid w:val="004C03A5"/>
    <w:rsid w:val="004C0900"/>
    <w:rsid w:val="004C0BB9"/>
    <w:rsid w:val="004C195E"/>
    <w:rsid w:val="004C30ED"/>
    <w:rsid w:val="004C360F"/>
    <w:rsid w:val="004C4121"/>
    <w:rsid w:val="004C49ED"/>
    <w:rsid w:val="004C5104"/>
    <w:rsid w:val="004C5DD1"/>
    <w:rsid w:val="004C5E4D"/>
    <w:rsid w:val="004C6025"/>
    <w:rsid w:val="004C6235"/>
    <w:rsid w:val="004C6A41"/>
    <w:rsid w:val="004C6B51"/>
    <w:rsid w:val="004C6E6F"/>
    <w:rsid w:val="004C763E"/>
    <w:rsid w:val="004C78B4"/>
    <w:rsid w:val="004D0123"/>
    <w:rsid w:val="004D02FB"/>
    <w:rsid w:val="004D060C"/>
    <w:rsid w:val="004D1736"/>
    <w:rsid w:val="004D18EC"/>
    <w:rsid w:val="004D1B41"/>
    <w:rsid w:val="004D27DE"/>
    <w:rsid w:val="004D2BD8"/>
    <w:rsid w:val="004D38ED"/>
    <w:rsid w:val="004D413E"/>
    <w:rsid w:val="004D4E79"/>
    <w:rsid w:val="004D5675"/>
    <w:rsid w:val="004D5F0C"/>
    <w:rsid w:val="004D7D35"/>
    <w:rsid w:val="004E0AC3"/>
    <w:rsid w:val="004E0DF2"/>
    <w:rsid w:val="004E1145"/>
    <w:rsid w:val="004E16B9"/>
    <w:rsid w:val="004E1C69"/>
    <w:rsid w:val="004E22AE"/>
    <w:rsid w:val="004E3017"/>
    <w:rsid w:val="004E347E"/>
    <w:rsid w:val="004E3C61"/>
    <w:rsid w:val="004E4411"/>
    <w:rsid w:val="004E4B8C"/>
    <w:rsid w:val="004E59EA"/>
    <w:rsid w:val="004E6C9B"/>
    <w:rsid w:val="004E7849"/>
    <w:rsid w:val="004F0A70"/>
    <w:rsid w:val="004F0F5D"/>
    <w:rsid w:val="004F1ED0"/>
    <w:rsid w:val="004F3081"/>
    <w:rsid w:val="004F45F4"/>
    <w:rsid w:val="004F4A6C"/>
    <w:rsid w:val="004F4C28"/>
    <w:rsid w:val="004F5F33"/>
    <w:rsid w:val="004F5FA4"/>
    <w:rsid w:val="004F6EE5"/>
    <w:rsid w:val="004F7BE8"/>
    <w:rsid w:val="0050168D"/>
    <w:rsid w:val="00501730"/>
    <w:rsid w:val="00502A1E"/>
    <w:rsid w:val="00503CC7"/>
    <w:rsid w:val="0050495D"/>
    <w:rsid w:val="00504C58"/>
    <w:rsid w:val="00507271"/>
    <w:rsid w:val="005073A2"/>
    <w:rsid w:val="005111F3"/>
    <w:rsid w:val="0051171C"/>
    <w:rsid w:val="0051306E"/>
    <w:rsid w:val="005132B3"/>
    <w:rsid w:val="00513AA4"/>
    <w:rsid w:val="00513EDC"/>
    <w:rsid w:val="0051728A"/>
    <w:rsid w:val="00517461"/>
    <w:rsid w:val="00517795"/>
    <w:rsid w:val="005205E7"/>
    <w:rsid w:val="00523639"/>
    <w:rsid w:val="00523F08"/>
    <w:rsid w:val="00524046"/>
    <w:rsid w:val="00525B50"/>
    <w:rsid w:val="00526E73"/>
    <w:rsid w:val="0052733C"/>
    <w:rsid w:val="00527FA1"/>
    <w:rsid w:val="00530895"/>
    <w:rsid w:val="00531699"/>
    <w:rsid w:val="00531FE5"/>
    <w:rsid w:val="005342B1"/>
    <w:rsid w:val="005376B4"/>
    <w:rsid w:val="00537B2E"/>
    <w:rsid w:val="005402FA"/>
    <w:rsid w:val="00540903"/>
    <w:rsid w:val="00540FE9"/>
    <w:rsid w:val="00541A8F"/>
    <w:rsid w:val="00541E1A"/>
    <w:rsid w:val="005429A9"/>
    <w:rsid w:val="00542CB5"/>
    <w:rsid w:val="00543343"/>
    <w:rsid w:val="00545890"/>
    <w:rsid w:val="00550F98"/>
    <w:rsid w:val="00551DBC"/>
    <w:rsid w:val="005531BB"/>
    <w:rsid w:val="0055411D"/>
    <w:rsid w:val="00554130"/>
    <w:rsid w:val="0055455E"/>
    <w:rsid w:val="005547B5"/>
    <w:rsid w:val="00554C0D"/>
    <w:rsid w:val="005552A5"/>
    <w:rsid w:val="0055620E"/>
    <w:rsid w:val="005602D1"/>
    <w:rsid w:val="005603A9"/>
    <w:rsid w:val="005606A8"/>
    <w:rsid w:val="005608AF"/>
    <w:rsid w:val="005608D6"/>
    <w:rsid w:val="00560DAE"/>
    <w:rsid w:val="0056122E"/>
    <w:rsid w:val="005614DB"/>
    <w:rsid w:val="005617CB"/>
    <w:rsid w:val="0056340F"/>
    <w:rsid w:val="00564681"/>
    <w:rsid w:val="005658A8"/>
    <w:rsid w:val="00565FAE"/>
    <w:rsid w:val="00566534"/>
    <w:rsid w:val="00570416"/>
    <w:rsid w:val="00570737"/>
    <w:rsid w:val="00570F47"/>
    <w:rsid w:val="00570FC2"/>
    <w:rsid w:val="0057282B"/>
    <w:rsid w:val="005729BD"/>
    <w:rsid w:val="00573437"/>
    <w:rsid w:val="00573BE3"/>
    <w:rsid w:val="005748CE"/>
    <w:rsid w:val="00574AD5"/>
    <w:rsid w:val="0057526D"/>
    <w:rsid w:val="0057527C"/>
    <w:rsid w:val="00575EC3"/>
    <w:rsid w:val="005760A1"/>
    <w:rsid w:val="00576128"/>
    <w:rsid w:val="0057692E"/>
    <w:rsid w:val="00577588"/>
    <w:rsid w:val="005777D5"/>
    <w:rsid w:val="00580154"/>
    <w:rsid w:val="00580524"/>
    <w:rsid w:val="00581153"/>
    <w:rsid w:val="00581C69"/>
    <w:rsid w:val="00581F86"/>
    <w:rsid w:val="00583787"/>
    <w:rsid w:val="00583C39"/>
    <w:rsid w:val="00583EE5"/>
    <w:rsid w:val="00584207"/>
    <w:rsid w:val="00584514"/>
    <w:rsid w:val="00586A90"/>
    <w:rsid w:val="00586E23"/>
    <w:rsid w:val="00587F28"/>
    <w:rsid w:val="005909CF"/>
    <w:rsid w:val="00591E71"/>
    <w:rsid w:val="0059229D"/>
    <w:rsid w:val="00592BE7"/>
    <w:rsid w:val="00592E57"/>
    <w:rsid w:val="00593E67"/>
    <w:rsid w:val="00596136"/>
    <w:rsid w:val="005972C4"/>
    <w:rsid w:val="00597431"/>
    <w:rsid w:val="005A0642"/>
    <w:rsid w:val="005A0D41"/>
    <w:rsid w:val="005A0EEB"/>
    <w:rsid w:val="005A181F"/>
    <w:rsid w:val="005A24F2"/>
    <w:rsid w:val="005A32B2"/>
    <w:rsid w:val="005A632E"/>
    <w:rsid w:val="005A76F8"/>
    <w:rsid w:val="005A7B16"/>
    <w:rsid w:val="005B0630"/>
    <w:rsid w:val="005B0A5A"/>
    <w:rsid w:val="005B1752"/>
    <w:rsid w:val="005B1BF3"/>
    <w:rsid w:val="005B2878"/>
    <w:rsid w:val="005B295D"/>
    <w:rsid w:val="005B399F"/>
    <w:rsid w:val="005B57F6"/>
    <w:rsid w:val="005B5916"/>
    <w:rsid w:val="005B5AEC"/>
    <w:rsid w:val="005B623F"/>
    <w:rsid w:val="005B78E7"/>
    <w:rsid w:val="005C2739"/>
    <w:rsid w:val="005C44D1"/>
    <w:rsid w:val="005C45B3"/>
    <w:rsid w:val="005C5A23"/>
    <w:rsid w:val="005C6A19"/>
    <w:rsid w:val="005C6C43"/>
    <w:rsid w:val="005D0A24"/>
    <w:rsid w:val="005D0ADF"/>
    <w:rsid w:val="005D17BB"/>
    <w:rsid w:val="005D1E06"/>
    <w:rsid w:val="005D329F"/>
    <w:rsid w:val="005D35E4"/>
    <w:rsid w:val="005D6699"/>
    <w:rsid w:val="005D66E1"/>
    <w:rsid w:val="005E0652"/>
    <w:rsid w:val="005E0FB5"/>
    <w:rsid w:val="005E1D44"/>
    <w:rsid w:val="005E1DE0"/>
    <w:rsid w:val="005E233A"/>
    <w:rsid w:val="005E2925"/>
    <w:rsid w:val="005E29EF"/>
    <w:rsid w:val="005E320B"/>
    <w:rsid w:val="005E43BD"/>
    <w:rsid w:val="005E5131"/>
    <w:rsid w:val="005E5E18"/>
    <w:rsid w:val="005E6A43"/>
    <w:rsid w:val="005E6A78"/>
    <w:rsid w:val="005E6FF7"/>
    <w:rsid w:val="005E747C"/>
    <w:rsid w:val="005E7B93"/>
    <w:rsid w:val="005F09BE"/>
    <w:rsid w:val="005F15B1"/>
    <w:rsid w:val="005F322A"/>
    <w:rsid w:val="005F386F"/>
    <w:rsid w:val="005F3BBE"/>
    <w:rsid w:val="005F3EF0"/>
    <w:rsid w:val="005F4459"/>
    <w:rsid w:val="005F48ED"/>
    <w:rsid w:val="005F497D"/>
    <w:rsid w:val="005F5B37"/>
    <w:rsid w:val="005F61EE"/>
    <w:rsid w:val="005F72C6"/>
    <w:rsid w:val="005F7A01"/>
    <w:rsid w:val="006002EA"/>
    <w:rsid w:val="00600C76"/>
    <w:rsid w:val="00602577"/>
    <w:rsid w:val="00604076"/>
    <w:rsid w:val="00605B39"/>
    <w:rsid w:val="006063C2"/>
    <w:rsid w:val="00606B6D"/>
    <w:rsid w:val="00606E78"/>
    <w:rsid w:val="00606FF3"/>
    <w:rsid w:val="00607BF1"/>
    <w:rsid w:val="00607C9F"/>
    <w:rsid w:val="006100DA"/>
    <w:rsid w:val="006118E1"/>
    <w:rsid w:val="00611DD9"/>
    <w:rsid w:val="006121FF"/>
    <w:rsid w:val="00612267"/>
    <w:rsid w:val="00612DCC"/>
    <w:rsid w:val="00613110"/>
    <w:rsid w:val="006137F1"/>
    <w:rsid w:val="00613BBB"/>
    <w:rsid w:val="00613E74"/>
    <w:rsid w:val="00616C5A"/>
    <w:rsid w:val="00616D5F"/>
    <w:rsid w:val="00616DC0"/>
    <w:rsid w:val="0062051F"/>
    <w:rsid w:val="006214C5"/>
    <w:rsid w:val="0062196F"/>
    <w:rsid w:val="00621E00"/>
    <w:rsid w:val="00621F13"/>
    <w:rsid w:val="006221F8"/>
    <w:rsid w:val="00622404"/>
    <w:rsid w:val="00622F28"/>
    <w:rsid w:val="0062324D"/>
    <w:rsid w:val="00623B11"/>
    <w:rsid w:val="006253E8"/>
    <w:rsid w:val="00625C60"/>
    <w:rsid w:val="00625C6B"/>
    <w:rsid w:val="00625E8C"/>
    <w:rsid w:val="0062627A"/>
    <w:rsid w:val="006302E5"/>
    <w:rsid w:val="0063080D"/>
    <w:rsid w:val="00630D4D"/>
    <w:rsid w:val="00630FCC"/>
    <w:rsid w:val="00631A57"/>
    <w:rsid w:val="006322B0"/>
    <w:rsid w:val="00632A74"/>
    <w:rsid w:val="006334FF"/>
    <w:rsid w:val="0063403B"/>
    <w:rsid w:val="006347BB"/>
    <w:rsid w:val="00634C21"/>
    <w:rsid w:val="006370AD"/>
    <w:rsid w:val="006404C3"/>
    <w:rsid w:val="00640B3D"/>
    <w:rsid w:val="006415CA"/>
    <w:rsid w:val="00642222"/>
    <w:rsid w:val="00642E32"/>
    <w:rsid w:val="00643F9D"/>
    <w:rsid w:val="006440A6"/>
    <w:rsid w:val="00644A07"/>
    <w:rsid w:val="00644EF5"/>
    <w:rsid w:val="00644F7A"/>
    <w:rsid w:val="006458CD"/>
    <w:rsid w:val="00646BC1"/>
    <w:rsid w:val="00647134"/>
    <w:rsid w:val="00647326"/>
    <w:rsid w:val="006479C1"/>
    <w:rsid w:val="006503FA"/>
    <w:rsid w:val="006507D5"/>
    <w:rsid w:val="00650A48"/>
    <w:rsid w:val="00650C58"/>
    <w:rsid w:val="00650EDA"/>
    <w:rsid w:val="006510FD"/>
    <w:rsid w:val="0065192E"/>
    <w:rsid w:val="00651D3E"/>
    <w:rsid w:val="006528DB"/>
    <w:rsid w:val="00653532"/>
    <w:rsid w:val="006541F2"/>
    <w:rsid w:val="00654389"/>
    <w:rsid w:val="00654D42"/>
    <w:rsid w:val="00656EA5"/>
    <w:rsid w:val="006579DE"/>
    <w:rsid w:val="00660533"/>
    <w:rsid w:val="00661955"/>
    <w:rsid w:val="00661D02"/>
    <w:rsid w:val="0066413B"/>
    <w:rsid w:val="00664ABC"/>
    <w:rsid w:val="00664B8B"/>
    <w:rsid w:val="006650BA"/>
    <w:rsid w:val="00665B74"/>
    <w:rsid w:val="00666E02"/>
    <w:rsid w:val="00666FBF"/>
    <w:rsid w:val="0067092A"/>
    <w:rsid w:val="00671E5E"/>
    <w:rsid w:val="0067271A"/>
    <w:rsid w:val="006729FD"/>
    <w:rsid w:val="00672E69"/>
    <w:rsid w:val="006730BF"/>
    <w:rsid w:val="006730FE"/>
    <w:rsid w:val="00676CCC"/>
    <w:rsid w:val="00676F11"/>
    <w:rsid w:val="006770BD"/>
    <w:rsid w:val="00677207"/>
    <w:rsid w:val="006773CC"/>
    <w:rsid w:val="0067772B"/>
    <w:rsid w:val="00677825"/>
    <w:rsid w:val="00680476"/>
    <w:rsid w:val="006810F3"/>
    <w:rsid w:val="0068139E"/>
    <w:rsid w:val="006819AF"/>
    <w:rsid w:val="006819E6"/>
    <w:rsid w:val="00681E71"/>
    <w:rsid w:val="00683EF1"/>
    <w:rsid w:val="00684663"/>
    <w:rsid w:val="0068500B"/>
    <w:rsid w:val="00685374"/>
    <w:rsid w:val="00685395"/>
    <w:rsid w:val="00685F9B"/>
    <w:rsid w:val="00687B97"/>
    <w:rsid w:val="0069042C"/>
    <w:rsid w:val="006905BF"/>
    <w:rsid w:val="00691689"/>
    <w:rsid w:val="00693BE4"/>
    <w:rsid w:val="00693CAA"/>
    <w:rsid w:val="006943A7"/>
    <w:rsid w:val="00694CBC"/>
    <w:rsid w:val="00694E7F"/>
    <w:rsid w:val="00694FDA"/>
    <w:rsid w:val="00695948"/>
    <w:rsid w:val="00696C90"/>
    <w:rsid w:val="00697580"/>
    <w:rsid w:val="00697E0C"/>
    <w:rsid w:val="006A1190"/>
    <w:rsid w:val="006A16D3"/>
    <w:rsid w:val="006A3116"/>
    <w:rsid w:val="006A3614"/>
    <w:rsid w:val="006A4655"/>
    <w:rsid w:val="006A4691"/>
    <w:rsid w:val="006A492F"/>
    <w:rsid w:val="006A6B6F"/>
    <w:rsid w:val="006A7488"/>
    <w:rsid w:val="006A7758"/>
    <w:rsid w:val="006A78A5"/>
    <w:rsid w:val="006B069F"/>
    <w:rsid w:val="006B1155"/>
    <w:rsid w:val="006B1701"/>
    <w:rsid w:val="006B2B3C"/>
    <w:rsid w:val="006B2F04"/>
    <w:rsid w:val="006B3307"/>
    <w:rsid w:val="006B4402"/>
    <w:rsid w:val="006B5B80"/>
    <w:rsid w:val="006B5C16"/>
    <w:rsid w:val="006B6880"/>
    <w:rsid w:val="006B74F2"/>
    <w:rsid w:val="006B75F9"/>
    <w:rsid w:val="006C148E"/>
    <w:rsid w:val="006C18EF"/>
    <w:rsid w:val="006C1D81"/>
    <w:rsid w:val="006C313A"/>
    <w:rsid w:val="006C3B24"/>
    <w:rsid w:val="006C4D52"/>
    <w:rsid w:val="006C7038"/>
    <w:rsid w:val="006C73E4"/>
    <w:rsid w:val="006C7625"/>
    <w:rsid w:val="006D20DD"/>
    <w:rsid w:val="006D287A"/>
    <w:rsid w:val="006D2F45"/>
    <w:rsid w:val="006D6282"/>
    <w:rsid w:val="006D70CD"/>
    <w:rsid w:val="006D7FFE"/>
    <w:rsid w:val="006E190A"/>
    <w:rsid w:val="006E26C0"/>
    <w:rsid w:val="006E293D"/>
    <w:rsid w:val="006E456E"/>
    <w:rsid w:val="006E522D"/>
    <w:rsid w:val="006E5DF3"/>
    <w:rsid w:val="006E5E60"/>
    <w:rsid w:val="006E6B17"/>
    <w:rsid w:val="006E7180"/>
    <w:rsid w:val="006E73EF"/>
    <w:rsid w:val="006E78E1"/>
    <w:rsid w:val="006E7F8B"/>
    <w:rsid w:val="006F0320"/>
    <w:rsid w:val="006F0A06"/>
    <w:rsid w:val="006F0B7D"/>
    <w:rsid w:val="006F16E8"/>
    <w:rsid w:val="006F1D72"/>
    <w:rsid w:val="006F249A"/>
    <w:rsid w:val="006F2E62"/>
    <w:rsid w:val="006F311E"/>
    <w:rsid w:val="006F4119"/>
    <w:rsid w:val="006F43AC"/>
    <w:rsid w:val="006F43DE"/>
    <w:rsid w:val="006F5AB7"/>
    <w:rsid w:val="006F614E"/>
    <w:rsid w:val="006F6859"/>
    <w:rsid w:val="006F6B89"/>
    <w:rsid w:val="006F7369"/>
    <w:rsid w:val="006F7D32"/>
    <w:rsid w:val="007005BE"/>
    <w:rsid w:val="007016BA"/>
    <w:rsid w:val="0070179F"/>
    <w:rsid w:val="00702126"/>
    <w:rsid w:val="0070394A"/>
    <w:rsid w:val="00705DDB"/>
    <w:rsid w:val="00705E54"/>
    <w:rsid w:val="00705ED6"/>
    <w:rsid w:val="007079C9"/>
    <w:rsid w:val="0071038C"/>
    <w:rsid w:val="00710AAC"/>
    <w:rsid w:val="0071176A"/>
    <w:rsid w:val="00711ECB"/>
    <w:rsid w:val="00712BF4"/>
    <w:rsid w:val="0071323B"/>
    <w:rsid w:val="00713A74"/>
    <w:rsid w:val="00714AF8"/>
    <w:rsid w:val="00714D4D"/>
    <w:rsid w:val="007151C5"/>
    <w:rsid w:val="007153D3"/>
    <w:rsid w:val="007154F2"/>
    <w:rsid w:val="0071590B"/>
    <w:rsid w:val="007169DF"/>
    <w:rsid w:val="00717776"/>
    <w:rsid w:val="00717BFC"/>
    <w:rsid w:val="007202B2"/>
    <w:rsid w:val="007202BA"/>
    <w:rsid w:val="00720431"/>
    <w:rsid w:val="007212F0"/>
    <w:rsid w:val="007214E7"/>
    <w:rsid w:val="007224B8"/>
    <w:rsid w:val="0072392C"/>
    <w:rsid w:val="00723B72"/>
    <w:rsid w:val="00724712"/>
    <w:rsid w:val="00724A04"/>
    <w:rsid w:val="007266D3"/>
    <w:rsid w:val="00726BF7"/>
    <w:rsid w:val="00727E75"/>
    <w:rsid w:val="007315E1"/>
    <w:rsid w:val="00732029"/>
    <w:rsid w:val="007320E6"/>
    <w:rsid w:val="00732524"/>
    <w:rsid w:val="007336C6"/>
    <w:rsid w:val="00733CE5"/>
    <w:rsid w:val="007368FE"/>
    <w:rsid w:val="007377BF"/>
    <w:rsid w:val="007378D5"/>
    <w:rsid w:val="007379F2"/>
    <w:rsid w:val="00737E8D"/>
    <w:rsid w:val="00737FE7"/>
    <w:rsid w:val="00741DD5"/>
    <w:rsid w:val="00742DFE"/>
    <w:rsid w:val="007443C2"/>
    <w:rsid w:val="00745DDF"/>
    <w:rsid w:val="00746932"/>
    <w:rsid w:val="007507D1"/>
    <w:rsid w:val="007522DE"/>
    <w:rsid w:val="007525F3"/>
    <w:rsid w:val="00752CF7"/>
    <w:rsid w:val="0075307A"/>
    <w:rsid w:val="007536C3"/>
    <w:rsid w:val="00754D57"/>
    <w:rsid w:val="00755DA1"/>
    <w:rsid w:val="007563DA"/>
    <w:rsid w:val="0075674A"/>
    <w:rsid w:val="0075735E"/>
    <w:rsid w:val="007604BB"/>
    <w:rsid w:val="00760FCA"/>
    <w:rsid w:val="007615DD"/>
    <w:rsid w:val="00761C52"/>
    <w:rsid w:val="00762DB4"/>
    <w:rsid w:val="007630C8"/>
    <w:rsid w:val="0076396F"/>
    <w:rsid w:val="007644E9"/>
    <w:rsid w:val="007651EA"/>
    <w:rsid w:val="0076566B"/>
    <w:rsid w:val="00766A7E"/>
    <w:rsid w:val="0076716A"/>
    <w:rsid w:val="00767AE7"/>
    <w:rsid w:val="00767ECD"/>
    <w:rsid w:val="00772909"/>
    <w:rsid w:val="007736A9"/>
    <w:rsid w:val="00773F97"/>
    <w:rsid w:val="0077469D"/>
    <w:rsid w:val="00774953"/>
    <w:rsid w:val="00776513"/>
    <w:rsid w:val="007801F8"/>
    <w:rsid w:val="0078061C"/>
    <w:rsid w:val="007814E8"/>
    <w:rsid w:val="00783157"/>
    <w:rsid w:val="00783C7D"/>
    <w:rsid w:val="00784133"/>
    <w:rsid w:val="007849B5"/>
    <w:rsid w:val="00784E4F"/>
    <w:rsid w:val="00785232"/>
    <w:rsid w:val="007853DD"/>
    <w:rsid w:val="00785791"/>
    <w:rsid w:val="00785987"/>
    <w:rsid w:val="007867FD"/>
    <w:rsid w:val="0078687D"/>
    <w:rsid w:val="00787296"/>
    <w:rsid w:val="00787C54"/>
    <w:rsid w:val="00790E4E"/>
    <w:rsid w:val="007917BE"/>
    <w:rsid w:val="0079297C"/>
    <w:rsid w:val="00792CB8"/>
    <w:rsid w:val="00793408"/>
    <w:rsid w:val="00793716"/>
    <w:rsid w:val="007939D4"/>
    <w:rsid w:val="00794417"/>
    <w:rsid w:val="007947F5"/>
    <w:rsid w:val="00794AD0"/>
    <w:rsid w:val="00794B66"/>
    <w:rsid w:val="00795E80"/>
    <w:rsid w:val="007960C6"/>
    <w:rsid w:val="0079701E"/>
    <w:rsid w:val="00797505"/>
    <w:rsid w:val="007A21EB"/>
    <w:rsid w:val="007A27C3"/>
    <w:rsid w:val="007A286A"/>
    <w:rsid w:val="007A3EC2"/>
    <w:rsid w:val="007A476D"/>
    <w:rsid w:val="007A5684"/>
    <w:rsid w:val="007A5FF6"/>
    <w:rsid w:val="007A627E"/>
    <w:rsid w:val="007A670D"/>
    <w:rsid w:val="007A6C4D"/>
    <w:rsid w:val="007A6EF8"/>
    <w:rsid w:val="007A7242"/>
    <w:rsid w:val="007B04E2"/>
    <w:rsid w:val="007B1935"/>
    <w:rsid w:val="007B1A93"/>
    <w:rsid w:val="007B1EBB"/>
    <w:rsid w:val="007B21C7"/>
    <w:rsid w:val="007B2FA2"/>
    <w:rsid w:val="007B30C3"/>
    <w:rsid w:val="007B31DB"/>
    <w:rsid w:val="007B3A6D"/>
    <w:rsid w:val="007B3DA3"/>
    <w:rsid w:val="007B404A"/>
    <w:rsid w:val="007B766B"/>
    <w:rsid w:val="007B7CBF"/>
    <w:rsid w:val="007C03A9"/>
    <w:rsid w:val="007C0741"/>
    <w:rsid w:val="007C186B"/>
    <w:rsid w:val="007C1C8D"/>
    <w:rsid w:val="007C204E"/>
    <w:rsid w:val="007C249E"/>
    <w:rsid w:val="007C2AAE"/>
    <w:rsid w:val="007C2D8C"/>
    <w:rsid w:val="007C3048"/>
    <w:rsid w:val="007C36C9"/>
    <w:rsid w:val="007C4086"/>
    <w:rsid w:val="007C4149"/>
    <w:rsid w:val="007C6490"/>
    <w:rsid w:val="007D3151"/>
    <w:rsid w:val="007D5395"/>
    <w:rsid w:val="007D59D8"/>
    <w:rsid w:val="007D6401"/>
    <w:rsid w:val="007D6F40"/>
    <w:rsid w:val="007E004F"/>
    <w:rsid w:val="007E01E4"/>
    <w:rsid w:val="007E3534"/>
    <w:rsid w:val="007E4CD4"/>
    <w:rsid w:val="007E65CF"/>
    <w:rsid w:val="007E69B6"/>
    <w:rsid w:val="007E7A12"/>
    <w:rsid w:val="007F214E"/>
    <w:rsid w:val="007F4874"/>
    <w:rsid w:val="007F5311"/>
    <w:rsid w:val="007F5922"/>
    <w:rsid w:val="007F5BB4"/>
    <w:rsid w:val="007F7107"/>
    <w:rsid w:val="007F7741"/>
    <w:rsid w:val="007F778F"/>
    <w:rsid w:val="007F77F3"/>
    <w:rsid w:val="008002F6"/>
    <w:rsid w:val="00800D4C"/>
    <w:rsid w:val="008010D8"/>
    <w:rsid w:val="00801D98"/>
    <w:rsid w:val="00802007"/>
    <w:rsid w:val="00802A06"/>
    <w:rsid w:val="00802F54"/>
    <w:rsid w:val="00803151"/>
    <w:rsid w:val="008049E4"/>
    <w:rsid w:val="00804F27"/>
    <w:rsid w:val="00804FFF"/>
    <w:rsid w:val="008055B1"/>
    <w:rsid w:val="008055C4"/>
    <w:rsid w:val="008059CA"/>
    <w:rsid w:val="00805FDB"/>
    <w:rsid w:val="00806A11"/>
    <w:rsid w:val="00806E01"/>
    <w:rsid w:val="008077CB"/>
    <w:rsid w:val="0081030F"/>
    <w:rsid w:val="00810D68"/>
    <w:rsid w:val="00812F4A"/>
    <w:rsid w:val="008130A6"/>
    <w:rsid w:val="008135A7"/>
    <w:rsid w:val="00813C0F"/>
    <w:rsid w:val="00813D16"/>
    <w:rsid w:val="00814E6A"/>
    <w:rsid w:val="00815283"/>
    <w:rsid w:val="008167DC"/>
    <w:rsid w:val="00820054"/>
    <w:rsid w:val="0082087D"/>
    <w:rsid w:val="008213EB"/>
    <w:rsid w:val="00825E0C"/>
    <w:rsid w:val="00826AC5"/>
    <w:rsid w:val="00826BC5"/>
    <w:rsid w:val="00826BE0"/>
    <w:rsid w:val="008279AC"/>
    <w:rsid w:val="00832218"/>
    <w:rsid w:val="00833633"/>
    <w:rsid w:val="008337B5"/>
    <w:rsid w:val="0083456D"/>
    <w:rsid w:val="00834C4A"/>
    <w:rsid w:val="00835771"/>
    <w:rsid w:val="008404FF"/>
    <w:rsid w:val="00842014"/>
    <w:rsid w:val="00842933"/>
    <w:rsid w:val="00842A5B"/>
    <w:rsid w:val="00842B92"/>
    <w:rsid w:val="00842E6A"/>
    <w:rsid w:val="0084522B"/>
    <w:rsid w:val="008456C6"/>
    <w:rsid w:val="0085313C"/>
    <w:rsid w:val="00853500"/>
    <w:rsid w:val="0085395D"/>
    <w:rsid w:val="008539BB"/>
    <w:rsid w:val="00853EA5"/>
    <w:rsid w:val="00854DC4"/>
    <w:rsid w:val="00854DC7"/>
    <w:rsid w:val="00854E24"/>
    <w:rsid w:val="0085510C"/>
    <w:rsid w:val="00855282"/>
    <w:rsid w:val="008552ED"/>
    <w:rsid w:val="008558B8"/>
    <w:rsid w:val="00856363"/>
    <w:rsid w:val="0085711F"/>
    <w:rsid w:val="0085796B"/>
    <w:rsid w:val="0086039B"/>
    <w:rsid w:val="0086082C"/>
    <w:rsid w:val="00860A94"/>
    <w:rsid w:val="00861B63"/>
    <w:rsid w:val="0086285F"/>
    <w:rsid w:val="00862DAD"/>
    <w:rsid w:val="00863119"/>
    <w:rsid w:val="00863754"/>
    <w:rsid w:val="0086456E"/>
    <w:rsid w:val="00864ADC"/>
    <w:rsid w:val="00864DD0"/>
    <w:rsid w:val="00864DDB"/>
    <w:rsid w:val="00865717"/>
    <w:rsid w:val="00865AA6"/>
    <w:rsid w:val="0086647D"/>
    <w:rsid w:val="0087057D"/>
    <w:rsid w:val="008725C5"/>
    <w:rsid w:val="0087286D"/>
    <w:rsid w:val="00872F95"/>
    <w:rsid w:val="00873508"/>
    <w:rsid w:val="008736AD"/>
    <w:rsid w:val="008755C2"/>
    <w:rsid w:val="00875B4A"/>
    <w:rsid w:val="00876B50"/>
    <w:rsid w:val="00876D7B"/>
    <w:rsid w:val="00877829"/>
    <w:rsid w:val="00877BC2"/>
    <w:rsid w:val="00880153"/>
    <w:rsid w:val="008807F1"/>
    <w:rsid w:val="00880F97"/>
    <w:rsid w:val="0088133A"/>
    <w:rsid w:val="00881579"/>
    <w:rsid w:val="00882EFC"/>
    <w:rsid w:val="008842B1"/>
    <w:rsid w:val="00884C8E"/>
    <w:rsid w:val="00890D18"/>
    <w:rsid w:val="00890F55"/>
    <w:rsid w:val="00891291"/>
    <w:rsid w:val="00891343"/>
    <w:rsid w:val="008923BD"/>
    <w:rsid w:val="008926E4"/>
    <w:rsid w:val="0089285E"/>
    <w:rsid w:val="008930E2"/>
    <w:rsid w:val="008935B2"/>
    <w:rsid w:val="008939DD"/>
    <w:rsid w:val="00893CB4"/>
    <w:rsid w:val="00893EBE"/>
    <w:rsid w:val="0089436C"/>
    <w:rsid w:val="0089470B"/>
    <w:rsid w:val="008947D6"/>
    <w:rsid w:val="0089592D"/>
    <w:rsid w:val="00897575"/>
    <w:rsid w:val="008A0651"/>
    <w:rsid w:val="008A0D2A"/>
    <w:rsid w:val="008A3D38"/>
    <w:rsid w:val="008A4126"/>
    <w:rsid w:val="008A57C2"/>
    <w:rsid w:val="008A57F3"/>
    <w:rsid w:val="008A64DB"/>
    <w:rsid w:val="008A6531"/>
    <w:rsid w:val="008A71D9"/>
    <w:rsid w:val="008A77C8"/>
    <w:rsid w:val="008A794C"/>
    <w:rsid w:val="008B08A2"/>
    <w:rsid w:val="008B128A"/>
    <w:rsid w:val="008B18F0"/>
    <w:rsid w:val="008B1FA9"/>
    <w:rsid w:val="008B24E0"/>
    <w:rsid w:val="008B2F6B"/>
    <w:rsid w:val="008B3090"/>
    <w:rsid w:val="008B3655"/>
    <w:rsid w:val="008B3DCF"/>
    <w:rsid w:val="008B5160"/>
    <w:rsid w:val="008B5C20"/>
    <w:rsid w:val="008B669A"/>
    <w:rsid w:val="008B6DDB"/>
    <w:rsid w:val="008B6EBA"/>
    <w:rsid w:val="008B7151"/>
    <w:rsid w:val="008B79FD"/>
    <w:rsid w:val="008C0012"/>
    <w:rsid w:val="008C01F1"/>
    <w:rsid w:val="008C0EDC"/>
    <w:rsid w:val="008C1CF4"/>
    <w:rsid w:val="008C2265"/>
    <w:rsid w:val="008C2BD3"/>
    <w:rsid w:val="008C3988"/>
    <w:rsid w:val="008C42DA"/>
    <w:rsid w:val="008C4BE9"/>
    <w:rsid w:val="008C4C46"/>
    <w:rsid w:val="008C597E"/>
    <w:rsid w:val="008C6489"/>
    <w:rsid w:val="008C657A"/>
    <w:rsid w:val="008C6937"/>
    <w:rsid w:val="008C6F8F"/>
    <w:rsid w:val="008D0479"/>
    <w:rsid w:val="008D08BD"/>
    <w:rsid w:val="008D0BA3"/>
    <w:rsid w:val="008D0D8B"/>
    <w:rsid w:val="008D0EB2"/>
    <w:rsid w:val="008D34FA"/>
    <w:rsid w:val="008D365C"/>
    <w:rsid w:val="008D3E96"/>
    <w:rsid w:val="008D3FDD"/>
    <w:rsid w:val="008D47C3"/>
    <w:rsid w:val="008D5487"/>
    <w:rsid w:val="008D5C51"/>
    <w:rsid w:val="008D6035"/>
    <w:rsid w:val="008D66FB"/>
    <w:rsid w:val="008D70A3"/>
    <w:rsid w:val="008D7622"/>
    <w:rsid w:val="008D7843"/>
    <w:rsid w:val="008E2895"/>
    <w:rsid w:val="008E3128"/>
    <w:rsid w:val="008E4F09"/>
    <w:rsid w:val="008E5183"/>
    <w:rsid w:val="008E5C6D"/>
    <w:rsid w:val="008F039D"/>
    <w:rsid w:val="008F03DD"/>
    <w:rsid w:val="008F0884"/>
    <w:rsid w:val="008F0A78"/>
    <w:rsid w:val="008F1C5D"/>
    <w:rsid w:val="008F26D6"/>
    <w:rsid w:val="008F3124"/>
    <w:rsid w:val="008F3D33"/>
    <w:rsid w:val="008F4AF6"/>
    <w:rsid w:val="008F5383"/>
    <w:rsid w:val="008F5708"/>
    <w:rsid w:val="008F5C00"/>
    <w:rsid w:val="008F5D12"/>
    <w:rsid w:val="008F6062"/>
    <w:rsid w:val="008F635F"/>
    <w:rsid w:val="008F718F"/>
    <w:rsid w:val="00900F29"/>
    <w:rsid w:val="009013A6"/>
    <w:rsid w:val="009021A6"/>
    <w:rsid w:val="00902C6B"/>
    <w:rsid w:val="009030BF"/>
    <w:rsid w:val="00903B52"/>
    <w:rsid w:val="009063DF"/>
    <w:rsid w:val="0091032F"/>
    <w:rsid w:val="00910FF0"/>
    <w:rsid w:val="00911A87"/>
    <w:rsid w:val="0091212B"/>
    <w:rsid w:val="009128DF"/>
    <w:rsid w:val="00913D70"/>
    <w:rsid w:val="00913F3F"/>
    <w:rsid w:val="00913FA2"/>
    <w:rsid w:val="009142A5"/>
    <w:rsid w:val="00914368"/>
    <w:rsid w:val="00914D51"/>
    <w:rsid w:val="009151C9"/>
    <w:rsid w:val="00916FC9"/>
    <w:rsid w:val="009172B3"/>
    <w:rsid w:val="00917503"/>
    <w:rsid w:val="00917710"/>
    <w:rsid w:val="00917725"/>
    <w:rsid w:val="009177C5"/>
    <w:rsid w:val="0092218F"/>
    <w:rsid w:val="0092255A"/>
    <w:rsid w:val="00922941"/>
    <w:rsid w:val="009229D6"/>
    <w:rsid w:val="00922A05"/>
    <w:rsid w:val="00922BC0"/>
    <w:rsid w:val="00923D9F"/>
    <w:rsid w:val="00923EC8"/>
    <w:rsid w:val="00924258"/>
    <w:rsid w:val="00927115"/>
    <w:rsid w:val="00927614"/>
    <w:rsid w:val="00927F3E"/>
    <w:rsid w:val="009300D9"/>
    <w:rsid w:val="00930509"/>
    <w:rsid w:val="0093060F"/>
    <w:rsid w:val="00930C0E"/>
    <w:rsid w:val="00931076"/>
    <w:rsid w:val="0093185B"/>
    <w:rsid w:val="00931DB8"/>
    <w:rsid w:val="0093266E"/>
    <w:rsid w:val="009331ED"/>
    <w:rsid w:val="0093393C"/>
    <w:rsid w:val="00934014"/>
    <w:rsid w:val="009345D9"/>
    <w:rsid w:val="00934B15"/>
    <w:rsid w:val="00935012"/>
    <w:rsid w:val="00935A80"/>
    <w:rsid w:val="00935DF9"/>
    <w:rsid w:val="00940C10"/>
    <w:rsid w:val="00940C87"/>
    <w:rsid w:val="00942B62"/>
    <w:rsid w:val="0094390B"/>
    <w:rsid w:val="00943C69"/>
    <w:rsid w:val="009452D1"/>
    <w:rsid w:val="00945E07"/>
    <w:rsid w:val="00945EA4"/>
    <w:rsid w:val="00947EE5"/>
    <w:rsid w:val="00950517"/>
    <w:rsid w:val="0095100D"/>
    <w:rsid w:val="0095131D"/>
    <w:rsid w:val="00951DC3"/>
    <w:rsid w:val="00952190"/>
    <w:rsid w:val="009523CE"/>
    <w:rsid w:val="009524DE"/>
    <w:rsid w:val="00952993"/>
    <w:rsid w:val="00952E06"/>
    <w:rsid w:val="0095323B"/>
    <w:rsid w:val="00953B37"/>
    <w:rsid w:val="009550A8"/>
    <w:rsid w:val="009554E3"/>
    <w:rsid w:val="00956A0C"/>
    <w:rsid w:val="00956BD9"/>
    <w:rsid w:val="00957749"/>
    <w:rsid w:val="00957B9F"/>
    <w:rsid w:val="009603EC"/>
    <w:rsid w:val="00960C05"/>
    <w:rsid w:val="00961007"/>
    <w:rsid w:val="0096121A"/>
    <w:rsid w:val="009618D9"/>
    <w:rsid w:val="00961CA4"/>
    <w:rsid w:val="009623B5"/>
    <w:rsid w:val="00962489"/>
    <w:rsid w:val="009628D0"/>
    <w:rsid w:val="00962C10"/>
    <w:rsid w:val="00963314"/>
    <w:rsid w:val="00964415"/>
    <w:rsid w:val="00964B23"/>
    <w:rsid w:val="009657E2"/>
    <w:rsid w:val="009657FC"/>
    <w:rsid w:val="009669C1"/>
    <w:rsid w:val="00966BD6"/>
    <w:rsid w:val="00967CD3"/>
    <w:rsid w:val="00970E53"/>
    <w:rsid w:val="0097120F"/>
    <w:rsid w:val="009714FE"/>
    <w:rsid w:val="009717D8"/>
    <w:rsid w:val="00971879"/>
    <w:rsid w:val="009729CB"/>
    <w:rsid w:val="00973FBD"/>
    <w:rsid w:val="009748FC"/>
    <w:rsid w:val="00975E52"/>
    <w:rsid w:val="0097746E"/>
    <w:rsid w:val="00977B79"/>
    <w:rsid w:val="00980C1D"/>
    <w:rsid w:val="00980E7F"/>
    <w:rsid w:val="00981569"/>
    <w:rsid w:val="00982548"/>
    <w:rsid w:val="00983C88"/>
    <w:rsid w:val="009856FF"/>
    <w:rsid w:val="00985A38"/>
    <w:rsid w:val="009862C7"/>
    <w:rsid w:val="00986392"/>
    <w:rsid w:val="00987CD8"/>
    <w:rsid w:val="009905CF"/>
    <w:rsid w:val="00990777"/>
    <w:rsid w:val="00990C2C"/>
    <w:rsid w:val="00990C92"/>
    <w:rsid w:val="009912DD"/>
    <w:rsid w:val="00992879"/>
    <w:rsid w:val="0099336E"/>
    <w:rsid w:val="009965BB"/>
    <w:rsid w:val="00997791"/>
    <w:rsid w:val="00997A2D"/>
    <w:rsid w:val="009A12C4"/>
    <w:rsid w:val="009A1543"/>
    <w:rsid w:val="009A19DE"/>
    <w:rsid w:val="009A2B12"/>
    <w:rsid w:val="009A34E7"/>
    <w:rsid w:val="009A34F7"/>
    <w:rsid w:val="009A3EC1"/>
    <w:rsid w:val="009A418F"/>
    <w:rsid w:val="009A5171"/>
    <w:rsid w:val="009A5B24"/>
    <w:rsid w:val="009A7BB9"/>
    <w:rsid w:val="009A7BF8"/>
    <w:rsid w:val="009B015C"/>
    <w:rsid w:val="009B01EF"/>
    <w:rsid w:val="009B0F95"/>
    <w:rsid w:val="009B1B59"/>
    <w:rsid w:val="009B1DCC"/>
    <w:rsid w:val="009B2DF3"/>
    <w:rsid w:val="009B3031"/>
    <w:rsid w:val="009B3A74"/>
    <w:rsid w:val="009B4791"/>
    <w:rsid w:val="009B65FD"/>
    <w:rsid w:val="009C020D"/>
    <w:rsid w:val="009C053E"/>
    <w:rsid w:val="009C1CEF"/>
    <w:rsid w:val="009C31E6"/>
    <w:rsid w:val="009C367B"/>
    <w:rsid w:val="009C46FE"/>
    <w:rsid w:val="009C4C38"/>
    <w:rsid w:val="009C4DFD"/>
    <w:rsid w:val="009C5DF5"/>
    <w:rsid w:val="009C5F35"/>
    <w:rsid w:val="009C5FA7"/>
    <w:rsid w:val="009C67DF"/>
    <w:rsid w:val="009C67F6"/>
    <w:rsid w:val="009D1A1B"/>
    <w:rsid w:val="009D1C36"/>
    <w:rsid w:val="009D4B00"/>
    <w:rsid w:val="009D4B9C"/>
    <w:rsid w:val="009D5AE9"/>
    <w:rsid w:val="009D5E0A"/>
    <w:rsid w:val="009D6AFC"/>
    <w:rsid w:val="009D6CAF"/>
    <w:rsid w:val="009D6F74"/>
    <w:rsid w:val="009D73C8"/>
    <w:rsid w:val="009E0A41"/>
    <w:rsid w:val="009E0D8E"/>
    <w:rsid w:val="009E0DCF"/>
    <w:rsid w:val="009E1844"/>
    <w:rsid w:val="009E2892"/>
    <w:rsid w:val="009E4521"/>
    <w:rsid w:val="009E501C"/>
    <w:rsid w:val="009E510F"/>
    <w:rsid w:val="009E58A4"/>
    <w:rsid w:val="009E58BA"/>
    <w:rsid w:val="009E6A90"/>
    <w:rsid w:val="009E6DCA"/>
    <w:rsid w:val="009E7148"/>
    <w:rsid w:val="009E717C"/>
    <w:rsid w:val="009E7D6D"/>
    <w:rsid w:val="009F02E4"/>
    <w:rsid w:val="009F0D1B"/>
    <w:rsid w:val="009F0F05"/>
    <w:rsid w:val="009F1DB6"/>
    <w:rsid w:val="009F21D4"/>
    <w:rsid w:val="009F53DD"/>
    <w:rsid w:val="009F5BBD"/>
    <w:rsid w:val="009F696D"/>
    <w:rsid w:val="009F6AC8"/>
    <w:rsid w:val="009F6BC6"/>
    <w:rsid w:val="009F723C"/>
    <w:rsid w:val="009F728D"/>
    <w:rsid w:val="009F74EF"/>
    <w:rsid w:val="009F76C4"/>
    <w:rsid w:val="00A00A30"/>
    <w:rsid w:val="00A00D3D"/>
    <w:rsid w:val="00A01429"/>
    <w:rsid w:val="00A0208D"/>
    <w:rsid w:val="00A02826"/>
    <w:rsid w:val="00A02E9C"/>
    <w:rsid w:val="00A035DF"/>
    <w:rsid w:val="00A036FC"/>
    <w:rsid w:val="00A038C7"/>
    <w:rsid w:val="00A050CC"/>
    <w:rsid w:val="00A06483"/>
    <w:rsid w:val="00A067C5"/>
    <w:rsid w:val="00A0778C"/>
    <w:rsid w:val="00A0791C"/>
    <w:rsid w:val="00A07B3F"/>
    <w:rsid w:val="00A10ADE"/>
    <w:rsid w:val="00A11132"/>
    <w:rsid w:val="00A11B4D"/>
    <w:rsid w:val="00A11E35"/>
    <w:rsid w:val="00A1204E"/>
    <w:rsid w:val="00A136D3"/>
    <w:rsid w:val="00A1383F"/>
    <w:rsid w:val="00A13B25"/>
    <w:rsid w:val="00A1443C"/>
    <w:rsid w:val="00A14AA1"/>
    <w:rsid w:val="00A151D8"/>
    <w:rsid w:val="00A15D5A"/>
    <w:rsid w:val="00A16F53"/>
    <w:rsid w:val="00A172D3"/>
    <w:rsid w:val="00A17328"/>
    <w:rsid w:val="00A17E5A"/>
    <w:rsid w:val="00A21509"/>
    <w:rsid w:val="00A22029"/>
    <w:rsid w:val="00A2296F"/>
    <w:rsid w:val="00A23A20"/>
    <w:rsid w:val="00A23C14"/>
    <w:rsid w:val="00A24443"/>
    <w:rsid w:val="00A2529D"/>
    <w:rsid w:val="00A2574D"/>
    <w:rsid w:val="00A26491"/>
    <w:rsid w:val="00A268B9"/>
    <w:rsid w:val="00A2703A"/>
    <w:rsid w:val="00A27F8D"/>
    <w:rsid w:val="00A30C54"/>
    <w:rsid w:val="00A31AAA"/>
    <w:rsid w:val="00A323BC"/>
    <w:rsid w:val="00A323DD"/>
    <w:rsid w:val="00A33C9A"/>
    <w:rsid w:val="00A33DFF"/>
    <w:rsid w:val="00A345B8"/>
    <w:rsid w:val="00A35115"/>
    <w:rsid w:val="00A354B7"/>
    <w:rsid w:val="00A3559E"/>
    <w:rsid w:val="00A36D9A"/>
    <w:rsid w:val="00A372A2"/>
    <w:rsid w:val="00A408C7"/>
    <w:rsid w:val="00A41525"/>
    <w:rsid w:val="00A42116"/>
    <w:rsid w:val="00A42F0D"/>
    <w:rsid w:val="00A4318F"/>
    <w:rsid w:val="00A43404"/>
    <w:rsid w:val="00A435F5"/>
    <w:rsid w:val="00A43C12"/>
    <w:rsid w:val="00A441E9"/>
    <w:rsid w:val="00A44367"/>
    <w:rsid w:val="00A448B2"/>
    <w:rsid w:val="00A450AF"/>
    <w:rsid w:val="00A451DC"/>
    <w:rsid w:val="00A4627E"/>
    <w:rsid w:val="00A46A0F"/>
    <w:rsid w:val="00A46DF9"/>
    <w:rsid w:val="00A46E5E"/>
    <w:rsid w:val="00A47555"/>
    <w:rsid w:val="00A47708"/>
    <w:rsid w:val="00A51790"/>
    <w:rsid w:val="00A51D23"/>
    <w:rsid w:val="00A51E6C"/>
    <w:rsid w:val="00A52971"/>
    <w:rsid w:val="00A53E35"/>
    <w:rsid w:val="00A54F1B"/>
    <w:rsid w:val="00A554AB"/>
    <w:rsid w:val="00A568C1"/>
    <w:rsid w:val="00A57062"/>
    <w:rsid w:val="00A574E3"/>
    <w:rsid w:val="00A6025D"/>
    <w:rsid w:val="00A60B43"/>
    <w:rsid w:val="00A61817"/>
    <w:rsid w:val="00A63160"/>
    <w:rsid w:val="00A633BD"/>
    <w:rsid w:val="00A6390D"/>
    <w:rsid w:val="00A63DDA"/>
    <w:rsid w:val="00A64260"/>
    <w:rsid w:val="00A651B5"/>
    <w:rsid w:val="00A652BC"/>
    <w:rsid w:val="00A6570B"/>
    <w:rsid w:val="00A65C03"/>
    <w:rsid w:val="00A666B4"/>
    <w:rsid w:val="00A672EE"/>
    <w:rsid w:val="00A67781"/>
    <w:rsid w:val="00A67AEB"/>
    <w:rsid w:val="00A707E9"/>
    <w:rsid w:val="00A708F6"/>
    <w:rsid w:val="00A70DEE"/>
    <w:rsid w:val="00A7225C"/>
    <w:rsid w:val="00A72BCF"/>
    <w:rsid w:val="00A732F4"/>
    <w:rsid w:val="00A73EC7"/>
    <w:rsid w:val="00A74616"/>
    <w:rsid w:val="00A761F9"/>
    <w:rsid w:val="00A76A88"/>
    <w:rsid w:val="00A76F75"/>
    <w:rsid w:val="00A7741A"/>
    <w:rsid w:val="00A80B42"/>
    <w:rsid w:val="00A8175A"/>
    <w:rsid w:val="00A81A82"/>
    <w:rsid w:val="00A81B26"/>
    <w:rsid w:val="00A81D73"/>
    <w:rsid w:val="00A8222C"/>
    <w:rsid w:val="00A82FAB"/>
    <w:rsid w:val="00A84062"/>
    <w:rsid w:val="00A84F3F"/>
    <w:rsid w:val="00A85768"/>
    <w:rsid w:val="00A85F22"/>
    <w:rsid w:val="00A86CBB"/>
    <w:rsid w:val="00A874A8"/>
    <w:rsid w:val="00A8789E"/>
    <w:rsid w:val="00A90C77"/>
    <w:rsid w:val="00A9170A"/>
    <w:rsid w:val="00A91EBC"/>
    <w:rsid w:val="00A91EEE"/>
    <w:rsid w:val="00A920F9"/>
    <w:rsid w:val="00A92B53"/>
    <w:rsid w:val="00A9319C"/>
    <w:rsid w:val="00A93341"/>
    <w:rsid w:val="00A93A68"/>
    <w:rsid w:val="00A94F58"/>
    <w:rsid w:val="00A94F5B"/>
    <w:rsid w:val="00A94FA6"/>
    <w:rsid w:val="00A9508F"/>
    <w:rsid w:val="00A95A17"/>
    <w:rsid w:val="00A96596"/>
    <w:rsid w:val="00A96675"/>
    <w:rsid w:val="00A97FB5"/>
    <w:rsid w:val="00AA002C"/>
    <w:rsid w:val="00AA0367"/>
    <w:rsid w:val="00AA0B4F"/>
    <w:rsid w:val="00AA26E5"/>
    <w:rsid w:val="00AA3472"/>
    <w:rsid w:val="00AA4317"/>
    <w:rsid w:val="00AA49A0"/>
    <w:rsid w:val="00AA5867"/>
    <w:rsid w:val="00AA6684"/>
    <w:rsid w:val="00AA6710"/>
    <w:rsid w:val="00AB0681"/>
    <w:rsid w:val="00AB174C"/>
    <w:rsid w:val="00AB17A5"/>
    <w:rsid w:val="00AB1A51"/>
    <w:rsid w:val="00AB285A"/>
    <w:rsid w:val="00AB319B"/>
    <w:rsid w:val="00AB4ECE"/>
    <w:rsid w:val="00AB5B15"/>
    <w:rsid w:val="00AB5CDD"/>
    <w:rsid w:val="00AB6A19"/>
    <w:rsid w:val="00AB789D"/>
    <w:rsid w:val="00AB7FA0"/>
    <w:rsid w:val="00AC092D"/>
    <w:rsid w:val="00AC0B90"/>
    <w:rsid w:val="00AC0EC3"/>
    <w:rsid w:val="00AC1288"/>
    <w:rsid w:val="00AC1691"/>
    <w:rsid w:val="00AC2198"/>
    <w:rsid w:val="00AC3A15"/>
    <w:rsid w:val="00AC6185"/>
    <w:rsid w:val="00AC6268"/>
    <w:rsid w:val="00AC631D"/>
    <w:rsid w:val="00AC676E"/>
    <w:rsid w:val="00AC7530"/>
    <w:rsid w:val="00AC7FA0"/>
    <w:rsid w:val="00AD027D"/>
    <w:rsid w:val="00AD33DB"/>
    <w:rsid w:val="00AD520B"/>
    <w:rsid w:val="00AD538D"/>
    <w:rsid w:val="00AD5DAD"/>
    <w:rsid w:val="00AD6C34"/>
    <w:rsid w:val="00AE19DE"/>
    <w:rsid w:val="00AE24F2"/>
    <w:rsid w:val="00AE390D"/>
    <w:rsid w:val="00AE3BCC"/>
    <w:rsid w:val="00AE5668"/>
    <w:rsid w:val="00AE6282"/>
    <w:rsid w:val="00AE6C13"/>
    <w:rsid w:val="00AE7108"/>
    <w:rsid w:val="00AE7788"/>
    <w:rsid w:val="00AF0549"/>
    <w:rsid w:val="00AF17E0"/>
    <w:rsid w:val="00AF1EE6"/>
    <w:rsid w:val="00AF1FE2"/>
    <w:rsid w:val="00AF31C7"/>
    <w:rsid w:val="00AF67DA"/>
    <w:rsid w:val="00B00748"/>
    <w:rsid w:val="00B00D78"/>
    <w:rsid w:val="00B0175B"/>
    <w:rsid w:val="00B01B0D"/>
    <w:rsid w:val="00B01D74"/>
    <w:rsid w:val="00B03049"/>
    <w:rsid w:val="00B033EB"/>
    <w:rsid w:val="00B03B45"/>
    <w:rsid w:val="00B058C4"/>
    <w:rsid w:val="00B059B1"/>
    <w:rsid w:val="00B05A4E"/>
    <w:rsid w:val="00B067AA"/>
    <w:rsid w:val="00B06F4C"/>
    <w:rsid w:val="00B07EC0"/>
    <w:rsid w:val="00B104CC"/>
    <w:rsid w:val="00B106D8"/>
    <w:rsid w:val="00B116BC"/>
    <w:rsid w:val="00B11E88"/>
    <w:rsid w:val="00B1216E"/>
    <w:rsid w:val="00B12257"/>
    <w:rsid w:val="00B13277"/>
    <w:rsid w:val="00B139FF"/>
    <w:rsid w:val="00B13D40"/>
    <w:rsid w:val="00B14F76"/>
    <w:rsid w:val="00B1519F"/>
    <w:rsid w:val="00B1603E"/>
    <w:rsid w:val="00B1698D"/>
    <w:rsid w:val="00B16CDB"/>
    <w:rsid w:val="00B17351"/>
    <w:rsid w:val="00B2162C"/>
    <w:rsid w:val="00B21805"/>
    <w:rsid w:val="00B21AFB"/>
    <w:rsid w:val="00B21B4F"/>
    <w:rsid w:val="00B21B8D"/>
    <w:rsid w:val="00B21FFE"/>
    <w:rsid w:val="00B22970"/>
    <w:rsid w:val="00B23341"/>
    <w:rsid w:val="00B23CA3"/>
    <w:rsid w:val="00B23F1C"/>
    <w:rsid w:val="00B23F2D"/>
    <w:rsid w:val="00B2473B"/>
    <w:rsid w:val="00B25C29"/>
    <w:rsid w:val="00B2694E"/>
    <w:rsid w:val="00B27596"/>
    <w:rsid w:val="00B3015F"/>
    <w:rsid w:val="00B3045D"/>
    <w:rsid w:val="00B30E9A"/>
    <w:rsid w:val="00B326A7"/>
    <w:rsid w:val="00B32754"/>
    <w:rsid w:val="00B331A1"/>
    <w:rsid w:val="00B340B5"/>
    <w:rsid w:val="00B34665"/>
    <w:rsid w:val="00B350EE"/>
    <w:rsid w:val="00B35596"/>
    <w:rsid w:val="00B35885"/>
    <w:rsid w:val="00B35AFA"/>
    <w:rsid w:val="00B401FE"/>
    <w:rsid w:val="00B41C6B"/>
    <w:rsid w:val="00B425C3"/>
    <w:rsid w:val="00B4271F"/>
    <w:rsid w:val="00B42B77"/>
    <w:rsid w:val="00B434FD"/>
    <w:rsid w:val="00B4373D"/>
    <w:rsid w:val="00B4409F"/>
    <w:rsid w:val="00B440AD"/>
    <w:rsid w:val="00B44105"/>
    <w:rsid w:val="00B4449E"/>
    <w:rsid w:val="00B456D9"/>
    <w:rsid w:val="00B47688"/>
    <w:rsid w:val="00B479BB"/>
    <w:rsid w:val="00B50032"/>
    <w:rsid w:val="00B50B25"/>
    <w:rsid w:val="00B515A0"/>
    <w:rsid w:val="00B535B0"/>
    <w:rsid w:val="00B535CF"/>
    <w:rsid w:val="00B53E7E"/>
    <w:rsid w:val="00B5557B"/>
    <w:rsid w:val="00B56B23"/>
    <w:rsid w:val="00B56C5F"/>
    <w:rsid w:val="00B60CA0"/>
    <w:rsid w:val="00B61308"/>
    <w:rsid w:val="00B625D8"/>
    <w:rsid w:val="00B6342E"/>
    <w:rsid w:val="00B64AA1"/>
    <w:rsid w:val="00B64EE7"/>
    <w:rsid w:val="00B651A0"/>
    <w:rsid w:val="00B653E3"/>
    <w:rsid w:val="00B669A5"/>
    <w:rsid w:val="00B66EB0"/>
    <w:rsid w:val="00B677F4"/>
    <w:rsid w:val="00B70472"/>
    <w:rsid w:val="00B7113F"/>
    <w:rsid w:val="00B72F76"/>
    <w:rsid w:val="00B74D3B"/>
    <w:rsid w:val="00B75202"/>
    <w:rsid w:val="00B7545D"/>
    <w:rsid w:val="00B75F46"/>
    <w:rsid w:val="00B7763B"/>
    <w:rsid w:val="00B779C9"/>
    <w:rsid w:val="00B81369"/>
    <w:rsid w:val="00B81B99"/>
    <w:rsid w:val="00B82F2A"/>
    <w:rsid w:val="00B83699"/>
    <w:rsid w:val="00B837AB"/>
    <w:rsid w:val="00B83F17"/>
    <w:rsid w:val="00B83F3B"/>
    <w:rsid w:val="00B86018"/>
    <w:rsid w:val="00B86AA2"/>
    <w:rsid w:val="00B86B6E"/>
    <w:rsid w:val="00B8751A"/>
    <w:rsid w:val="00B906FB"/>
    <w:rsid w:val="00B909D4"/>
    <w:rsid w:val="00B9145E"/>
    <w:rsid w:val="00B91ABC"/>
    <w:rsid w:val="00B92A69"/>
    <w:rsid w:val="00B93F18"/>
    <w:rsid w:val="00B940D2"/>
    <w:rsid w:val="00B94418"/>
    <w:rsid w:val="00B946A6"/>
    <w:rsid w:val="00B94862"/>
    <w:rsid w:val="00B95366"/>
    <w:rsid w:val="00B95431"/>
    <w:rsid w:val="00B96B77"/>
    <w:rsid w:val="00B97021"/>
    <w:rsid w:val="00B97293"/>
    <w:rsid w:val="00BA08FA"/>
    <w:rsid w:val="00BA1549"/>
    <w:rsid w:val="00BA15BB"/>
    <w:rsid w:val="00BA2223"/>
    <w:rsid w:val="00BA24FD"/>
    <w:rsid w:val="00BA2BCF"/>
    <w:rsid w:val="00BA392B"/>
    <w:rsid w:val="00BA3D6D"/>
    <w:rsid w:val="00BA5B14"/>
    <w:rsid w:val="00BA5E93"/>
    <w:rsid w:val="00BA5F94"/>
    <w:rsid w:val="00BA63A5"/>
    <w:rsid w:val="00BA65FA"/>
    <w:rsid w:val="00BA73B6"/>
    <w:rsid w:val="00BA7E27"/>
    <w:rsid w:val="00BB1336"/>
    <w:rsid w:val="00BB1A12"/>
    <w:rsid w:val="00BB1A60"/>
    <w:rsid w:val="00BB1B3F"/>
    <w:rsid w:val="00BB1C1D"/>
    <w:rsid w:val="00BB2603"/>
    <w:rsid w:val="00BB3102"/>
    <w:rsid w:val="00BB4F2C"/>
    <w:rsid w:val="00BB4FCD"/>
    <w:rsid w:val="00BB5E50"/>
    <w:rsid w:val="00BB7222"/>
    <w:rsid w:val="00BB73CF"/>
    <w:rsid w:val="00BC04E9"/>
    <w:rsid w:val="00BC1727"/>
    <w:rsid w:val="00BC1FC1"/>
    <w:rsid w:val="00BC2162"/>
    <w:rsid w:val="00BC2BEC"/>
    <w:rsid w:val="00BC37E7"/>
    <w:rsid w:val="00BC4D3C"/>
    <w:rsid w:val="00BC53EE"/>
    <w:rsid w:val="00BC5F66"/>
    <w:rsid w:val="00BC68DE"/>
    <w:rsid w:val="00BC68E5"/>
    <w:rsid w:val="00BC72EF"/>
    <w:rsid w:val="00BC7DF3"/>
    <w:rsid w:val="00BC7E9B"/>
    <w:rsid w:val="00BD0051"/>
    <w:rsid w:val="00BD11AC"/>
    <w:rsid w:val="00BD13EA"/>
    <w:rsid w:val="00BD1605"/>
    <w:rsid w:val="00BD1B4D"/>
    <w:rsid w:val="00BD2DEE"/>
    <w:rsid w:val="00BD4618"/>
    <w:rsid w:val="00BD47B8"/>
    <w:rsid w:val="00BD5398"/>
    <w:rsid w:val="00BD68B1"/>
    <w:rsid w:val="00BD6DD3"/>
    <w:rsid w:val="00BD79C0"/>
    <w:rsid w:val="00BE0A22"/>
    <w:rsid w:val="00BE22D6"/>
    <w:rsid w:val="00BE2D33"/>
    <w:rsid w:val="00BE2DCF"/>
    <w:rsid w:val="00BE30FC"/>
    <w:rsid w:val="00BE3808"/>
    <w:rsid w:val="00BE382B"/>
    <w:rsid w:val="00BE4CA5"/>
    <w:rsid w:val="00BE7573"/>
    <w:rsid w:val="00BE7C11"/>
    <w:rsid w:val="00BE7E64"/>
    <w:rsid w:val="00BF0AA7"/>
    <w:rsid w:val="00BF2C34"/>
    <w:rsid w:val="00BF34D3"/>
    <w:rsid w:val="00BF4213"/>
    <w:rsid w:val="00BF4EE2"/>
    <w:rsid w:val="00BF58F2"/>
    <w:rsid w:val="00BF764D"/>
    <w:rsid w:val="00BF766B"/>
    <w:rsid w:val="00C014D8"/>
    <w:rsid w:val="00C015C9"/>
    <w:rsid w:val="00C02450"/>
    <w:rsid w:val="00C02764"/>
    <w:rsid w:val="00C030B3"/>
    <w:rsid w:val="00C03486"/>
    <w:rsid w:val="00C03B88"/>
    <w:rsid w:val="00C0518F"/>
    <w:rsid w:val="00C05588"/>
    <w:rsid w:val="00C062E9"/>
    <w:rsid w:val="00C069AA"/>
    <w:rsid w:val="00C07B64"/>
    <w:rsid w:val="00C10739"/>
    <w:rsid w:val="00C119BA"/>
    <w:rsid w:val="00C121AB"/>
    <w:rsid w:val="00C12236"/>
    <w:rsid w:val="00C125B4"/>
    <w:rsid w:val="00C128CD"/>
    <w:rsid w:val="00C12F27"/>
    <w:rsid w:val="00C1313E"/>
    <w:rsid w:val="00C13721"/>
    <w:rsid w:val="00C148D4"/>
    <w:rsid w:val="00C14DCC"/>
    <w:rsid w:val="00C14FE4"/>
    <w:rsid w:val="00C162A7"/>
    <w:rsid w:val="00C164E4"/>
    <w:rsid w:val="00C16829"/>
    <w:rsid w:val="00C16BED"/>
    <w:rsid w:val="00C1705A"/>
    <w:rsid w:val="00C17240"/>
    <w:rsid w:val="00C1771B"/>
    <w:rsid w:val="00C224AA"/>
    <w:rsid w:val="00C224C3"/>
    <w:rsid w:val="00C2286E"/>
    <w:rsid w:val="00C2287F"/>
    <w:rsid w:val="00C23062"/>
    <w:rsid w:val="00C23A24"/>
    <w:rsid w:val="00C23B59"/>
    <w:rsid w:val="00C24079"/>
    <w:rsid w:val="00C2462A"/>
    <w:rsid w:val="00C25F4A"/>
    <w:rsid w:val="00C26355"/>
    <w:rsid w:val="00C270EC"/>
    <w:rsid w:val="00C273E2"/>
    <w:rsid w:val="00C3066D"/>
    <w:rsid w:val="00C306CA"/>
    <w:rsid w:val="00C32522"/>
    <w:rsid w:val="00C32E62"/>
    <w:rsid w:val="00C33C20"/>
    <w:rsid w:val="00C33FF3"/>
    <w:rsid w:val="00C3486D"/>
    <w:rsid w:val="00C36DE7"/>
    <w:rsid w:val="00C373B7"/>
    <w:rsid w:val="00C40F4E"/>
    <w:rsid w:val="00C43E62"/>
    <w:rsid w:val="00C45B98"/>
    <w:rsid w:val="00C507B5"/>
    <w:rsid w:val="00C51BF9"/>
    <w:rsid w:val="00C52416"/>
    <w:rsid w:val="00C52788"/>
    <w:rsid w:val="00C543F4"/>
    <w:rsid w:val="00C565AE"/>
    <w:rsid w:val="00C57584"/>
    <w:rsid w:val="00C60073"/>
    <w:rsid w:val="00C6054A"/>
    <w:rsid w:val="00C61174"/>
    <w:rsid w:val="00C6156D"/>
    <w:rsid w:val="00C62468"/>
    <w:rsid w:val="00C6291C"/>
    <w:rsid w:val="00C633CB"/>
    <w:rsid w:val="00C64BE1"/>
    <w:rsid w:val="00C652F5"/>
    <w:rsid w:val="00C6604F"/>
    <w:rsid w:val="00C664CD"/>
    <w:rsid w:val="00C673E5"/>
    <w:rsid w:val="00C67806"/>
    <w:rsid w:val="00C67A0D"/>
    <w:rsid w:val="00C67E3C"/>
    <w:rsid w:val="00C7024A"/>
    <w:rsid w:val="00C70D03"/>
    <w:rsid w:val="00C70D1A"/>
    <w:rsid w:val="00C70EB5"/>
    <w:rsid w:val="00C71D82"/>
    <w:rsid w:val="00C736B7"/>
    <w:rsid w:val="00C765E5"/>
    <w:rsid w:val="00C812BA"/>
    <w:rsid w:val="00C81370"/>
    <w:rsid w:val="00C81D4A"/>
    <w:rsid w:val="00C8479A"/>
    <w:rsid w:val="00C84FDA"/>
    <w:rsid w:val="00C851E1"/>
    <w:rsid w:val="00C86A80"/>
    <w:rsid w:val="00C86C2F"/>
    <w:rsid w:val="00C8708E"/>
    <w:rsid w:val="00C8762C"/>
    <w:rsid w:val="00C8770C"/>
    <w:rsid w:val="00C87DED"/>
    <w:rsid w:val="00C907F0"/>
    <w:rsid w:val="00C90917"/>
    <w:rsid w:val="00C9113F"/>
    <w:rsid w:val="00C93557"/>
    <w:rsid w:val="00C93885"/>
    <w:rsid w:val="00C93BDA"/>
    <w:rsid w:val="00C941FC"/>
    <w:rsid w:val="00C94342"/>
    <w:rsid w:val="00C94A87"/>
    <w:rsid w:val="00C9523F"/>
    <w:rsid w:val="00C95CDE"/>
    <w:rsid w:val="00C95D23"/>
    <w:rsid w:val="00C97056"/>
    <w:rsid w:val="00CA0047"/>
    <w:rsid w:val="00CA00F9"/>
    <w:rsid w:val="00CA0775"/>
    <w:rsid w:val="00CA1B0A"/>
    <w:rsid w:val="00CA2961"/>
    <w:rsid w:val="00CA373C"/>
    <w:rsid w:val="00CA3741"/>
    <w:rsid w:val="00CA488E"/>
    <w:rsid w:val="00CA5047"/>
    <w:rsid w:val="00CA55FC"/>
    <w:rsid w:val="00CA5E1D"/>
    <w:rsid w:val="00CA62B3"/>
    <w:rsid w:val="00CA64E8"/>
    <w:rsid w:val="00CB097C"/>
    <w:rsid w:val="00CB0A19"/>
    <w:rsid w:val="00CB1599"/>
    <w:rsid w:val="00CB1818"/>
    <w:rsid w:val="00CB2D26"/>
    <w:rsid w:val="00CB334A"/>
    <w:rsid w:val="00CB350E"/>
    <w:rsid w:val="00CB4C6E"/>
    <w:rsid w:val="00CB50D7"/>
    <w:rsid w:val="00CB5E61"/>
    <w:rsid w:val="00CB7177"/>
    <w:rsid w:val="00CB7CED"/>
    <w:rsid w:val="00CC0506"/>
    <w:rsid w:val="00CC0608"/>
    <w:rsid w:val="00CC070F"/>
    <w:rsid w:val="00CC12E4"/>
    <w:rsid w:val="00CC1998"/>
    <w:rsid w:val="00CC19F6"/>
    <w:rsid w:val="00CC1DC6"/>
    <w:rsid w:val="00CC26B0"/>
    <w:rsid w:val="00CC398F"/>
    <w:rsid w:val="00CC45B1"/>
    <w:rsid w:val="00CC4946"/>
    <w:rsid w:val="00CC4A0E"/>
    <w:rsid w:val="00CC54CA"/>
    <w:rsid w:val="00CC5C06"/>
    <w:rsid w:val="00CC61DC"/>
    <w:rsid w:val="00CC628F"/>
    <w:rsid w:val="00CC64A1"/>
    <w:rsid w:val="00CC7041"/>
    <w:rsid w:val="00CC71D1"/>
    <w:rsid w:val="00CD0B31"/>
    <w:rsid w:val="00CD1CCD"/>
    <w:rsid w:val="00CD2A62"/>
    <w:rsid w:val="00CD3187"/>
    <w:rsid w:val="00CD479B"/>
    <w:rsid w:val="00CD7374"/>
    <w:rsid w:val="00CE0FE2"/>
    <w:rsid w:val="00CE1206"/>
    <w:rsid w:val="00CE1887"/>
    <w:rsid w:val="00CE1B47"/>
    <w:rsid w:val="00CE34DB"/>
    <w:rsid w:val="00CE4554"/>
    <w:rsid w:val="00CE4E85"/>
    <w:rsid w:val="00CE4F97"/>
    <w:rsid w:val="00CE659A"/>
    <w:rsid w:val="00CE6927"/>
    <w:rsid w:val="00CE6F55"/>
    <w:rsid w:val="00CE6F76"/>
    <w:rsid w:val="00CE7721"/>
    <w:rsid w:val="00CF0882"/>
    <w:rsid w:val="00CF11F1"/>
    <w:rsid w:val="00CF2079"/>
    <w:rsid w:val="00CF230E"/>
    <w:rsid w:val="00CF2678"/>
    <w:rsid w:val="00CF35CC"/>
    <w:rsid w:val="00CF3B11"/>
    <w:rsid w:val="00CF4242"/>
    <w:rsid w:val="00CF47F6"/>
    <w:rsid w:val="00CF4ECB"/>
    <w:rsid w:val="00CF514D"/>
    <w:rsid w:val="00CF5373"/>
    <w:rsid w:val="00CF56E3"/>
    <w:rsid w:val="00CF7636"/>
    <w:rsid w:val="00CF7B32"/>
    <w:rsid w:val="00CF7ED4"/>
    <w:rsid w:val="00CF7EEB"/>
    <w:rsid w:val="00D009AF"/>
    <w:rsid w:val="00D00C93"/>
    <w:rsid w:val="00D051C2"/>
    <w:rsid w:val="00D060F8"/>
    <w:rsid w:val="00D11479"/>
    <w:rsid w:val="00D1166E"/>
    <w:rsid w:val="00D13A60"/>
    <w:rsid w:val="00D17B78"/>
    <w:rsid w:val="00D202E6"/>
    <w:rsid w:val="00D2061B"/>
    <w:rsid w:val="00D20FA0"/>
    <w:rsid w:val="00D21B8D"/>
    <w:rsid w:val="00D22A6D"/>
    <w:rsid w:val="00D23927"/>
    <w:rsid w:val="00D240BE"/>
    <w:rsid w:val="00D25146"/>
    <w:rsid w:val="00D26ACC"/>
    <w:rsid w:val="00D270A4"/>
    <w:rsid w:val="00D27574"/>
    <w:rsid w:val="00D27630"/>
    <w:rsid w:val="00D3012A"/>
    <w:rsid w:val="00D3156A"/>
    <w:rsid w:val="00D31AF7"/>
    <w:rsid w:val="00D31FE9"/>
    <w:rsid w:val="00D328BD"/>
    <w:rsid w:val="00D3291C"/>
    <w:rsid w:val="00D32BD0"/>
    <w:rsid w:val="00D3366F"/>
    <w:rsid w:val="00D34E1B"/>
    <w:rsid w:val="00D352EA"/>
    <w:rsid w:val="00D35502"/>
    <w:rsid w:val="00D35B21"/>
    <w:rsid w:val="00D35B91"/>
    <w:rsid w:val="00D35F3E"/>
    <w:rsid w:val="00D37239"/>
    <w:rsid w:val="00D376BA"/>
    <w:rsid w:val="00D408E1"/>
    <w:rsid w:val="00D42CA9"/>
    <w:rsid w:val="00D434A0"/>
    <w:rsid w:val="00D45021"/>
    <w:rsid w:val="00D4546A"/>
    <w:rsid w:val="00D45634"/>
    <w:rsid w:val="00D46789"/>
    <w:rsid w:val="00D46C31"/>
    <w:rsid w:val="00D4755A"/>
    <w:rsid w:val="00D51005"/>
    <w:rsid w:val="00D51024"/>
    <w:rsid w:val="00D51892"/>
    <w:rsid w:val="00D518C3"/>
    <w:rsid w:val="00D529D6"/>
    <w:rsid w:val="00D52C6D"/>
    <w:rsid w:val="00D52CC0"/>
    <w:rsid w:val="00D53385"/>
    <w:rsid w:val="00D54ED9"/>
    <w:rsid w:val="00D5568A"/>
    <w:rsid w:val="00D565BD"/>
    <w:rsid w:val="00D573E8"/>
    <w:rsid w:val="00D623AA"/>
    <w:rsid w:val="00D63D73"/>
    <w:rsid w:val="00D64452"/>
    <w:rsid w:val="00D64F97"/>
    <w:rsid w:val="00D650F7"/>
    <w:rsid w:val="00D66E1E"/>
    <w:rsid w:val="00D70696"/>
    <w:rsid w:val="00D70DC9"/>
    <w:rsid w:val="00D72D1D"/>
    <w:rsid w:val="00D73F24"/>
    <w:rsid w:val="00D7452E"/>
    <w:rsid w:val="00D75722"/>
    <w:rsid w:val="00D7682B"/>
    <w:rsid w:val="00D773DD"/>
    <w:rsid w:val="00D77F14"/>
    <w:rsid w:val="00D80CF5"/>
    <w:rsid w:val="00D8204F"/>
    <w:rsid w:val="00D83C69"/>
    <w:rsid w:val="00D84721"/>
    <w:rsid w:val="00D865FD"/>
    <w:rsid w:val="00D86882"/>
    <w:rsid w:val="00D871A2"/>
    <w:rsid w:val="00D87813"/>
    <w:rsid w:val="00D87D4F"/>
    <w:rsid w:val="00D90386"/>
    <w:rsid w:val="00D90A95"/>
    <w:rsid w:val="00D92F47"/>
    <w:rsid w:val="00D93285"/>
    <w:rsid w:val="00D93E7D"/>
    <w:rsid w:val="00D95310"/>
    <w:rsid w:val="00D95C8C"/>
    <w:rsid w:val="00D97071"/>
    <w:rsid w:val="00DA022F"/>
    <w:rsid w:val="00DA0742"/>
    <w:rsid w:val="00DA0D87"/>
    <w:rsid w:val="00DA2303"/>
    <w:rsid w:val="00DA2531"/>
    <w:rsid w:val="00DA29B9"/>
    <w:rsid w:val="00DA3551"/>
    <w:rsid w:val="00DA421C"/>
    <w:rsid w:val="00DA5B83"/>
    <w:rsid w:val="00DA5BBA"/>
    <w:rsid w:val="00DA5C99"/>
    <w:rsid w:val="00DA6310"/>
    <w:rsid w:val="00DA65FF"/>
    <w:rsid w:val="00DA6B62"/>
    <w:rsid w:val="00DA7AB5"/>
    <w:rsid w:val="00DB07D7"/>
    <w:rsid w:val="00DB0BEC"/>
    <w:rsid w:val="00DB0DF5"/>
    <w:rsid w:val="00DB0E25"/>
    <w:rsid w:val="00DB188D"/>
    <w:rsid w:val="00DB1A44"/>
    <w:rsid w:val="00DB1D4E"/>
    <w:rsid w:val="00DB26D2"/>
    <w:rsid w:val="00DB2A92"/>
    <w:rsid w:val="00DB3225"/>
    <w:rsid w:val="00DB3E40"/>
    <w:rsid w:val="00DB42DC"/>
    <w:rsid w:val="00DB53FC"/>
    <w:rsid w:val="00DB6158"/>
    <w:rsid w:val="00DB62F4"/>
    <w:rsid w:val="00DB67C9"/>
    <w:rsid w:val="00DB79BC"/>
    <w:rsid w:val="00DC0C95"/>
    <w:rsid w:val="00DC16EF"/>
    <w:rsid w:val="00DC1FF2"/>
    <w:rsid w:val="00DC29E1"/>
    <w:rsid w:val="00DC2CE4"/>
    <w:rsid w:val="00DC2EA1"/>
    <w:rsid w:val="00DC323C"/>
    <w:rsid w:val="00DC3C33"/>
    <w:rsid w:val="00DC3E4D"/>
    <w:rsid w:val="00DC3EAE"/>
    <w:rsid w:val="00DC42B1"/>
    <w:rsid w:val="00DC4F0B"/>
    <w:rsid w:val="00DC5E5E"/>
    <w:rsid w:val="00DC6DC9"/>
    <w:rsid w:val="00DC70C6"/>
    <w:rsid w:val="00DC79C2"/>
    <w:rsid w:val="00DD14EA"/>
    <w:rsid w:val="00DD15CC"/>
    <w:rsid w:val="00DD2D5D"/>
    <w:rsid w:val="00DD3038"/>
    <w:rsid w:val="00DD3288"/>
    <w:rsid w:val="00DD54E7"/>
    <w:rsid w:val="00DD5C4C"/>
    <w:rsid w:val="00DD63B8"/>
    <w:rsid w:val="00DD6580"/>
    <w:rsid w:val="00DD6CBA"/>
    <w:rsid w:val="00DD7485"/>
    <w:rsid w:val="00DE08DE"/>
    <w:rsid w:val="00DE117F"/>
    <w:rsid w:val="00DE11AC"/>
    <w:rsid w:val="00DE1ABA"/>
    <w:rsid w:val="00DE1D01"/>
    <w:rsid w:val="00DE22E5"/>
    <w:rsid w:val="00DE2A70"/>
    <w:rsid w:val="00DE4C5A"/>
    <w:rsid w:val="00DE53D5"/>
    <w:rsid w:val="00DE6142"/>
    <w:rsid w:val="00DE7A44"/>
    <w:rsid w:val="00DE7C0C"/>
    <w:rsid w:val="00DF3FBF"/>
    <w:rsid w:val="00DF4514"/>
    <w:rsid w:val="00DF5A83"/>
    <w:rsid w:val="00DF615A"/>
    <w:rsid w:val="00DF6D85"/>
    <w:rsid w:val="00DF7B4E"/>
    <w:rsid w:val="00E008C4"/>
    <w:rsid w:val="00E0158D"/>
    <w:rsid w:val="00E01D7F"/>
    <w:rsid w:val="00E03588"/>
    <w:rsid w:val="00E0402B"/>
    <w:rsid w:val="00E05C03"/>
    <w:rsid w:val="00E0641E"/>
    <w:rsid w:val="00E108F0"/>
    <w:rsid w:val="00E11035"/>
    <w:rsid w:val="00E11140"/>
    <w:rsid w:val="00E11436"/>
    <w:rsid w:val="00E12539"/>
    <w:rsid w:val="00E12C4E"/>
    <w:rsid w:val="00E1307D"/>
    <w:rsid w:val="00E13BEB"/>
    <w:rsid w:val="00E14227"/>
    <w:rsid w:val="00E1469D"/>
    <w:rsid w:val="00E1480F"/>
    <w:rsid w:val="00E14D71"/>
    <w:rsid w:val="00E16F06"/>
    <w:rsid w:val="00E17241"/>
    <w:rsid w:val="00E17C72"/>
    <w:rsid w:val="00E20F4B"/>
    <w:rsid w:val="00E213D0"/>
    <w:rsid w:val="00E21FC6"/>
    <w:rsid w:val="00E22153"/>
    <w:rsid w:val="00E22407"/>
    <w:rsid w:val="00E227D2"/>
    <w:rsid w:val="00E22D21"/>
    <w:rsid w:val="00E22DD5"/>
    <w:rsid w:val="00E2353F"/>
    <w:rsid w:val="00E2362E"/>
    <w:rsid w:val="00E23E0B"/>
    <w:rsid w:val="00E2462E"/>
    <w:rsid w:val="00E250D8"/>
    <w:rsid w:val="00E259EC"/>
    <w:rsid w:val="00E25C51"/>
    <w:rsid w:val="00E2629B"/>
    <w:rsid w:val="00E270A9"/>
    <w:rsid w:val="00E27224"/>
    <w:rsid w:val="00E2751B"/>
    <w:rsid w:val="00E27899"/>
    <w:rsid w:val="00E27A27"/>
    <w:rsid w:val="00E30854"/>
    <w:rsid w:val="00E328A3"/>
    <w:rsid w:val="00E32BF3"/>
    <w:rsid w:val="00E32E83"/>
    <w:rsid w:val="00E32F19"/>
    <w:rsid w:val="00E344A5"/>
    <w:rsid w:val="00E353F3"/>
    <w:rsid w:val="00E35B7C"/>
    <w:rsid w:val="00E3630A"/>
    <w:rsid w:val="00E366BF"/>
    <w:rsid w:val="00E37AE1"/>
    <w:rsid w:val="00E400B8"/>
    <w:rsid w:val="00E401C5"/>
    <w:rsid w:val="00E4262C"/>
    <w:rsid w:val="00E42B19"/>
    <w:rsid w:val="00E42C79"/>
    <w:rsid w:val="00E431A9"/>
    <w:rsid w:val="00E44211"/>
    <w:rsid w:val="00E44DD1"/>
    <w:rsid w:val="00E44ED1"/>
    <w:rsid w:val="00E451FA"/>
    <w:rsid w:val="00E4628C"/>
    <w:rsid w:val="00E462B5"/>
    <w:rsid w:val="00E47095"/>
    <w:rsid w:val="00E47C9E"/>
    <w:rsid w:val="00E47E1E"/>
    <w:rsid w:val="00E47E85"/>
    <w:rsid w:val="00E505D6"/>
    <w:rsid w:val="00E516BB"/>
    <w:rsid w:val="00E51998"/>
    <w:rsid w:val="00E51BD0"/>
    <w:rsid w:val="00E51EA3"/>
    <w:rsid w:val="00E528AA"/>
    <w:rsid w:val="00E5477D"/>
    <w:rsid w:val="00E553DC"/>
    <w:rsid w:val="00E55CFD"/>
    <w:rsid w:val="00E5685F"/>
    <w:rsid w:val="00E60852"/>
    <w:rsid w:val="00E612C8"/>
    <w:rsid w:val="00E6145C"/>
    <w:rsid w:val="00E62143"/>
    <w:rsid w:val="00E63062"/>
    <w:rsid w:val="00E63F96"/>
    <w:rsid w:val="00E6494B"/>
    <w:rsid w:val="00E650EB"/>
    <w:rsid w:val="00E65270"/>
    <w:rsid w:val="00E65B23"/>
    <w:rsid w:val="00E667B1"/>
    <w:rsid w:val="00E669E2"/>
    <w:rsid w:val="00E6756D"/>
    <w:rsid w:val="00E70786"/>
    <w:rsid w:val="00E7173D"/>
    <w:rsid w:val="00E742D3"/>
    <w:rsid w:val="00E74B97"/>
    <w:rsid w:val="00E76135"/>
    <w:rsid w:val="00E80378"/>
    <w:rsid w:val="00E80891"/>
    <w:rsid w:val="00E80C4C"/>
    <w:rsid w:val="00E8168E"/>
    <w:rsid w:val="00E82271"/>
    <w:rsid w:val="00E82481"/>
    <w:rsid w:val="00E82921"/>
    <w:rsid w:val="00E82D6E"/>
    <w:rsid w:val="00E82E2C"/>
    <w:rsid w:val="00E82F4F"/>
    <w:rsid w:val="00E833F3"/>
    <w:rsid w:val="00E83C02"/>
    <w:rsid w:val="00E83C3E"/>
    <w:rsid w:val="00E85C47"/>
    <w:rsid w:val="00E864DF"/>
    <w:rsid w:val="00E86F4C"/>
    <w:rsid w:val="00E87697"/>
    <w:rsid w:val="00E878FA"/>
    <w:rsid w:val="00E90041"/>
    <w:rsid w:val="00E909BE"/>
    <w:rsid w:val="00E9188A"/>
    <w:rsid w:val="00E932FC"/>
    <w:rsid w:val="00E933B2"/>
    <w:rsid w:val="00E9380D"/>
    <w:rsid w:val="00E956A1"/>
    <w:rsid w:val="00E957B8"/>
    <w:rsid w:val="00E963B2"/>
    <w:rsid w:val="00E9713E"/>
    <w:rsid w:val="00EA051E"/>
    <w:rsid w:val="00EA06A0"/>
    <w:rsid w:val="00EA0E2D"/>
    <w:rsid w:val="00EA19EA"/>
    <w:rsid w:val="00EA29A3"/>
    <w:rsid w:val="00EA4C63"/>
    <w:rsid w:val="00EA6280"/>
    <w:rsid w:val="00EA6404"/>
    <w:rsid w:val="00EA6770"/>
    <w:rsid w:val="00EB0129"/>
    <w:rsid w:val="00EB0EDD"/>
    <w:rsid w:val="00EB1972"/>
    <w:rsid w:val="00EB1F27"/>
    <w:rsid w:val="00EB297E"/>
    <w:rsid w:val="00EB2CC3"/>
    <w:rsid w:val="00EB3023"/>
    <w:rsid w:val="00EB3592"/>
    <w:rsid w:val="00EB3BB6"/>
    <w:rsid w:val="00EB4B0A"/>
    <w:rsid w:val="00EB50F8"/>
    <w:rsid w:val="00EB5DE7"/>
    <w:rsid w:val="00EB7467"/>
    <w:rsid w:val="00EB7B31"/>
    <w:rsid w:val="00EB7F3A"/>
    <w:rsid w:val="00EC0609"/>
    <w:rsid w:val="00EC123B"/>
    <w:rsid w:val="00EC17A7"/>
    <w:rsid w:val="00EC17C0"/>
    <w:rsid w:val="00EC2844"/>
    <w:rsid w:val="00EC3B23"/>
    <w:rsid w:val="00EC3BC0"/>
    <w:rsid w:val="00EC3F62"/>
    <w:rsid w:val="00EC41A4"/>
    <w:rsid w:val="00EC4700"/>
    <w:rsid w:val="00EC4AB6"/>
    <w:rsid w:val="00EC4D1E"/>
    <w:rsid w:val="00EC5476"/>
    <w:rsid w:val="00EC5500"/>
    <w:rsid w:val="00EC672E"/>
    <w:rsid w:val="00EC69EA"/>
    <w:rsid w:val="00EC6C91"/>
    <w:rsid w:val="00EC725D"/>
    <w:rsid w:val="00ED03E5"/>
    <w:rsid w:val="00ED1027"/>
    <w:rsid w:val="00ED18F8"/>
    <w:rsid w:val="00ED1919"/>
    <w:rsid w:val="00ED1F35"/>
    <w:rsid w:val="00ED4B2B"/>
    <w:rsid w:val="00ED5809"/>
    <w:rsid w:val="00ED64F5"/>
    <w:rsid w:val="00ED6B0F"/>
    <w:rsid w:val="00ED6E23"/>
    <w:rsid w:val="00ED7FC9"/>
    <w:rsid w:val="00EE148E"/>
    <w:rsid w:val="00EE1918"/>
    <w:rsid w:val="00EE2E3A"/>
    <w:rsid w:val="00EE30A0"/>
    <w:rsid w:val="00EE440F"/>
    <w:rsid w:val="00EE4E6B"/>
    <w:rsid w:val="00EE5C2C"/>
    <w:rsid w:val="00EE5E74"/>
    <w:rsid w:val="00EE6EDA"/>
    <w:rsid w:val="00EE7319"/>
    <w:rsid w:val="00EE733B"/>
    <w:rsid w:val="00EE778E"/>
    <w:rsid w:val="00EE7968"/>
    <w:rsid w:val="00EE7F83"/>
    <w:rsid w:val="00EF19B6"/>
    <w:rsid w:val="00EF1D81"/>
    <w:rsid w:val="00EF1F29"/>
    <w:rsid w:val="00EF3417"/>
    <w:rsid w:val="00EF407B"/>
    <w:rsid w:val="00EF527E"/>
    <w:rsid w:val="00EF555B"/>
    <w:rsid w:val="00EF587E"/>
    <w:rsid w:val="00EF58D6"/>
    <w:rsid w:val="00EF5D2A"/>
    <w:rsid w:val="00EF63E1"/>
    <w:rsid w:val="00EF6719"/>
    <w:rsid w:val="00EF695D"/>
    <w:rsid w:val="00EF6C6C"/>
    <w:rsid w:val="00F02307"/>
    <w:rsid w:val="00F02682"/>
    <w:rsid w:val="00F03B69"/>
    <w:rsid w:val="00F056FC"/>
    <w:rsid w:val="00F05B87"/>
    <w:rsid w:val="00F06108"/>
    <w:rsid w:val="00F0632F"/>
    <w:rsid w:val="00F069AE"/>
    <w:rsid w:val="00F07313"/>
    <w:rsid w:val="00F10476"/>
    <w:rsid w:val="00F1113A"/>
    <w:rsid w:val="00F116A0"/>
    <w:rsid w:val="00F11B25"/>
    <w:rsid w:val="00F1288F"/>
    <w:rsid w:val="00F13179"/>
    <w:rsid w:val="00F135D8"/>
    <w:rsid w:val="00F14176"/>
    <w:rsid w:val="00F15648"/>
    <w:rsid w:val="00F16ADC"/>
    <w:rsid w:val="00F16C1C"/>
    <w:rsid w:val="00F20013"/>
    <w:rsid w:val="00F20AE7"/>
    <w:rsid w:val="00F21227"/>
    <w:rsid w:val="00F22CE4"/>
    <w:rsid w:val="00F23271"/>
    <w:rsid w:val="00F2330D"/>
    <w:rsid w:val="00F23BE0"/>
    <w:rsid w:val="00F259A4"/>
    <w:rsid w:val="00F27105"/>
    <w:rsid w:val="00F27119"/>
    <w:rsid w:val="00F27ECA"/>
    <w:rsid w:val="00F30E09"/>
    <w:rsid w:val="00F31299"/>
    <w:rsid w:val="00F32239"/>
    <w:rsid w:val="00F33FDE"/>
    <w:rsid w:val="00F3534A"/>
    <w:rsid w:val="00F35963"/>
    <w:rsid w:val="00F35BFB"/>
    <w:rsid w:val="00F35CB6"/>
    <w:rsid w:val="00F3617C"/>
    <w:rsid w:val="00F36ACC"/>
    <w:rsid w:val="00F3710B"/>
    <w:rsid w:val="00F411EC"/>
    <w:rsid w:val="00F42514"/>
    <w:rsid w:val="00F4290C"/>
    <w:rsid w:val="00F42F30"/>
    <w:rsid w:val="00F43126"/>
    <w:rsid w:val="00F43893"/>
    <w:rsid w:val="00F44407"/>
    <w:rsid w:val="00F47816"/>
    <w:rsid w:val="00F50215"/>
    <w:rsid w:val="00F5101B"/>
    <w:rsid w:val="00F51609"/>
    <w:rsid w:val="00F51876"/>
    <w:rsid w:val="00F5195A"/>
    <w:rsid w:val="00F51D84"/>
    <w:rsid w:val="00F51E65"/>
    <w:rsid w:val="00F520F4"/>
    <w:rsid w:val="00F55C25"/>
    <w:rsid w:val="00F56B5A"/>
    <w:rsid w:val="00F6161F"/>
    <w:rsid w:val="00F61E37"/>
    <w:rsid w:val="00F62368"/>
    <w:rsid w:val="00F6265E"/>
    <w:rsid w:val="00F633DA"/>
    <w:rsid w:val="00F64D65"/>
    <w:rsid w:val="00F65B53"/>
    <w:rsid w:val="00F65CCE"/>
    <w:rsid w:val="00F661E3"/>
    <w:rsid w:val="00F66BD7"/>
    <w:rsid w:val="00F66D35"/>
    <w:rsid w:val="00F671A7"/>
    <w:rsid w:val="00F67ABD"/>
    <w:rsid w:val="00F7087D"/>
    <w:rsid w:val="00F709E8"/>
    <w:rsid w:val="00F7211A"/>
    <w:rsid w:val="00F7256A"/>
    <w:rsid w:val="00F7267B"/>
    <w:rsid w:val="00F730BF"/>
    <w:rsid w:val="00F73727"/>
    <w:rsid w:val="00F741E3"/>
    <w:rsid w:val="00F746CC"/>
    <w:rsid w:val="00F746F5"/>
    <w:rsid w:val="00F75ADE"/>
    <w:rsid w:val="00F766A7"/>
    <w:rsid w:val="00F768CB"/>
    <w:rsid w:val="00F773BC"/>
    <w:rsid w:val="00F81006"/>
    <w:rsid w:val="00F81B6E"/>
    <w:rsid w:val="00F81C17"/>
    <w:rsid w:val="00F81DAB"/>
    <w:rsid w:val="00F8223F"/>
    <w:rsid w:val="00F8451C"/>
    <w:rsid w:val="00F84C91"/>
    <w:rsid w:val="00F84CF3"/>
    <w:rsid w:val="00F85325"/>
    <w:rsid w:val="00F87483"/>
    <w:rsid w:val="00F87DCD"/>
    <w:rsid w:val="00F9016D"/>
    <w:rsid w:val="00F90724"/>
    <w:rsid w:val="00F90DCF"/>
    <w:rsid w:val="00F91717"/>
    <w:rsid w:val="00F91A52"/>
    <w:rsid w:val="00F92304"/>
    <w:rsid w:val="00F9270F"/>
    <w:rsid w:val="00F93C41"/>
    <w:rsid w:val="00F93DF2"/>
    <w:rsid w:val="00F9494F"/>
    <w:rsid w:val="00F9777C"/>
    <w:rsid w:val="00FA045B"/>
    <w:rsid w:val="00FA058E"/>
    <w:rsid w:val="00FA0989"/>
    <w:rsid w:val="00FA1380"/>
    <w:rsid w:val="00FA248B"/>
    <w:rsid w:val="00FA2E62"/>
    <w:rsid w:val="00FA31DC"/>
    <w:rsid w:val="00FA626D"/>
    <w:rsid w:val="00FA6D58"/>
    <w:rsid w:val="00FA7CC4"/>
    <w:rsid w:val="00FB0871"/>
    <w:rsid w:val="00FB108D"/>
    <w:rsid w:val="00FB254A"/>
    <w:rsid w:val="00FB2931"/>
    <w:rsid w:val="00FB3218"/>
    <w:rsid w:val="00FB5133"/>
    <w:rsid w:val="00FB52FD"/>
    <w:rsid w:val="00FB58E7"/>
    <w:rsid w:val="00FB6154"/>
    <w:rsid w:val="00FB68B2"/>
    <w:rsid w:val="00FB7D22"/>
    <w:rsid w:val="00FC031E"/>
    <w:rsid w:val="00FC1367"/>
    <w:rsid w:val="00FC18A9"/>
    <w:rsid w:val="00FC1CA4"/>
    <w:rsid w:val="00FC33C7"/>
    <w:rsid w:val="00FC41CA"/>
    <w:rsid w:val="00FC46D5"/>
    <w:rsid w:val="00FC49CC"/>
    <w:rsid w:val="00FC4E69"/>
    <w:rsid w:val="00FC50A8"/>
    <w:rsid w:val="00FC51D0"/>
    <w:rsid w:val="00FC6354"/>
    <w:rsid w:val="00FC64A5"/>
    <w:rsid w:val="00FC6B1A"/>
    <w:rsid w:val="00FD050D"/>
    <w:rsid w:val="00FD1DD1"/>
    <w:rsid w:val="00FD22B1"/>
    <w:rsid w:val="00FD2B4C"/>
    <w:rsid w:val="00FD2DEC"/>
    <w:rsid w:val="00FD33F1"/>
    <w:rsid w:val="00FD3566"/>
    <w:rsid w:val="00FD3DA4"/>
    <w:rsid w:val="00FD408A"/>
    <w:rsid w:val="00FD5885"/>
    <w:rsid w:val="00FD6788"/>
    <w:rsid w:val="00FD7719"/>
    <w:rsid w:val="00FD7E74"/>
    <w:rsid w:val="00FE04E8"/>
    <w:rsid w:val="00FE0713"/>
    <w:rsid w:val="00FE17AA"/>
    <w:rsid w:val="00FE1F08"/>
    <w:rsid w:val="00FE2934"/>
    <w:rsid w:val="00FE316D"/>
    <w:rsid w:val="00FE3913"/>
    <w:rsid w:val="00FE3C71"/>
    <w:rsid w:val="00FE4DD7"/>
    <w:rsid w:val="00FE5397"/>
    <w:rsid w:val="00FE54F0"/>
    <w:rsid w:val="00FE6C04"/>
    <w:rsid w:val="00FF016C"/>
    <w:rsid w:val="00FF099C"/>
    <w:rsid w:val="00FF3D6D"/>
    <w:rsid w:val="00FF48BF"/>
    <w:rsid w:val="00FF4CCB"/>
    <w:rsid w:val="00FF5991"/>
    <w:rsid w:val="00FF6461"/>
    <w:rsid w:val="00FF6C29"/>
    <w:rsid w:val="0253D5A4"/>
    <w:rsid w:val="0AC1CC32"/>
    <w:rsid w:val="0E8A4B3E"/>
    <w:rsid w:val="131122B1"/>
    <w:rsid w:val="13A68097"/>
    <w:rsid w:val="24978515"/>
    <w:rsid w:val="253C8199"/>
    <w:rsid w:val="3BDA4833"/>
    <w:rsid w:val="40890F88"/>
    <w:rsid w:val="41F76C3C"/>
    <w:rsid w:val="55928AE5"/>
    <w:rsid w:val="5C9ACA0F"/>
    <w:rsid w:val="690AEF13"/>
    <w:rsid w:val="72285D9E"/>
    <w:rsid w:val="7EBDBB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3669A5"/>
  <w15:docId w15:val="{B63F0B86-00D2-4F7B-96FD-11CD2681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0D8E"/>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nhideWhenUsed/>
    <w:rsid w:val="008F0884"/>
    <w:rPr>
      <w:color w:val="000000" w:themeColor="hyperlink"/>
      <w:u w:val="single"/>
    </w:rPr>
  </w:style>
  <w:style w:type="paragraph" w:styleId="CommentSubject">
    <w:name w:val="annotation subject"/>
    <w:basedOn w:val="CommentText"/>
    <w:next w:val="CommentText"/>
    <w:link w:val="CommentSubjectChar"/>
    <w:semiHidden/>
    <w:unhideWhenUsed/>
    <w:rsid w:val="009F723C"/>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F723C"/>
    <w:rPr>
      <w:szCs w:val="24"/>
    </w:rPr>
  </w:style>
  <w:style w:type="character" w:customStyle="1" w:styleId="CommentSubjectChar">
    <w:name w:val="Comment Subject Char"/>
    <w:basedOn w:val="CommentTextChar"/>
    <w:link w:val="CommentSubject"/>
    <w:semiHidden/>
    <w:rsid w:val="009F723C"/>
    <w:rPr>
      <w:b/>
      <w:bCs/>
      <w:szCs w:val="24"/>
    </w:rPr>
  </w:style>
  <w:style w:type="character" w:styleId="PlaceholderText">
    <w:name w:val="Placeholder Text"/>
    <w:basedOn w:val="DefaultParagraphFont"/>
    <w:uiPriority w:val="99"/>
    <w:semiHidden/>
    <w:rsid w:val="00B906FB"/>
    <w:rPr>
      <w:color w:val="808080"/>
    </w:rPr>
  </w:style>
  <w:style w:type="paragraph" w:styleId="Bibliography">
    <w:name w:val="Bibliography"/>
    <w:basedOn w:val="Normal"/>
    <w:next w:val="Normal"/>
    <w:uiPriority w:val="37"/>
    <w:unhideWhenUsed/>
    <w:rsid w:val="00B56C5F"/>
    <w:pPr>
      <w:spacing w:after="240"/>
      <w:ind w:left="720" w:hanging="720"/>
    </w:pPr>
  </w:style>
  <w:style w:type="character" w:styleId="FollowedHyperlink">
    <w:name w:val="FollowedHyperlink"/>
    <w:basedOn w:val="DefaultParagraphFont"/>
    <w:semiHidden/>
    <w:unhideWhenUsed/>
    <w:rsid w:val="00EC3BC0"/>
    <w:rPr>
      <w:color w:val="BFBFBF" w:themeColor="followedHyperlink"/>
      <w:u w:val="single"/>
    </w:rPr>
  </w:style>
  <w:style w:type="character" w:customStyle="1" w:styleId="UnresolvedMention1">
    <w:name w:val="Unresolved Mention1"/>
    <w:basedOn w:val="DefaultParagraphFont"/>
    <w:uiPriority w:val="99"/>
    <w:semiHidden/>
    <w:unhideWhenUsed/>
    <w:rsid w:val="00C03486"/>
    <w:rPr>
      <w:color w:val="605E5C"/>
      <w:shd w:val="clear" w:color="auto" w:fill="E1DFDD"/>
    </w:rPr>
  </w:style>
  <w:style w:type="character" w:styleId="EndnoteReference">
    <w:name w:val="endnote reference"/>
    <w:basedOn w:val="DefaultParagraphFont"/>
    <w:semiHidden/>
    <w:unhideWhenUsed/>
    <w:rsid w:val="005602D1"/>
    <w:rPr>
      <w:vertAlign w:val="superscript"/>
    </w:rPr>
  </w:style>
  <w:style w:type="character" w:customStyle="1" w:styleId="UnresolvedMention2">
    <w:name w:val="Unresolved Mention2"/>
    <w:basedOn w:val="DefaultParagraphFont"/>
    <w:uiPriority w:val="99"/>
    <w:semiHidden/>
    <w:unhideWhenUsed/>
    <w:rsid w:val="004E22AE"/>
    <w:rPr>
      <w:color w:val="605E5C"/>
      <w:shd w:val="clear" w:color="auto" w:fill="E1DFDD"/>
    </w:rPr>
  </w:style>
  <w:style w:type="paragraph" w:customStyle="1" w:styleId="Heading1NotTOC">
    <w:name w:val="Heading 1 Not TOC"/>
    <w:basedOn w:val="Heading1"/>
    <w:next w:val="BodyText"/>
    <w:rsid w:val="00697580"/>
    <w:rPr>
      <w:kern w:val="28"/>
      <w:szCs w:val="26"/>
      <w:lang w:eastAsia="en-US"/>
    </w:rPr>
  </w:style>
  <w:style w:type="paragraph" w:customStyle="1" w:styleId="Copyrightheading">
    <w:name w:val="Copyright heading"/>
    <w:basedOn w:val="TOC1"/>
    <w:link w:val="CopyrightheadingChar"/>
    <w:qFormat/>
    <w:rsid w:val="00697580"/>
    <w:pPr>
      <w:spacing w:line="300" w:lineRule="exact"/>
    </w:pPr>
    <w:rPr>
      <w:sz w:val="22"/>
    </w:rPr>
  </w:style>
  <w:style w:type="character" w:customStyle="1" w:styleId="CopyrightheadingChar">
    <w:name w:val="Copyright heading Char"/>
    <w:basedOn w:val="TOC1Char"/>
    <w:link w:val="Copyrightheading"/>
    <w:rsid w:val="00697580"/>
    <w:rPr>
      <w:rFonts w:ascii="Arial" w:hAnsi="Arial"/>
      <w:b/>
      <w:sz w:val="22"/>
      <w:szCs w:val="26"/>
      <w:lang w:eastAsia="en-US"/>
    </w:rPr>
  </w:style>
  <w:style w:type="paragraph" w:customStyle="1" w:styleId="Copyrightsubtitle">
    <w:name w:val="Copyright subtitle"/>
    <w:basedOn w:val="BodyText"/>
    <w:rsid w:val="00697580"/>
    <w:rPr>
      <w:rFonts w:ascii="Arial" w:hAnsi="Arial"/>
      <w:b/>
      <w:sz w:val="22"/>
      <w:szCs w:val="25"/>
    </w:rPr>
  </w:style>
  <w:style w:type="paragraph" w:customStyle="1" w:styleId="Copyrightbodytext">
    <w:name w:val="Copyright bodytext"/>
    <w:basedOn w:val="BodyText"/>
    <w:link w:val="CopyrightbodytextChar"/>
    <w:qFormat/>
    <w:rsid w:val="00697580"/>
    <w:pPr>
      <w:spacing w:before="60"/>
    </w:pPr>
  </w:style>
  <w:style w:type="character" w:customStyle="1" w:styleId="CopyrightbodytextChar">
    <w:name w:val="Copyright bodytext Char"/>
    <w:basedOn w:val="BodyTextChar"/>
    <w:link w:val="Copyrightbodytext"/>
    <w:rsid w:val="00697580"/>
    <w:rPr>
      <w:sz w:val="24"/>
    </w:rPr>
  </w:style>
  <w:style w:type="character" w:customStyle="1" w:styleId="Heading1Char">
    <w:name w:val="Heading 1 Char"/>
    <w:basedOn w:val="DefaultParagraphFont"/>
    <w:link w:val="Heading1"/>
    <w:rsid w:val="00697580"/>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781299">
      <w:bodyDiv w:val="1"/>
      <w:marLeft w:val="0"/>
      <w:marRight w:val="0"/>
      <w:marTop w:val="0"/>
      <w:marBottom w:val="0"/>
      <w:divBdr>
        <w:top w:val="none" w:sz="0" w:space="0" w:color="auto"/>
        <w:left w:val="none" w:sz="0" w:space="0" w:color="auto"/>
        <w:bottom w:val="none" w:sz="0" w:space="0" w:color="auto"/>
        <w:right w:val="none" w:sz="0" w:space="0" w:color="auto"/>
      </w:divBdr>
    </w:div>
    <w:div w:id="599068876">
      <w:bodyDiv w:val="1"/>
      <w:marLeft w:val="0"/>
      <w:marRight w:val="0"/>
      <w:marTop w:val="0"/>
      <w:marBottom w:val="0"/>
      <w:divBdr>
        <w:top w:val="none" w:sz="0" w:space="0" w:color="auto"/>
        <w:left w:val="none" w:sz="0" w:space="0" w:color="auto"/>
        <w:bottom w:val="none" w:sz="0" w:space="0" w:color="auto"/>
        <w:right w:val="none" w:sz="0" w:space="0" w:color="auto"/>
      </w:divBdr>
    </w:div>
    <w:div w:id="824665707">
      <w:bodyDiv w:val="1"/>
      <w:marLeft w:val="0"/>
      <w:marRight w:val="0"/>
      <w:marTop w:val="0"/>
      <w:marBottom w:val="0"/>
      <w:divBdr>
        <w:top w:val="none" w:sz="0" w:space="0" w:color="auto"/>
        <w:left w:val="none" w:sz="0" w:space="0" w:color="auto"/>
        <w:bottom w:val="none" w:sz="0" w:space="0" w:color="auto"/>
        <w:right w:val="none" w:sz="0" w:space="0" w:color="auto"/>
      </w:divBdr>
    </w:div>
    <w:div w:id="1059400428">
      <w:bodyDiv w:val="1"/>
      <w:marLeft w:val="0"/>
      <w:marRight w:val="0"/>
      <w:marTop w:val="0"/>
      <w:marBottom w:val="0"/>
      <w:divBdr>
        <w:top w:val="none" w:sz="0" w:space="0" w:color="auto"/>
        <w:left w:val="none" w:sz="0" w:space="0" w:color="auto"/>
        <w:bottom w:val="none" w:sz="0" w:space="0" w:color="auto"/>
        <w:right w:val="none" w:sz="0" w:space="0" w:color="auto"/>
      </w:divBdr>
    </w:div>
    <w:div w:id="1199661883">
      <w:bodyDiv w:val="1"/>
      <w:marLeft w:val="0"/>
      <w:marRight w:val="0"/>
      <w:marTop w:val="0"/>
      <w:marBottom w:val="0"/>
      <w:divBdr>
        <w:top w:val="none" w:sz="0" w:space="0" w:color="auto"/>
        <w:left w:val="none" w:sz="0" w:space="0" w:color="auto"/>
        <w:bottom w:val="none" w:sz="0" w:space="0" w:color="auto"/>
        <w:right w:val="none" w:sz="0" w:space="0" w:color="auto"/>
      </w:divBdr>
    </w:div>
    <w:div w:id="140005971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8415770">
      <w:bodyDiv w:val="1"/>
      <w:marLeft w:val="0"/>
      <w:marRight w:val="0"/>
      <w:marTop w:val="0"/>
      <w:marBottom w:val="0"/>
      <w:divBdr>
        <w:top w:val="none" w:sz="0" w:space="0" w:color="auto"/>
        <w:left w:val="none" w:sz="0" w:space="0" w:color="auto"/>
        <w:bottom w:val="none" w:sz="0" w:space="0" w:color="auto"/>
        <w:right w:val="none" w:sz="0" w:space="0" w:color="auto"/>
      </w:divBdr>
    </w:div>
    <w:div w:id="20984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c.gov.au/"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www.pmc.gov.au/government/commonwealth-coat-arms"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http://creativecommons.org/licenses/by/3.0/au" TargetMode="External"/><Relationship Id="rId23" Type="http://schemas.openxmlformats.org/officeDocument/2006/relationships/image" Target="media/image3.emf"/><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5171a95e-22fa-4eea-9ec9-f2319b689eb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171a95e-22fa-4eea-9ec9-f2319b689eb2">
      <Value>1</Value>
    </TaxCatchAll>
    <_dlc_DocId xmlns="5171a95e-22fa-4eea-9ec9-f2319b689eb2">PRRE-1559647068-124</_dlc_DocId>
    <_dlc_DocIdUrl xmlns="5171a95e-22fa-4eea-9ec9-f2319b689eb2">
      <Url>https://pcgov.sharepoint.com/teams/productivity/_layouts/15/DocIdRedir.aspx?ID=PRRE-1559647068-124</Url>
      <Description>PRRE-1559647068-124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C360BA98D0C54AA5B30C147AB03585" ma:contentTypeVersion="9" ma:contentTypeDescription="Create a new document." ma:contentTypeScope="" ma:versionID="adcb97be153602185e5aad23b799d858">
  <xsd:schema xmlns:xsd="http://www.w3.org/2001/XMLSchema" xmlns:xs="http://www.w3.org/2001/XMLSchema" xmlns:p="http://schemas.microsoft.com/office/2006/metadata/properties" xmlns:ns2="5171a95e-22fa-4eea-9ec9-f2319b689eb2" xmlns:ns3="767618ea-f564-477e-a58b-0b00c4a6e6e1" targetNamespace="http://schemas.microsoft.com/office/2006/metadata/properties" ma:root="true" ma:fieldsID="626f562464eab6f9f60c079ee989dcfa" ns2:_="" ns3:_="">
    <xsd:import namespace="5171a95e-22fa-4eea-9ec9-f2319b689eb2"/>
    <xsd:import namespace="767618ea-f564-477e-a58b-0b00c4a6e6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i0f84bba906045b4af568ee102a52dcb"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1a95e-22fa-4eea-9ec9-f2319b689e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16"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f6299640-518f-478f-80ff-7316a129ff6c}" ma:internalName="TaxCatchAll" ma:showField="CatchAllData" ma:web="5171a95e-22fa-4eea-9ec9-f2319b689e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7618ea-f564-477e-a58b-0b00c4a6e6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3BF63-FAF4-4A54-A44F-65053BCF9F4B}">
  <ds:schemaRefs>
    <ds:schemaRef ds:uri="http://schemas.microsoft.com/sharepoint/v3/contenttype/forms"/>
  </ds:schemaRefs>
</ds:datastoreItem>
</file>

<file path=customXml/itemProps2.xml><?xml version="1.0" encoding="utf-8"?>
<ds:datastoreItem xmlns:ds="http://schemas.openxmlformats.org/officeDocument/2006/customXml" ds:itemID="{51D57947-522A-4745-A08B-F6B462555C6C}">
  <ds:schemaRefs>
    <ds:schemaRef ds:uri="http://schemas.openxmlformats.org/officeDocument/2006/bibliography"/>
  </ds:schemaRefs>
</ds:datastoreItem>
</file>

<file path=customXml/itemProps3.xml><?xml version="1.0" encoding="utf-8"?>
<ds:datastoreItem xmlns:ds="http://schemas.openxmlformats.org/officeDocument/2006/customXml" ds:itemID="{2BCD8E3A-9C23-41F6-889C-05C348A9BEB8}">
  <ds:schemaRefs>
    <ds:schemaRef ds:uri="http://schemas.microsoft.com/sharepoint/events"/>
  </ds:schemaRefs>
</ds:datastoreItem>
</file>

<file path=customXml/itemProps4.xml><?xml version="1.0" encoding="utf-8"?>
<ds:datastoreItem xmlns:ds="http://schemas.openxmlformats.org/officeDocument/2006/customXml" ds:itemID="{66C5AC25-2CBB-4F88-8E5A-01B839827C00}">
  <ds:schemaRefs>
    <ds:schemaRef ds:uri="http://schemas.microsoft.com/office/2006/metadata/properties"/>
    <ds:schemaRef ds:uri="http://schemas.microsoft.com/office/infopath/2007/PartnerControls"/>
    <ds:schemaRef ds:uri="5171a95e-22fa-4eea-9ec9-f2319b689eb2"/>
  </ds:schemaRefs>
</ds:datastoreItem>
</file>

<file path=customXml/itemProps5.xml><?xml version="1.0" encoding="utf-8"?>
<ds:datastoreItem xmlns:ds="http://schemas.openxmlformats.org/officeDocument/2006/customXml" ds:itemID="{ED1D3E96-FD87-49FC-A394-7C18990AE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1a95e-22fa-4eea-9ec9-f2319b689eb2"/>
    <ds:schemaRef ds:uri="767618ea-f564-477e-a58b-0b00c4a6e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chapter.dotm</Template>
  <TotalTime>10</TotalTime>
  <Pages>30</Pages>
  <Words>8205</Words>
  <Characters>45831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BLADE for productivity research - Staff Working Paper</vt:lpstr>
    </vt:vector>
  </TitlesOfParts>
  <Company>Productivity Commission</Company>
  <LinksUpToDate>false</LinksUpToDate>
  <CharactersWithSpaces>53929</CharactersWithSpaces>
  <SharedDoc>false</SharedDoc>
  <HLinks>
    <vt:vector size="6" baseType="variant">
      <vt:variant>
        <vt:i4>2490404</vt:i4>
      </vt:variant>
      <vt:variant>
        <vt:i4>0</vt:i4>
      </vt:variant>
      <vt:variant>
        <vt:i4>0</vt:i4>
      </vt:variant>
      <vt:variant>
        <vt:i4>5</vt:i4>
      </vt:variant>
      <vt:variant>
        <vt:lpwstr>https://www.business.unsw.edu.au/Campaigns-Site/emg-workshop-2019/Documents/Fox_MFP_BLADE_EMG_5Dec2019.pdf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BLADE for productivity research - Staff Working Paper</dc:title>
  <dc:subject>BLADE for productivity research</dc:subject>
  <dc:creator>Productivity Commission</dc:creator>
  <cp:keywords/>
  <dc:description>1.</dc:description>
  <cp:lastModifiedBy>Alston, Chris</cp:lastModifiedBy>
  <cp:revision>14</cp:revision>
  <cp:lastPrinted>2021-05-04T00:13:00Z</cp:lastPrinted>
  <dcterms:created xsi:type="dcterms:W3CDTF">2021-05-03T06:25:00Z</dcterms:created>
  <dcterms:modified xsi:type="dcterms:W3CDTF">2021-05-05T05:04:00Z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JournalAbbreviations" value="true"/&gt;&lt;/prefs&gt;&lt;/data&gt;</vt:lpwstr>
  </property>
  <property fmtid="{D5CDD505-2E9C-101B-9397-08002B2CF9AE}" pid="3" name="ContentTypeId">
    <vt:lpwstr>0x010100FEC360BA98D0C54AA5B30C147AB03585</vt:lpwstr>
  </property>
  <property fmtid="{D5CDD505-2E9C-101B-9397-08002B2CF9AE}" pid="4" name="Record Tag">
    <vt:lpwstr>749;#Reference Only|a36f9ca5-147f-42e9-8b31-77453093535f</vt:lpwstr>
  </property>
  <property fmtid="{D5CDD505-2E9C-101B-9397-08002B2CF9AE}" pid="5" name="Lv 2">
    <vt:lpwstr/>
  </property>
  <property fmtid="{D5CDD505-2E9C-101B-9397-08002B2CF9AE}" pid="6" name="Lv 1">
    <vt:lpwstr/>
  </property>
  <property fmtid="{D5CDD505-2E9C-101B-9397-08002B2CF9AE}" pid="7" name="_dlc_DocIdItemGuid">
    <vt:lpwstr>a4c41dba-b2d5-4cca-8950-fbefbc1c8272</vt:lpwstr>
  </property>
  <property fmtid="{D5CDD505-2E9C-101B-9397-08002B2CF9AE}" pid="8" name="RevIMBCS">
    <vt:lpwstr>1;#Unclassified|3955eeb1-2d18-4582-aeb2-00144ec3aaf5</vt:lpwstr>
  </property>
  <property fmtid="{D5CDD505-2E9C-101B-9397-08002B2CF9AE}" pid="9" name="ZOTERO_PREF_1">
    <vt:lpwstr>&lt;data data-version="3" zotero-version="5.0.96"&gt;&lt;session id="i2hXBSVf"/&gt;&lt;style id="http://www.zotero.org/styles/Productivity-Commission" hasBibliography="1" bibliographyStyleHasBeenSet="1"/&gt;&lt;prefs&gt;&lt;pref name="fieldType" value="Field"/&gt;&lt;pref name="automatic</vt:lpwstr>
  </property>
</Properties>
</file>