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0F" w:rsidRPr="00BC589E" w:rsidRDefault="00E5420F" w:rsidP="00BC589E">
      <w:pPr>
        <w:pStyle w:val="Heading1"/>
        <w:spacing w:before="0" w:after="0"/>
        <w:rPr>
          <w:color w:val="FFFFFF" w:themeColor="background1"/>
          <w:sz w:val="16"/>
          <w:szCs w:val="16"/>
        </w:rPr>
      </w:pPr>
      <w:bookmarkStart w:id="0" w:name="ChapterTitle"/>
      <w:bookmarkStart w:id="1" w:name="_GoBack"/>
      <w:bookmarkEnd w:id="1"/>
      <w:r w:rsidRPr="00BC589E">
        <w:rPr>
          <w:color w:val="FFFFFF" w:themeColor="background1"/>
          <w:sz w:val="16"/>
          <w:szCs w:val="16"/>
        </w:rPr>
        <w:t>CAPITA-B</w:t>
      </w:r>
      <w:r w:rsidR="002A1693" w:rsidRPr="00BC589E">
        <w:rPr>
          <w:color w:val="FFFFFF" w:themeColor="background1"/>
          <w:sz w:val="16"/>
          <w:szCs w:val="16"/>
        </w:rPr>
        <w:t>:</w:t>
      </w:r>
      <w:r w:rsidRPr="00BC589E">
        <w:rPr>
          <w:color w:val="FFFFFF" w:themeColor="background1"/>
          <w:sz w:val="16"/>
          <w:szCs w:val="16"/>
        </w:rPr>
        <w:t xml:space="preserve"> A Behavioural Microsimulation Model</w:t>
      </w:r>
    </w:p>
    <w:p w:rsidR="002A1693" w:rsidRPr="00BC589E" w:rsidRDefault="002A1693" w:rsidP="00BC589E">
      <w:pPr>
        <w:pStyle w:val="BodyText"/>
        <w:spacing w:before="0"/>
        <w:rPr>
          <w:color w:val="FFFFFF" w:themeColor="background1"/>
          <w:sz w:val="16"/>
          <w:szCs w:val="16"/>
        </w:rPr>
      </w:pPr>
      <w:r w:rsidRPr="00BC589E">
        <w:rPr>
          <w:color w:val="FFFFFF" w:themeColor="background1"/>
          <w:sz w:val="16"/>
          <w:szCs w:val="16"/>
        </w:rPr>
        <w:t>Productivity Commission Staff Research Note, February 2016</w:t>
      </w:r>
    </w:p>
    <w:p w:rsidR="002A1693" w:rsidRPr="002A1693" w:rsidRDefault="002A1693" w:rsidP="00BC589E">
      <w:pPr>
        <w:pStyle w:val="BodyText"/>
        <w:spacing w:before="0"/>
      </w:pPr>
      <w:r w:rsidRPr="00BC589E">
        <w:rPr>
          <w:color w:val="FFFFFF" w:themeColor="background1"/>
          <w:sz w:val="16"/>
          <w:szCs w:val="16"/>
        </w:rPr>
        <w:t>The views expressed in this note are those of the staff involved and do not necessarily reflect the views of the Productivity Commission.</w:t>
      </w:r>
      <w:r w:rsidR="00BC589E">
        <w:rPr>
          <w:noProof/>
        </w:rPr>
        <w:drawing>
          <wp:anchor distT="0" distB="0" distL="114300" distR="114300" simplePos="0" relativeHeight="251658240" behindDoc="0" locked="0" layoutInCell="1" allowOverlap="1">
            <wp:simplePos x="1148080" y="1594485"/>
            <wp:positionH relativeFrom="page">
              <wp:align>center</wp:align>
            </wp:positionH>
            <wp:positionV relativeFrom="page">
              <wp:align>center</wp:align>
            </wp:positionV>
            <wp:extent cx="7617600" cy="10771200"/>
            <wp:effectExtent l="0" t="0" r="2540" b="0"/>
            <wp:wrapNone/>
            <wp:docPr id="4" name="Picture 4" descr="Cover for: CAPITA-B: A Behavioural Microsimulation Model,&#10;Productivity Commission Staff Research Note, February 2016.&#10;The views expressed in this note are those of the staff involved and do not necessarily reflect the views of the Productivity Commi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taff-research-notes-CAPITA-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600" cy="10771200"/>
                    </a:xfrm>
                    <a:prstGeom prst="rect">
                      <a:avLst/>
                    </a:prstGeom>
                  </pic:spPr>
                </pic:pic>
              </a:graphicData>
            </a:graphic>
            <wp14:sizeRelH relativeFrom="margin">
              <wp14:pctWidth>0</wp14:pctWidth>
            </wp14:sizeRelH>
            <wp14:sizeRelV relativeFrom="margin">
              <wp14:pctHeight>0</wp14:pctHeight>
            </wp14:sizeRelV>
          </wp:anchor>
        </w:drawing>
      </w:r>
    </w:p>
    <w:p w:rsidR="00DC51E4" w:rsidRDefault="00E5420F" w:rsidP="00DC51E4">
      <w:pPr>
        <w:pStyle w:val="Copyrightheading"/>
      </w:pPr>
      <w:r>
        <w:br w:type="page"/>
      </w:r>
      <w:r w:rsidR="00DC51E4" w:rsidRPr="008C305F">
        <w:lastRenderedPageBreak/>
        <w:fldChar w:fldCharType="begin"/>
      </w:r>
      <w:r w:rsidR="00DC51E4" w:rsidRPr="008C305F">
        <w:instrText>SYMBOL 227 \f "Symbol"</w:instrText>
      </w:r>
      <w:r w:rsidR="00DC51E4" w:rsidRPr="008C305F">
        <w:fldChar w:fldCharType="end"/>
      </w:r>
      <w:r w:rsidR="00DC51E4" w:rsidRPr="008C305F">
        <w:t xml:space="preserve"> Commonwealth of Australia </w:t>
      </w:r>
      <w:r w:rsidR="00DC51E4">
        <w:t>2016</w:t>
      </w:r>
    </w:p>
    <w:p w:rsidR="00DC51E4" w:rsidRDefault="00DC51E4" w:rsidP="00DC51E4">
      <w:pPr>
        <w:pStyle w:val="BodyText"/>
        <w:spacing w:after="120"/>
      </w:pPr>
      <w:bookmarkStart w:id="2" w:name="ISSN"/>
      <w:bookmarkEnd w:id="2"/>
      <w:r w:rsidRPr="00862D8F">
        <w:rPr>
          <w:noProof/>
          <w:sz w:val="22"/>
          <w:szCs w:val="22"/>
        </w:rPr>
        <w:drawing>
          <wp:inline distT="0" distB="0" distL="0" distR="0" wp14:anchorId="67FFF9BA" wp14:editId="621C32E7">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DC51E4" w:rsidRPr="008A3857" w:rsidRDefault="00DC51E4" w:rsidP="00DC51E4">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DC51E4" w:rsidRPr="008A3857" w:rsidRDefault="00DC51E4" w:rsidP="00DC51E4">
      <w:pPr>
        <w:pStyle w:val="Copyrightsubtitle"/>
      </w:pPr>
      <w:r w:rsidRPr="008A3857">
        <w:t>Use of the Commonwealth Coat of Arms</w:t>
      </w:r>
    </w:p>
    <w:p w:rsidR="00DC51E4" w:rsidRPr="008A3857" w:rsidRDefault="00DC51E4" w:rsidP="00DC51E4">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rsidR="00DC51E4" w:rsidRPr="008A3857" w:rsidRDefault="00DC51E4" w:rsidP="00DC51E4">
      <w:pPr>
        <w:pStyle w:val="Copyrightsubtitle"/>
      </w:pPr>
      <w:r w:rsidRPr="008A3857">
        <w:t>Third party copyright</w:t>
      </w:r>
    </w:p>
    <w:p w:rsidR="00DC51E4" w:rsidRPr="008A3857" w:rsidRDefault="00DC51E4" w:rsidP="00DC51E4">
      <w:pPr>
        <w:pStyle w:val="Copyrightbodytext"/>
      </w:pPr>
      <w:r w:rsidRPr="008A3857">
        <w:t>Wherever a third party holds copyright in this material, the copyright remains with that party. Their permission may be required to use the material, please contact them directly.</w:t>
      </w:r>
    </w:p>
    <w:p w:rsidR="00DC51E4" w:rsidRPr="008A3857" w:rsidRDefault="00DC51E4" w:rsidP="00DC51E4">
      <w:pPr>
        <w:pStyle w:val="Copyrightsubtitle"/>
      </w:pPr>
      <w:r w:rsidRPr="008A3857">
        <w:t xml:space="preserve">An appropriate </w:t>
      </w:r>
      <w:r>
        <w:t>reference</w:t>
      </w:r>
      <w:r w:rsidRPr="008A3857">
        <w:t xml:space="preserve"> for this publication is:</w:t>
      </w:r>
    </w:p>
    <w:p w:rsidR="00DC51E4" w:rsidRPr="008A3857" w:rsidRDefault="00DC51E4" w:rsidP="00DC51E4">
      <w:pPr>
        <w:pStyle w:val="Copyrightbodytext"/>
      </w:pPr>
      <w:r>
        <w:t xml:space="preserve">Marshall, D. 2016, </w:t>
      </w:r>
      <w:r w:rsidRPr="002E3DF0">
        <w:rPr>
          <w:i/>
        </w:rPr>
        <w:t>CAPITA-B: A Behavioural Microsimulation Model</w:t>
      </w:r>
      <w:r>
        <w:t>, Productivity Commission Staff Research Note, Canberra, February.</w:t>
      </w:r>
    </w:p>
    <w:p w:rsidR="00DC51E4" w:rsidRPr="008A3857" w:rsidRDefault="00DC51E4" w:rsidP="00DC51E4">
      <w:pPr>
        <w:pStyle w:val="Copyrightsubtitle"/>
      </w:pPr>
      <w:bookmarkStart w:id="3" w:name="JEL"/>
      <w:bookmarkEnd w:id="3"/>
      <w:r w:rsidRPr="008A3857">
        <w:t>Publications enquiries</w:t>
      </w:r>
    </w:p>
    <w:p w:rsidR="00DC51E4" w:rsidRDefault="00DC51E4" w:rsidP="00DC51E4">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rsidR="00DC51E4" w:rsidRDefault="00DC51E4" w:rsidP="00DC51E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C51E4" w:rsidTr="00E97299">
        <w:tc>
          <w:tcPr>
            <w:tcW w:w="8771" w:type="dxa"/>
            <w:tcBorders>
              <w:top w:val="single" w:sz="6" w:space="0" w:color="78A22F"/>
              <w:left w:val="nil"/>
              <w:bottom w:val="nil"/>
              <w:right w:val="nil"/>
            </w:tcBorders>
            <w:shd w:val="clear" w:color="auto" w:fill="F2F2F2" w:themeFill="background1" w:themeFillShade="F2"/>
          </w:tcPr>
          <w:p w:rsidR="00DC51E4" w:rsidRPr="008A3857" w:rsidRDefault="00DC51E4" w:rsidP="00E97299">
            <w:pPr>
              <w:pStyle w:val="BoxTitle"/>
              <w:rPr>
                <w:sz w:val="22"/>
                <w:szCs w:val="22"/>
              </w:rPr>
            </w:pPr>
            <w:r w:rsidRPr="008A3857">
              <w:rPr>
                <w:sz w:val="22"/>
                <w:szCs w:val="22"/>
              </w:rPr>
              <w:t>The Productivity Commission</w:t>
            </w:r>
          </w:p>
        </w:tc>
      </w:tr>
      <w:tr w:rsidR="00DC51E4" w:rsidTr="00E97299">
        <w:trPr>
          <w:cantSplit/>
        </w:trPr>
        <w:tc>
          <w:tcPr>
            <w:tcW w:w="8771" w:type="dxa"/>
            <w:tcBorders>
              <w:top w:val="nil"/>
              <w:left w:val="nil"/>
              <w:bottom w:val="nil"/>
              <w:right w:val="nil"/>
            </w:tcBorders>
            <w:shd w:val="clear" w:color="auto" w:fill="F2F2F2" w:themeFill="background1" w:themeFillShade="F2"/>
          </w:tcPr>
          <w:p w:rsidR="00DC51E4" w:rsidRDefault="00DC51E4" w:rsidP="00E97299">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C51E4" w:rsidRDefault="00DC51E4" w:rsidP="00E97299">
            <w:pPr>
              <w:pStyle w:val="Box"/>
            </w:pPr>
            <w:r w:rsidRPr="00BB5DCF">
              <w:t>The Commission’s independence is underpinned by an Act of Parliament. Its processes and outputs are open to public scrutiny and are driven by concern for the wellbeing of the community as a whole.</w:t>
            </w:r>
          </w:p>
          <w:p w:rsidR="00DC51E4" w:rsidRDefault="00DC51E4" w:rsidP="00E97299">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DC51E4" w:rsidTr="00E97299">
        <w:trPr>
          <w:cantSplit/>
        </w:trPr>
        <w:tc>
          <w:tcPr>
            <w:tcW w:w="8771" w:type="dxa"/>
            <w:tcBorders>
              <w:top w:val="nil"/>
              <w:left w:val="nil"/>
              <w:bottom w:val="single" w:sz="6" w:space="0" w:color="78A22F"/>
              <w:right w:val="nil"/>
            </w:tcBorders>
            <w:shd w:val="clear" w:color="auto" w:fill="F2F2F2" w:themeFill="background1" w:themeFillShade="F2"/>
          </w:tcPr>
          <w:p w:rsidR="00DC51E4" w:rsidRDefault="00DC51E4" w:rsidP="00E97299">
            <w:pPr>
              <w:pStyle w:val="Box"/>
              <w:spacing w:before="0" w:line="120" w:lineRule="exact"/>
            </w:pPr>
          </w:p>
        </w:tc>
      </w:tr>
    </w:tbl>
    <w:p w:rsidR="00DC51E4" w:rsidRDefault="00DC51E4" w:rsidP="00DC51E4">
      <w:pPr>
        <w:pStyle w:val="BodyText"/>
        <w:sectPr w:rsidR="00DC51E4" w:rsidSect="00DC51E4">
          <w:pgSz w:w="11907" w:h="16840" w:code="9"/>
          <w:pgMar w:top="1304" w:right="1304" w:bottom="567" w:left="1814" w:header="1701" w:footer="397" w:gutter="0"/>
          <w:pgNumType w:fmt="lowerRoman" w:start="1"/>
          <w:cols w:space="720"/>
          <w:titlePg/>
        </w:sectPr>
      </w:pPr>
      <w:bookmarkStart w:id="4" w:name="cov"/>
      <w:bookmarkEnd w:id="4"/>
    </w:p>
    <w:bookmarkEnd w:id="0"/>
    <w:p w:rsidR="00204926" w:rsidRPr="00B863DC" w:rsidRDefault="00204926" w:rsidP="00B863DC">
      <w:pPr>
        <w:pStyle w:val="BoxSpaceAbove"/>
        <w:keepLines/>
        <w:spacing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204926" w:rsidTr="00204926">
        <w:tc>
          <w:tcPr>
            <w:tcW w:w="8789" w:type="dxa"/>
            <w:tcBorders>
              <w:top w:val="single" w:sz="4" w:space="0" w:color="78A22F" w:themeColor="accent1"/>
              <w:left w:val="nil"/>
              <w:bottom w:val="nil"/>
              <w:right w:val="nil"/>
            </w:tcBorders>
            <w:shd w:val="clear" w:color="auto" w:fill="E5F1D0"/>
          </w:tcPr>
          <w:p w:rsidR="00204926" w:rsidRDefault="00204926" w:rsidP="00204926">
            <w:pPr>
              <w:pStyle w:val="BoxTitle"/>
            </w:pPr>
            <w:r>
              <w:t>Key points</w:t>
            </w:r>
          </w:p>
        </w:tc>
      </w:tr>
      <w:tr w:rsidR="00204926" w:rsidTr="00204926">
        <w:tc>
          <w:tcPr>
            <w:tcW w:w="8789" w:type="dxa"/>
            <w:tcBorders>
              <w:top w:val="nil"/>
              <w:left w:val="nil"/>
              <w:bottom w:val="nil"/>
              <w:right w:val="nil"/>
            </w:tcBorders>
            <w:shd w:val="clear" w:color="auto" w:fill="E5F1D0"/>
          </w:tcPr>
          <w:p w:rsidR="00926D1D" w:rsidRDefault="00926D1D" w:rsidP="00926D1D">
            <w:pPr>
              <w:pStyle w:val="KeyPointsListBullet"/>
              <w:numPr>
                <w:ilvl w:val="0"/>
                <w:numId w:val="1"/>
              </w:numPr>
              <w:spacing w:line="270" w:lineRule="atLeast"/>
            </w:pPr>
            <w:r>
              <w:t>CAPITA</w:t>
            </w:r>
            <w:r>
              <w:noBreakHyphen/>
              <w:t xml:space="preserve">B is a behavioural microsimulation module that relies on and extends CAPITA (a static microsimulation model </w:t>
            </w:r>
            <w:r w:rsidR="00FF03C2">
              <w:t xml:space="preserve">of the Australian Tax and Transfer system </w:t>
            </w:r>
            <w:r>
              <w:t>provided by the Australian Treasury)</w:t>
            </w:r>
            <w:r w:rsidR="00922215">
              <w:t>.</w:t>
            </w:r>
            <w:r>
              <w:t xml:space="preserve"> </w:t>
            </w:r>
          </w:p>
          <w:p w:rsidR="00926D1D" w:rsidRDefault="00926D1D" w:rsidP="00926D1D">
            <w:pPr>
              <w:pStyle w:val="BoxListBullet2"/>
            </w:pPr>
            <w:r>
              <w:t>CAPITA</w:t>
            </w:r>
            <w:r>
              <w:noBreakHyphen/>
              <w:t>B extends CAPITA by estimating changes to individual and aggreg</w:t>
            </w:r>
            <w:r w:rsidR="00487AF4">
              <w:t>ate labour supply caused by</w:t>
            </w:r>
            <w:r>
              <w:t xml:space="preserve"> changes to Australia’s tax and transfer policy environment.</w:t>
            </w:r>
          </w:p>
          <w:p w:rsidR="00926D1D" w:rsidRDefault="00926D1D" w:rsidP="00926D1D">
            <w:pPr>
              <w:pStyle w:val="BoxListBullet"/>
            </w:pPr>
            <w:r>
              <w:t>The design underlying CAPITA</w:t>
            </w:r>
            <w:r>
              <w:noBreakHyphen/>
              <w:t xml:space="preserve">B was selected from a range of alternatives </w:t>
            </w:r>
            <w:r w:rsidR="00487AF4">
              <w:t>because</w:t>
            </w:r>
            <w:r>
              <w:t xml:space="preserve"> </w:t>
            </w:r>
            <w:r w:rsidR="00FF03C2">
              <w:t>it allows for</w:t>
            </w:r>
            <w:r>
              <w:t xml:space="preserve"> easily interact</w:t>
            </w:r>
            <w:r w:rsidR="00FF03C2">
              <w:t>ion</w:t>
            </w:r>
            <w:r>
              <w:t xml:space="preserve"> with the existing CAPITA framework and had low development costs</w:t>
            </w:r>
            <w:r w:rsidR="00922215">
              <w:t>.</w:t>
            </w:r>
          </w:p>
          <w:p w:rsidR="00926D1D" w:rsidRDefault="00926D1D" w:rsidP="00926D1D">
            <w:pPr>
              <w:pStyle w:val="BoxListBullet2"/>
            </w:pPr>
            <w:r>
              <w:t>CAPITA</w:t>
            </w:r>
            <w:r>
              <w:noBreakHyphen/>
              <w:t>B was not developed for a particular application. Instead, CAPITA</w:t>
            </w:r>
            <w:r>
              <w:noBreakHyphen/>
              <w:t xml:space="preserve">B </w:t>
            </w:r>
            <w:r w:rsidR="008E0720">
              <w:t>was</w:t>
            </w:r>
            <w:r>
              <w:t xml:space="preserve"> developed as a modelling </w:t>
            </w:r>
            <w:r w:rsidR="008E0720">
              <w:t>‘</w:t>
            </w:r>
            <w:r>
              <w:t>platform</w:t>
            </w:r>
            <w:r w:rsidR="008E0720">
              <w:t>’</w:t>
            </w:r>
            <w:r>
              <w:t xml:space="preserve"> </w:t>
            </w:r>
            <w:r w:rsidR="000001B7">
              <w:t>to</w:t>
            </w:r>
            <w:r w:rsidR="008E0720">
              <w:t xml:space="preserve"> provide the </w:t>
            </w:r>
            <w:r>
              <w:t xml:space="preserve">foundation </w:t>
            </w:r>
            <w:r w:rsidR="00F44334">
              <w:t>to build</w:t>
            </w:r>
            <w:r>
              <w:t xml:space="preserve"> models </w:t>
            </w:r>
            <w:r w:rsidR="00F44334">
              <w:t xml:space="preserve">designed to address specific </w:t>
            </w:r>
            <w:r>
              <w:t xml:space="preserve">policy questions. </w:t>
            </w:r>
          </w:p>
          <w:p w:rsidR="00926D1D" w:rsidRDefault="008E0720" w:rsidP="00926D1D">
            <w:pPr>
              <w:pStyle w:val="BoxListBullet2"/>
            </w:pPr>
            <w:r>
              <w:t xml:space="preserve">The initial implementation of </w:t>
            </w:r>
            <w:r w:rsidR="00926D1D">
              <w:t>CAPITA</w:t>
            </w:r>
            <w:r w:rsidR="00926D1D">
              <w:noBreakHyphen/>
              <w:t xml:space="preserve">B </w:t>
            </w:r>
            <w:r>
              <w:t>is simple</w:t>
            </w:r>
            <w:r w:rsidR="00926D1D">
              <w:t xml:space="preserve"> </w:t>
            </w:r>
            <w:r w:rsidR="00487AF4">
              <w:t xml:space="preserve">so </w:t>
            </w:r>
            <w:r w:rsidR="00FF03C2">
              <w:t xml:space="preserve">that </w:t>
            </w:r>
            <w:r w:rsidR="00926D1D">
              <w:t>it can be easily understood and modified. For instance, in this implementation, CAPITA</w:t>
            </w:r>
            <w:r w:rsidR="00926D1D">
              <w:noBreakHyphen/>
              <w:t xml:space="preserve">B assumes that </w:t>
            </w:r>
            <w:r w:rsidR="00487AF4">
              <w:t xml:space="preserve">(a) </w:t>
            </w:r>
            <w:r w:rsidR="00926D1D">
              <w:t xml:space="preserve">each </w:t>
            </w:r>
            <w:r w:rsidR="00603AE2">
              <w:t xml:space="preserve">family </w:t>
            </w:r>
            <w:r w:rsidR="00926D1D">
              <w:t xml:space="preserve">has a single decision maker and </w:t>
            </w:r>
            <w:r w:rsidR="00487AF4">
              <w:t xml:space="preserve">(b) </w:t>
            </w:r>
            <w:r w:rsidR="00926D1D">
              <w:t>that the single decision maker is the primary earner</w:t>
            </w:r>
            <w:r w:rsidR="009952D4">
              <w:t>.</w:t>
            </w:r>
          </w:p>
          <w:p w:rsidR="00926D1D" w:rsidRDefault="00926D1D" w:rsidP="00926D1D">
            <w:pPr>
              <w:pStyle w:val="BoxListBullet2"/>
            </w:pPr>
            <w:r>
              <w:t xml:space="preserve">The </w:t>
            </w:r>
            <w:r w:rsidR="008E0720">
              <w:t>initial implementation</w:t>
            </w:r>
            <w:r>
              <w:t xml:space="preserve"> includes temporary specifications for details considered to be application</w:t>
            </w:r>
            <w:r>
              <w:noBreakHyphen/>
              <w:t>specific. For instance, equations underlying wage and utility calculations are based on those used in previous Commission modelling for the Childcare and Early Childhood Learning inquiry</w:t>
            </w:r>
            <w:r w:rsidR="00552C80">
              <w:t xml:space="preserve"> </w:t>
            </w:r>
            <w:r w:rsidR="00487AF4" w:rsidRPr="00EC65B7">
              <w:rPr>
                <w:rFonts w:cs="Arial"/>
                <w:szCs w:val="24"/>
              </w:rPr>
              <w:t>(PC 2014)</w:t>
            </w:r>
            <w:r>
              <w:t>.</w:t>
            </w:r>
          </w:p>
          <w:p w:rsidR="00926D1D" w:rsidRDefault="000001B7" w:rsidP="00926D1D">
            <w:pPr>
              <w:pStyle w:val="BoxListBullet"/>
            </w:pPr>
            <w:r>
              <w:t>Applying</w:t>
            </w:r>
            <w:r w:rsidR="00F44334">
              <w:t xml:space="preserve"> </w:t>
            </w:r>
            <w:r>
              <w:t xml:space="preserve">the </w:t>
            </w:r>
            <w:r w:rsidR="00926D1D">
              <w:t>CAPITA</w:t>
            </w:r>
            <w:r w:rsidR="00926D1D">
              <w:noBreakHyphen/>
              <w:t xml:space="preserve">B modelling platform </w:t>
            </w:r>
            <w:r>
              <w:t>to</w:t>
            </w:r>
            <w:r w:rsidR="00926D1D">
              <w:t xml:space="preserve"> a particular application</w:t>
            </w:r>
            <w:r>
              <w:t xml:space="preserve"> requires further work to</w:t>
            </w:r>
            <w:r w:rsidR="00926D1D">
              <w:t>:</w:t>
            </w:r>
          </w:p>
          <w:p w:rsidR="00926D1D" w:rsidRDefault="008E0720" w:rsidP="00926D1D">
            <w:pPr>
              <w:pStyle w:val="BoxListBullet2"/>
            </w:pPr>
            <w:r>
              <w:t>modify</w:t>
            </w:r>
            <w:r w:rsidR="00926D1D">
              <w:t xml:space="preserve"> aspects of CAPITA </w:t>
            </w:r>
            <w:r w:rsidR="00160F09">
              <w:t>(</w:t>
            </w:r>
            <w:r>
              <w:t>by including more policies and modifying rules relating to transfer payment eligibility</w:t>
            </w:r>
            <w:r w:rsidR="00894308">
              <w:t xml:space="preserve"> for instance</w:t>
            </w:r>
            <w:r w:rsidR="00160F09">
              <w:t>)</w:t>
            </w:r>
          </w:p>
          <w:p w:rsidR="00926D1D" w:rsidRDefault="00926D1D" w:rsidP="00926D1D">
            <w:pPr>
              <w:pStyle w:val="BoxListBullet2"/>
            </w:pPr>
            <w:r>
              <w:t>depending on the application, specify (a) the number of decision makers per income unit and (b) who these decision makers should be</w:t>
            </w:r>
          </w:p>
          <w:p w:rsidR="00926D1D" w:rsidRDefault="00926D1D" w:rsidP="00926D1D">
            <w:pPr>
              <w:pStyle w:val="BoxListBullet2"/>
            </w:pPr>
            <w:r>
              <w:t>updat</w:t>
            </w:r>
            <w:r w:rsidR="000001B7">
              <w:t>e</w:t>
            </w:r>
            <w:r>
              <w:t xml:space="preserve"> the temporary specifications of some of the module’s details, such as the equations used in the utility and wage calculations.</w:t>
            </w:r>
          </w:p>
          <w:p w:rsidR="00926D1D" w:rsidRDefault="00926D1D" w:rsidP="00CC1F44">
            <w:pPr>
              <w:pStyle w:val="BoxListBullet"/>
            </w:pPr>
            <w:r>
              <w:t>CAPITA</w:t>
            </w:r>
            <w:r>
              <w:noBreakHyphen/>
              <w:t xml:space="preserve">B </w:t>
            </w:r>
            <w:r w:rsidR="0052134F">
              <w:t>calculat</w:t>
            </w:r>
            <w:r w:rsidR="00F44334">
              <w:t>es</w:t>
            </w:r>
            <w:r w:rsidR="0052134F">
              <w:t xml:space="preserve"> </w:t>
            </w:r>
            <w:r w:rsidR="00E62566">
              <w:t>people’s</w:t>
            </w:r>
            <w:r w:rsidR="0052134F">
              <w:t xml:space="preserve"> labour supply choices after</w:t>
            </w:r>
            <w:r>
              <w:t xml:space="preserve"> policy change and aggregat</w:t>
            </w:r>
            <w:r w:rsidR="00F44334">
              <w:t>es</w:t>
            </w:r>
            <w:r>
              <w:t xml:space="preserve"> these </w:t>
            </w:r>
            <w:r w:rsidR="004E0D0B">
              <w:t>choices</w:t>
            </w:r>
            <w:r w:rsidR="00F44334">
              <w:t xml:space="preserve"> into changes in aggregate labour supply, relative to a baseline</w:t>
            </w:r>
            <w:r w:rsidR="00922215">
              <w:t>.</w:t>
            </w:r>
          </w:p>
          <w:p w:rsidR="00926D1D" w:rsidRDefault="009952D4" w:rsidP="00926D1D">
            <w:pPr>
              <w:pStyle w:val="BoxListBullet2"/>
            </w:pPr>
            <w:r>
              <w:t>A</w:t>
            </w:r>
            <w:r w:rsidR="00926D1D">
              <w:t xml:space="preserve">ggregate results </w:t>
            </w:r>
            <w:r w:rsidR="00CE5FE1">
              <w:t>should be</w:t>
            </w:r>
            <w:r>
              <w:t xml:space="preserve"> interpreted as</w:t>
            </w:r>
            <w:r w:rsidR="00926D1D">
              <w:t xml:space="preserve"> labour supply</w:t>
            </w:r>
            <w:r>
              <w:t xml:space="preserve"> changes and not </w:t>
            </w:r>
            <w:r w:rsidR="00926D1D">
              <w:t>changes to</w:t>
            </w:r>
            <w:r w:rsidR="00CE5FE1">
              <w:t xml:space="preserve"> equilibrium employment</w:t>
            </w:r>
            <w:r w:rsidR="00926D1D">
              <w:t xml:space="preserve"> </w:t>
            </w:r>
            <w:r w:rsidR="00CE5FE1">
              <w:t>(</w:t>
            </w:r>
            <w:r w:rsidR="00160F09">
              <w:t>which depends on</w:t>
            </w:r>
            <w:r w:rsidR="0052134F">
              <w:t xml:space="preserve"> interactions with</w:t>
            </w:r>
            <w:r w:rsidR="00926D1D">
              <w:t xml:space="preserve"> labour demand</w:t>
            </w:r>
            <w:r w:rsidR="00160F09">
              <w:t xml:space="preserve"> that </w:t>
            </w:r>
            <w:r w:rsidR="0052134F">
              <w:t>are</w:t>
            </w:r>
            <w:r w:rsidR="00160F09">
              <w:t xml:space="preserve"> not</w:t>
            </w:r>
            <w:r w:rsidR="0052134F">
              <w:t xml:space="preserve"> reflected</w:t>
            </w:r>
            <w:r w:rsidR="00160F09">
              <w:t xml:space="preserve"> </w:t>
            </w:r>
            <w:r w:rsidR="0052134F">
              <w:t>in CAPITA</w:t>
            </w:r>
            <w:r w:rsidR="0052134F">
              <w:noBreakHyphen/>
              <w:t>B</w:t>
            </w:r>
            <w:r w:rsidR="00CE5FE1">
              <w:t>)</w:t>
            </w:r>
            <w:r w:rsidR="00926D1D">
              <w:t>.</w:t>
            </w:r>
          </w:p>
          <w:p w:rsidR="00C637F5" w:rsidRDefault="00926D1D" w:rsidP="00F44334">
            <w:pPr>
              <w:pStyle w:val="BoxListBullet2"/>
              <w:rPr>
                <w:szCs w:val="24"/>
              </w:rPr>
            </w:pPr>
            <w:r>
              <w:t xml:space="preserve">Similarly, budgetary effects calculated with </w:t>
            </w:r>
            <w:r w:rsidR="00394802">
              <w:t xml:space="preserve">CAPITA-B </w:t>
            </w:r>
            <w:r w:rsidR="00F44334">
              <w:t xml:space="preserve">do not relate to </w:t>
            </w:r>
            <w:r>
              <w:t>equilibrium</w:t>
            </w:r>
            <w:r w:rsidR="00F44334">
              <w:t xml:space="preserve"> employment outcomes</w:t>
            </w:r>
            <w:r>
              <w:t>.</w:t>
            </w:r>
          </w:p>
        </w:tc>
      </w:tr>
      <w:tr w:rsidR="00204926" w:rsidTr="00204926">
        <w:tc>
          <w:tcPr>
            <w:tcW w:w="8789" w:type="dxa"/>
            <w:tcBorders>
              <w:top w:val="nil"/>
              <w:left w:val="nil"/>
              <w:bottom w:val="single" w:sz="4" w:space="0" w:color="78A22F" w:themeColor="accent1"/>
              <w:right w:val="nil"/>
            </w:tcBorders>
            <w:shd w:val="clear" w:color="auto" w:fill="E5F1D0"/>
          </w:tcPr>
          <w:p w:rsidR="00204926" w:rsidRDefault="00204926" w:rsidP="00204926">
            <w:pPr>
              <w:pStyle w:val="Box"/>
              <w:spacing w:before="0" w:line="120" w:lineRule="exact"/>
            </w:pPr>
          </w:p>
        </w:tc>
      </w:tr>
      <w:tr w:rsidR="00204926" w:rsidTr="00204926">
        <w:tc>
          <w:tcPr>
            <w:tcW w:w="8789" w:type="dxa"/>
            <w:tcBorders>
              <w:top w:val="single" w:sz="4" w:space="0" w:color="78A22F" w:themeColor="accent1"/>
              <w:left w:val="nil"/>
              <w:bottom w:val="nil"/>
              <w:right w:val="nil"/>
            </w:tcBorders>
          </w:tcPr>
          <w:p w:rsidR="00204926" w:rsidRDefault="00204926" w:rsidP="00204926">
            <w:pPr>
              <w:pStyle w:val="Box"/>
              <w:keepNext w:val="0"/>
              <w:spacing w:before="60" w:after="60" w:line="80" w:lineRule="exact"/>
            </w:pPr>
          </w:p>
        </w:tc>
      </w:tr>
    </w:tbl>
    <w:p w:rsidR="00EE425D" w:rsidRDefault="00EE425D" w:rsidP="00EE425D">
      <w:pPr>
        <w:pStyle w:val="BodyText"/>
      </w:pPr>
      <w:bookmarkStart w:id="5" w:name="begin"/>
      <w:bookmarkEnd w:id="5"/>
      <w:r>
        <w:br w:type="page"/>
      </w:r>
    </w:p>
    <w:p w:rsidR="002E3DF0" w:rsidRDefault="00DF21B5" w:rsidP="002E3DF0">
      <w:pPr>
        <w:pStyle w:val="Heading2"/>
      </w:pPr>
      <w:r>
        <w:lastRenderedPageBreak/>
        <w:t>CAPITA-B</w:t>
      </w:r>
    </w:p>
    <w:p w:rsidR="003837C0" w:rsidRDefault="007B7F16" w:rsidP="007B7F16">
      <w:pPr>
        <w:pStyle w:val="BodyText"/>
      </w:pPr>
      <w:r>
        <w:t>Like other behavioural microsimulation models, CAPITA</w:t>
      </w:r>
      <w:r>
        <w:noBreakHyphen/>
        <w:t>B</w:t>
      </w:r>
      <w:r w:rsidR="000268A6">
        <w:t xml:space="preserve"> </w:t>
      </w:r>
      <w:r w:rsidR="00592AAC">
        <w:t xml:space="preserve">provides the means to </w:t>
      </w:r>
      <w:r w:rsidR="000268A6">
        <w:t xml:space="preserve">take </w:t>
      </w:r>
      <w:r w:rsidR="00592AAC">
        <w:t xml:space="preserve">people’s </w:t>
      </w:r>
      <w:r>
        <w:t xml:space="preserve">labour supply </w:t>
      </w:r>
      <w:r w:rsidR="00592AAC">
        <w:t xml:space="preserve">responses </w:t>
      </w:r>
      <w:r w:rsidR="000268A6">
        <w:t xml:space="preserve">into account when evaluating the </w:t>
      </w:r>
      <w:r w:rsidR="002F4CBB">
        <w:t xml:space="preserve">effects </w:t>
      </w:r>
      <w:r w:rsidR="000268A6">
        <w:t xml:space="preserve">of </w:t>
      </w:r>
      <w:r>
        <w:t>policy change</w:t>
      </w:r>
      <w:r w:rsidR="003D59F6">
        <w:t>.</w:t>
      </w:r>
      <w:r w:rsidR="00F44334" w:rsidRPr="009A7EDA">
        <w:rPr>
          <w:rStyle w:val="FootnoteReference"/>
        </w:rPr>
        <w:footnoteReference w:id="1"/>
      </w:r>
      <w:r>
        <w:t xml:space="preserve"> Unlike other behavioural microsimulation models, CAPITA</w:t>
      </w:r>
      <w:r>
        <w:noBreakHyphen/>
        <w:t xml:space="preserve">B </w:t>
      </w:r>
      <w:r w:rsidR="00F44334">
        <w:t>is</w:t>
      </w:r>
      <w:r w:rsidR="007578C0">
        <w:t xml:space="preserve"> not</w:t>
      </w:r>
      <w:r w:rsidR="00F44334">
        <w:t xml:space="preserve"> designed </w:t>
      </w:r>
      <w:r>
        <w:t>with</w:t>
      </w:r>
      <w:r w:rsidR="007578C0">
        <w:t xml:space="preserve"> </w:t>
      </w:r>
      <w:r>
        <w:t xml:space="preserve">a </w:t>
      </w:r>
      <w:r w:rsidR="00F44334">
        <w:t xml:space="preserve">specific </w:t>
      </w:r>
      <w:r>
        <w:t>policy application</w:t>
      </w:r>
      <w:r w:rsidR="000001B7">
        <w:t xml:space="preserve">, rather </w:t>
      </w:r>
      <w:r w:rsidR="00F44334">
        <w:t>as a ‘platform’ to facilitate the development of application</w:t>
      </w:r>
      <w:r w:rsidR="00237B64">
        <w:noBreakHyphen/>
      </w:r>
      <w:r w:rsidR="00F44334">
        <w:t xml:space="preserve">specific models. </w:t>
      </w:r>
    </w:p>
    <w:p w:rsidR="003837C0" w:rsidRDefault="003837C0" w:rsidP="00084A13">
      <w:pPr>
        <w:pStyle w:val="BodyText"/>
      </w:pPr>
      <w:r>
        <w:t xml:space="preserve">Behavioural </w:t>
      </w:r>
      <w:r w:rsidR="00CD3E33">
        <w:t xml:space="preserve">microsimulation </w:t>
      </w:r>
      <w:r>
        <w:t xml:space="preserve">models built to answer </w:t>
      </w:r>
      <w:r w:rsidR="00A6669B">
        <w:t>specific</w:t>
      </w:r>
      <w:r>
        <w:t xml:space="preserve"> policy questions </w:t>
      </w:r>
      <w:r w:rsidR="00576170">
        <w:t xml:space="preserve">must be </w:t>
      </w:r>
      <w:r w:rsidR="00A6669B">
        <w:t xml:space="preserve">adjusted </w:t>
      </w:r>
      <w:r w:rsidR="00576170">
        <w:t>before they can be applied to</w:t>
      </w:r>
      <w:r>
        <w:t xml:space="preserve"> other policy questions. This is the case when</w:t>
      </w:r>
      <w:r w:rsidR="00F427A2">
        <w:t>, for instance,</w:t>
      </w:r>
      <w:r>
        <w:t xml:space="preserve"> their database only captures information on a specific subset of the population relevant for the application. For </w:t>
      </w:r>
      <w:r w:rsidR="00F427A2">
        <w:t>example,</w:t>
      </w:r>
      <w:r>
        <w:t xml:space="preserve"> the behavioural microsimulation model used in the Commission’s Childcare and Early Childhood Learning report restricted the database to focus on parents</w:t>
      </w:r>
      <w:r w:rsidR="005454AE">
        <w:t xml:space="preserve"> of children below the age of 12 </w:t>
      </w:r>
      <w:r w:rsidRPr="000C7605">
        <w:rPr>
          <w:szCs w:val="24"/>
        </w:rPr>
        <w:t>(PC 2014)</w:t>
      </w:r>
      <w:r>
        <w:t xml:space="preserve">. </w:t>
      </w:r>
      <w:r w:rsidR="007C63A3">
        <w:t>This was</w:t>
      </w:r>
      <w:r>
        <w:t xml:space="preserve"> </w:t>
      </w:r>
      <w:r w:rsidR="00F44334">
        <w:t xml:space="preserve">the relevant population </w:t>
      </w:r>
      <w:r>
        <w:t xml:space="preserve">for the Childcare and Early Childhood Learning report, but </w:t>
      </w:r>
      <w:r w:rsidR="0000736B">
        <w:t>it</w:t>
      </w:r>
      <w:r w:rsidR="00237B64">
        <w:t xml:space="preserve"> may</w:t>
      </w:r>
      <w:r w:rsidR="0000736B">
        <w:t xml:space="preserve"> </w:t>
      </w:r>
      <w:r>
        <w:t xml:space="preserve">not be </w:t>
      </w:r>
      <w:r w:rsidR="003C751A">
        <w:t xml:space="preserve">a valid </w:t>
      </w:r>
      <w:r w:rsidR="0000736B">
        <w:t xml:space="preserve">population </w:t>
      </w:r>
      <w:r w:rsidR="00F87AF8">
        <w:t>when</w:t>
      </w:r>
      <w:r w:rsidR="00A6669B">
        <w:t xml:space="preserve"> answering other</w:t>
      </w:r>
      <w:r>
        <w:t xml:space="preserve"> policy </w:t>
      </w:r>
      <w:r w:rsidR="00A6669B">
        <w:t>questions</w:t>
      </w:r>
      <w:r>
        <w:t>.</w:t>
      </w:r>
    </w:p>
    <w:p w:rsidR="00EC239F" w:rsidRDefault="00EC239F" w:rsidP="00084A13">
      <w:pPr>
        <w:pStyle w:val="BodyText"/>
      </w:pPr>
      <w:r>
        <w:t xml:space="preserve">Most behavioural microsimulation models have </w:t>
      </w:r>
      <w:r w:rsidR="00F87AF8">
        <w:t>some common elements</w:t>
      </w:r>
      <w:r>
        <w:t>. While application</w:t>
      </w:r>
      <w:r>
        <w:noBreakHyphen/>
        <w:t>specific details vary, behavioural microsimulation models usually</w:t>
      </w:r>
      <w:r w:rsidR="0021346C">
        <w:t xml:space="preserve"> estimate labour supply choices by</w:t>
      </w:r>
      <w:r>
        <w:t>: defin</w:t>
      </w:r>
      <w:r w:rsidR="0021346C">
        <w:t>ing</w:t>
      </w:r>
      <w:r>
        <w:t xml:space="preserve"> </w:t>
      </w:r>
      <w:r w:rsidR="009A25D7">
        <w:t xml:space="preserve">a </w:t>
      </w:r>
      <w:r w:rsidR="0021346C">
        <w:t xml:space="preserve">set </w:t>
      </w:r>
      <w:r w:rsidR="009A25D7">
        <w:t xml:space="preserve">of </w:t>
      </w:r>
      <w:r>
        <w:t>discrete labour supply alternatives</w:t>
      </w:r>
      <w:r w:rsidR="00EE425D">
        <w:t xml:space="preserve"> that people can choose from</w:t>
      </w:r>
      <w:r>
        <w:t>, estimat</w:t>
      </w:r>
      <w:r w:rsidR="0021346C">
        <w:t>ing</w:t>
      </w:r>
      <w:r>
        <w:t xml:space="preserve"> wages (particularly for those who are enticed to begin working by the policy change</w:t>
      </w:r>
      <w:r w:rsidR="00F44334">
        <w:t xml:space="preserve"> and for whom no employment or wage history is available</w:t>
      </w:r>
      <w:r>
        <w:t>), calculat</w:t>
      </w:r>
      <w:r w:rsidR="0021346C">
        <w:t>ing</w:t>
      </w:r>
      <w:r>
        <w:t xml:space="preserve"> gross and net income </w:t>
      </w:r>
      <w:r w:rsidR="00F44334">
        <w:t xml:space="preserve">for </w:t>
      </w:r>
      <w:r>
        <w:t>each labour supply alternative; and apply</w:t>
      </w:r>
      <w:r w:rsidR="0021346C">
        <w:t>ing</w:t>
      </w:r>
      <w:r>
        <w:t xml:space="preserve"> a calibrated utility function</w:t>
      </w:r>
      <w:r w:rsidR="000001B7">
        <w:t xml:space="preserve"> to determine the labour supply decision</w:t>
      </w:r>
      <w:r>
        <w:t xml:space="preserve">. These common </w:t>
      </w:r>
      <w:r w:rsidR="00F87AF8">
        <w:t>elements</w:t>
      </w:r>
      <w:r>
        <w:t xml:space="preserve"> can be found in, for instance, STINMOD</w:t>
      </w:r>
      <w:r>
        <w:noBreakHyphen/>
        <w:t xml:space="preserve">B, the Melbourne Institute Tax and Transfer Simulator (MITTS) and previous Commission microsimulation models. </w:t>
      </w:r>
    </w:p>
    <w:p w:rsidR="00EC239F" w:rsidRDefault="00EC239F" w:rsidP="00084A13">
      <w:pPr>
        <w:pStyle w:val="BodyText"/>
      </w:pPr>
      <w:r>
        <w:t>CAPITA</w:t>
      </w:r>
      <w:r>
        <w:noBreakHyphen/>
        <w:t xml:space="preserve">B </w:t>
      </w:r>
      <w:r w:rsidR="00A6645E">
        <w:t xml:space="preserve">replicates the </w:t>
      </w:r>
      <w:r w:rsidR="004E6779">
        <w:t>common elements inherent in</w:t>
      </w:r>
      <w:r w:rsidR="00A6645E">
        <w:t xml:space="preserve"> </w:t>
      </w:r>
      <w:r>
        <w:t>behavioural microsimulation model</w:t>
      </w:r>
      <w:r w:rsidR="001542C5">
        <w:t>s</w:t>
      </w:r>
      <w:r>
        <w:t xml:space="preserve"> </w:t>
      </w:r>
      <w:r w:rsidR="00B9567B">
        <w:t>while keeping to a minimum details that would be required to model a particular policy application</w:t>
      </w:r>
      <w:r w:rsidR="00603AE2" w:rsidRPr="009A7EDA">
        <w:rPr>
          <w:rStyle w:val="FootnoteReference"/>
        </w:rPr>
        <w:footnoteReference w:id="2"/>
      </w:r>
      <w:r>
        <w:t>.</w:t>
      </w:r>
      <w:r w:rsidR="00F16653">
        <w:t xml:space="preserve"> </w:t>
      </w:r>
      <w:r w:rsidR="0000736B">
        <w:t xml:space="preserve">This </w:t>
      </w:r>
      <w:r w:rsidR="009B4038">
        <w:t xml:space="preserve">makes it </w:t>
      </w:r>
      <w:r w:rsidR="0000736B">
        <w:t>easi</w:t>
      </w:r>
      <w:r w:rsidR="009B4038">
        <w:t>er to</w:t>
      </w:r>
      <w:r w:rsidR="0000736B">
        <w:t xml:space="preserve"> extend</w:t>
      </w:r>
      <w:r w:rsidR="009B4038">
        <w:t xml:space="preserve"> CAPITA</w:t>
      </w:r>
      <w:r w:rsidR="009B4038">
        <w:noBreakHyphen/>
        <w:t>B</w:t>
      </w:r>
      <w:r w:rsidR="0000736B">
        <w:t xml:space="preserve"> to answer future policy questions.</w:t>
      </w:r>
    </w:p>
    <w:p w:rsidR="005209C0" w:rsidRDefault="005209C0" w:rsidP="005209C0">
      <w:pPr>
        <w:pStyle w:val="BodyText"/>
        <w:keepLines/>
        <w:spacing w:after="120"/>
      </w:pPr>
      <w:r>
        <w:t>This document describes CAPITA-B by</w:t>
      </w:r>
      <w:r w:rsidR="00F1530D">
        <w:t xml:space="preserve"> </w:t>
      </w:r>
      <w:r w:rsidR="00F44334">
        <w:t>(</w:t>
      </w:r>
      <w:proofErr w:type="spellStart"/>
      <w:r w:rsidR="00F44334">
        <w:t>i</w:t>
      </w:r>
      <w:proofErr w:type="spellEnd"/>
      <w:r w:rsidR="00F44334">
        <w:t xml:space="preserve">) </w:t>
      </w:r>
      <w:r>
        <w:t>focusing on</w:t>
      </w:r>
      <w:r w:rsidR="00F1530D">
        <w:t xml:space="preserve"> </w:t>
      </w:r>
      <w:r>
        <w:t>design considerations</w:t>
      </w:r>
      <w:r w:rsidR="00F1530D">
        <w:t xml:space="preserve"> that influenced CAPITA</w:t>
      </w:r>
      <w:r w:rsidR="00F1530D">
        <w:noBreakHyphen/>
        <w:t xml:space="preserve">B’s development, </w:t>
      </w:r>
      <w:r w:rsidR="00F44334">
        <w:t>(ii)</w:t>
      </w:r>
      <w:r w:rsidR="009F39B9">
        <w:t xml:space="preserve"> discussing</w:t>
      </w:r>
      <w:r>
        <w:t xml:space="preserve"> the behavioural module’s theory and implementation (implementation is illustrated using a hypothetical policy experiment)</w:t>
      </w:r>
      <w:r w:rsidR="00F44334">
        <w:t xml:space="preserve">, and (iii) </w:t>
      </w:r>
      <w:r>
        <w:t>identifying aspects of CAPITA</w:t>
      </w:r>
      <w:r>
        <w:noBreakHyphen/>
        <w:t xml:space="preserve">B that should be revised </w:t>
      </w:r>
      <w:r w:rsidR="00F606A2">
        <w:t>when</w:t>
      </w:r>
      <w:r>
        <w:t xml:space="preserve"> develop</w:t>
      </w:r>
      <w:r w:rsidR="00F606A2">
        <w:t>ing</w:t>
      </w:r>
      <w:r>
        <w:t xml:space="preserve"> an application</w:t>
      </w:r>
      <w:r>
        <w:noBreakHyphen/>
        <w:t>specific model.</w:t>
      </w:r>
    </w:p>
    <w:p w:rsidR="002507BF" w:rsidRDefault="002507BF" w:rsidP="00EC65B7">
      <w:pPr>
        <w:pStyle w:val="BoxSpaceAbove"/>
        <w:keepLines/>
        <w:spacing w:after="12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507BF" w:rsidTr="0009714B">
        <w:tc>
          <w:tcPr>
            <w:tcW w:w="8771" w:type="dxa"/>
            <w:tcBorders>
              <w:top w:val="single" w:sz="6" w:space="0" w:color="78A22F"/>
              <w:left w:val="nil"/>
              <w:bottom w:val="nil"/>
              <w:right w:val="nil"/>
            </w:tcBorders>
            <w:shd w:val="clear" w:color="auto" w:fill="F2F2F2"/>
          </w:tcPr>
          <w:p w:rsidR="002507BF" w:rsidRDefault="002507BF" w:rsidP="00BE1D2B">
            <w:pPr>
              <w:pStyle w:val="BoxTitle"/>
            </w:pPr>
            <w:r>
              <w:rPr>
                <w:b w:val="0"/>
              </w:rPr>
              <w:t xml:space="preserve">Box </w:t>
            </w:r>
            <w:bookmarkStart w:id="6" w:name="OLE_LINK8"/>
            <w:r w:rsidR="003F2E30">
              <w:rPr>
                <w:b w:val="0"/>
                <w:noProof/>
              </w:rPr>
              <w:t>1</w:t>
            </w:r>
            <w:bookmarkEnd w:id="6"/>
            <w:r>
              <w:tab/>
              <w:t>CAPITA</w:t>
            </w:r>
          </w:p>
        </w:tc>
      </w:tr>
      <w:tr w:rsidR="002507BF" w:rsidTr="0009714B">
        <w:trPr>
          <w:cantSplit/>
        </w:trPr>
        <w:tc>
          <w:tcPr>
            <w:tcW w:w="8771" w:type="dxa"/>
            <w:tcBorders>
              <w:top w:val="nil"/>
              <w:left w:val="nil"/>
              <w:bottom w:val="nil"/>
              <w:right w:val="nil"/>
            </w:tcBorders>
            <w:shd w:val="clear" w:color="auto" w:fill="F2F2F2"/>
          </w:tcPr>
          <w:p w:rsidR="002507BF" w:rsidRDefault="002507BF" w:rsidP="002507BF">
            <w:pPr>
              <w:pStyle w:val="Box"/>
            </w:pPr>
            <w:r>
              <w:t>CAPITA is a static microsimulation model</w:t>
            </w:r>
            <w:r w:rsidR="00C96A6A">
              <w:t xml:space="preserve"> provided by the </w:t>
            </w:r>
            <w:r w:rsidR="00A762EB">
              <w:t>Australian Treasury</w:t>
            </w:r>
            <w:r w:rsidR="00414EC5">
              <w:t xml:space="preserve"> that </w:t>
            </w:r>
            <w:r w:rsidR="008332DA">
              <w:t>forms</w:t>
            </w:r>
            <w:r w:rsidR="00414EC5">
              <w:t xml:space="preserve"> the foundation for CAPITA</w:t>
            </w:r>
            <w:r w:rsidR="00414EC5">
              <w:noBreakHyphen/>
              <w:t>B</w:t>
            </w:r>
            <w:r w:rsidR="00654CA8">
              <w:t>.</w:t>
            </w:r>
            <w:r w:rsidR="00047106">
              <w:t xml:space="preserve"> CAPITA </w:t>
            </w:r>
            <w:r w:rsidR="007606A2">
              <w:t>relies on</w:t>
            </w:r>
            <w:r w:rsidR="00203FDA">
              <w:t xml:space="preserve"> the 2011</w:t>
            </w:r>
            <w:r w:rsidR="00203FDA">
              <w:noBreakHyphen/>
              <w:t xml:space="preserve">12 Survey of Income and Housing </w:t>
            </w:r>
            <w:r w:rsidR="00AD4F24">
              <w:t xml:space="preserve">to </w:t>
            </w:r>
            <w:r w:rsidR="0015402C">
              <w:t xml:space="preserve">describe </w:t>
            </w:r>
            <w:r w:rsidR="0094239B">
              <w:t>income unit’s</w:t>
            </w:r>
            <w:r w:rsidR="00AD4F24">
              <w:t xml:space="preserve"> </w:t>
            </w:r>
            <w:r w:rsidR="00203FDA">
              <w:t>demographic and economic characteristics</w:t>
            </w:r>
            <w:r w:rsidR="007606A2">
              <w:t xml:space="preserve"> </w:t>
            </w:r>
            <w:r w:rsidR="00E03D56">
              <w:t xml:space="preserve">so that </w:t>
            </w:r>
            <w:r w:rsidR="00943DA4">
              <w:t>their interactions with the</w:t>
            </w:r>
            <w:r w:rsidR="00203FDA">
              <w:t xml:space="preserve"> Australian Tax and Transfer System </w:t>
            </w:r>
            <w:r w:rsidR="00E03D56">
              <w:t>can be</w:t>
            </w:r>
            <w:r w:rsidR="0015402C">
              <w:t xml:space="preserve"> accurately</w:t>
            </w:r>
            <w:r w:rsidR="00E03D56">
              <w:t xml:space="preserve"> modelled</w:t>
            </w:r>
            <w:r w:rsidR="00047106">
              <w:t>.</w:t>
            </w:r>
            <w:r w:rsidR="00654CA8">
              <w:t xml:space="preserve"> </w:t>
            </w:r>
            <w:r w:rsidR="00414EC5">
              <w:t>CAPITA</w:t>
            </w:r>
            <w:r w:rsidR="00414EC5">
              <w:noBreakHyphen/>
              <w:t xml:space="preserve">B </w:t>
            </w:r>
            <w:r w:rsidR="00E03D56">
              <w:t>uses</w:t>
            </w:r>
            <w:r w:rsidR="00414EC5">
              <w:t xml:space="preserve"> </w:t>
            </w:r>
            <w:r w:rsidR="00654CA8">
              <w:t>CAPITA</w:t>
            </w:r>
            <w:r>
              <w:t xml:space="preserve"> </w:t>
            </w:r>
            <w:r w:rsidR="00414EC5">
              <w:t xml:space="preserve">to </w:t>
            </w:r>
            <w:r>
              <w:t xml:space="preserve">estimate an income unit’s </w:t>
            </w:r>
            <w:r w:rsidR="006150AC">
              <w:t>disposable</w:t>
            </w:r>
            <w:r>
              <w:t xml:space="preserve"> income, given</w:t>
            </w:r>
            <w:r w:rsidR="008C4554">
              <w:t>:</w:t>
            </w:r>
            <w:r>
              <w:t xml:space="preserve"> </w:t>
            </w:r>
            <w:r w:rsidR="00EB4329">
              <w:t>observed</w:t>
            </w:r>
            <w:r w:rsidR="00E517F8">
              <w:t xml:space="preserve"> </w:t>
            </w:r>
            <w:r>
              <w:t>characteristics</w:t>
            </w:r>
            <w:r w:rsidR="00F212E0">
              <w:t xml:space="preserve"> (such as family type and </w:t>
            </w:r>
            <w:r w:rsidR="00E517F8">
              <w:t>gross income</w:t>
            </w:r>
            <w:r w:rsidR="00F212E0">
              <w:t>)</w:t>
            </w:r>
            <w:r>
              <w:t xml:space="preserve">, and the rules governing the Australian Tax and Transfer System. </w:t>
            </w:r>
            <w:r w:rsidR="007001B2">
              <w:t xml:space="preserve">While not containing all taxes and transfers, </w:t>
            </w:r>
            <w:r>
              <w:t xml:space="preserve">CAPITA </w:t>
            </w:r>
            <w:r w:rsidR="00D078FE">
              <w:t xml:space="preserve">includes </w:t>
            </w:r>
            <w:r w:rsidR="007001B2">
              <w:t>over</w:t>
            </w:r>
            <w:r>
              <w:t xml:space="preserve"> 40 major policies</w:t>
            </w:r>
            <w:r w:rsidR="00392FA7">
              <w:t xml:space="preserve"> (</w:t>
            </w:r>
            <w:r w:rsidR="00B13BE3">
              <w:t>reported</w:t>
            </w:r>
            <w:r w:rsidR="00392FA7">
              <w:t xml:space="preserve"> in </w:t>
            </w:r>
            <w:r w:rsidR="00826564">
              <w:t>table 4</w:t>
            </w:r>
            <w:r w:rsidR="00392FA7">
              <w:t>)</w:t>
            </w:r>
            <w:r w:rsidR="007001B2">
              <w:t xml:space="preserve"> administered by the Australian Government in 2014-15. </w:t>
            </w:r>
          </w:p>
          <w:p w:rsidR="00FB67B3" w:rsidRDefault="002507BF" w:rsidP="002507BF">
            <w:pPr>
              <w:pStyle w:val="Box"/>
            </w:pPr>
            <w:r>
              <w:t>The main payments in C</w:t>
            </w:r>
            <w:r w:rsidR="00392FA7">
              <w:t xml:space="preserve">APITA </w:t>
            </w:r>
            <w:r w:rsidR="0073201D">
              <w:t xml:space="preserve">are </w:t>
            </w:r>
            <w:r w:rsidR="00392FA7">
              <w:t>pensions, such as</w:t>
            </w:r>
            <w:r>
              <w:t xml:space="preserve"> the Aged Pension and Disability Support Pe</w:t>
            </w:r>
            <w:r w:rsidR="00601593">
              <w:t>nsion</w:t>
            </w:r>
            <w:r w:rsidR="00392FA7">
              <w:t>; and allowances, such as</w:t>
            </w:r>
            <w:r>
              <w:t xml:space="preserve"> </w:t>
            </w:r>
            <w:proofErr w:type="spellStart"/>
            <w:r>
              <w:t>Newstart</w:t>
            </w:r>
            <w:proofErr w:type="spellEnd"/>
            <w:r>
              <w:t xml:space="preserve"> Allowance and Youth Allowance</w:t>
            </w:r>
            <w:r w:rsidR="00EB4329">
              <w:t>. CAPITA also</w:t>
            </w:r>
            <w:r w:rsidR="00454A10">
              <w:t xml:space="preserve"> models</w:t>
            </w:r>
            <w:r w:rsidR="00EB4329">
              <w:t xml:space="preserve"> </w:t>
            </w:r>
            <w:r w:rsidR="00454A10">
              <w:t>Family Tax Benefits and</w:t>
            </w:r>
            <w:r w:rsidR="00FB67B3">
              <w:t xml:space="preserve"> </w:t>
            </w:r>
            <w:r w:rsidR="00454A10">
              <w:t>s</w:t>
            </w:r>
            <w:r>
              <w:t>upplementary payments</w:t>
            </w:r>
            <w:r w:rsidR="00601593">
              <w:t>,</w:t>
            </w:r>
            <w:r>
              <w:t xml:space="preserve"> such as Commonwealth Rent Assistance and the Tele</w:t>
            </w:r>
            <w:r w:rsidR="00FB67B3">
              <w:t>phone Allowance.</w:t>
            </w:r>
            <w:r w:rsidR="006150AC">
              <w:t xml:space="preserve"> </w:t>
            </w:r>
            <w:r w:rsidR="003068FA">
              <w:t>A</w:t>
            </w:r>
            <w:r w:rsidR="00601593">
              <w:t xml:space="preserve"> detailed representation of the</w:t>
            </w:r>
            <w:r w:rsidR="00FB67B3">
              <w:t xml:space="preserve"> personal income tax system</w:t>
            </w:r>
            <w:r w:rsidR="00601593">
              <w:t xml:space="preserve"> that takes into account </w:t>
            </w:r>
            <w:r w:rsidR="00FB67B3">
              <w:t>deductions and tax offsets</w:t>
            </w:r>
            <w:r w:rsidR="00601593">
              <w:t xml:space="preserve"> is </w:t>
            </w:r>
            <w:r w:rsidR="00EC3D77">
              <w:t>also modelled</w:t>
            </w:r>
            <w:r w:rsidR="00FB67B3">
              <w:t>.</w:t>
            </w:r>
          </w:p>
          <w:p w:rsidR="002507BF" w:rsidRDefault="00952160" w:rsidP="00F606A2">
            <w:pPr>
              <w:pStyle w:val="Box"/>
              <w:rPr>
                <w:szCs w:val="24"/>
              </w:rPr>
            </w:pPr>
            <w:r>
              <w:t xml:space="preserve">While </w:t>
            </w:r>
            <w:r w:rsidR="0055149A">
              <w:t xml:space="preserve">CAPITA </w:t>
            </w:r>
            <w:r w:rsidR="00576170">
              <w:t>is a useful tool, some aspects of the model</w:t>
            </w:r>
            <w:r>
              <w:t xml:space="preserve"> could be refined. For instance, CAPITA does not include some policies — such as Childcare benefits — that are likely to </w:t>
            </w:r>
            <w:r w:rsidR="00F75173">
              <w:t xml:space="preserve">be material for analysing </w:t>
            </w:r>
            <w:r w:rsidR="00F606A2">
              <w:t xml:space="preserve">some </w:t>
            </w:r>
            <w:r w:rsidR="00F75173">
              <w:t>policy change</w:t>
            </w:r>
            <w:r w:rsidR="00F606A2">
              <w:t>s</w:t>
            </w:r>
            <w:r>
              <w:t xml:space="preserve">. Additionally, CAPITA assumes a person is eligible </w:t>
            </w:r>
            <w:r w:rsidR="00164482">
              <w:t>for</w:t>
            </w:r>
            <w:r>
              <w:t xml:space="preserve"> transfer payment</w:t>
            </w:r>
            <w:r w:rsidR="00164482">
              <w:t>s</w:t>
            </w:r>
            <w:r>
              <w:t xml:space="preserve"> only if they are observed as having received that payment in the underlying database. To the extent that the underlying survey data does not capture payments accurately, this could misrepresent eligibility.</w:t>
            </w:r>
          </w:p>
        </w:tc>
      </w:tr>
      <w:tr w:rsidR="002507BF" w:rsidTr="0009714B">
        <w:trPr>
          <w:cantSplit/>
        </w:trPr>
        <w:tc>
          <w:tcPr>
            <w:tcW w:w="8771" w:type="dxa"/>
            <w:tcBorders>
              <w:top w:val="nil"/>
              <w:left w:val="nil"/>
              <w:bottom w:val="nil"/>
              <w:right w:val="nil"/>
            </w:tcBorders>
            <w:shd w:val="clear" w:color="auto" w:fill="F2F2F2"/>
          </w:tcPr>
          <w:p w:rsidR="002507BF" w:rsidRDefault="002507BF" w:rsidP="00B863DC">
            <w:pPr>
              <w:pStyle w:val="BoxSource"/>
            </w:pPr>
            <w:r>
              <w:rPr>
                <w:i/>
              </w:rPr>
              <w:t>Source</w:t>
            </w:r>
            <w:r w:rsidRPr="00167F06">
              <w:t xml:space="preserve">: </w:t>
            </w:r>
            <w:r w:rsidR="00F56D5F">
              <w:t>CAPITA documentation</w:t>
            </w:r>
            <w:r w:rsidR="003837C0">
              <w:t>.</w:t>
            </w:r>
          </w:p>
        </w:tc>
      </w:tr>
      <w:tr w:rsidR="002507BF" w:rsidTr="0009714B">
        <w:trPr>
          <w:cantSplit/>
        </w:trPr>
        <w:tc>
          <w:tcPr>
            <w:tcW w:w="8771" w:type="dxa"/>
            <w:tcBorders>
              <w:top w:val="nil"/>
              <w:left w:val="nil"/>
              <w:bottom w:val="single" w:sz="6" w:space="0" w:color="78A22F"/>
              <w:right w:val="nil"/>
            </w:tcBorders>
            <w:shd w:val="clear" w:color="auto" w:fill="F2F2F2"/>
          </w:tcPr>
          <w:p w:rsidR="002507BF" w:rsidRDefault="002507BF">
            <w:pPr>
              <w:pStyle w:val="Box"/>
              <w:spacing w:before="0" w:line="120" w:lineRule="exact"/>
            </w:pPr>
          </w:p>
        </w:tc>
      </w:tr>
      <w:tr w:rsidR="002507BF" w:rsidRPr="000863A5" w:rsidTr="0009714B">
        <w:tc>
          <w:tcPr>
            <w:tcW w:w="8771" w:type="dxa"/>
            <w:tcBorders>
              <w:top w:val="single" w:sz="6" w:space="0" w:color="78A22F"/>
              <w:left w:val="nil"/>
              <w:bottom w:val="nil"/>
              <w:right w:val="nil"/>
            </w:tcBorders>
          </w:tcPr>
          <w:p w:rsidR="002507BF" w:rsidRPr="00626D32" w:rsidRDefault="002507BF" w:rsidP="0009714B">
            <w:pPr>
              <w:pStyle w:val="BoxSpaceBelow"/>
            </w:pPr>
          </w:p>
        </w:tc>
      </w:tr>
    </w:tbl>
    <w:p w:rsidR="00790F13" w:rsidRDefault="00B93C35" w:rsidP="00B93C35">
      <w:pPr>
        <w:pStyle w:val="Heading2"/>
      </w:pPr>
      <w:r>
        <w:t>Design</w:t>
      </w:r>
      <w:r w:rsidR="007F20B4">
        <w:t xml:space="preserve"> considerations</w:t>
      </w:r>
    </w:p>
    <w:p w:rsidR="00E5697E" w:rsidRDefault="00E5697E" w:rsidP="00E5697E">
      <w:pPr>
        <w:pStyle w:val="BodyText"/>
      </w:pPr>
      <w:r>
        <w:t xml:space="preserve">The Commission </w:t>
      </w:r>
      <w:r w:rsidR="004F5DBE">
        <w:t>considered</w:t>
      </w:r>
      <w:r w:rsidR="00C9232D">
        <w:t xml:space="preserve"> </w:t>
      </w:r>
      <w:r w:rsidR="00E70DD4">
        <w:t>three</w:t>
      </w:r>
      <w:r w:rsidR="007F20B4">
        <w:t xml:space="preserve"> </w:t>
      </w:r>
      <w:r w:rsidR="00B474A7">
        <w:t>ways to build</w:t>
      </w:r>
      <w:r>
        <w:t xml:space="preserve"> CAPITA-B</w:t>
      </w:r>
      <w:r w:rsidR="000001B7">
        <w:t xml:space="preserve"> to</w:t>
      </w:r>
      <w:r w:rsidR="00B474A7">
        <w:t xml:space="preserve"> provide a framework for </w:t>
      </w:r>
      <w:r w:rsidR="00633614">
        <w:t xml:space="preserve">examining </w:t>
      </w:r>
      <w:r w:rsidR="00B474A7">
        <w:t>the</w:t>
      </w:r>
      <w:r w:rsidR="008D4715">
        <w:t xml:space="preserve"> </w:t>
      </w:r>
      <w:r w:rsidR="00C9232D">
        <w:t>dominant impact</w:t>
      </w:r>
      <w:r w:rsidR="00F606A2">
        <w:t>s</w:t>
      </w:r>
      <w:r w:rsidR="00F60D11" w:rsidRPr="009A7EDA">
        <w:rPr>
          <w:rStyle w:val="FootnoteReference"/>
        </w:rPr>
        <w:footnoteReference w:id="3"/>
      </w:r>
      <w:r w:rsidR="00C9232D">
        <w:t xml:space="preserve"> of policy change</w:t>
      </w:r>
      <w:r w:rsidR="005F08DF">
        <w:t>s</w:t>
      </w:r>
      <w:r w:rsidR="00C9232D">
        <w:t xml:space="preserve"> </w:t>
      </w:r>
      <w:r w:rsidR="00C00877">
        <w:t>in a simple manner</w:t>
      </w:r>
      <w:r w:rsidR="000001B7">
        <w:t>. A</w:t>
      </w:r>
      <w:r w:rsidR="00C9232D">
        <w:t xml:space="preserve"> </w:t>
      </w:r>
      <w:r w:rsidR="00984E2E">
        <w:t>s</w:t>
      </w:r>
      <w:r w:rsidR="00C9232D">
        <w:t xml:space="preserve">imple model </w:t>
      </w:r>
      <w:r w:rsidR="000001B7">
        <w:t>is</w:t>
      </w:r>
      <w:r w:rsidR="00C277AB">
        <w:t xml:space="preserve"> </w:t>
      </w:r>
      <w:r w:rsidR="00F606A2">
        <w:t xml:space="preserve">favoured </w:t>
      </w:r>
      <w:r w:rsidR="00C277AB">
        <w:t>because they are</w:t>
      </w:r>
      <w:r w:rsidR="00C9232D">
        <w:t xml:space="preserve">: more transparent, more easily interpreted, easier to operate and modify to future needs; and solve </w:t>
      </w:r>
      <w:r w:rsidR="00F606A2">
        <w:t>quickly</w:t>
      </w:r>
      <w:r w:rsidR="00C9232D">
        <w:t>.</w:t>
      </w:r>
      <w:r w:rsidR="000001B7">
        <w:t xml:space="preserve"> </w:t>
      </w:r>
      <w:r>
        <w:t>The</w:t>
      </w:r>
      <w:r w:rsidR="00C9232D">
        <w:t xml:space="preserve"> </w:t>
      </w:r>
      <w:r w:rsidR="00C277AB">
        <w:t xml:space="preserve">three </w:t>
      </w:r>
      <w:r w:rsidR="00C9232D">
        <w:t>alternative</w:t>
      </w:r>
      <w:r w:rsidR="000001B7">
        <w:t>s</w:t>
      </w:r>
      <w:r>
        <w:t xml:space="preserve"> were to:</w:t>
      </w:r>
    </w:p>
    <w:p w:rsidR="00E5697E" w:rsidRDefault="00E5697E" w:rsidP="00783AB6">
      <w:pPr>
        <w:pStyle w:val="ListNumber"/>
      </w:pPr>
      <w:r>
        <w:t>adapt an existing behavioural microsimulation model (STINMOD-B)</w:t>
      </w:r>
      <w:r w:rsidR="00711B0B">
        <w:t xml:space="preserve"> to interface with </w:t>
      </w:r>
      <w:r w:rsidR="00B268BD">
        <w:t xml:space="preserve">the static microsimulation model </w:t>
      </w:r>
      <w:r w:rsidR="003431A5">
        <w:t>CAPITA</w:t>
      </w:r>
      <w:r w:rsidR="00B268BD">
        <w:t xml:space="preserve"> (box 1)</w:t>
      </w:r>
    </w:p>
    <w:p w:rsidR="00E5697E" w:rsidRDefault="00E5697E" w:rsidP="00783AB6">
      <w:pPr>
        <w:pStyle w:val="ListNumber"/>
      </w:pPr>
      <w:r>
        <w:t>write a behavioural module</w:t>
      </w:r>
      <w:r w:rsidR="00C77DA0">
        <w:t xml:space="preserve"> alongside a new static microsimulation model</w:t>
      </w:r>
      <w:r>
        <w:t xml:space="preserve"> in the R programming language</w:t>
      </w:r>
    </w:p>
    <w:p w:rsidR="00E5697E" w:rsidRDefault="00E5697E" w:rsidP="00783AB6">
      <w:pPr>
        <w:pStyle w:val="ListNumber"/>
      </w:pPr>
      <w:r>
        <w:t xml:space="preserve">write a behavioural module </w:t>
      </w:r>
      <w:r w:rsidR="00924CD6">
        <w:t xml:space="preserve">that interfaces directly with CAPITA </w:t>
      </w:r>
      <w:r>
        <w:t>in the SAS programming language.</w:t>
      </w:r>
    </w:p>
    <w:p w:rsidR="00D7535C" w:rsidRDefault="00461552" w:rsidP="003E4321">
      <w:pPr>
        <w:pStyle w:val="BodyText"/>
      </w:pPr>
      <w:r>
        <w:t>STINMOD</w:t>
      </w:r>
      <w:r>
        <w:noBreakHyphen/>
        <w:t>B</w:t>
      </w:r>
      <w:r w:rsidR="00900D9B">
        <w:t xml:space="preserve">, developed by </w:t>
      </w:r>
      <w:r w:rsidR="00417DA5">
        <w:t xml:space="preserve">the </w:t>
      </w:r>
      <w:r w:rsidR="00900D9B">
        <w:t>National Centre for Social and Economic Modelling,</w:t>
      </w:r>
      <w:r>
        <w:t xml:space="preserve"> </w:t>
      </w:r>
      <w:r w:rsidR="00E65252">
        <w:t xml:space="preserve">is </w:t>
      </w:r>
      <w:r w:rsidR="00867DF7">
        <w:t>a</w:t>
      </w:r>
      <w:r w:rsidR="00F14E1D">
        <w:t xml:space="preserve"> behavioural microsimulation model that could b</w:t>
      </w:r>
      <w:r w:rsidR="00793772">
        <w:t xml:space="preserve">e made to interface with CAPITA. </w:t>
      </w:r>
      <w:r w:rsidR="00CF71DA">
        <w:t>It</w:t>
      </w:r>
      <w:r>
        <w:t xml:space="preserve"> estimates the behavioural response of primary and secondary </w:t>
      </w:r>
      <w:r w:rsidR="00F606A2">
        <w:t>earners</w:t>
      </w:r>
      <w:r>
        <w:t xml:space="preserve"> in each income unit</w:t>
      </w:r>
      <w:r w:rsidR="00867DF7">
        <w:t>, and</w:t>
      </w:r>
      <w:r w:rsidR="000F5E64">
        <w:t xml:space="preserve"> </w:t>
      </w:r>
      <w:r w:rsidR="00CF71DA">
        <w:t>includes a range of other detail</w:t>
      </w:r>
      <w:r w:rsidR="003E4321">
        <w:t xml:space="preserve"> (such as including five dependent children)</w:t>
      </w:r>
      <w:r w:rsidR="00CF71DA">
        <w:t xml:space="preserve">. </w:t>
      </w:r>
    </w:p>
    <w:p w:rsidR="00F40E36" w:rsidRDefault="00CF71DA" w:rsidP="00E5697E">
      <w:pPr>
        <w:pStyle w:val="BodyText"/>
      </w:pPr>
      <w:r>
        <w:lastRenderedPageBreak/>
        <w:t xml:space="preserve">The Commission </w:t>
      </w:r>
      <w:r w:rsidR="0052324D">
        <w:t xml:space="preserve">did </w:t>
      </w:r>
      <w:r>
        <w:t>not use</w:t>
      </w:r>
      <w:r w:rsidR="00B5193E">
        <w:t xml:space="preserve"> STINMOD</w:t>
      </w:r>
      <w:r w:rsidR="00B5193E">
        <w:noBreakHyphen/>
        <w:t xml:space="preserve">B </w:t>
      </w:r>
      <w:r>
        <w:t>because</w:t>
      </w:r>
      <w:r w:rsidR="00A40A8D">
        <w:t xml:space="preserve"> it is </w:t>
      </w:r>
      <w:r w:rsidR="00AA3E9F">
        <w:t>complex</w:t>
      </w:r>
      <w:r w:rsidR="001A4FDC">
        <w:t xml:space="preserve"> (which</w:t>
      </w:r>
      <w:r w:rsidR="003C7EBA">
        <w:t xml:space="preserve"> reduce</w:t>
      </w:r>
      <w:r w:rsidR="002A64FB">
        <w:t>s</w:t>
      </w:r>
      <w:r w:rsidR="003C7EBA">
        <w:t xml:space="preserve"> accessibility for</w:t>
      </w:r>
      <w:r w:rsidR="00AA3E9F">
        <w:t xml:space="preserve"> analysts not familiar with the model</w:t>
      </w:r>
      <w:r w:rsidR="001A4FDC">
        <w:t>),</w:t>
      </w:r>
      <w:r w:rsidR="00AA3E9F">
        <w:t xml:space="preserve"> </w:t>
      </w:r>
      <w:r>
        <w:t>and</w:t>
      </w:r>
      <w:r w:rsidR="00AA3E9F">
        <w:t xml:space="preserve"> significant</w:t>
      </w:r>
      <w:r w:rsidR="003E4321">
        <w:t xml:space="preserve"> work</w:t>
      </w:r>
      <w:r w:rsidR="001D2D66">
        <w:t xml:space="preserve"> </w:t>
      </w:r>
      <w:r w:rsidR="00AA3E9F">
        <w:t>is</w:t>
      </w:r>
      <w:r w:rsidR="001430ED">
        <w:t xml:space="preserve"> </w:t>
      </w:r>
      <w:r w:rsidR="001D2D66">
        <w:t xml:space="preserve">required </w:t>
      </w:r>
      <w:r w:rsidR="00D7013A">
        <w:t>before</w:t>
      </w:r>
      <w:r w:rsidR="00924CD6">
        <w:t xml:space="preserve"> </w:t>
      </w:r>
      <w:r w:rsidR="00461552">
        <w:t>STINMOD</w:t>
      </w:r>
      <w:r w:rsidR="00461552">
        <w:noBreakHyphen/>
        <w:t>B and CAPITA</w:t>
      </w:r>
      <w:r w:rsidR="00924CD6">
        <w:t xml:space="preserve"> </w:t>
      </w:r>
      <w:r w:rsidR="00D7013A">
        <w:t xml:space="preserve">could </w:t>
      </w:r>
      <w:r w:rsidR="00461552">
        <w:t>interface correctly.</w:t>
      </w:r>
      <w:r>
        <w:t xml:space="preserve"> T</w:t>
      </w:r>
      <w:r w:rsidR="00461552">
        <w:t>hi</w:t>
      </w:r>
      <w:r w:rsidR="001430ED">
        <w:t xml:space="preserve">s would </w:t>
      </w:r>
      <w:r>
        <w:t xml:space="preserve">have </w:t>
      </w:r>
      <w:r w:rsidR="001430ED">
        <w:t>involve</w:t>
      </w:r>
      <w:r>
        <w:t>d</w:t>
      </w:r>
      <w:r w:rsidR="001430ED">
        <w:t xml:space="preserve"> building</w:t>
      </w:r>
      <w:r w:rsidR="006A2A90">
        <w:t xml:space="preserve"> a comprehensive</w:t>
      </w:r>
      <w:r w:rsidR="00461552">
        <w:t xml:space="preserve"> concordance</w:t>
      </w:r>
      <w:r w:rsidR="00227A9D">
        <w:t xml:space="preserve"> </w:t>
      </w:r>
      <w:r w:rsidR="006A2A90">
        <w:t>between variables</w:t>
      </w:r>
      <w:r w:rsidR="006F15EA">
        <w:t> — </w:t>
      </w:r>
      <w:r>
        <w:t>itself a significant task</w:t>
      </w:r>
      <w:r w:rsidR="006F15EA">
        <w:t> — that would</w:t>
      </w:r>
      <w:r w:rsidR="006A2A90">
        <w:t xml:space="preserve"> </w:t>
      </w:r>
      <w:r w:rsidR="00227A9D">
        <w:t xml:space="preserve">add a layer of complexity </w:t>
      </w:r>
      <w:r w:rsidR="00B776E4">
        <w:t>and</w:t>
      </w:r>
      <w:r w:rsidR="00A02EAD">
        <w:t xml:space="preserve"> increase</w:t>
      </w:r>
      <w:r w:rsidR="00731AD9">
        <w:t xml:space="preserve"> overall</w:t>
      </w:r>
      <w:r w:rsidR="00A02EAD">
        <w:t xml:space="preserve"> run time</w:t>
      </w:r>
      <w:r w:rsidR="00900D9B">
        <w:t>.</w:t>
      </w:r>
      <w:r w:rsidR="00454490" w:rsidRPr="009A7EDA">
        <w:rPr>
          <w:rStyle w:val="FootnoteReference"/>
        </w:rPr>
        <w:footnoteReference w:id="4"/>
      </w:r>
    </w:p>
    <w:p w:rsidR="00C77DA0" w:rsidRDefault="00C77DA0" w:rsidP="00E5697E">
      <w:pPr>
        <w:pStyle w:val="BodyText"/>
      </w:pPr>
      <w:r>
        <w:t xml:space="preserve">The </w:t>
      </w:r>
      <w:r w:rsidR="004E1AB7">
        <w:t xml:space="preserve">Commission considered reproducing CAPITA and </w:t>
      </w:r>
      <w:r w:rsidR="006B1DA0">
        <w:t xml:space="preserve">building </w:t>
      </w:r>
      <w:r w:rsidR="00CF71DA">
        <w:t>the</w:t>
      </w:r>
      <w:r w:rsidR="004E1AB7">
        <w:t xml:space="preserve"> </w:t>
      </w:r>
      <w:r w:rsidR="006B1DA0">
        <w:t>behavioural module in</w:t>
      </w:r>
      <w:r>
        <w:t xml:space="preserve"> th</w:t>
      </w:r>
      <w:r w:rsidR="004E1AB7">
        <w:t>e R p</w:t>
      </w:r>
      <w:r w:rsidR="00474C89">
        <w:t>rogramming language</w:t>
      </w:r>
      <w:r w:rsidR="00CF227B">
        <w:t>. Developing a</w:t>
      </w:r>
      <w:r w:rsidR="00474C89">
        <w:t xml:space="preserve"> simple</w:t>
      </w:r>
      <w:r>
        <w:t xml:space="preserve"> </w:t>
      </w:r>
      <w:r w:rsidR="00CF227B">
        <w:t>behavioural module and static microsimulation model using R would</w:t>
      </w:r>
      <w:r w:rsidR="00F75173">
        <w:t>:</w:t>
      </w:r>
      <w:r w:rsidR="00CF227B">
        <w:t xml:space="preserve"> improve run times</w:t>
      </w:r>
      <w:r w:rsidR="005B3D2C">
        <w:t xml:space="preserve">, further reduce costs of adapting the </w:t>
      </w:r>
      <w:r w:rsidR="00D86847">
        <w:t>module</w:t>
      </w:r>
      <w:r w:rsidR="005B3D2C">
        <w:t xml:space="preserve"> and</w:t>
      </w:r>
      <w:r w:rsidR="00CF227B">
        <w:t xml:space="preserve"> b</w:t>
      </w:r>
      <w:r w:rsidR="00FC05B6">
        <w:t>etter suit</w:t>
      </w:r>
      <w:r w:rsidR="00CF227B">
        <w:t xml:space="preserve"> the </w:t>
      </w:r>
      <w:r w:rsidR="00723DE8">
        <w:t>programming</w:t>
      </w:r>
      <w:r w:rsidR="00CF227B">
        <w:t xml:space="preserve"> skills of</w:t>
      </w:r>
      <w:r w:rsidR="0047499F">
        <w:t xml:space="preserve"> several</w:t>
      </w:r>
      <w:r w:rsidR="00CF227B">
        <w:t xml:space="preserve"> Commission staff.</w:t>
      </w:r>
      <w:r w:rsidR="005B3D2C">
        <w:t xml:space="preserve"> </w:t>
      </w:r>
      <w:r w:rsidR="00474C89">
        <w:t>However, u</w:t>
      </w:r>
      <w:r w:rsidR="00843A47">
        <w:t>sing R to develop behavioural and static modules could</w:t>
      </w:r>
      <w:r w:rsidR="00474C89">
        <w:t xml:space="preserve"> </w:t>
      </w:r>
      <w:r w:rsidR="00843A47">
        <w:t>reduce accessibility to</w:t>
      </w:r>
      <w:r w:rsidR="00474C89">
        <w:t xml:space="preserve"> analysts</w:t>
      </w:r>
      <w:r w:rsidR="00FC05B6">
        <w:t xml:space="preserve"> familiar</w:t>
      </w:r>
      <w:r w:rsidR="00843A47">
        <w:t xml:space="preserve"> with CAPITA and SAS, and would </w:t>
      </w:r>
      <w:r w:rsidR="00CF71DA">
        <w:t xml:space="preserve">have </w:t>
      </w:r>
      <w:r w:rsidR="00843A47">
        <w:t>require</w:t>
      </w:r>
      <w:r w:rsidR="00CF71DA">
        <w:t>d</w:t>
      </w:r>
      <w:r w:rsidR="00843A47">
        <w:t xml:space="preserve"> significant development resources</w:t>
      </w:r>
      <w:r w:rsidR="00474C89">
        <w:t xml:space="preserve"> beyond those allocated to this project.</w:t>
      </w:r>
    </w:p>
    <w:p w:rsidR="00DC1C88" w:rsidRDefault="00EC3CA6" w:rsidP="00E5697E">
      <w:pPr>
        <w:pStyle w:val="BodyText"/>
      </w:pPr>
      <w:r>
        <w:t xml:space="preserve">The Commission opted to </w:t>
      </w:r>
      <w:r w:rsidR="008F74B5">
        <w:t xml:space="preserve">build </w:t>
      </w:r>
      <w:r>
        <w:t xml:space="preserve">a simple behavioural </w:t>
      </w:r>
      <w:r w:rsidR="00F606A2">
        <w:t xml:space="preserve">module </w:t>
      </w:r>
      <w:r>
        <w:t>in SAS that could interface with the existing CAPITA model</w:t>
      </w:r>
      <w:r w:rsidR="00004F9C">
        <w:t xml:space="preserve"> without a concordance</w:t>
      </w:r>
      <w:r w:rsidR="00761414">
        <w:t xml:space="preserve"> and be a platform for future models</w:t>
      </w:r>
      <w:r>
        <w:t>. This</w:t>
      </w:r>
      <w:r w:rsidR="009D39E3">
        <w:t xml:space="preserve"> platform</w:t>
      </w:r>
      <w:r w:rsidR="004A33DF">
        <w:t xml:space="preserve"> </w:t>
      </w:r>
      <w:r>
        <w:t xml:space="preserve">approach </w:t>
      </w:r>
      <w:r w:rsidR="00751AF4">
        <w:t>has</w:t>
      </w:r>
      <w:r w:rsidR="00B42E00">
        <w:t xml:space="preserve"> </w:t>
      </w:r>
      <w:r w:rsidR="000D1120">
        <w:t>some disadvantages</w:t>
      </w:r>
      <w:r>
        <w:t xml:space="preserve">, including that it requires </w:t>
      </w:r>
      <w:r w:rsidR="00F606A2">
        <w:t xml:space="preserve">additional </w:t>
      </w:r>
      <w:r>
        <w:t>work before it can be used for a specific application</w:t>
      </w:r>
      <w:r w:rsidR="00900D9B">
        <w:t>,</w:t>
      </w:r>
      <w:r>
        <w:t xml:space="preserve"> and </w:t>
      </w:r>
      <w:r w:rsidR="001D2D66">
        <w:t>that</w:t>
      </w:r>
      <w:r w:rsidR="00C04D78">
        <w:t xml:space="preserve"> </w:t>
      </w:r>
      <w:r w:rsidR="001D2D66">
        <w:t xml:space="preserve">it </w:t>
      </w:r>
      <w:r w:rsidR="008424DF">
        <w:t>may be a less efficient approach</w:t>
      </w:r>
      <w:r>
        <w:t xml:space="preserve"> when decision makers face many alternatives for a given</w:t>
      </w:r>
      <w:r w:rsidR="00755493">
        <w:t xml:space="preserve"> decision</w:t>
      </w:r>
      <w:r>
        <w:t xml:space="preserve"> or face many decisions.</w:t>
      </w:r>
      <w:r w:rsidR="00755493">
        <w:t xml:space="preserve"> </w:t>
      </w:r>
      <w:r w:rsidR="00F66A13">
        <w:t xml:space="preserve">The advantages of </w:t>
      </w:r>
      <w:r w:rsidR="008F74B5">
        <w:t xml:space="preserve">building a simple behavioural platform in SAS </w:t>
      </w:r>
      <w:r w:rsidR="00F66A13">
        <w:t>include that the model: i</w:t>
      </w:r>
      <w:r w:rsidR="00D60DE8">
        <w:t>nteracts with CAPITA without a concordance</w:t>
      </w:r>
      <w:r w:rsidR="00900D9B">
        <w:t>;</w:t>
      </w:r>
      <w:r w:rsidR="00D60DE8">
        <w:t xml:space="preserve"> is simple and </w:t>
      </w:r>
      <w:r w:rsidR="00F66A13">
        <w:t>transparent for</w:t>
      </w:r>
      <w:r w:rsidR="00C3703D">
        <w:t xml:space="preserve"> non-Commission staff</w:t>
      </w:r>
      <w:r w:rsidR="001D2D66">
        <w:t xml:space="preserve"> familiar with SAS</w:t>
      </w:r>
      <w:r w:rsidR="00C3703D">
        <w:t>;</w:t>
      </w:r>
      <w:r w:rsidR="00F66A13">
        <w:t xml:space="preserve"> and ha</w:t>
      </w:r>
      <w:r w:rsidR="00CF71DA">
        <w:t>d</w:t>
      </w:r>
      <w:r w:rsidR="00F66A13">
        <w:t xml:space="preserve"> relatively low development costs</w:t>
      </w:r>
      <w:r w:rsidR="00C3703D">
        <w:t xml:space="preserve">. </w:t>
      </w:r>
    </w:p>
    <w:p w:rsidR="009D15E2" w:rsidRDefault="00F76B05" w:rsidP="00E3148B">
      <w:pPr>
        <w:pStyle w:val="Heading3"/>
      </w:pPr>
      <w:r>
        <w:t>How many</w:t>
      </w:r>
      <w:r w:rsidR="00282B92">
        <w:t xml:space="preserve"> </w:t>
      </w:r>
      <w:r w:rsidR="00DE1F5F">
        <w:t xml:space="preserve">and which labour supply </w:t>
      </w:r>
      <w:r w:rsidR="00282B92">
        <w:t>decision makers</w:t>
      </w:r>
      <w:r w:rsidR="001A0188">
        <w:t xml:space="preserve"> should be included</w:t>
      </w:r>
      <w:r w:rsidR="009D15E2">
        <w:t>?</w:t>
      </w:r>
    </w:p>
    <w:p w:rsidR="00DE1F5F" w:rsidRDefault="00231C7B" w:rsidP="00DE1F5F">
      <w:pPr>
        <w:pStyle w:val="BodyText"/>
      </w:pPr>
      <w:r>
        <w:t xml:space="preserve">The initial implementation of </w:t>
      </w:r>
      <w:r w:rsidR="006F15EA">
        <w:t>CAPITA</w:t>
      </w:r>
      <w:r w:rsidR="006F15EA">
        <w:noBreakHyphen/>
        <w:t>B</w:t>
      </w:r>
      <w:r w:rsidR="001545D3">
        <w:t xml:space="preserve"> </w:t>
      </w:r>
      <w:r w:rsidR="00B21E34">
        <w:t xml:space="preserve">models </w:t>
      </w:r>
      <w:r w:rsidR="006F15EA">
        <w:t>the labour supply behaviour of the primary earner</w:t>
      </w:r>
      <w:r w:rsidR="00074017">
        <w:t xml:space="preserve"> </w:t>
      </w:r>
      <w:r w:rsidR="00633614">
        <w:t>in each</w:t>
      </w:r>
      <w:r w:rsidR="00074017">
        <w:t xml:space="preserve"> income unit</w:t>
      </w:r>
      <w:r w:rsidR="00074017" w:rsidRPr="009A7EDA">
        <w:rPr>
          <w:rStyle w:val="FootnoteReference"/>
        </w:rPr>
        <w:footnoteReference w:id="5"/>
      </w:r>
      <w:r w:rsidR="001545D3">
        <w:t xml:space="preserve"> only</w:t>
      </w:r>
      <w:r w:rsidR="004B1E01">
        <w:t xml:space="preserve"> (the primary earner is the sole ‘decision maker’ in other words).</w:t>
      </w:r>
      <w:r w:rsidR="006F15EA">
        <w:t xml:space="preserve"> </w:t>
      </w:r>
      <w:r w:rsidR="00751ACC">
        <w:t xml:space="preserve">This </w:t>
      </w:r>
      <w:r w:rsidR="0097653B">
        <w:t xml:space="preserve">approach </w:t>
      </w:r>
      <w:r w:rsidR="00CF68C1">
        <w:t>clears the way for</w:t>
      </w:r>
      <w:r w:rsidR="00751ACC">
        <w:t xml:space="preserve"> the easy development of future</w:t>
      </w:r>
      <w:r w:rsidR="00751ACC">
        <w:noBreakHyphen/>
        <w:t xml:space="preserve">application specific models and is a reasonable </w:t>
      </w:r>
      <w:r w:rsidR="00751ACC" w:rsidRPr="00EC65B7">
        <w:rPr>
          <w:i/>
        </w:rPr>
        <w:t>starting point</w:t>
      </w:r>
      <w:r w:rsidR="00751ACC">
        <w:t xml:space="preserve"> for the analysis of </w:t>
      </w:r>
      <w:r w:rsidR="00494FCC">
        <w:t>future</w:t>
      </w:r>
      <w:r w:rsidR="00751ACC">
        <w:t xml:space="preserve"> policy questions.</w:t>
      </w:r>
    </w:p>
    <w:p w:rsidR="00DE1F5F" w:rsidRPr="00082AA9" w:rsidRDefault="00082AA9" w:rsidP="00082AA9">
      <w:pPr>
        <w:pStyle w:val="Heading3"/>
      </w:pPr>
      <w:r>
        <w:lastRenderedPageBreak/>
        <w:t>Application</w:t>
      </w:r>
      <w:r w:rsidR="00267701">
        <w:noBreakHyphen/>
      </w:r>
      <w:r>
        <w:t>specific</w:t>
      </w:r>
      <w:r w:rsidR="00DE1F5F" w:rsidRPr="00082AA9">
        <w:t xml:space="preserve"> model design</w:t>
      </w:r>
    </w:p>
    <w:p w:rsidR="00DE1F5F" w:rsidRDefault="00ED02DE" w:rsidP="00DE1F5F">
      <w:pPr>
        <w:pStyle w:val="BodyText"/>
      </w:pPr>
      <w:r>
        <w:t xml:space="preserve">Modifying models is easiest when </w:t>
      </w:r>
      <w:r w:rsidR="00415DA6">
        <w:t>they are</w:t>
      </w:r>
      <w:r>
        <w:t xml:space="preserve"> </w:t>
      </w:r>
      <w:r w:rsidR="00415DA6">
        <w:t>free of</w:t>
      </w:r>
      <w:r>
        <w:t xml:space="preserve"> unnecessary </w:t>
      </w:r>
      <w:r w:rsidR="00415DA6">
        <w:t>complexity</w:t>
      </w:r>
      <w:r w:rsidR="009E259C">
        <w:t>.</w:t>
      </w:r>
      <w:r w:rsidR="00DE1F5F">
        <w:t xml:space="preserve"> </w:t>
      </w:r>
      <w:r w:rsidR="00B42CCA">
        <w:t xml:space="preserve">For instance, </w:t>
      </w:r>
      <w:r w:rsidR="00004F9C">
        <w:t>in</w:t>
      </w:r>
      <w:r w:rsidR="00432A1E">
        <w:t xml:space="preserve"> </w:t>
      </w:r>
      <w:r w:rsidR="00DE1F5F">
        <w:t xml:space="preserve">the Commission’s recent work </w:t>
      </w:r>
      <w:r w:rsidR="00282B19">
        <w:t>for the</w:t>
      </w:r>
      <w:r w:rsidR="00DE1F5F">
        <w:t xml:space="preserve"> Tax and Transfer</w:t>
      </w:r>
      <w:r w:rsidR="00282B19">
        <w:t xml:space="preserve"> Incidence in Australia study</w:t>
      </w:r>
      <w:r w:rsidR="00507E71">
        <w:t xml:space="preserve"> </w:t>
      </w:r>
      <w:r w:rsidR="00507E71" w:rsidRPr="00850996">
        <w:rPr>
          <w:szCs w:val="24"/>
        </w:rPr>
        <w:t>(PC</w:t>
      </w:r>
      <w:r w:rsidR="00507E71" w:rsidRPr="00AC6AAA">
        <w:rPr>
          <w:szCs w:val="24"/>
        </w:rPr>
        <w:t> </w:t>
      </w:r>
      <w:r w:rsidR="00507E71" w:rsidRPr="00C93AA5">
        <w:rPr>
          <w:szCs w:val="24"/>
        </w:rPr>
        <w:t>2015)</w:t>
      </w:r>
      <w:r w:rsidR="00432A1E">
        <w:t xml:space="preserve">, </w:t>
      </w:r>
      <w:r w:rsidR="00DE1F5F">
        <w:t>childcare policies, GST and life</w:t>
      </w:r>
      <w:r w:rsidR="003C3062">
        <w:t>time</w:t>
      </w:r>
      <w:r w:rsidR="00DE1F5F">
        <w:t xml:space="preserve"> analysis</w:t>
      </w:r>
      <w:r w:rsidR="00303B4C">
        <w:t xml:space="preserve"> </w:t>
      </w:r>
      <w:r w:rsidR="00B42CCA">
        <w:t>were</w:t>
      </w:r>
      <w:r w:rsidR="00C24FA7">
        <w:t xml:space="preserve"> </w:t>
      </w:r>
      <w:r w:rsidR="00076DB5">
        <w:t>added to</w:t>
      </w:r>
      <w:r w:rsidR="00C24FA7">
        <w:t xml:space="preserve"> CAPITA</w:t>
      </w:r>
      <w:r w:rsidR="00B42CCA">
        <w:t>. Because CAPITA is a simple model these extensions were relatively straight forward</w:t>
      </w:r>
      <w:r w:rsidR="00DE1F5F">
        <w:t xml:space="preserve">. If the Commission was to </w:t>
      </w:r>
      <w:r w:rsidR="00AF71DD">
        <w:t>undertake</w:t>
      </w:r>
      <w:r w:rsidR="00DE1F5F">
        <w:t xml:space="preserve"> </w:t>
      </w:r>
      <w:r w:rsidR="00AF71DD">
        <w:t xml:space="preserve">other </w:t>
      </w:r>
      <w:r w:rsidR="00DE1F5F">
        <w:t>work using CAPITA</w:t>
      </w:r>
      <w:r w:rsidR="00076DB5">
        <w:t>,</w:t>
      </w:r>
      <w:r w:rsidR="00B42CCA">
        <w:t xml:space="preserve"> then</w:t>
      </w:r>
      <w:r w:rsidR="00076DB5">
        <w:t xml:space="preserve"> the best strategy would probably be</w:t>
      </w:r>
      <w:r w:rsidR="009D39E3">
        <w:t xml:space="preserve"> </w:t>
      </w:r>
      <w:r w:rsidR="00076DB5">
        <w:t xml:space="preserve">to </w:t>
      </w:r>
      <w:r w:rsidR="00DE1F5F">
        <w:t xml:space="preserve">revert to the </w:t>
      </w:r>
      <w:r w:rsidR="00AF71DD">
        <w:t>original</w:t>
      </w:r>
      <w:r w:rsidR="00DE1F5F">
        <w:t xml:space="preserve"> </w:t>
      </w:r>
      <w:r w:rsidR="00A55783">
        <w:t xml:space="preserve">version of </w:t>
      </w:r>
      <w:r w:rsidR="00DE1F5F">
        <w:t>CAPITA</w:t>
      </w:r>
      <w:r w:rsidR="00AF71DD">
        <w:t xml:space="preserve"> </w:t>
      </w:r>
      <w:r w:rsidR="00A55783">
        <w:t>before making further changes</w:t>
      </w:r>
      <w:r w:rsidR="00DE1F5F">
        <w:t xml:space="preserve"> </w:t>
      </w:r>
      <w:r w:rsidR="00076DB5">
        <w:t>(</w:t>
      </w:r>
      <w:r w:rsidR="00DE1F5F">
        <w:t>discard</w:t>
      </w:r>
      <w:r w:rsidR="00076DB5">
        <w:t>ing</w:t>
      </w:r>
      <w:r w:rsidR="00DE1F5F">
        <w:t xml:space="preserve"> developments made </w:t>
      </w:r>
      <w:r w:rsidR="007B705C">
        <w:t>during</w:t>
      </w:r>
      <w:r w:rsidR="00DE1F5F">
        <w:t xml:space="preserve"> the Tax and Transfer </w:t>
      </w:r>
      <w:r w:rsidR="00282B19">
        <w:t>study</w:t>
      </w:r>
      <w:r w:rsidR="009D39E3">
        <w:t xml:space="preserve"> if </w:t>
      </w:r>
      <w:r w:rsidR="00BB527B">
        <w:t>they are unnecessary for</w:t>
      </w:r>
      <w:r w:rsidR="009D39E3">
        <w:t xml:space="preserve"> the application</w:t>
      </w:r>
      <w:r w:rsidR="00076DB5">
        <w:t>)</w:t>
      </w:r>
      <w:r w:rsidR="00282B19">
        <w:t>.</w:t>
      </w:r>
    </w:p>
    <w:p w:rsidR="00DE1F5F" w:rsidRDefault="00415DA6" w:rsidP="00DE1F5F">
      <w:pPr>
        <w:pStyle w:val="BodyText"/>
      </w:pPr>
      <w:r>
        <w:t xml:space="preserve">Assuming a single decision maker per income unit is one way to ensure that the initial implementation </w:t>
      </w:r>
      <w:r w:rsidR="009C6DCB">
        <w:t>of CAPITA</w:t>
      </w:r>
      <w:r w:rsidR="009C6DCB">
        <w:noBreakHyphen/>
        <w:t>B is</w:t>
      </w:r>
      <w:r>
        <w:t xml:space="preserve"> simple</w:t>
      </w:r>
      <w:r w:rsidR="00CF68C1">
        <w:t>.</w:t>
      </w:r>
      <w:r w:rsidR="0065626A">
        <w:t xml:space="preserve"> </w:t>
      </w:r>
      <w:r w:rsidR="00DE1F5F">
        <w:t xml:space="preserve">To include both </w:t>
      </w:r>
      <w:r w:rsidR="00F606A2">
        <w:t xml:space="preserve">earners as </w:t>
      </w:r>
      <w:r w:rsidR="00DE1F5F">
        <w:t xml:space="preserve">decision </w:t>
      </w:r>
      <w:r w:rsidR="004A33DF">
        <w:t>makers would require</w:t>
      </w:r>
      <w:r w:rsidR="00F606A2">
        <w:t>:</w:t>
      </w:r>
      <w:r>
        <w:t xml:space="preserve"> </w:t>
      </w:r>
    </w:p>
    <w:p w:rsidR="00DE1F5F" w:rsidRDefault="004A33DF" w:rsidP="00783AB6">
      <w:pPr>
        <w:pStyle w:val="ListNumber"/>
        <w:numPr>
          <w:ilvl w:val="0"/>
          <w:numId w:val="38"/>
        </w:numPr>
      </w:pPr>
      <w:r>
        <w:t>adjusting</w:t>
      </w:r>
      <w:r w:rsidR="00DE1F5F">
        <w:t xml:space="preserve"> the core decision module and utility specification </w:t>
      </w:r>
    </w:p>
    <w:p w:rsidR="00DE1F5F" w:rsidRDefault="004A33DF" w:rsidP="00783AB6">
      <w:pPr>
        <w:pStyle w:val="ListNumber"/>
        <w:numPr>
          <w:ilvl w:val="0"/>
          <w:numId w:val="38"/>
        </w:numPr>
      </w:pPr>
      <w:r>
        <w:t xml:space="preserve">a </w:t>
      </w:r>
      <w:r w:rsidR="00DE1F5F">
        <w:t>different treatment for single and couple</w:t>
      </w:r>
      <w:r w:rsidR="00004F9C">
        <w:t>d</w:t>
      </w:r>
      <w:r w:rsidR="00DE1F5F">
        <w:t xml:space="preserve"> households. </w:t>
      </w:r>
    </w:p>
    <w:p w:rsidR="008B1936" w:rsidRDefault="00900D9B" w:rsidP="00DE1F5F">
      <w:pPr>
        <w:pStyle w:val="BodyText"/>
      </w:pPr>
      <w:r>
        <w:t>Th</w:t>
      </w:r>
      <w:r w:rsidR="003F2E30">
        <w:t>ere are policy applications where</w:t>
      </w:r>
      <w:r>
        <w:t xml:space="preserve"> </w:t>
      </w:r>
      <w:r w:rsidR="00AA66B0">
        <w:t>assuming</w:t>
      </w:r>
      <w:r w:rsidR="004B13B8">
        <w:t xml:space="preserve"> a</w:t>
      </w:r>
      <w:r>
        <w:t xml:space="preserve"> single decision maker is a valid simplification.</w:t>
      </w:r>
      <w:r w:rsidR="00C43440">
        <w:t xml:space="preserve"> </w:t>
      </w:r>
      <w:r w:rsidR="00DE1F5F">
        <w:t xml:space="preserve">For example, the behavioural microsimulation model </w:t>
      </w:r>
      <w:r w:rsidR="001A0188">
        <w:t>developed</w:t>
      </w:r>
      <w:r w:rsidR="00DE1F5F">
        <w:t xml:space="preserve"> </w:t>
      </w:r>
      <w:r w:rsidR="001A0188">
        <w:t xml:space="preserve">by the Commission </w:t>
      </w:r>
      <w:r w:rsidR="00DE1F5F">
        <w:t xml:space="preserve">for the Childcare and Early Childhood Learning report incorporated secondary </w:t>
      </w:r>
      <w:r w:rsidR="007F15D8">
        <w:t>earners</w:t>
      </w:r>
      <w:r w:rsidR="004B62A6">
        <w:t xml:space="preserve"> </w:t>
      </w:r>
      <w:r w:rsidR="00B21E34">
        <w:t xml:space="preserve">as </w:t>
      </w:r>
      <w:r w:rsidR="007F15D8">
        <w:t>sole decision makers</w:t>
      </w:r>
      <w:r w:rsidR="00DE1F5F">
        <w:t xml:space="preserve"> because th</w:t>
      </w:r>
      <w:r w:rsidR="001A0188">
        <w:t>ey were</w:t>
      </w:r>
      <w:r w:rsidR="00DE1F5F">
        <w:t xml:space="preserve"> felt to be most responsive to </w:t>
      </w:r>
      <w:r w:rsidR="001A0188">
        <w:t>childcare</w:t>
      </w:r>
      <w:r w:rsidR="00DE1F5F">
        <w:t xml:space="preserve"> policies </w:t>
      </w:r>
      <w:r w:rsidR="00DE1F5F" w:rsidRPr="000C7605">
        <w:rPr>
          <w:szCs w:val="24"/>
        </w:rPr>
        <w:t>(PC 2014)</w:t>
      </w:r>
      <w:r w:rsidR="00DE1F5F">
        <w:t xml:space="preserve">. </w:t>
      </w:r>
      <w:r w:rsidR="00C43440">
        <w:t>I</w:t>
      </w:r>
      <w:r w:rsidR="00DF14B3">
        <w:t xml:space="preserve">ncluding </w:t>
      </w:r>
      <w:r w:rsidR="00C9048B">
        <w:t>primary earners</w:t>
      </w:r>
      <w:r w:rsidR="00DF14B3">
        <w:t xml:space="preserve"> </w:t>
      </w:r>
      <w:r>
        <w:t xml:space="preserve">was assessed as </w:t>
      </w:r>
      <w:r w:rsidR="00DF14B3">
        <w:t>provid</w:t>
      </w:r>
      <w:r>
        <w:t>ing</w:t>
      </w:r>
      <w:r w:rsidR="00DF14B3">
        <w:t xml:space="preserve"> </w:t>
      </w:r>
      <w:r>
        <w:t xml:space="preserve">only </w:t>
      </w:r>
      <w:r w:rsidR="00B21E34">
        <w:t xml:space="preserve">limited </w:t>
      </w:r>
      <w:r w:rsidR="00DF14B3">
        <w:t>additional insight into the drivers of behavioural response</w:t>
      </w:r>
      <w:r w:rsidR="00525E4F">
        <w:t>s</w:t>
      </w:r>
      <w:r w:rsidR="00DF14B3">
        <w:t xml:space="preserve"> </w:t>
      </w:r>
      <w:r w:rsidR="00C43440">
        <w:t>while</w:t>
      </w:r>
      <w:r w:rsidR="00DF14B3">
        <w:t xml:space="preserve"> </w:t>
      </w:r>
      <w:r w:rsidR="00525E4F">
        <w:t>adding a</w:t>
      </w:r>
      <w:r w:rsidR="00952776">
        <w:t xml:space="preserve"> third decision to the</w:t>
      </w:r>
      <w:r w:rsidR="00574632">
        <w:t xml:space="preserve"> core</w:t>
      </w:r>
      <w:r w:rsidR="00952776">
        <w:t xml:space="preserve"> model — alongside the labour supply and childcare decisions of </w:t>
      </w:r>
      <w:r w:rsidR="00F75173">
        <w:t>primary carers</w:t>
      </w:r>
      <w:r w:rsidR="00DF14B3">
        <w:t> —</w:t>
      </w:r>
      <w:r w:rsidR="00DF14B3">
        <w:rPr>
          <w:sz w:val="22"/>
        </w:rPr>
        <w:t> </w:t>
      </w:r>
      <w:r w:rsidR="00DF14B3">
        <w:t xml:space="preserve">which would be costly in terms of </w:t>
      </w:r>
      <w:r w:rsidR="00952776">
        <w:t>model run time and complexity</w:t>
      </w:r>
      <w:r w:rsidR="00176531">
        <w:t>.</w:t>
      </w:r>
    </w:p>
    <w:p w:rsidR="00957390" w:rsidRDefault="00900D9B" w:rsidP="00DE1F5F">
      <w:pPr>
        <w:pStyle w:val="BodyText"/>
      </w:pPr>
      <w:r>
        <w:t>CAPITA</w:t>
      </w:r>
      <w:r>
        <w:noBreakHyphen/>
        <w:t>B can be modified if</w:t>
      </w:r>
      <w:r w:rsidR="00957390">
        <w:t xml:space="preserve"> a future policy application calls for a secondary decision maker (or examines more than just labour supply decisions)</w:t>
      </w:r>
      <w:r>
        <w:t>.</w:t>
      </w:r>
    </w:p>
    <w:p w:rsidR="00DE1F5F" w:rsidRDefault="00004F9C" w:rsidP="00723290">
      <w:pPr>
        <w:pStyle w:val="Heading3"/>
      </w:pPr>
      <w:r>
        <w:t>Primary earner as</w:t>
      </w:r>
      <w:r w:rsidR="00D67E0D">
        <w:t xml:space="preserve"> the</w:t>
      </w:r>
      <w:r w:rsidR="005F1D14">
        <w:t xml:space="preserve"> </w:t>
      </w:r>
      <w:r>
        <w:t xml:space="preserve">sole </w:t>
      </w:r>
      <w:r w:rsidR="005F1D14">
        <w:t>decision maker</w:t>
      </w:r>
    </w:p>
    <w:p w:rsidR="009D15E2" w:rsidRPr="007A6EA2" w:rsidRDefault="00DF14B3" w:rsidP="009D15E2">
      <w:pPr>
        <w:pStyle w:val="BodyText"/>
      </w:pPr>
      <w:r>
        <w:t>Having opted for a single decision maker,</w:t>
      </w:r>
      <w:r w:rsidR="00E8424E">
        <w:t xml:space="preserve"> </w:t>
      </w:r>
      <w:r w:rsidR="00A67851">
        <w:t>identifying</w:t>
      </w:r>
      <w:r w:rsidR="00DE1F5F">
        <w:t xml:space="preserve"> </w:t>
      </w:r>
      <w:r w:rsidR="001B1D00">
        <w:t>who they are</w:t>
      </w:r>
      <w:r w:rsidR="009778F9">
        <w:t xml:space="preserve"> is</w:t>
      </w:r>
      <w:r w:rsidR="001B1D00">
        <w:t xml:space="preserve"> a</w:t>
      </w:r>
      <w:r w:rsidR="009778F9">
        <w:t xml:space="preserve"> </w:t>
      </w:r>
      <w:r w:rsidR="00DE1F5F">
        <w:t xml:space="preserve">contentious design </w:t>
      </w:r>
      <w:r w:rsidR="0080756B">
        <w:t>issue</w:t>
      </w:r>
      <w:r w:rsidR="007F20B4">
        <w:t>.</w:t>
      </w:r>
      <w:r w:rsidR="009D15E2">
        <w:t xml:space="preserve"> On</w:t>
      </w:r>
      <w:r w:rsidR="004008A1">
        <w:t xml:space="preserve"> the</w:t>
      </w:r>
      <w:r w:rsidR="009D15E2">
        <w:t xml:space="preserve"> one hand, </w:t>
      </w:r>
      <w:r w:rsidR="00DE1F5F">
        <w:t>some</w:t>
      </w:r>
      <w:r w:rsidR="00E8424E">
        <w:t xml:space="preserve"> argue that </w:t>
      </w:r>
      <w:r w:rsidR="00F606A2">
        <w:t xml:space="preserve">a </w:t>
      </w:r>
      <w:r w:rsidR="009D15E2">
        <w:t>second</w:t>
      </w:r>
      <w:r w:rsidR="00F75173">
        <w:t>ary</w:t>
      </w:r>
      <w:r w:rsidR="009D15E2">
        <w:t xml:space="preserve"> </w:t>
      </w:r>
      <w:r w:rsidR="00677754">
        <w:t xml:space="preserve">earner </w:t>
      </w:r>
      <w:r w:rsidR="00F606A2">
        <w:t>is more likely to adjust their behaviour in response to changes in tax and transfer policies</w:t>
      </w:r>
      <w:r w:rsidR="00F068ED">
        <w:t> — </w:t>
      </w:r>
      <w:r w:rsidR="00F606A2">
        <w:t>this is especially the case if a policy targets secondary earners</w:t>
      </w:r>
      <w:r w:rsidR="009D15E2">
        <w:t>. On the other hand,</w:t>
      </w:r>
      <w:r w:rsidR="00B648C0">
        <w:t xml:space="preserve"> the primary earner </w:t>
      </w:r>
      <w:r w:rsidR="001B1D00">
        <w:t>f</w:t>
      </w:r>
      <w:r w:rsidR="009778F9">
        <w:t xml:space="preserve">aces </w:t>
      </w:r>
      <w:r w:rsidR="00900D9B">
        <w:t>high</w:t>
      </w:r>
      <w:r w:rsidR="001B1D00">
        <w:t xml:space="preserve"> effective marginal tax rates (</w:t>
      </w:r>
      <w:r w:rsidR="009778F9">
        <w:t xml:space="preserve">an indicator of </w:t>
      </w:r>
      <w:r w:rsidR="00F606A2">
        <w:t>dis</w:t>
      </w:r>
      <w:r w:rsidR="009778F9">
        <w:t>incentives</w:t>
      </w:r>
      <w:r w:rsidR="00F606A2">
        <w:t xml:space="preserve"> to work</w:t>
      </w:r>
      <w:r w:rsidR="001B1D00">
        <w:t>)</w:t>
      </w:r>
      <w:r w:rsidR="0099366D">
        <w:t xml:space="preserve"> and</w:t>
      </w:r>
      <w:r w:rsidR="00B648C0">
        <w:t xml:space="preserve"> </w:t>
      </w:r>
      <w:r>
        <w:t>focu</w:t>
      </w:r>
      <w:r w:rsidR="00D82857">
        <w:t>sing</w:t>
      </w:r>
      <w:r w:rsidR="00B648C0">
        <w:t xml:space="preserve"> on the primary earner may </w:t>
      </w:r>
      <w:r w:rsidR="00AC6AAA">
        <w:t xml:space="preserve">provide </w:t>
      </w:r>
      <w:r w:rsidR="009778F9">
        <w:t>the required</w:t>
      </w:r>
      <w:r w:rsidR="00AC6AAA">
        <w:t xml:space="preserve"> insight</w:t>
      </w:r>
      <w:r w:rsidR="009778F9">
        <w:t>s</w:t>
      </w:r>
      <w:r w:rsidR="00AC6AAA">
        <w:t xml:space="preserve"> into</w:t>
      </w:r>
      <w:r w:rsidR="00DE3EA8">
        <w:t xml:space="preserve"> an</w:t>
      </w:r>
      <w:r w:rsidR="00B648C0">
        <w:t xml:space="preserve"> income unit’s response to </w:t>
      </w:r>
      <w:r w:rsidR="00627C07">
        <w:t>policy change</w:t>
      </w:r>
      <w:r w:rsidR="00AC6AAA">
        <w:t xml:space="preserve"> in many circumstances</w:t>
      </w:r>
      <w:r w:rsidR="001545D3">
        <w:t xml:space="preserve">. </w:t>
      </w:r>
      <w:r w:rsidR="00900D9B">
        <w:t>For this reason, t</w:t>
      </w:r>
      <w:r w:rsidR="00076DB5">
        <w:t xml:space="preserve">he Commission </w:t>
      </w:r>
      <w:r w:rsidR="00900D9B">
        <w:t>adopted</w:t>
      </w:r>
      <w:r w:rsidR="00076DB5">
        <w:t xml:space="preserve"> the primary earner as the sole decision maker for CAPITA</w:t>
      </w:r>
      <w:r w:rsidR="00076DB5">
        <w:noBreakHyphen/>
        <w:t>B’s initial implementation</w:t>
      </w:r>
      <w:r w:rsidR="0030114C">
        <w:t xml:space="preserve"> (box 2)</w:t>
      </w:r>
      <w:r w:rsidR="00076DB5">
        <w:t>.</w:t>
      </w:r>
    </w:p>
    <w:p w:rsidR="001D7BED" w:rsidRDefault="001D7BED" w:rsidP="001D7BE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D7BED" w:rsidTr="002A7C86">
        <w:tc>
          <w:tcPr>
            <w:tcW w:w="8771" w:type="dxa"/>
            <w:tcBorders>
              <w:top w:val="single" w:sz="6" w:space="0" w:color="78A22F"/>
              <w:left w:val="nil"/>
              <w:bottom w:val="nil"/>
              <w:right w:val="nil"/>
            </w:tcBorders>
            <w:shd w:val="clear" w:color="auto" w:fill="F2F2F2"/>
          </w:tcPr>
          <w:p w:rsidR="001D7BED" w:rsidRDefault="001D7BED" w:rsidP="00E62D8E">
            <w:pPr>
              <w:pStyle w:val="BoxTitle"/>
            </w:pPr>
            <w:r>
              <w:rPr>
                <w:b w:val="0"/>
              </w:rPr>
              <w:t xml:space="preserve">Box </w:t>
            </w:r>
            <w:r w:rsidR="003F2E30">
              <w:rPr>
                <w:b w:val="0"/>
                <w:noProof/>
              </w:rPr>
              <w:t>2</w:t>
            </w:r>
            <w:r>
              <w:tab/>
              <w:t>Primary earners</w:t>
            </w:r>
            <w:r w:rsidR="00E62D8E">
              <w:t xml:space="preserve"> as decision makers</w:t>
            </w:r>
          </w:p>
        </w:tc>
      </w:tr>
      <w:tr w:rsidR="001D7BED" w:rsidTr="002A7C86">
        <w:trPr>
          <w:cantSplit/>
        </w:trPr>
        <w:tc>
          <w:tcPr>
            <w:tcW w:w="8771" w:type="dxa"/>
            <w:tcBorders>
              <w:top w:val="nil"/>
              <w:left w:val="nil"/>
              <w:bottom w:val="nil"/>
              <w:right w:val="nil"/>
            </w:tcBorders>
            <w:shd w:val="clear" w:color="auto" w:fill="F2F2F2"/>
          </w:tcPr>
          <w:p w:rsidR="00D4716D" w:rsidRDefault="0063033D" w:rsidP="00D4716D">
            <w:pPr>
              <w:pStyle w:val="Box"/>
            </w:pPr>
            <w:r>
              <w:t xml:space="preserve">While just an initial implementation, </w:t>
            </w:r>
            <w:r w:rsidR="00835F78">
              <w:t>the assumption</w:t>
            </w:r>
            <w:r>
              <w:t xml:space="preserve"> that primary earners are the sole decision makers in each income unit </w:t>
            </w:r>
            <w:r w:rsidR="00BB653A">
              <w:t>is</w:t>
            </w:r>
            <w:r>
              <w:t xml:space="preserve"> influenced by some initial observations about the nature of </w:t>
            </w:r>
            <w:r w:rsidR="004C2091">
              <w:t xml:space="preserve">(a) </w:t>
            </w:r>
            <w:r>
              <w:t>primary earners</w:t>
            </w:r>
            <w:r w:rsidR="004C2091">
              <w:t xml:space="preserve"> and (b) possible future applications of CAPITA</w:t>
            </w:r>
            <w:r w:rsidR="004C2091">
              <w:noBreakHyphen/>
              <w:t>B</w:t>
            </w:r>
            <w:r>
              <w:t xml:space="preserve">. Specifically, the choice of decision maker </w:t>
            </w:r>
            <w:r w:rsidR="00BB653A">
              <w:t>is</w:t>
            </w:r>
            <w:r>
              <w:t xml:space="preserve"> influenced by </w:t>
            </w:r>
            <w:r w:rsidR="00BB653A">
              <w:t>the fact that</w:t>
            </w:r>
            <w:r>
              <w:t>:</w:t>
            </w:r>
          </w:p>
          <w:p w:rsidR="009C3967" w:rsidRDefault="009C3967" w:rsidP="00EC65B7">
            <w:pPr>
              <w:pStyle w:val="BoxListNumber"/>
            </w:pPr>
            <w:r>
              <w:t xml:space="preserve">primary earners </w:t>
            </w:r>
            <w:r w:rsidR="00555107">
              <w:t xml:space="preserve">often </w:t>
            </w:r>
            <w:r>
              <w:t>earn more</w:t>
            </w:r>
            <w:r w:rsidR="00AD6D80">
              <w:t xml:space="preserve"> labour</w:t>
            </w:r>
            <w:r>
              <w:t xml:space="preserve"> income per hour</w:t>
            </w:r>
            <w:r w:rsidR="00AD6D80">
              <w:t xml:space="preserve"> worked</w:t>
            </w:r>
            <w:r>
              <w:t xml:space="preserve"> than secondary earners, </w:t>
            </w:r>
            <w:r w:rsidR="00AD6D80">
              <w:t>so</w:t>
            </w:r>
            <w:r w:rsidR="0030114C">
              <w:t xml:space="preserve"> </w:t>
            </w:r>
            <w:r w:rsidR="004C2091">
              <w:t>increas</w:t>
            </w:r>
            <w:r w:rsidR="00F606A2">
              <w:t>ing their</w:t>
            </w:r>
            <w:r>
              <w:t xml:space="preserve"> labou</w:t>
            </w:r>
            <w:r w:rsidR="00CF68C1">
              <w:t xml:space="preserve">r supply </w:t>
            </w:r>
            <w:r w:rsidR="00F606A2">
              <w:t xml:space="preserve">is associated with higher returns </w:t>
            </w:r>
          </w:p>
          <w:p w:rsidR="00A03341" w:rsidRDefault="00A03341" w:rsidP="00EC65B7">
            <w:pPr>
              <w:pStyle w:val="BoxListNumber"/>
            </w:pPr>
            <w:r>
              <w:t>pri</w:t>
            </w:r>
            <w:r w:rsidR="009459CD">
              <w:t>mary earners already face high</w:t>
            </w:r>
            <w:r>
              <w:t xml:space="preserve"> policy-induced disincentives to </w:t>
            </w:r>
            <w:r w:rsidR="00365145">
              <w:t xml:space="preserve">work (as measured by </w:t>
            </w:r>
            <w:r w:rsidR="00F606A2">
              <w:t xml:space="preserve">high </w:t>
            </w:r>
            <w:r w:rsidR="00365145">
              <w:t>effective marginal tax rates)</w:t>
            </w:r>
            <w:r>
              <w:t xml:space="preserve"> because they tend to face higher tax rates and an increase in their income</w:t>
            </w:r>
            <w:r w:rsidR="00CF68C1">
              <w:t xml:space="preserve"> often</w:t>
            </w:r>
            <w:r>
              <w:t xml:space="preserve"> reduces an income unit’s overall transfer payments. This means that there is: </w:t>
            </w:r>
          </w:p>
          <w:p w:rsidR="00A03341" w:rsidRDefault="00A03341" w:rsidP="00EC65B7">
            <w:pPr>
              <w:pStyle w:val="BoxListNumber2"/>
            </w:pPr>
            <w:r>
              <w:t>scope for some policies to reduce primary earner’s disincentive</w:t>
            </w:r>
            <w:r w:rsidR="004C2091">
              <w:t>s</w:t>
            </w:r>
            <w:r>
              <w:t xml:space="preserve"> to work</w:t>
            </w:r>
          </w:p>
          <w:p w:rsidR="00A03341" w:rsidRDefault="00A03341" w:rsidP="00EC65B7">
            <w:pPr>
              <w:pStyle w:val="BoxListNumber2"/>
            </w:pPr>
            <w:r>
              <w:t>scope for other policies to exacerbate</w:t>
            </w:r>
            <w:r w:rsidR="0030114C">
              <w:t xml:space="preserve"> </w:t>
            </w:r>
            <w:r w:rsidR="00900D9B">
              <w:t xml:space="preserve">a </w:t>
            </w:r>
            <w:r w:rsidR="0030114C">
              <w:t>primary earner’s</w:t>
            </w:r>
            <w:r>
              <w:t xml:space="preserve"> disincentives to work.</w:t>
            </w:r>
          </w:p>
          <w:p w:rsidR="00C60F4E" w:rsidRDefault="00C01F02" w:rsidP="00EC65B7">
            <w:pPr>
              <w:pStyle w:val="BoxListNumber"/>
            </w:pPr>
            <w:r>
              <w:t>primary earners have</w:t>
            </w:r>
            <w:r w:rsidR="00A03341">
              <w:t xml:space="preserve"> </w:t>
            </w:r>
            <w:r w:rsidR="007F18A1">
              <w:t xml:space="preserve">some </w:t>
            </w:r>
            <w:r w:rsidR="00A03341">
              <w:t>capacity to change</w:t>
            </w:r>
            <w:r>
              <w:t xml:space="preserve"> </w:t>
            </w:r>
            <w:r w:rsidR="003726EE">
              <w:t>their hours of work</w:t>
            </w:r>
            <w:r>
              <w:t xml:space="preserve">: </w:t>
            </w:r>
            <w:r w:rsidR="00B630CC">
              <w:t>around 40</w:t>
            </w:r>
            <w:r w:rsidR="00E62D8E">
              <w:t xml:space="preserve"> per cent</w:t>
            </w:r>
            <w:r w:rsidR="00D4716D">
              <w:t xml:space="preserve"> of primary earners work less than full time and could</w:t>
            </w:r>
            <w:r w:rsidR="00A87172">
              <w:t xml:space="preserve"> </w:t>
            </w:r>
            <w:r w:rsidR="00D4716D">
              <w:t xml:space="preserve">increase </w:t>
            </w:r>
            <w:r w:rsidR="00F606A2">
              <w:t xml:space="preserve">their </w:t>
            </w:r>
            <w:r w:rsidR="006F7884">
              <w:t>hours (</w:t>
            </w:r>
            <w:r w:rsidR="00F33200">
              <w:t>assuming there is</w:t>
            </w:r>
            <w:r w:rsidR="007C7E32">
              <w:t xml:space="preserve"> </w:t>
            </w:r>
            <w:r w:rsidR="005E2E05">
              <w:t xml:space="preserve">sufficient </w:t>
            </w:r>
            <w:r w:rsidR="007C7E32">
              <w:t>demand for labour</w:t>
            </w:r>
            <w:r w:rsidR="006F7884">
              <w:t>)</w:t>
            </w:r>
            <w:r w:rsidR="00791EA2">
              <w:t xml:space="preserve">, </w:t>
            </w:r>
            <w:r>
              <w:t>while</w:t>
            </w:r>
            <w:r w:rsidR="00791EA2">
              <w:t xml:space="preserve"> </w:t>
            </w:r>
            <w:r w:rsidR="00B630CC">
              <w:t>around 60 per cent work</w:t>
            </w:r>
            <w:r w:rsidR="00791EA2">
              <w:t xml:space="preserve"> full time and could </w:t>
            </w:r>
            <w:r w:rsidR="006114E4">
              <w:t>reduce</w:t>
            </w:r>
            <w:r w:rsidR="00791EA2">
              <w:t xml:space="preserve"> their </w:t>
            </w:r>
            <w:r w:rsidR="006F7884">
              <w:t>hours</w:t>
            </w:r>
            <w:r w:rsidR="00791EA2">
              <w:t xml:space="preserve"> (</w:t>
            </w:r>
            <w:r w:rsidR="00F606A2">
              <w:t xml:space="preserve">see </w:t>
            </w:r>
            <w:r w:rsidR="00351681">
              <w:t>appendix</w:t>
            </w:r>
            <w:r w:rsidR="00791EA2">
              <w:t>)</w:t>
            </w:r>
            <w:r w:rsidR="00351681">
              <w:t xml:space="preserve"> </w:t>
            </w:r>
          </w:p>
          <w:p w:rsidR="00A03341" w:rsidRDefault="00A03341" w:rsidP="00EC65B7">
            <w:pPr>
              <w:pStyle w:val="BoxListNumber"/>
              <w:rPr>
                <w:szCs w:val="24"/>
              </w:rPr>
            </w:pPr>
            <w:r>
              <w:t>future applications of</w:t>
            </w:r>
            <w:r w:rsidR="005758A5">
              <w:t xml:space="preserve"> the</w:t>
            </w:r>
            <w:r>
              <w:t xml:space="preserve"> CAPITA</w:t>
            </w:r>
            <w:r>
              <w:noBreakHyphen/>
              <w:t>B</w:t>
            </w:r>
            <w:r w:rsidR="005758A5">
              <w:t xml:space="preserve"> platform</w:t>
            </w:r>
            <w:r>
              <w:t xml:space="preserve"> may examine</w:t>
            </w:r>
            <w:r w:rsidR="004C2091">
              <w:t xml:space="preserve"> a wide range of</w:t>
            </w:r>
            <w:r>
              <w:t xml:space="preserve"> policy scenarios that</w:t>
            </w:r>
            <w:r w:rsidR="00CC768E">
              <w:t xml:space="preserve"> </w:t>
            </w:r>
            <w:r w:rsidR="00835F78">
              <w:t>could</w:t>
            </w:r>
            <w:r>
              <w:t xml:space="preserve"> either </w:t>
            </w:r>
            <w:r w:rsidR="00CC768E">
              <w:t xml:space="preserve">increase or </w:t>
            </w:r>
            <w:r w:rsidR="00342865">
              <w:t>decrease</w:t>
            </w:r>
            <w:r>
              <w:t xml:space="preserve"> labour supply</w:t>
            </w:r>
            <w:r w:rsidR="00CF68C1">
              <w:t>.</w:t>
            </w:r>
          </w:p>
          <w:p w:rsidR="00C43EF0" w:rsidRDefault="00CC768E">
            <w:pPr>
              <w:pStyle w:val="Box"/>
            </w:pPr>
            <w:r>
              <w:t xml:space="preserve">Taken together, </w:t>
            </w:r>
            <w:r w:rsidR="00C26AD5">
              <w:t>th</w:t>
            </w:r>
            <w:r w:rsidR="0030114C">
              <w:t>ese observations</w:t>
            </w:r>
            <w:r>
              <w:t xml:space="preserve"> </w:t>
            </w:r>
            <w:r w:rsidR="0030114C">
              <w:t xml:space="preserve">suggest that </w:t>
            </w:r>
            <w:r w:rsidR="004C2091">
              <w:t xml:space="preserve">a </w:t>
            </w:r>
            <w:r w:rsidR="00A74379">
              <w:t>variety</w:t>
            </w:r>
            <w:r w:rsidR="004C2091">
              <w:t xml:space="preserve"> of </w:t>
            </w:r>
            <w:r w:rsidR="002A7F42">
              <w:t xml:space="preserve">tax and transfer </w:t>
            </w:r>
            <w:r w:rsidR="0030114C">
              <w:t>polic</w:t>
            </w:r>
            <w:r w:rsidR="002A7F42">
              <w:t>y changes</w:t>
            </w:r>
            <w:r w:rsidR="0030114C">
              <w:t xml:space="preserve"> designed to </w:t>
            </w:r>
            <w:r w:rsidR="002A7F42">
              <w:t xml:space="preserve">affect </w:t>
            </w:r>
            <w:r w:rsidR="0030114C">
              <w:t xml:space="preserve">incentives to work </w:t>
            </w:r>
            <w:r w:rsidR="002A7F42">
              <w:t>(</w:t>
            </w:r>
            <w:r w:rsidR="0030114C">
              <w:t>by changing effective marginal tax rates</w:t>
            </w:r>
            <w:r w:rsidR="002A7F42">
              <w:t>)</w:t>
            </w:r>
            <w:r w:rsidR="0030114C">
              <w:t xml:space="preserve"> could likely cause a change in the labour supply choices of primary earners.</w:t>
            </w:r>
            <w:r>
              <w:t xml:space="preserve"> </w:t>
            </w:r>
          </w:p>
          <w:p w:rsidR="00E62D8E" w:rsidRPr="00926D1D" w:rsidRDefault="0063033D" w:rsidP="00441967">
            <w:pPr>
              <w:pStyle w:val="Box"/>
              <w:rPr>
                <w:szCs w:val="24"/>
              </w:rPr>
            </w:pPr>
            <w:r>
              <w:t xml:space="preserve">Initially </w:t>
            </w:r>
            <w:r w:rsidR="0068092F">
              <w:t>assuming that</w:t>
            </w:r>
            <w:r w:rsidR="00C43EF0">
              <w:t xml:space="preserve"> primary earners a</w:t>
            </w:r>
            <w:r w:rsidR="0068092F">
              <w:t>re</w:t>
            </w:r>
            <w:r w:rsidR="00C43EF0">
              <w:t xml:space="preserve"> the sole decision maker</w:t>
            </w:r>
            <w:r w:rsidR="0068092F">
              <w:t>s</w:t>
            </w:r>
            <w:r w:rsidR="00C43EF0">
              <w:t xml:space="preserve"> </w:t>
            </w:r>
            <w:r w:rsidR="0023736D">
              <w:t>seems</w:t>
            </w:r>
            <w:r w:rsidR="00C43EF0">
              <w:t xml:space="preserve"> a reasonable </w:t>
            </w:r>
            <w:r w:rsidR="00C43EF0" w:rsidRPr="00EC65B7">
              <w:rPr>
                <w:i/>
              </w:rPr>
              <w:t>starting point</w:t>
            </w:r>
            <w:r w:rsidR="00E62D8E">
              <w:t>.</w:t>
            </w:r>
            <w:r w:rsidR="004C46BE">
              <w:t xml:space="preserve"> This is not to deny that</w:t>
            </w:r>
            <w:r w:rsidR="00605B59">
              <w:t xml:space="preserve"> </w:t>
            </w:r>
            <w:r w:rsidR="0023736D">
              <w:t>in some cases the</w:t>
            </w:r>
            <w:r w:rsidR="00A645EF">
              <w:t xml:space="preserve"> behaviour of</w:t>
            </w:r>
            <w:r w:rsidR="004C46BE">
              <w:t xml:space="preserve"> secondary earner</w:t>
            </w:r>
            <w:r w:rsidR="00A645EF">
              <w:t>s</w:t>
            </w:r>
            <w:r w:rsidR="004C46BE">
              <w:t xml:space="preserve"> is </w:t>
            </w:r>
            <w:r w:rsidR="000A334B">
              <w:t>of interest</w:t>
            </w:r>
            <w:r w:rsidR="0023736D">
              <w:t xml:space="preserve"> </w:t>
            </w:r>
            <w:r w:rsidR="00221AD8">
              <w:t>(</w:t>
            </w:r>
            <w:r w:rsidR="0023736D">
              <w:t xml:space="preserve">this was the case in the Childcare and Early Childhood Learning </w:t>
            </w:r>
            <w:r w:rsidR="00515E1C">
              <w:t xml:space="preserve">study </w:t>
            </w:r>
            <w:r w:rsidR="0023736D" w:rsidRPr="00EC65B7">
              <w:rPr>
                <w:rFonts w:cs="Arial"/>
                <w:szCs w:val="24"/>
              </w:rPr>
              <w:t>(PC 2014)</w:t>
            </w:r>
            <w:r w:rsidR="00221AD8">
              <w:t>)</w:t>
            </w:r>
            <w:r w:rsidR="004C46BE">
              <w:t>. Rather</w:t>
            </w:r>
            <w:r w:rsidR="00F606A2">
              <w:t>,</w:t>
            </w:r>
            <w:r w:rsidR="004C46BE">
              <w:t xml:space="preserve"> it reflects</w:t>
            </w:r>
            <w:r w:rsidR="006D51AD">
              <w:t xml:space="preserve"> </w:t>
            </w:r>
            <w:r w:rsidR="004C46BE">
              <w:t xml:space="preserve">that </w:t>
            </w:r>
            <w:r w:rsidR="00C43EF0">
              <w:t>focusing on primary earners</w:t>
            </w:r>
            <w:r w:rsidR="0023736D">
              <w:t xml:space="preserve"> may</w:t>
            </w:r>
            <w:r w:rsidR="00C43EF0">
              <w:t xml:space="preserve"> </w:t>
            </w:r>
            <w:r w:rsidR="0023736D">
              <w:t>provide</w:t>
            </w:r>
            <w:r w:rsidR="00815EA5">
              <w:t xml:space="preserve"> </w:t>
            </w:r>
            <w:r w:rsidR="00515E1C">
              <w:t xml:space="preserve">the required </w:t>
            </w:r>
            <w:r w:rsidR="005472BB">
              <w:t>insight</w:t>
            </w:r>
            <w:r w:rsidR="00F606A2">
              <w:t>s</w:t>
            </w:r>
            <w:r w:rsidR="005472BB">
              <w:t xml:space="preserve"> into</w:t>
            </w:r>
            <w:r w:rsidR="00C43EF0">
              <w:t xml:space="preserve"> t</w:t>
            </w:r>
            <w:r w:rsidR="006D51AD">
              <w:t xml:space="preserve">he behavioural </w:t>
            </w:r>
            <w:r w:rsidR="00815EA5">
              <w:t xml:space="preserve">responses of income units </w:t>
            </w:r>
            <w:r w:rsidR="00515E1C">
              <w:t>in</w:t>
            </w:r>
            <w:r w:rsidR="00740B9E">
              <w:t xml:space="preserve"> </w:t>
            </w:r>
            <w:r w:rsidR="00815EA5">
              <w:t xml:space="preserve">a </w:t>
            </w:r>
            <w:r w:rsidR="00515E1C">
              <w:t xml:space="preserve">variety of </w:t>
            </w:r>
            <w:r w:rsidR="00740B9E">
              <w:t xml:space="preserve">policy </w:t>
            </w:r>
            <w:r w:rsidR="0062570B">
              <w:t>applications</w:t>
            </w:r>
            <w:r w:rsidR="00255E0C">
              <w:t xml:space="preserve">. </w:t>
            </w:r>
          </w:p>
        </w:tc>
      </w:tr>
      <w:tr w:rsidR="001D7BED" w:rsidTr="002A7C86">
        <w:trPr>
          <w:cantSplit/>
        </w:trPr>
        <w:tc>
          <w:tcPr>
            <w:tcW w:w="8771" w:type="dxa"/>
            <w:tcBorders>
              <w:top w:val="nil"/>
              <w:left w:val="nil"/>
              <w:bottom w:val="single" w:sz="6" w:space="0" w:color="78A22F"/>
              <w:right w:val="nil"/>
            </w:tcBorders>
            <w:shd w:val="clear" w:color="auto" w:fill="F2F2F2"/>
          </w:tcPr>
          <w:p w:rsidR="001D7BED" w:rsidRDefault="001D7BED" w:rsidP="002A7C86">
            <w:pPr>
              <w:pStyle w:val="Box"/>
              <w:spacing w:before="0" w:line="120" w:lineRule="exact"/>
            </w:pPr>
          </w:p>
        </w:tc>
      </w:tr>
      <w:tr w:rsidR="001D7BED" w:rsidRPr="000863A5" w:rsidTr="002A7C86">
        <w:tc>
          <w:tcPr>
            <w:tcW w:w="8771" w:type="dxa"/>
            <w:tcBorders>
              <w:top w:val="single" w:sz="6" w:space="0" w:color="78A22F"/>
              <w:left w:val="nil"/>
              <w:bottom w:val="nil"/>
              <w:right w:val="nil"/>
            </w:tcBorders>
          </w:tcPr>
          <w:p w:rsidR="001D7BED" w:rsidRPr="00626D32" w:rsidRDefault="001D7BED" w:rsidP="002A7C86">
            <w:pPr>
              <w:pStyle w:val="BoxSpaceBelow"/>
            </w:pPr>
          </w:p>
        </w:tc>
      </w:tr>
    </w:tbl>
    <w:p w:rsidR="00666E02" w:rsidRDefault="00957390" w:rsidP="0018596C">
      <w:pPr>
        <w:pStyle w:val="Heading2"/>
      </w:pPr>
      <w:r>
        <w:t>Inside the behavioural module</w:t>
      </w:r>
    </w:p>
    <w:p w:rsidR="00855144" w:rsidRDefault="00616BB6" w:rsidP="00CC1F44">
      <w:pPr>
        <w:pStyle w:val="BodyText"/>
        <w:keepNext/>
      </w:pPr>
      <w:r>
        <w:t xml:space="preserve">The behavioural </w:t>
      </w:r>
      <w:r w:rsidR="00441967">
        <w:t xml:space="preserve">module </w:t>
      </w:r>
      <w:r w:rsidR="00C80E53">
        <w:t>functions by</w:t>
      </w:r>
      <w:r w:rsidR="00AE0D35">
        <w:t>:</w:t>
      </w:r>
    </w:p>
    <w:p w:rsidR="00AE0D35" w:rsidRDefault="00483730" w:rsidP="00CC1F44">
      <w:pPr>
        <w:pStyle w:val="ListNumber"/>
        <w:keepNext/>
        <w:numPr>
          <w:ilvl w:val="0"/>
          <w:numId w:val="35"/>
        </w:numPr>
      </w:pPr>
      <w:r>
        <w:t>defin</w:t>
      </w:r>
      <w:r w:rsidR="005D684C">
        <w:t>ing</w:t>
      </w:r>
      <w:r w:rsidR="00AE0D35">
        <w:t xml:space="preserve"> a set of discrete labour supply choices common to all decision makers</w:t>
      </w:r>
    </w:p>
    <w:p w:rsidR="00AE0D35" w:rsidRDefault="005D684C" w:rsidP="00EC65B7">
      <w:pPr>
        <w:pStyle w:val="ListNumber"/>
      </w:pPr>
      <w:r>
        <w:t>calculating</w:t>
      </w:r>
      <w:r w:rsidR="00AE0D35">
        <w:t xml:space="preserve"> </w:t>
      </w:r>
      <w:r w:rsidR="00D941B1">
        <w:t>disposable</w:t>
      </w:r>
      <w:r w:rsidR="00AE0D35">
        <w:t xml:space="preserve"> income</w:t>
      </w:r>
      <w:r w:rsidR="00A2445A">
        <w:t xml:space="preserve"> at each labour supply choice,</w:t>
      </w:r>
      <w:r w:rsidR="00AE0D35">
        <w:t xml:space="preserve"> based on a given level of gross </w:t>
      </w:r>
      <w:r w:rsidR="00A2445A">
        <w:t xml:space="preserve">income </w:t>
      </w:r>
      <w:r w:rsidR="00AE0D35">
        <w:t>and</w:t>
      </w:r>
      <w:r w:rsidR="00C82AF1">
        <w:t xml:space="preserve"> </w:t>
      </w:r>
      <w:r w:rsidR="00AE0D35">
        <w:t>the rules of the tax and transfer system</w:t>
      </w:r>
    </w:p>
    <w:p w:rsidR="00AE0D35" w:rsidRDefault="005D684C" w:rsidP="00EC65B7">
      <w:pPr>
        <w:pStyle w:val="ListNumber"/>
      </w:pPr>
      <w:r>
        <w:t>applying</w:t>
      </w:r>
      <w:r w:rsidR="00AE0D35">
        <w:t xml:space="preserve"> a utility function </w:t>
      </w:r>
      <w:r w:rsidR="0074363C">
        <w:t>to</w:t>
      </w:r>
      <w:r w:rsidR="00AE0D35">
        <w:t xml:space="preserve"> </w:t>
      </w:r>
      <w:r w:rsidR="007E5AB6">
        <w:t>a</w:t>
      </w:r>
      <w:r w:rsidR="00AE0D35">
        <w:t xml:space="preserve"> set of discrete labour supply choices, and calibrat</w:t>
      </w:r>
      <w:r>
        <w:t>ing</w:t>
      </w:r>
      <w:r w:rsidR="00AE0D35">
        <w:t xml:space="preserve"> this utility function </w:t>
      </w:r>
      <w:r>
        <w:t xml:space="preserve">to </w:t>
      </w:r>
      <w:r w:rsidR="007E5AB6">
        <w:t>match</w:t>
      </w:r>
      <w:r w:rsidR="00AE0D35">
        <w:t xml:space="preserve"> observed data</w:t>
      </w:r>
    </w:p>
    <w:p w:rsidR="00AE0D35" w:rsidRDefault="005D684C" w:rsidP="00EC65B7">
      <w:pPr>
        <w:pStyle w:val="ListNumber"/>
      </w:pPr>
      <w:r>
        <w:t xml:space="preserve">recalculating </w:t>
      </w:r>
      <w:r w:rsidR="00343AA6">
        <w:t>disposable</w:t>
      </w:r>
      <w:r w:rsidR="00AE0D35">
        <w:t xml:space="preserve"> income under a policy reform scenario</w:t>
      </w:r>
    </w:p>
    <w:p w:rsidR="00AE0D35" w:rsidRDefault="005D684C" w:rsidP="00EC65B7">
      <w:pPr>
        <w:pStyle w:val="ListNumber"/>
      </w:pPr>
      <w:r>
        <w:t>using</w:t>
      </w:r>
      <w:r w:rsidR="00AE0D35">
        <w:t xml:space="preserve"> the calibrated utility fun</w:t>
      </w:r>
      <w:r w:rsidR="00343AA6">
        <w:t xml:space="preserve">ction to </w:t>
      </w:r>
      <w:r w:rsidR="008A5942">
        <w:t>estimate</w:t>
      </w:r>
      <w:r w:rsidR="00343AA6">
        <w:t xml:space="preserve"> post</w:t>
      </w:r>
      <w:r w:rsidR="00343AA6">
        <w:noBreakHyphen/>
      </w:r>
      <w:r w:rsidR="00AE0D35">
        <w:t>reform labour s</w:t>
      </w:r>
      <w:r w:rsidR="007E5AB6">
        <w:t>upply</w:t>
      </w:r>
      <w:r w:rsidR="00AE0D35">
        <w:t>.</w:t>
      </w:r>
    </w:p>
    <w:p w:rsidR="00BE17EF" w:rsidRPr="00B71EB5" w:rsidRDefault="00AE0D35" w:rsidP="005440F6">
      <w:pPr>
        <w:pStyle w:val="BodyText"/>
      </w:pPr>
      <w:r>
        <w:lastRenderedPageBreak/>
        <w:t xml:space="preserve">The </w:t>
      </w:r>
      <w:r w:rsidR="008A5942">
        <w:t xml:space="preserve">calibrated </w:t>
      </w:r>
      <w:r>
        <w:t>utility function</w:t>
      </w:r>
      <w:r w:rsidR="00A422BB">
        <w:t xml:space="preserve"> </w:t>
      </w:r>
      <w:r w:rsidR="0004242B">
        <w:t xml:space="preserve">determines the </w:t>
      </w:r>
      <w:r w:rsidR="00D819F4">
        <w:t>post</w:t>
      </w:r>
      <w:r w:rsidR="00D819F4">
        <w:noBreakHyphen/>
        <w:t>reform labour supply responses of decision makers</w:t>
      </w:r>
      <w:r w:rsidR="00BE196F">
        <w:t xml:space="preserve"> </w:t>
      </w:r>
      <w:r>
        <w:t>in CAPITA-B</w:t>
      </w:r>
      <w:r w:rsidR="00A422BB">
        <w:t>.</w:t>
      </w:r>
      <w:r w:rsidR="0084132A">
        <w:t xml:space="preserve"> </w:t>
      </w:r>
      <w:r w:rsidR="0004242B">
        <w:t>In the initial implementation</w:t>
      </w:r>
      <w:r w:rsidR="00E53A81">
        <w:t xml:space="preserve">, </w:t>
      </w:r>
      <w:r w:rsidR="003212AF">
        <w:t xml:space="preserve">calibrated </w:t>
      </w:r>
      <w:r w:rsidR="00E53A81">
        <w:t>u</w:t>
      </w:r>
      <w:r w:rsidR="00B71EB5">
        <w:t>tility</w:t>
      </w:r>
      <w:r w:rsidR="0084132A">
        <w:t xml:space="preserve"> </w:t>
      </w:r>
      <w:r w:rsidR="00B71EB5">
        <w:t>depends on</w:t>
      </w:r>
      <w:r w:rsidR="002C469D">
        <w:t xml:space="preserve"> </w:t>
      </w:r>
      <w:r w:rsidR="00343AA6">
        <w:t>disposable income and hours wor</w:t>
      </w:r>
      <w:r w:rsidR="00E53A81">
        <w:t>ked at each labour supply choice</w:t>
      </w:r>
      <w:r w:rsidR="00343AA6">
        <w:t>, as well as</w:t>
      </w:r>
      <w:r w:rsidR="002C469D">
        <w:t xml:space="preserve"> </w:t>
      </w:r>
      <w:r w:rsidR="00B71EB5">
        <w:t>estimated</w:t>
      </w:r>
      <w:r w:rsidR="00343AA6">
        <w:t xml:space="preserve"> parameters and a random utility term </w:t>
      </w:r>
      <w:r w:rsidR="000B1EB5">
        <w:t>drawn</w:t>
      </w:r>
      <w:r w:rsidR="00343AA6">
        <w:t xml:space="preserve"> from the </w:t>
      </w:r>
      <w:r w:rsidR="00DB7A8F">
        <w:t>E</w:t>
      </w:r>
      <w:r w:rsidR="00822B8A">
        <w:t xml:space="preserve">xtreme </w:t>
      </w:r>
      <w:r w:rsidR="00DB7A8F">
        <w:t>V</w:t>
      </w:r>
      <w:r w:rsidR="00822B8A">
        <w:t xml:space="preserve">alue </w:t>
      </w:r>
      <w:r w:rsidR="00DB7A8F">
        <w:t>(</w:t>
      </w:r>
      <w:r w:rsidR="00822B8A">
        <w:t>type one</w:t>
      </w:r>
      <w:r w:rsidR="00DB7A8F">
        <w:t>)</w:t>
      </w:r>
      <w:r w:rsidR="00684422" w:rsidRPr="009A7EDA">
        <w:rPr>
          <w:rStyle w:val="FootnoteReference"/>
        </w:rPr>
        <w:footnoteReference w:id="6"/>
      </w:r>
      <w:r w:rsidR="00343AA6">
        <w:t xml:space="preserve"> distribution.</w:t>
      </w:r>
      <w:r w:rsidR="00117522">
        <w:t xml:space="preserve"> </w:t>
      </w:r>
      <w:r w:rsidR="00B21E34">
        <w:t xml:space="preserve">As a result, </w:t>
      </w:r>
      <w:r w:rsidR="00475E65">
        <w:t>c</w:t>
      </w:r>
      <w:r w:rsidR="003212AF">
        <w:t>alibrated utility</w:t>
      </w:r>
      <w:r w:rsidR="00D819F4">
        <w:t xml:space="preserve"> account</w:t>
      </w:r>
      <w:r w:rsidR="00F10450">
        <w:t>s</w:t>
      </w:r>
      <w:r w:rsidR="00D819F4">
        <w:t xml:space="preserve"> for the impact of policy reform</w:t>
      </w:r>
      <w:r w:rsidR="00E72D7C">
        <w:t xml:space="preserve"> </w:t>
      </w:r>
      <w:r w:rsidR="00D819F4">
        <w:t xml:space="preserve">by </w:t>
      </w:r>
      <w:r w:rsidR="00F75173">
        <w:t xml:space="preserve">calculating </w:t>
      </w:r>
      <w:r w:rsidR="00BE196F">
        <w:t xml:space="preserve">how a </w:t>
      </w:r>
      <w:r w:rsidR="00E72D7C">
        <w:t>decision maker’s labour supply choices change</w:t>
      </w:r>
      <w:r w:rsidR="008252AC">
        <w:t xml:space="preserve"> </w:t>
      </w:r>
      <w:r w:rsidR="009F72E2">
        <w:t>in the face of</w:t>
      </w:r>
      <w:r w:rsidR="00BE196F">
        <w:t xml:space="preserve"> </w:t>
      </w:r>
      <w:r w:rsidR="00CF68C1">
        <w:t>changes to</w:t>
      </w:r>
      <w:r w:rsidR="00CD61AC">
        <w:t xml:space="preserve"> their</w:t>
      </w:r>
      <w:r w:rsidR="00D819F4">
        <w:t xml:space="preserve"> disposable income</w:t>
      </w:r>
      <w:r w:rsidR="00CD61AC">
        <w:t xml:space="preserve"> </w:t>
      </w:r>
      <w:r w:rsidR="00BE196F">
        <w:t>caused by changes to</w:t>
      </w:r>
      <w:r w:rsidR="00D819F4">
        <w:t xml:space="preserve"> tax and transfer policy rules. </w:t>
      </w:r>
    </w:p>
    <w:p w:rsidR="00043AD1" w:rsidRDefault="002554D9" w:rsidP="00C81292">
      <w:pPr>
        <w:pStyle w:val="Heading3"/>
      </w:pPr>
      <w:r>
        <w:t>Income</w:t>
      </w:r>
    </w:p>
    <w:p w:rsidR="00D66C58" w:rsidRPr="00D66C58" w:rsidRDefault="00D66C58" w:rsidP="00D66C58">
      <w:pPr>
        <w:pStyle w:val="BodyText"/>
      </w:pPr>
      <w:r>
        <w:t xml:space="preserve">Decision makers take disposable income </w:t>
      </w:r>
      <w:r w:rsidR="0004242B">
        <w:t xml:space="preserve">into account </w:t>
      </w:r>
      <w:r>
        <w:t>when</w:t>
      </w:r>
      <w:r w:rsidR="0004242B">
        <w:t xml:space="preserve"> they</w:t>
      </w:r>
      <w:r>
        <w:t xml:space="preserve"> evaluat</w:t>
      </w:r>
      <w:r w:rsidR="0004242B">
        <w:t>e</w:t>
      </w:r>
      <w:r>
        <w:t xml:space="preserve"> the relative </w:t>
      </w:r>
      <w:r w:rsidR="001362A5">
        <w:t xml:space="preserve">attractiveness </w:t>
      </w:r>
      <w:r w:rsidR="004B035D">
        <w:t>of</w:t>
      </w:r>
      <w:r>
        <w:t xml:space="preserve"> </w:t>
      </w:r>
      <w:r w:rsidR="000B1EB5">
        <w:t>labour supply alternatives</w:t>
      </w:r>
      <w:r>
        <w:t>.</w:t>
      </w:r>
      <w:r w:rsidR="0004242B">
        <w:t xml:space="preserve"> </w:t>
      </w:r>
      <w:r>
        <w:t>CAP</w:t>
      </w:r>
      <w:r w:rsidR="00AD7ECA">
        <w:t>I</w:t>
      </w:r>
      <w:r>
        <w:t>TA</w:t>
      </w:r>
      <w:r>
        <w:noBreakHyphen/>
        <w:t xml:space="preserve">B </w:t>
      </w:r>
      <w:r w:rsidR="0004242B">
        <w:t xml:space="preserve">therefore </w:t>
      </w:r>
      <w:r>
        <w:t>model</w:t>
      </w:r>
      <w:r w:rsidR="0047523E">
        <w:t>s</w:t>
      </w:r>
      <w:r>
        <w:t xml:space="preserve"> the disposable income </w:t>
      </w:r>
      <w:r w:rsidR="00992325">
        <w:t>that</w:t>
      </w:r>
      <w:r>
        <w:t xml:space="preserve"> each decision maker </w:t>
      </w:r>
      <w:r w:rsidR="00992325">
        <w:t>receives at their</w:t>
      </w:r>
      <w:r>
        <w:t xml:space="preserve"> possible labour supply </w:t>
      </w:r>
      <w:r w:rsidR="00BD7DE1">
        <w:t>alternatives</w:t>
      </w:r>
      <w:r>
        <w:t xml:space="preserve">. </w:t>
      </w:r>
      <w:r w:rsidR="00F77D3B">
        <w:t xml:space="preserve">Estimating disposable income </w:t>
      </w:r>
      <w:r w:rsidR="00BD7DE1">
        <w:t xml:space="preserve">relies on </w:t>
      </w:r>
      <w:r w:rsidR="004C6599">
        <w:t>estimating</w:t>
      </w:r>
      <w:r>
        <w:t xml:space="preserve"> wages</w:t>
      </w:r>
      <w:r w:rsidR="00441967">
        <w:t xml:space="preserve"> (see box 3)</w:t>
      </w:r>
      <w:r>
        <w:t xml:space="preserve"> and gross income </w:t>
      </w:r>
      <w:r w:rsidR="004C6599">
        <w:t>for</w:t>
      </w:r>
      <w:r>
        <w:t xml:space="preserve"> each decision maker</w:t>
      </w:r>
      <w:r w:rsidR="00F77D3B">
        <w:t xml:space="preserve"> at each labour supply alternative</w:t>
      </w:r>
      <w:r>
        <w:t xml:space="preserve">, and </w:t>
      </w:r>
      <w:r w:rsidR="00BD7DE1">
        <w:t>on</w:t>
      </w:r>
      <w:r w:rsidR="004B035D">
        <w:t xml:space="preserve"> </w:t>
      </w:r>
      <w:r>
        <w:t xml:space="preserve">the rules of the tax and transfer system. </w:t>
      </w:r>
    </w:p>
    <w:p w:rsidR="00441967" w:rsidRDefault="0044196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41967" w:rsidTr="006222E4">
        <w:tc>
          <w:tcPr>
            <w:tcW w:w="8771" w:type="dxa"/>
            <w:tcBorders>
              <w:top w:val="single" w:sz="6" w:space="0" w:color="78A22F"/>
              <w:left w:val="nil"/>
              <w:bottom w:val="nil"/>
              <w:right w:val="nil"/>
            </w:tcBorders>
            <w:shd w:val="clear" w:color="auto" w:fill="F2F2F2"/>
          </w:tcPr>
          <w:p w:rsidR="00441967" w:rsidRDefault="00441967" w:rsidP="00441967">
            <w:pPr>
              <w:pStyle w:val="BoxTitle"/>
            </w:pPr>
            <w:r>
              <w:rPr>
                <w:b w:val="0"/>
              </w:rPr>
              <w:t xml:space="preserve">Box </w:t>
            </w:r>
            <w:r w:rsidR="003F2E30">
              <w:rPr>
                <w:b w:val="0"/>
                <w:noProof/>
              </w:rPr>
              <w:t>3</w:t>
            </w:r>
            <w:r>
              <w:tab/>
              <w:t>Imputing wages</w:t>
            </w:r>
          </w:p>
        </w:tc>
      </w:tr>
      <w:tr w:rsidR="00441967" w:rsidTr="006222E4">
        <w:trPr>
          <w:cantSplit/>
        </w:trPr>
        <w:tc>
          <w:tcPr>
            <w:tcW w:w="8771" w:type="dxa"/>
            <w:tcBorders>
              <w:top w:val="nil"/>
              <w:left w:val="nil"/>
              <w:bottom w:val="nil"/>
              <w:right w:val="nil"/>
            </w:tcBorders>
            <w:shd w:val="clear" w:color="auto" w:fill="F2F2F2"/>
          </w:tcPr>
          <w:p w:rsidR="00441967" w:rsidRDefault="00441967" w:rsidP="00441967">
            <w:pPr>
              <w:pStyle w:val="Box"/>
            </w:pPr>
            <w:r>
              <w:t>Wages must be imputed because some decision makers have no observed income and/or labour supply</w:t>
            </w:r>
            <w:r w:rsidRPr="009A7EDA">
              <w:rPr>
                <w:rStyle w:val="FootnoteReference"/>
              </w:rPr>
              <w:footnoteReference w:id="7"/>
            </w:r>
            <w:r>
              <w:t>. CAPITA-B imputes wages using demographic data from the 2011</w:t>
            </w:r>
            <w:r>
              <w:noBreakHyphen/>
              <w:t>12 Survey of Income and Housing and parameters previously estimated in a Heckman two</w:t>
            </w:r>
            <w:r>
              <w:noBreakHyphen/>
              <w:t xml:space="preserve">stage procedure. </w:t>
            </w:r>
          </w:p>
          <w:p w:rsidR="00441967" w:rsidRDefault="00441967" w:rsidP="00441967">
            <w:pPr>
              <w:pStyle w:val="Box"/>
            </w:pPr>
            <w:r>
              <w:t>The Heckman two</w:t>
            </w:r>
            <w:r>
              <w:noBreakHyphen/>
              <w:t>stage approach is a common approach for estimating wages that is preferred over standard regression techniques because it overcomes issues of sample selection bias</w:t>
            </w:r>
            <w:r w:rsidR="000E499F">
              <w:t>.</w:t>
            </w:r>
            <w:r w:rsidRPr="009A7EDA">
              <w:rPr>
                <w:rStyle w:val="FootnoteReference"/>
              </w:rPr>
              <w:footnoteReference w:id="8"/>
            </w:r>
            <w:r>
              <w:t xml:space="preserve"> The Heckman two-stage estimation involves:</w:t>
            </w:r>
          </w:p>
          <w:p w:rsidR="00441967" w:rsidRDefault="00441967" w:rsidP="00441967">
            <w:pPr>
              <w:pStyle w:val="BoxListNumber"/>
              <w:numPr>
                <w:ilvl w:val="0"/>
                <w:numId w:val="36"/>
              </w:numPr>
            </w:pPr>
            <w:r>
              <w:t>estimating a participation equation relating whether or not an individual is employed to their observable characterises</w:t>
            </w:r>
          </w:p>
          <w:p w:rsidR="00441967" w:rsidRDefault="00441967" w:rsidP="00441967">
            <w:pPr>
              <w:pStyle w:val="BoxListNumber"/>
            </w:pPr>
            <w:r>
              <w:t>using imputed values from the participation equation to estimate a sample selection correction term — the inverse Mills Ratio — and using this term to directly account for bias in a second equation linking wages to observed characteristics.</w:t>
            </w:r>
          </w:p>
          <w:p w:rsidR="00C05937" w:rsidRDefault="00C05937" w:rsidP="007E759D">
            <w:pPr>
              <w:pStyle w:val="Box"/>
            </w:pPr>
            <w:r>
              <w:t>Estimated parameters from the two</w:t>
            </w:r>
            <w:r>
              <w:noBreakHyphen/>
              <w:t>stage wage regression can then be used to impute wages for each decision maker, and these wages can be used to calculate gross income at each labour supply choice.</w:t>
            </w:r>
          </w:p>
        </w:tc>
      </w:tr>
      <w:tr w:rsidR="00441967" w:rsidTr="006222E4">
        <w:trPr>
          <w:cantSplit/>
        </w:trPr>
        <w:tc>
          <w:tcPr>
            <w:tcW w:w="8771" w:type="dxa"/>
            <w:tcBorders>
              <w:top w:val="nil"/>
              <w:left w:val="nil"/>
              <w:bottom w:val="single" w:sz="6" w:space="0" w:color="78A22F"/>
              <w:right w:val="nil"/>
            </w:tcBorders>
            <w:shd w:val="clear" w:color="auto" w:fill="F2F2F2"/>
          </w:tcPr>
          <w:p w:rsidR="00441967" w:rsidRDefault="00441967">
            <w:pPr>
              <w:pStyle w:val="Box"/>
              <w:spacing w:before="0" w:line="120" w:lineRule="exact"/>
            </w:pPr>
          </w:p>
        </w:tc>
      </w:tr>
      <w:tr w:rsidR="00441967" w:rsidRPr="000863A5" w:rsidTr="006222E4">
        <w:tc>
          <w:tcPr>
            <w:tcW w:w="8771" w:type="dxa"/>
            <w:tcBorders>
              <w:top w:val="single" w:sz="6" w:space="0" w:color="78A22F"/>
              <w:left w:val="nil"/>
              <w:bottom w:val="nil"/>
              <w:right w:val="nil"/>
            </w:tcBorders>
          </w:tcPr>
          <w:p w:rsidR="00441967" w:rsidRPr="00626D32" w:rsidRDefault="00441967" w:rsidP="006222E4">
            <w:pPr>
              <w:pStyle w:val="BoxSpaceBelow"/>
            </w:pPr>
          </w:p>
        </w:tc>
      </w:tr>
    </w:tbl>
    <w:p w:rsidR="00DD13BD" w:rsidRDefault="00D14712" w:rsidP="00183237">
      <w:pPr>
        <w:pStyle w:val="BodyText"/>
      </w:pPr>
      <w:r>
        <w:lastRenderedPageBreak/>
        <w:t xml:space="preserve">CAPITA-B </w:t>
      </w:r>
      <w:r w:rsidR="00304E3E">
        <w:t>uses the</w:t>
      </w:r>
      <w:r w:rsidR="00C702C3">
        <w:t xml:space="preserve"> </w:t>
      </w:r>
      <w:r w:rsidR="00304E3E">
        <w:t>CAPITA mod</w:t>
      </w:r>
      <w:r w:rsidR="00C702C3">
        <w:t>el</w:t>
      </w:r>
      <w:r w:rsidR="00304E3E">
        <w:t xml:space="preserve"> to estimate</w:t>
      </w:r>
      <w:r>
        <w:t xml:space="preserve"> taxes paid and transfers received </w:t>
      </w:r>
      <w:r w:rsidR="003D1896">
        <w:t>for each decision maker</w:t>
      </w:r>
      <w:r w:rsidR="00544CF5">
        <w:t>,</w:t>
      </w:r>
      <w:r w:rsidR="003D1896">
        <w:t xml:space="preserve"> given their</w:t>
      </w:r>
      <w:r w:rsidR="00C81292">
        <w:t>:</w:t>
      </w:r>
      <w:r w:rsidR="003D1896">
        <w:t xml:space="preserve"> demographic characteristics</w:t>
      </w:r>
      <w:r w:rsidR="00304E3E">
        <w:t xml:space="preserve"> </w:t>
      </w:r>
      <w:r w:rsidR="00544CF5">
        <w:t>from the 2011</w:t>
      </w:r>
      <w:r w:rsidR="00544CF5">
        <w:noBreakHyphen/>
        <w:t>12 Survey of Income and Housing,</w:t>
      </w:r>
      <w:r w:rsidR="003D1896">
        <w:t xml:space="preserve"> and</w:t>
      </w:r>
      <w:r>
        <w:t xml:space="preserve"> gross income</w:t>
      </w:r>
      <w:r w:rsidR="00304E3E">
        <w:t xml:space="preserve"> </w:t>
      </w:r>
      <w:r w:rsidR="00544CF5">
        <w:t>at each labour supply alternative</w:t>
      </w:r>
      <w:r w:rsidR="00624D11">
        <w:t xml:space="preserve"> calculated from imputed wages</w:t>
      </w:r>
      <w:r w:rsidR="00C81292">
        <w:t xml:space="preserve">. </w:t>
      </w:r>
      <w:r w:rsidR="00624D11">
        <w:t>CAPITA</w:t>
      </w:r>
      <w:r w:rsidR="00624D11">
        <w:noBreakHyphen/>
        <w:t xml:space="preserve">B </w:t>
      </w:r>
      <w:r w:rsidR="002E55F3">
        <w:t>then uses</w:t>
      </w:r>
      <w:r w:rsidR="000E499F">
        <w:t xml:space="preserve"> resulting</w:t>
      </w:r>
      <w:r w:rsidR="00490F3C">
        <w:t xml:space="preserve"> </w:t>
      </w:r>
      <w:r w:rsidR="003C3933">
        <w:t xml:space="preserve">estimates of a decision maker’s disposable income </w:t>
      </w:r>
      <w:r w:rsidR="00C702C3">
        <w:t>as a key input for</w:t>
      </w:r>
      <w:r w:rsidR="0062111B">
        <w:t xml:space="preserve"> the</w:t>
      </w:r>
      <w:r w:rsidR="00490F3C">
        <w:t xml:space="preserve"> evaluat</w:t>
      </w:r>
      <w:r w:rsidR="0062111B">
        <w:t>ion</w:t>
      </w:r>
      <w:r w:rsidR="003C3933">
        <w:t xml:space="preserve"> </w:t>
      </w:r>
      <w:r w:rsidR="0062111B">
        <w:t>of</w:t>
      </w:r>
      <w:r w:rsidR="00900D9B">
        <w:t xml:space="preserve"> their</w:t>
      </w:r>
      <w:r w:rsidR="0062111B">
        <w:t xml:space="preserve"> labour supply alternatives</w:t>
      </w:r>
      <w:r w:rsidR="003C3933">
        <w:t xml:space="preserve">. </w:t>
      </w:r>
    </w:p>
    <w:p w:rsidR="0088398D" w:rsidRDefault="006178EE" w:rsidP="00EB199A">
      <w:pPr>
        <w:pStyle w:val="Heading3"/>
      </w:pPr>
      <w:r>
        <w:t>U</w:t>
      </w:r>
      <w:r w:rsidR="00EB199A">
        <w:t>tility</w:t>
      </w:r>
    </w:p>
    <w:p w:rsidR="00EB199A" w:rsidRDefault="005C39E7" w:rsidP="00EB199A">
      <w:pPr>
        <w:pStyle w:val="BodyText"/>
      </w:pPr>
      <w:r>
        <w:t xml:space="preserve">CAPITA-B </w:t>
      </w:r>
      <w:r w:rsidR="000029CE">
        <w:t>adopts</w:t>
      </w:r>
      <w:r w:rsidR="00DC757B">
        <w:t xml:space="preserve"> a</w:t>
      </w:r>
      <w:r>
        <w:t xml:space="preserve"> quadratic </w:t>
      </w:r>
      <w:r w:rsidR="006178EE">
        <w:t xml:space="preserve">utility function </w:t>
      </w:r>
      <w:r w:rsidR="005A1F1C">
        <w:t>with</w:t>
      </w:r>
      <w:r>
        <w:t xml:space="preserve"> hours worked and </w:t>
      </w:r>
      <w:r w:rsidR="004D141F">
        <w:t xml:space="preserve">disposable </w:t>
      </w:r>
      <w:r>
        <w:t>income</w:t>
      </w:r>
      <w:r w:rsidR="005A1F1C">
        <w:t xml:space="preserve"> as the main arguments</w:t>
      </w:r>
      <w:r>
        <w:t xml:space="preserve">. </w:t>
      </w:r>
      <w:r w:rsidR="006178EE">
        <w:t>Despite having a common function</w:t>
      </w:r>
      <w:r w:rsidR="000029CE">
        <w:t>al</w:t>
      </w:r>
      <w:r w:rsidR="006178EE">
        <w:t xml:space="preserve"> form, the utility function captures some variation in preferences </w:t>
      </w:r>
      <w:r w:rsidR="005A1F1C">
        <w:t xml:space="preserve">across </w:t>
      </w:r>
      <w:r w:rsidR="00AA3AE1">
        <w:t xml:space="preserve">decision makers </w:t>
      </w:r>
      <w:r w:rsidR="006178EE">
        <w:t>by allowing the value</w:t>
      </w:r>
      <w:r>
        <w:t xml:space="preserve"> </w:t>
      </w:r>
      <w:r w:rsidR="008F2EC6">
        <w:t xml:space="preserve">each </w:t>
      </w:r>
      <w:r w:rsidR="006178EE">
        <w:t>places on</w:t>
      </w:r>
      <w:r>
        <w:t xml:space="preserve"> hours worked and </w:t>
      </w:r>
      <w:r w:rsidR="004D141F">
        <w:t xml:space="preserve">disposable </w:t>
      </w:r>
      <w:r>
        <w:t>income to vary in relation to</w:t>
      </w:r>
      <w:r w:rsidR="001B16D3">
        <w:t xml:space="preserve"> their observed characteristics</w:t>
      </w:r>
      <w:r w:rsidR="005A1F1C">
        <w:t xml:space="preserve"> (</w:t>
      </w:r>
      <w:r w:rsidR="00D704E8">
        <w:t>using</w:t>
      </w:r>
      <w:r w:rsidR="005A1F1C">
        <w:t xml:space="preserve"> d</w:t>
      </w:r>
      <w:r w:rsidR="00D704E8">
        <w:t>emographic</w:t>
      </w:r>
      <w:r w:rsidR="005A1F1C">
        <w:t xml:space="preserve"> variables)</w:t>
      </w:r>
      <w:r w:rsidR="001B16D3">
        <w:t xml:space="preserve">. </w:t>
      </w:r>
      <w:r w:rsidR="0033739E">
        <w:t>Each decision maker’s</w:t>
      </w:r>
      <w:r w:rsidR="00D740A9">
        <w:t xml:space="preserve"> utility </w:t>
      </w:r>
      <w:r w:rsidR="006178EE">
        <w:t xml:space="preserve">function </w:t>
      </w:r>
      <w:r w:rsidR="00D740A9">
        <w:t xml:space="preserve">has </w:t>
      </w:r>
      <w:r w:rsidR="001B16D3">
        <w:t>the form:</w:t>
      </w:r>
    </w:p>
    <w:p w:rsidR="001B16D3" w:rsidRPr="00DC757B" w:rsidRDefault="00786D89" w:rsidP="00EB199A">
      <w:pPr>
        <w:pStyle w:val="BodyText"/>
      </w:pPr>
      <m:oMathPara>
        <m:oMath>
          <m:sSubSup>
            <m:sSubSupPr>
              <m:ctrlPr>
                <w:rPr>
                  <w:rFonts w:ascii="Cambria Math" w:hAnsi="Cambria Math"/>
                  <w:i/>
                </w:rPr>
              </m:ctrlPr>
            </m:sSubSupPr>
            <m:e>
              <m:r>
                <w:rPr>
                  <w:rFonts w:ascii="Cambria Math" w:hAnsi="Cambria Math"/>
                </w:rPr>
                <m:t>U</m:t>
              </m:r>
            </m:e>
            <m:sub>
              <m:r>
                <w:rPr>
                  <w:rFonts w:ascii="Cambria Math" w:hAnsi="Cambria Math"/>
                </w:rPr>
                <m:t>h</m:t>
              </m:r>
            </m:sub>
            <m:sup>
              <m:r>
                <w:rPr>
                  <w:rFonts w:ascii="Cambria Math" w:hAnsi="Cambria Math"/>
                </w:rPr>
                <m:t>i</m:t>
              </m:r>
            </m:sup>
          </m:sSubSup>
          <m:r>
            <w:rPr>
              <w:rFonts w:ascii="Cambria Math" w:hAnsi="Cambria Math"/>
            </w:rPr>
            <m:t xml:space="preserve">= </m:t>
          </m:r>
          <m:sSub>
            <m:sSubPr>
              <m:ctrlPr>
                <w:rPr>
                  <w:rFonts w:ascii="Cambria Math" w:hAnsi="Cambria Math"/>
                  <w:i/>
                </w:rPr>
              </m:ctrlPr>
            </m:sSubPr>
            <m:e>
              <m:r>
                <w:rPr>
                  <w:rFonts w:ascii="Cambria Math" w:hAnsi="Cambria Math"/>
                </w:rPr>
                <m:t>∝</m:t>
              </m:r>
            </m:e>
            <m:sub>
              <m:r>
                <w:rPr>
                  <w:rFonts w:ascii="Cambria Math" w:hAnsi="Cambria Math"/>
                </w:rPr>
                <m:t>y</m:t>
              </m:r>
            </m:sub>
          </m:sSub>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h</m:t>
                  </m:r>
                </m:sub>
                <m:sup>
                  <m:r>
                    <w:rPr>
                      <w:rFonts w:ascii="Cambria Math" w:hAnsi="Cambria Math"/>
                    </w:rPr>
                    <m:t>i</m:t>
                  </m:r>
                </m:sup>
              </m:sSubSup>
              <m:r>
                <w:rPr>
                  <w:rFonts w:ascii="Cambria Math" w:hAnsi="Cambria Math"/>
                </w:rPr>
                <m:t>-</m:t>
              </m:r>
              <m:sSup>
                <m:sSupPr>
                  <m:ctrlPr>
                    <w:rPr>
                      <w:rFonts w:ascii="Cambria Math" w:hAnsi="Cambria Math"/>
                      <w:i/>
                    </w:rPr>
                  </m:ctrlPr>
                </m:sSupPr>
                <m:e>
                  <m:r>
                    <w:rPr>
                      <w:rFonts w:ascii="Cambria Math" w:hAnsi="Cambria Math"/>
                    </w:rPr>
                    <m:t>δ</m:t>
                  </m:r>
                </m:e>
                <m:sup>
                  <m:r>
                    <w:rPr>
                      <w:rFonts w:ascii="Cambria Math" w:hAnsi="Cambria Math"/>
                    </w:rPr>
                    <m:t>i</m:t>
                  </m:r>
                </m:sup>
              </m:sSup>
              <m:r>
                <m:rPr>
                  <m:sty m:val="p"/>
                </m:rPr>
                <w:rPr>
                  <w:rFonts w:ascii="Cambria Math" w:hAnsi="Cambria Math"/>
                </w:rPr>
                <m:t xml:space="preserve"> </m:t>
              </m:r>
              <m:r>
                <w:rPr>
                  <w:rFonts w:ascii="Cambria Math" w:hAnsi="Cambria Math"/>
                </w:rPr>
                <m:t>)</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m:t>
              </m:r>
            </m:e>
            <m:sub>
              <m:r>
                <w:rPr>
                  <w:rFonts w:ascii="Cambria Math" w:hAnsi="Cambria Math"/>
                </w:rPr>
                <m:t>h</m:t>
              </m:r>
            </m:sub>
          </m:sSub>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i</m:t>
                  </m:r>
                </m:sup>
              </m:sSup>
              <m:r>
                <w:rPr>
                  <w:rFonts w:ascii="Cambria Math" w:hAnsi="Cambria Math"/>
                </w:rPr>
                <m:t>)</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y,h</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h</m:t>
              </m:r>
            </m:sub>
            <m:sup>
              <m:r>
                <w:rPr>
                  <w:rFonts w:ascii="Cambria Math" w:hAnsi="Cambria Math"/>
                </w:rPr>
                <m:t>i</m:t>
              </m:r>
            </m:sup>
          </m:sSubSup>
          <m:r>
            <w:rPr>
              <w:rFonts w:ascii="Cambria Math" w:hAnsi="Cambria Math"/>
            </w:rPr>
            <m:t>-</m:t>
          </m:r>
          <m:sSup>
            <m:sSupPr>
              <m:ctrlPr>
                <w:rPr>
                  <w:rFonts w:ascii="Cambria Math" w:hAnsi="Cambria Math"/>
                  <w:i/>
                </w:rPr>
              </m:ctrlPr>
            </m:sSupPr>
            <m:e>
              <m:r>
                <w:rPr>
                  <w:rFonts w:ascii="Cambria Math" w:hAnsi="Cambria Math"/>
                </w:rPr>
                <m:t>δ</m:t>
              </m:r>
            </m:e>
            <m:sup>
              <m:r>
                <w:rPr>
                  <w:rFonts w:ascii="Cambria Math" w:hAnsi="Cambria Math"/>
                </w:rPr>
                <m:t>i</m:t>
              </m:r>
            </m:sup>
          </m:sSup>
          <m:r>
            <m:rPr>
              <m:sty m:val="p"/>
            </m:rPr>
            <w:rPr>
              <w:rFonts w:ascii="Cambria Math" w:hAnsi="Cambria Math"/>
            </w:rPr>
            <m:t xml:space="preserve"> </m:t>
          </m:r>
          <m:r>
            <m:rPr>
              <m:sty m:val="p"/>
            </m:rPr>
            <w:rPr>
              <w:rFonts w:ascii="Cambria Math"/>
            </w:rPr>
            <m:t>)</m:t>
          </m:r>
          <m:sSup>
            <m:sSupPr>
              <m:ctrlPr>
                <w:rPr>
                  <w:rFonts w:ascii="Cambria Math" w:hAnsi="Cambria Math"/>
                  <w:i/>
                </w:rPr>
              </m:ctrlPr>
            </m:sSupPr>
            <m:e>
              <m:r>
                <w:rPr>
                  <w:rFonts w:ascii="Cambria Math" w:hAnsi="Cambria Math"/>
                </w:rPr>
                <m:t>h</m:t>
              </m:r>
            </m:e>
            <m:sup>
              <m:r>
                <w:rPr>
                  <w:rFonts w:ascii="Cambria Math" w:hAnsi="Cambria Math"/>
                </w:rPr>
                <m:t>i</m:t>
              </m:r>
            </m:sup>
          </m:sSup>
          <m:r>
            <w:rPr>
              <w:rFonts w:ascii="Cambria Math" w:hAnsi="Cambria Math"/>
            </w:rPr>
            <m:t xml:space="preserve">)+ </m:t>
          </m:r>
          <m:sSubSup>
            <m:sSubSupPr>
              <m:ctrlPr>
                <w:rPr>
                  <w:rFonts w:ascii="Cambria Math" w:hAnsi="Cambria Math"/>
                  <w:i/>
                </w:rPr>
              </m:ctrlPr>
            </m:sSubSupPr>
            <m:e>
              <m:r>
                <w:rPr>
                  <w:rFonts w:ascii="Cambria Math" w:hAnsi="Cambria Math"/>
                </w:rPr>
                <m:t>β</m:t>
              </m:r>
            </m:e>
            <m:sub>
              <m:r>
                <w:rPr>
                  <w:rFonts w:ascii="Cambria Math" w:hAnsi="Cambria Math"/>
                </w:rPr>
                <m:t>y</m:t>
              </m:r>
            </m:sub>
            <m:sup>
              <m:r>
                <w:rPr>
                  <w:rFonts w:ascii="Cambria Math" w:hAnsi="Cambria Math"/>
                </w:rPr>
                <m:t>i</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h</m:t>
                  </m:r>
                </m:sub>
                <m:sup>
                  <m:r>
                    <w:rPr>
                      <w:rFonts w:ascii="Cambria Math" w:hAnsi="Cambria Math"/>
                    </w:rPr>
                    <m:t>i</m:t>
                  </m:r>
                </m:sup>
              </m:sSubSup>
              <m:r>
                <w:rPr>
                  <w:rFonts w:ascii="Cambria Math" w:hAnsi="Cambria Math"/>
                </w:rPr>
                <m:t xml:space="preserve">- </m:t>
              </m:r>
              <m:sSup>
                <m:sSupPr>
                  <m:ctrlPr>
                    <w:rPr>
                      <w:rFonts w:ascii="Cambria Math" w:hAnsi="Cambria Math"/>
                      <w:i/>
                    </w:rPr>
                  </m:ctrlPr>
                </m:sSupPr>
                <m:e>
                  <m:r>
                    <w:rPr>
                      <w:rFonts w:ascii="Cambria Math" w:hAnsi="Cambria Math"/>
                    </w:rPr>
                    <m:t>δ</m:t>
                  </m:r>
                </m:e>
                <m:sup>
                  <m:r>
                    <w:rPr>
                      <w:rFonts w:ascii="Cambria Math" w:hAnsi="Cambria Math"/>
                    </w:rPr>
                    <m:t>i</m:t>
                  </m:r>
                </m:sup>
              </m:sSup>
              <m:r>
                <m:rPr>
                  <m:sty m:val="p"/>
                </m:rPr>
                <w:rPr>
                  <w:rFonts w:ascii="Cambria Math" w:hAnsi="Cambria Math"/>
                </w:rPr>
                <m:t xml:space="preserve"> </m:t>
              </m:r>
            </m:e>
          </m:d>
          <m:r>
            <w:rPr>
              <w:rFonts w:ascii="Cambria Math" w:hAnsi="Cambria Math"/>
            </w:rPr>
            <m:t xml:space="preserve">+ </m:t>
          </m:r>
          <m:sSubSup>
            <m:sSubSupPr>
              <m:ctrlPr>
                <w:rPr>
                  <w:rFonts w:ascii="Cambria Math" w:hAnsi="Cambria Math"/>
                  <w:i/>
                </w:rPr>
              </m:ctrlPr>
            </m:sSubSupPr>
            <m:e>
              <m:r>
                <w:rPr>
                  <w:rFonts w:ascii="Cambria Math" w:hAnsi="Cambria Math"/>
                </w:rPr>
                <m:t>β</m:t>
              </m:r>
            </m:e>
            <m:sub>
              <m:r>
                <w:rPr>
                  <w:rFonts w:ascii="Cambria Math" w:hAnsi="Cambria Math"/>
                </w:rPr>
                <m:t>h</m:t>
              </m:r>
            </m:sub>
            <m:sup>
              <m:r>
                <w:rPr>
                  <w:rFonts w:ascii="Cambria Math" w:hAnsi="Cambria Math"/>
                </w:rPr>
                <m:t>i</m:t>
              </m:r>
            </m:sup>
          </m:sSubSup>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ε</m:t>
              </m:r>
            </m:e>
            <m:sub>
              <m:r>
                <w:rPr>
                  <w:rFonts w:ascii="Cambria Math" w:hAnsi="Cambria Math"/>
                </w:rPr>
                <m:t>h</m:t>
              </m:r>
            </m:sub>
            <m:sup>
              <m:r>
                <w:rPr>
                  <w:rFonts w:ascii="Cambria Math" w:hAnsi="Cambria Math"/>
                </w:rPr>
                <m:t>i</m:t>
              </m:r>
            </m:sup>
          </m:sSubSup>
        </m:oMath>
      </m:oMathPara>
    </w:p>
    <w:p w:rsidR="0032607A" w:rsidRDefault="00A00576" w:rsidP="00EB199A">
      <w:pPr>
        <w:pStyle w:val="BodyText"/>
      </w:pPr>
      <w:r>
        <w:t xml:space="preserve">Where </w:t>
      </w:r>
      <m:oMath>
        <m:sSubSup>
          <m:sSubSupPr>
            <m:ctrlPr>
              <w:rPr>
                <w:rFonts w:ascii="Cambria Math" w:hAnsi="Cambria Math"/>
                <w:i/>
              </w:rPr>
            </m:ctrlPr>
          </m:sSubSupPr>
          <m:e>
            <m:r>
              <w:rPr>
                <w:rFonts w:ascii="Cambria Math" w:hAnsi="Cambria Math"/>
              </w:rPr>
              <m:t>U</m:t>
            </m:r>
          </m:e>
          <m:sub>
            <m:r>
              <w:rPr>
                <w:rFonts w:ascii="Cambria Math" w:hAnsi="Cambria Math"/>
              </w:rPr>
              <m:t>h</m:t>
            </m:r>
          </m:sub>
          <m:sup>
            <m:r>
              <w:rPr>
                <w:rFonts w:ascii="Cambria Math" w:hAnsi="Cambria Math"/>
              </w:rPr>
              <m:t>i</m:t>
            </m:r>
          </m:sup>
        </m:sSubSup>
      </m:oMath>
      <w:r>
        <w:t xml:space="preserve"> represents total utility</w:t>
      </w:r>
      <w:r w:rsidR="008A1345">
        <w:t xml:space="preserve"> of decision maker </w:t>
      </w:r>
      <m:oMath>
        <m:r>
          <w:rPr>
            <w:rFonts w:ascii="Cambria Math" w:hAnsi="Cambria Math"/>
          </w:rPr>
          <m:t>i</m:t>
        </m:r>
      </m:oMath>
      <w:r w:rsidR="000E499F">
        <w:t xml:space="preserve"> at labour supply alternative </w:t>
      </w:r>
      <m:oMath>
        <m:r>
          <w:rPr>
            <w:rFonts w:ascii="Cambria Math" w:hAnsi="Cambria Math"/>
          </w:rPr>
          <m:t>h</m:t>
        </m:r>
      </m:oMath>
      <w:r>
        <w:t xml:space="preserve">, </w:t>
      </w:r>
      <m:oMath>
        <m:sSubSup>
          <m:sSubSupPr>
            <m:ctrlPr>
              <w:rPr>
                <w:rFonts w:ascii="Cambria Math" w:hAnsi="Cambria Math"/>
                <w:i/>
              </w:rPr>
            </m:ctrlPr>
          </m:sSubSupPr>
          <m:e>
            <m:r>
              <w:rPr>
                <w:rFonts w:ascii="Cambria Math" w:hAnsi="Cambria Math"/>
              </w:rPr>
              <m:t>y</m:t>
            </m:r>
          </m:e>
          <m:sub>
            <m:r>
              <w:rPr>
                <w:rFonts w:ascii="Cambria Math" w:hAnsi="Cambria Math"/>
              </w:rPr>
              <m:t>h</m:t>
            </m:r>
          </m:sub>
          <m:sup>
            <m:r>
              <w:rPr>
                <w:rFonts w:ascii="Cambria Math" w:hAnsi="Cambria Math"/>
              </w:rPr>
              <m:t>i</m:t>
            </m:r>
          </m:sup>
        </m:sSubSup>
      </m:oMath>
      <w:r>
        <w:t xml:space="preserve"> represents</w:t>
      </w:r>
      <w:r w:rsidR="00390BBB">
        <w:t xml:space="preserve"> disposable</w:t>
      </w:r>
      <w:r>
        <w:t xml:space="preserve"> income</w:t>
      </w:r>
      <w:r w:rsidR="000E499F">
        <w:t xml:space="preserve"> of </w:t>
      </w:r>
      <m:oMath>
        <m:r>
          <w:rPr>
            <w:rFonts w:ascii="Cambria Math" w:hAnsi="Cambria Math"/>
          </w:rPr>
          <m:t>i</m:t>
        </m:r>
      </m:oMath>
      <w:r w:rsidR="00B23E31">
        <w:t xml:space="preserve"> at labour supply alternative </w:t>
      </w:r>
      <m:oMath>
        <m:r>
          <w:rPr>
            <w:rFonts w:ascii="Cambria Math" w:hAnsi="Cambria Math"/>
          </w:rPr>
          <m:t>h</m:t>
        </m:r>
      </m:oMath>
      <w:r>
        <w:t xml:space="preserve">, </w:t>
      </w:r>
      <m:oMath>
        <m:sSup>
          <m:sSupPr>
            <m:ctrlPr>
              <w:rPr>
                <w:rFonts w:ascii="Cambria Math" w:hAnsi="Cambria Math"/>
                <w:i/>
              </w:rPr>
            </m:ctrlPr>
          </m:sSupPr>
          <m:e>
            <m:r>
              <w:rPr>
                <w:rFonts w:ascii="Cambria Math" w:hAnsi="Cambria Math"/>
              </w:rPr>
              <m:t>δ</m:t>
            </m:r>
          </m:e>
          <m:sup>
            <m:r>
              <w:rPr>
                <w:rFonts w:ascii="Cambria Math" w:hAnsi="Cambria Math"/>
              </w:rPr>
              <m:t>i</m:t>
            </m:r>
          </m:sup>
        </m:sSup>
      </m:oMath>
      <w:r>
        <w:t xml:space="preserve"> is a fixed cost of working </w:t>
      </w:r>
      <w:r w:rsidR="007200A1">
        <w:t xml:space="preserve">that varies </w:t>
      </w:r>
      <w:r w:rsidR="005A1F1C">
        <w:t xml:space="preserve">across </w:t>
      </w:r>
      <w:r w:rsidR="006178EE">
        <w:t>decision makers</w:t>
      </w:r>
      <w:r w:rsidR="007200A1">
        <w:t xml:space="preserve"> based on</w:t>
      </w:r>
      <w:r w:rsidR="006178EE">
        <w:t xml:space="preserve"> their</w:t>
      </w:r>
      <w:r w:rsidR="007200A1">
        <w:t xml:space="preserve"> </w:t>
      </w:r>
      <w:r w:rsidR="00CB7882">
        <w:t>sex</w:t>
      </w:r>
      <w:r w:rsidR="00585987">
        <w:t xml:space="preserve">, </w:t>
      </w:r>
      <m:oMath>
        <m:sSup>
          <m:sSupPr>
            <m:ctrlPr>
              <w:rPr>
                <w:rFonts w:ascii="Cambria Math" w:hAnsi="Cambria Math"/>
                <w:i/>
              </w:rPr>
            </m:ctrlPr>
          </m:sSupPr>
          <m:e>
            <m:r>
              <w:rPr>
                <w:rFonts w:ascii="Cambria Math" w:hAnsi="Cambria Math"/>
              </w:rPr>
              <m:t>h</m:t>
            </m:r>
          </m:e>
          <m:sup>
            <m:r>
              <w:rPr>
                <w:rFonts w:ascii="Cambria Math" w:hAnsi="Cambria Math"/>
              </w:rPr>
              <m:t>i</m:t>
            </m:r>
          </m:sup>
        </m:sSup>
        <m:r>
          <w:rPr>
            <w:rFonts w:ascii="Cambria Math" w:hAnsi="Cambria Math"/>
          </w:rPr>
          <m:t xml:space="preserve"> </m:t>
        </m:r>
      </m:oMath>
      <w:r w:rsidR="00585987">
        <w:t>represents</w:t>
      </w:r>
      <w:r>
        <w:t xml:space="preserve"> hours worked/labour supply, </w:t>
      </w:r>
      <w:r w:rsidR="00F54F8F">
        <w:t xml:space="preserve">and </w:t>
      </w:r>
      <m:oMath>
        <m:sSubSup>
          <m:sSubSupPr>
            <m:ctrlPr>
              <w:rPr>
                <w:rFonts w:ascii="Cambria Math" w:hAnsi="Cambria Math"/>
                <w:i/>
              </w:rPr>
            </m:ctrlPr>
          </m:sSubSupPr>
          <m:e>
            <m:r>
              <w:rPr>
                <w:rFonts w:ascii="Cambria Math" w:hAnsi="Cambria Math"/>
              </w:rPr>
              <m:t>ε</m:t>
            </m:r>
          </m:e>
          <m:sub>
            <m:r>
              <w:rPr>
                <w:rFonts w:ascii="Cambria Math" w:hAnsi="Cambria Math"/>
              </w:rPr>
              <m:t>h</m:t>
            </m:r>
          </m:sub>
          <m:sup>
            <m:r>
              <w:rPr>
                <w:rFonts w:ascii="Cambria Math" w:hAnsi="Cambria Math"/>
              </w:rPr>
              <m:t>i</m:t>
            </m:r>
          </m:sup>
        </m:sSubSup>
      </m:oMath>
      <w:r w:rsidR="00F54F8F">
        <w:t xml:space="preserve"> is a random utility</w:t>
      </w:r>
      <w:r w:rsidR="0028707B">
        <w:t xml:space="preserve"> term</w:t>
      </w:r>
      <w:r w:rsidR="00F54F8F">
        <w:t xml:space="preserve"> </w:t>
      </w:r>
      <w:r w:rsidR="00822B8A">
        <w:t>drawn</w:t>
      </w:r>
      <w:r w:rsidR="00F54F8F">
        <w:t xml:space="preserve"> from the</w:t>
      </w:r>
      <w:r w:rsidR="00822B8A">
        <w:t xml:space="preserve"> </w:t>
      </w:r>
      <w:r w:rsidR="00DB7A8F">
        <w:t xml:space="preserve">Extreme Value (type one) </w:t>
      </w:r>
      <w:r w:rsidR="00F54F8F">
        <w:t>distribution</w:t>
      </w:r>
      <w:r w:rsidR="00B23E31">
        <w:t xml:space="preserve"> that takes different values for each</w:t>
      </w:r>
      <w:r w:rsidR="00A20A13">
        <w:t xml:space="preserve"> </w:t>
      </w:r>
      <w:r w:rsidR="00B23E31">
        <w:t>labour supply alternative</w:t>
      </w:r>
      <w:r w:rsidR="009B4038">
        <w:t xml:space="preserve"> evaluated</w:t>
      </w:r>
      <w:r w:rsidR="00F54F8F">
        <w:t>.</w:t>
      </w:r>
      <w:r w:rsidR="006222E4">
        <w:t xml:space="preserve"> Total utility is therefore composed of deterministic and stochastic components. Parameters</w:t>
      </w:r>
      <w:r w:rsidR="009F2E74">
        <w:t xml:space="preserve"> </w:t>
      </w:r>
      <m:oMath>
        <m:sSub>
          <m:sSubPr>
            <m:ctrlPr>
              <w:rPr>
                <w:rFonts w:ascii="Cambria Math" w:hAnsi="Cambria Math"/>
                <w:i/>
              </w:rPr>
            </m:ctrlPr>
          </m:sSubPr>
          <m:e>
            <m:r>
              <w:rPr>
                <w:rFonts w:ascii="Cambria Math" w:hAnsi="Cambria Math"/>
              </w:rPr>
              <m:t>∝</m:t>
            </m:r>
          </m:e>
          <m:sub>
            <m:r>
              <w:rPr>
                <w:rFonts w:ascii="Cambria Math" w:hAnsi="Cambria Math"/>
              </w:rPr>
              <m:t>y</m:t>
            </m:r>
          </m:sub>
        </m:sSub>
      </m:oMath>
      <w:r w:rsidR="009F2E74">
        <w:t>,</w:t>
      </w:r>
      <m:oMath>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y,h</m:t>
            </m:r>
          </m:sub>
        </m:sSub>
      </m:oMath>
      <w:r w:rsidR="00C26FAE">
        <w:t xml:space="preserve"> and</w:t>
      </w:r>
      <w:r w:rsidR="009F2E74">
        <w:t xml:space="preserve"> </w:t>
      </w:r>
      <m:oMath>
        <m:sSub>
          <m:sSubPr>
            <m:ctrlPr>
              <w:rPr>
                <w:rFonts w:ascii="Cambria Math" w:hAnsi="Cambria Math"/>
                <w:i/>
              </w:rPr>
            </m:ctrlPr>
          </m:sSubPr>
          <m:e>
            <m:r>
              <w:rPr>
                <w:rFonts w:ascii="Cambria Math" w:hAnsi="Cambria Math"/>
              </w:rPr>
              <m:t>∝</m:t>
            </m:r>
          </m:e>
          <m:sub>
            <m:r>
              <w:rPr>
                <w:rFonts w:ascii="Cambria Math" w:hAnsi="Cambria Math"/>
              </w:rPr>
              <m:t>h</m:t>
            </m:r>
          </m:sub>
        </m:sSub>
      </m:oMath>
      <w:r w:rsidR="009F2E74">
        <w:t xml:space="preserve"> are </w:t>
      </w:r>
      <w:r w:rsidR="002C2BF2">
        <w:t xml:space="preserve">common to all </w:t>
      </w:r>
      <w:r w:rsidR="006222E4">
        <w:t>income units, whereas</w:t>
      </w:r>
      <w:r w:rsidR="00E100BD">
        <w:t xml:space="preserve"> </w:t>
      </w:r>
      <m:oMath>
        <m:sSubSup>
          <m:sSubSupPr>
            <m:ctrlPr>
              <w:rPr>
                <w:rFonts w:ascii="Cambria Math" w:hAnsi="Cambria Math"/>
                <w:i/>
              </w:rPr>
            </m:ctrlPr>
          </m:sSubSupPr>
          <m:e>
            <m:r>
              <w:rPr>
                <w:rFonts w:ascii="Cambria Math" w:hAnsi="Cambria Math"/>
              </w:rPr>
              <m:t>β</m:t>
            </m:r>
          </m:e>
          <m:sub>
            <m:r>
              <w:rPr>
                <w:rFonts w:ascii="Cambria Math" w:hAnsi="Cambria Math"/>
              </w:rPr>
              <m:t>y</m:t>
            </m:r>
          </m:sub>
          <m:sup>
            <m:r>
              <w:rPr>
                <w:rFonts w:ascii="Cambria Math" w:hAnsi="Cambria Math"/>
              </w:rPr>
              <m:t>i</m:t>
            </m:r>
          </m:sup>
        </m:sSubSup>
        <m:r>
          <w:rPr>
            <w:rFonts w:ascii="Cambria Math" w:hAnsi="Cambria Math"/>
          </w:rPr>
          <m:t xml:space="preserve"> </m:t>
        </m:r>
      </m:oMath>
      <w:r w:rsidR="004D7DAB">
        <w:t xml:space="preserve">and </w:t>
      </w:r>
      <m:oMath>
        <m:sSubSup>
          <m:sSubSupPr>
            <m:ctrlPr>
              <w:rPr>
                <w:rFonts w:ascii="Cambria Math" w:hAnsi="Cambria Math"/>
                <w:i/>
              </w:rPr>
            </m:ctrlPr>
          </m:sSubSupPr>
          <m:e>
            <m:r>
              <w:rPr>
                <w:rFonts w:ascii="Cambria Math" w:hAnsi="Cambria Math"/>
              </w:rPr>
              <m:t>β</m:t>
            </m:r>
          </m:e>
          <m:sub>
            <m:r>
              <w:rPr>
                <w:rFonts w:ascii="Cambria Math" w:hAnsi="Cambria Math"/>
              </w:rPr>
              <m:t>h</m:t>
            </m:r>
          </m:sub>
          <m:sup>
            <m:r>
              <w:rPr>
                <w:rFonts w:ascii="Cambria Math" w:hAnsi="Cambria Math"/>
              </w:rPr>
              <m:t>i</m:t>
            </m:r>
          </m:sup>
        </m:sSubSup>
      </m:oMath>
      <w:r w:rsidR="004D7DAB">
        <w:t xml:space="preserve"> </w:t>
      </w:r>
      <w:r w:rsidR="0033739E">
        <w:t>vary</w:t>
      </w:r>
      <w:r w:rsidR="008A1345">
        <w:t xml:space="preserve"> </w:t>
      </w:r>
      <w:r w:rsidR="002948F6">
        <w:t xml:space="preserve">with </w:t>
      </w:r>
      <w:r w:rsidR="0032607A">
        <w:t>observed</w:t>
      </w:r>
      <w:r w:rsidR="006222E4">
        <w:t>, mainly demographic,</w:t>
      </w:r>
      <w:r w:rsidR="0032607A">
        <w:t xml:space="preserve"> characteristics. </w:t>
      </w:r>
      <w:r w:rsidR="006222E4">
        <w:t xml:space="preserve">Therefore, </w:t>
      </w:r>
      <w:r w:rsidR="00B23E31">
        <w:t xml:space="preserve">only </w:t>
      </w:r>
      <w:r w:rsidR="006222E4">
        <w:t>some of the parameters of the utility function are specific to different types of income units.</w:t>
      </w:r>
      <w:r w:rsidR="006222E4" w:rsidRPr="009A7EDA">
        <w:rPr>
          <w:rStyle w:val="FootnoteReference"/>
        </w:rPr>
        <w:footnoteReference w:id="9"/>
      </w:r>
    </w:p>
    <w:p w:rsidR="002053CC" w:rsidRDefault="002053CC" w:rsidP="002053CC">
      <w:pPr>
        <w:pStyle w:val="Heading3"/>
      </w:pPr>
      <w:r>
        <w:t>Random utility and calibration</w:t>
      </w:r>
    </w:p>
    <w:p w:rsidR="00132D53" w:rsidRDefault="006222E4" w:rsidP="00132D53">
      <w:pPr>
        <w:pStyle w:val="BodyText"/>
      </w:pPr>
      <w:r>
        <w:t xml:space="preserve">Though </w:t>
      </w:r>
      <w:r w:rsidR="00CA360F">
        <w:t xml:space="preserve">flexible, </w:t>
      </w:r>
      <w:r>
        <w:t xml:space="preserve">the quadratic </w:t>
      </w:r>
      <w:r w:rsidR="00CA360F">
        <w:t xml:space="preserve">utility function cannot replicate observed labour supply </w:t>
      </w:r>
      <w:r w:rsidR="00074409">
        <w:t xml:space="preserve">choices </w:t>
      </w:r>
      <w:r w:rsidR="00CA360F">
        <w:t>for all decision makers. This is addressed by incorporating random utility term</w:t>
      </w:r>
      <w:r w:rsidR="00DA7E25">
        <w:t>s</w:t>
      </w:r>
      <w:r w:rsidR="008377BC">
        <w:t xml:space="preserve"> (see box 4)</w:t>
      </w:r>
      <w:r w:rsidR="002E1D4D">
        <w:t xml:space="preserve"> that</w:t>
      </w:r>
      <w:r w:rsidR="00CA360F">
        <w:t xml:space="preserve"> adjust</w:t>
      </w:r>
      <w:r w:rsidR="002E1D4D">
        <w:t xml:space="preserve"> the relative</w:t>
      </w:r>
      <w:r w:rsidR="00CA360F">
        <w:t xml:space="preserve"> </w:t>
      </w:r>
      <w:r w:rsidR="004904B6">
        <w:t xml:space="preserve">total </w:t>
      </w:r>
      <w:r w:rsidR="00CA360F">
        <w:t>utility</w:t>
      </w:r>
      <w:r w:rsidR="002E1D4D">
        <w:t xml:space="preserve"> </w:t>
      </w:r>
      <w:r w:rsidR="00EC7946">
        <w:t xml:space="preserve">at </w:t>
      </w:r>
      <w:r w:rsidR="002E1D4D">
        <w:t xml:space="preserve">each labour supply alternative </w:t>
      </w:r>
      <w:r w:rsidR="00841C89">
        <w:t>to replicate</w:t>
      </w:r>
      <w:r w:rsidR="00DA7E25">
        <w:t xml:space="preserve"> </w:t>
      </w:r>
      <w:r w:rsidR="00CA360F">
        <w:t>observed behaviour.</w:t>
      </w:r>
      <w:r w:rsidR="006E47DA">
        <w:t xml:space="preserve"> </w:t>
      </w:r>
      <w:r w:rsidR="00FE1359">
        <w:t xml:space="preserve">While useful </w:t>
      </w:r>
      <w:r w:rsidR="00E7594B">
        <w:t>for ensuring</w:t>
      </w:r>
      <w:r w:rsidR="00FE1359">
        <w:t xml:space="preserve"> consistency between the model and underlying data, inclusion of random utility term</w:t>
      </w:r>
      <w:r w:rsidR="002E1D4D">
        <w:t>s</w:t>
      </w:r>
      <w:r w:rsidR="00FE1359">
        <w:t xml:space="preserve"> </w:t>
      </w:r>
      <w:r w:rsidR="00DA7E25">
        <w:t xml:space="preserve">may </w:t>
      </w:r>
      <w:r w:rsidR="00DD2212">
        <w:t>influence</w:t>
      </w:r>
      <w:r w:rsidR="00DA7E25">
        <w:t xml:space="preserve"> a</w:t>
      </w:r>
      <w:r w:rsidR="00FE1359">
        <w:t xml:space="preserve"> decision maker’s optimal labour supply choice</w:t>
      </w:r>
      <w:r w:rsidR="00C154E0">
        <w:t>. To offset this</w:t>
      </w:r>
      <w:r>
        <w:t xml:space="preserve"> dependence</w:t>
      </w:r>
      <w:r w:rsidR="009B6A65">
        <w:t xml:space="preserve"> on the generated stochastic terms</w:t>
      </w:r>
      <w:r w:rsidR="00A74BAE">
        <w:t xml:space="preserve">, </w:t>
      </w:r>
      <w:r w:rsidR="00372969">
        <w:t xml:space="preserve">multiple sets of </w:t>
      </w:r>
      <w:r w:rsidR="009B6A65">
        <w:t xml:space="preserve">these </w:t>
      </w:r>
      <w:r w:rsidR="00372969">
        <w:t>terms (</w:t>
      </w:r>
      <w:r w:rsidR="00A74BAE">
        <w:t xml:space="preserve">with </w:t>
      </w:r>
      <w:r w:rsidR="001A697C">
        <w:t xml:space="preserve">each set containing </w:t>
      </w:r>
      <w:r w:rsidR="00AB558B">
        <w:t xml:space="preserve">a </w:t>
      </w:r>
      <w:r w:rsidR="001A697C">
        <w:t>random utility value for each</w:t>
      </w:r>
      <w:r>
        <w:t xml:space="preserve"> </w:t>
      </w:r>
      <w:r w:rsidR="00A74BAE">
        <w:t xml:space="preserve">labour supply </w:t>
      </w:r>
      <w:r w:rsidR="001A697C">
        <w:t>alternative</w:t>
      </w:r>
      <w:r w:rsidR="00372969">
        <w:t xml:space="preserve">) are </w:t>
      </w:r>
      <w:r w:rsidR="00A74BAE">
        <w:t xml:space="preserve">drawn for each </w:t>
      </w:r>
      <w:r w:rsidR="007950DC">
        <w:t>decision maker</w:t>
      </w:r>
      <w:r w:rsidR="00F5515B">
        <w:t xml:space="preserve"> and are assigned equal weight</w:t>
      </w:r>
      <w:r w:rsidR="00827CDA">
        <w:t xml:space="preserve"> when generating results</w:t>
      </w:r>
      <w:r w:rsidR="00A74BAE">
        <w:t>.</w:t>
      </w:r>
    </w:p>
    <w:p w:rsidR="00D55B08" w:rsidRDefault="00A74BAE" w:rsidP="00132D53">
      <w:pPr>
        <w:pStyle w:val="BodyText"/>
      </w:pPr>
      <w:r>
        <w:lastRenderedPageBreak/>
        <w:t>R</w:t>
      </w:r>
      <w:r w:rsidR="00D55B08">
        <w:t xml:space="preserve">andom utility terms are </w:t>
      </w:r>
      <w:r w:rsidR="00863BA0">
        <w:t>generated</w:t>
      </w:r>
      <w:r w:rsidR="00D55B08">
        <w:t xml:space="preserve"> once per model run</w:t>
      </w:r>
      <w:r w:rsidR="000B3F4C">
        <w:t xml:space="preserve"> </w:t>
      </w:r>
      <w:r w:rsidR="00D55B08">
        <w:t>and</w:t>
      </w:r>
      <w:r w:rsidR="007950DC">
        <w:t xml:space="preserve"> are</w:t>
      </w:r>
      <w:r w:rsidR="00D55B08">
        <w:t xml:space="preserve"> </w:t>
      </w:r>
      <w:r w:rsidR="009B6A65">
        <w:t>used consistently</w:t>
      </w:r>
      <w:r w:rsidR="00D55B08">
        <w:t xml:space="preserve"> </w:t>
      </w:r>
      <w:r>
        <w:t>in</w:t>
      </w:r>
      <w:r w:rsidR="00A762EB">
        <w:t xml:space="preserve"> the pre and post</w:t>
      </w:r>
      <w:r w:rsidR="00A762EB">
        <w:noBreakHyphen/>
      </w:r>
      <w:r w:rsidR="00D55B08">
        <w:t>reform policy s</w:t>
      </w:r>
      <w:r>
        <w:t>cenarios</w:t>
      </w:r>
      <w:r w:rsidR="00D55B08">
        <w:t xml:space="preserve">. </w:t>
      </w:r>
      <w:r w:rsidR="009B6A65">
        <w:t>T</w:t>
      </w:r>
      <w:r w:rsidR="00863BA0">
        <w:t xml:space="preserve">he model </w:t>
      </w:r>
      <w:r w:rsidR="009B6A65">
        <w:t xml:space="preserve">is therefore </w:t>
      </w:r>
      <w:r w:rsidR="00863BA0">
        <w:t>consistent with the underlyi</w:t>
      </w:r>
      <w:r w:rsidR="009B3540">
        <w:t>ng data</w:t>
      </w:r>
      <w:r w:rsidR="00863BA0">
        <w:t xml:space="preserve"> and</w:t>
      </w:r>
      <w:r w:rsidR="00244DEF">
        <w:t xml:space="preserve"> </w:t>
      </w:r>
      <w:r w:rsidR="009D724F">
        <w:t xml:space="preserve">the utility function </w:t>
      </w:r>
      <w:r w:rsidR="009B6A65">
        <w:t>does not change between runs</w:t>
      </w:r>
      <w:r w:rsidR="00D55B08">
        <w:t xml:space="preserve">. </w:t>
      </w:r>
    </w:p>
    <w:p w:rsidR="009B6A65" w:rsidRDefault="009B6A6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B6A65" w:rsidTr="003C751A">
        <w:tc>
          <w:tcPr>
            <w:tcW w:w="8771" w:type="dxa"/>
            <w:tcBorders>
              <w:top w:val="single" w:sz="6" w:space="0" w:color="78A22F"/>
              <w:left w:val="nil"/>
              <w:bottom w:val="nil"/>
              <w:right w:val="nil"/>
            </w:tcBorders>
            <w:shd w:val="clear" w:color="auto" w:fill="F2F2F2"/>
          </w:tcPr>
          <w:p w:rsidR="009B6A65" w:rsidRDefault="009B6A65" w:rsidP="009B6A65">
            <w:pPr>
              <w:pStyle w:val="BoxTitle"/>
            </w:pPr>
            <w:r>
              <w:rPr>
                <w:b w:val="0"/>
              </w:rPr>
              <w:t xml:space="preserve">Box </w:t>
            </w:r>
            <w:r w:rsidR="003F2E30">
              <w:rPr>
                <w:b w:val="0"/>
                <w:noProof/>
              </w:rPr>
              <w:t>4</w:t>
            </w:r>
            <w:r>
              <w:tab/>
              <w:t>Generating the random utility terms</w:t>
            </w:r>
          </w:p>
        </w:tc>
      </w:tr>
      <w:tr w:rsidR="009B6A65" w:rsidTr="003C751A">
        <w:trPr>
          <w:cantSplit/>
        </w:trPr>
        <w:tc>
          <w:tcPr>
            <w:tcW w:w="8771" w:type="dxa"/>
            <w:tcBorders>
              <w:top w:val="nil"/>
              <w:left w:val="nil"/>
              <w:bottom w:val="nil"/>
              <w:right w:val="nil"/>
            </w:tcBorders>
            <w:shd w:val="clear" w:color="auto" w:fill="F2F2F2"/>
          </w:tcPr>
          <w:p w:rsidR="009B6A65" w:rsidRDefault="009B6A65" w:rsidP="009B6A65">
            <w:pPr>
              <w:pStyle w:val="Box"/>
            </w:pPr>
            <w:r>
              <w:t xml:space="preserve">The traditional approach to calibrating this type of model is through trial and error; drawing repeatedly from an Extreme Value (type one) distribution and accepting sets of random utility </w:t>
            </w:r>
            <w:r w:rsidR="002455A1">
              <w:t xml:space="preserve">terms </w:t>
            </w:r>
            <w:r>
              <w:t>if the resulting total utility places highest value on observed labour supply. This approach can be computationally intensive; so CAPITA</w:t>
            </w:r>
            <w:r w:rsidR="002455A1">
              <w:noBreakHyphen/>
            </w:r>
            <w:r>
              <w:t>B uses an alternative approach</w:t>
            </w:r>
            <w:r w:rsidR="00900D9B">
              <w:t xml:space="preserve"> </w:t>
            </w:r>
            <w:r>
              <w:t xml:space="preserve">guaranteeing an acceptable set of </w:t>
            </w:r>
            <w:r w:rsidR="002455A1">
              <w:t>random utility terms</w:t>
            </w:r>
            <w:r>
              <w:t xml:space="preserve"> using a two stage closed form solution</w:t>
            </w:r>
            <w:r w:rsidR="00E22E2A">
              <w:t xml:space="preserve">. This alternative approach is </w:t>
            </w:r>
            <w:r w:rsidR="00A3498A">
              <w:t xml:space="preserve">outlined in appendix two of </w:t>
            </w:r>
            <w:r w:rsidR="00A3498A" w:rsidRPr="00875909">
              <w:rPr>
                <w:rFonts w:cs="Arial"/>
                <w:szCs w:val="24"/>
              </w:rPr>
              <w:t xml:space="preserve">(Bourguignon, Fournier and </w:t>
            </w:r>
            <w:proofErr w:type="spellStart"/>
            <w:r w:rsidR="00A3498A" w:rsidRPr="00875909">
              <w:rPr>
                <w:rFonts w:cs="Arial"/>
                <w:szCs w:val="24"/>
              </w:rPr>
              <w:t>Gurgand</w:t>
            </w:r>
            <w:proofErr w:type="spellEnd"/>
            <w:r w:rsidR="00A3498A" w:rsidRPr="00875909">
              <w:rPr>
                <w:rFonts w:cs="Arial"/>
                <w:szCs w:val="24"/>
              </w:rPr>
              <w:t> 1998)</w:t>
            </w:r>
            <w:r w:rsidR="00A3498A">
              <w:rPr>
                <w:rStyle w:val="FootnoteReference"/>
              </w:rPr>
              <w:footnoteReference w:id="10"/>
            </w:r>
            <w:r>
              <w:t xml:space="preserve">. </w:t>
            </w:r>
          </w:p>
          <w:p w:rsidR="009B6A65" w:rsidRDefault="009B6A65" w:rsidP="009B6A65">
            <w:pPr>
              <w:pStyle w:val="Box"/>
            </w:pPr>
            <w:r>
              <w:t>Random utility terms are drawn from the Extreme Value (type one) distribution for two reasons</w:t>
            </w:r>
            <w:r w:rsidR="00FA76F8">
              <w:t>:</w:t>
            </w:r>
          </w:p>
          <w:p w:rsidR="00C15EB0" w:rsidRDefault="00FA76F8" w:rsidP="009B4038">
            <w:pPr>
              <w:pStyle w:val="BoxListNumber"/>
              <w:numPr>
                <w:ilvl w:val="0"/>
                <w:numId w:val="37"/>
              </w:numPr>
            </w:pPr>
            <w:r>
              <w:t>it allows</w:t>
            </w:r>
            <w:r w:rsidR="009B6A65">
              <w:t xml:space="preserve"> utility parameters to be estimated using simple econometric techniques (a multinomial logit model). This is not necessarily the case if random utility terms are drawn from other distributions. </w:t>
            </w:r>
          </w:p>
          <w:p w:rsidR="009B6A65" w:rsidRDefault="00FA76F8" w:rsidP="00900D9B">
            <w:pPr>
              <w:pStyle w:val="BoxListNumber"/>
            </w:pPr>
            <w:r>
              <w:t>it</w:t>
            </w:r>
            <w:r w:rsidR="009B6A65">
              <w:t xml:space="preserve"> permits the use of </w:t>
            </w:r>
            <w:r w:rsidR="00AE5920">
              <w:t>the</w:t>
            </w:r>
            <w:r w:rsidR="009B6A65">
              <w:t xml:space="preserve"> more efficient calibration technique outlined </w:t>
            </w:r>
            <w:r w:rsidR="005A53FE">
              <w:t>in</w:t>
            </w:r>
            <w:r w:rsidR="009B6A65">
              <w:t xml:space="preserve"> (Bourguignon, Fournier and </w:t>
            </w:r>
            <w:proofErr w:type="spellStart"/>
            <w:r w:rsidR="009B6A65">
              <w:t>Gurgand</w:t>
            </w:r>
            <w:proofErr w:type="spellEnd"/>
            <w:r w:rsidR="009B6A65">
              <w:t xml:space="preserve"> 1998) that relies on </w:t>
            </w:r>
            <w:r w:rsidR="00C15EB0">
              <w:t xml:space="preserve">the </w:t>
            </w:r>
            <w:r w:rsidR="009B6A65">
              <w:t>functional form</w:t>
            </w:r>
            <w:r w:rsidR="00C15EB0">
              <w:t xml:space="preserve"> of the distribution</w:t>
            </w:r>
            <w:r w:rsidR="009B6A65">
              <w:t>.</w:t>
            </w:r>
          </w:p>
        </w:tc>
      </w:tr>
      <w:tr w:rsidR="009B6A65" w:rsidTr="003C751A">
        <w:trPr>
          <w:cantSplit/>
        </w:trPr>
        <w:tc>
          <w:tcPr>
            <w:tcW w:w="8771" w:type="dxa"/>
            <w:tcBorders>
              <w:top w:val="nil"/>
              <w:left w:val="nil"/>
              <w:bottom w:val="single" w:sz="6" w:space="0" w:color="78A22F"/>
              <w:right w:val="nil"/>
            </w:tcBorders>
            <w:shd w:val="clear" w:color="auto" w:fill="F2F2F2"/>
          </w:tcPr>
          <w:p w:rsidR="009B6A65" w:rsidRDefault="009B6A65">
            <w:pPr>
              <w:pStyle w:val="Box"/>
              <w:spacing w:before="0" w:line="120" w:lineRule="exact"/>
            </w:pPr>
          </w:p>
        </w:tc>
      </w:tr>
      <w:tr w:rsidR="009B6A65" w:rsidRPr="000863A5" w:rsidTr="003C751A">
        <w:tc>
          <w:tcPr>
            <w:tcW w:w="8771" w:type="dxa"/>
            <w:tcBorders>
              <w:top w:val="single" w:sz="6" w:space="0" w:color="78A22F"/>
              <w:left w:val="nil"/>
              <w:bottom w:val="nil"/>
              <w:right w:val="nil"/>
            </w:tcBorders>
          </w:tcPr>
          <w:p w:rsidR="009B6A65" w:rsidRPr="00626D32" w:rsidRDefault="009B6A65" w:rsidP="003C751A">
            <w:pPr>
              <w:pStyle w:val="BoxSpaceBelow"/>
            </w:pPr>
          </w:p>
        </w:tc>
      </w:tr>
    </w:tbl>
    <w:p w:rsidR="00EA38B2" w:rsidRDefault="00D959DE" w:rsidP="00002926">
      <w:pPr>
        <w:pStyle w:val="Heading3"/>
        <w:spacing w:before="360"/>
      </w:pPr>
      <w:r>
        <w:t>Generating results</w:t>
      </w:r>
    </w:p>
    <w:p w:rsidR="00372969" w:rsidRDefault="003A2792" w:rsidP="006C220E">
      <w:pPr>
        <w:pStyle w:val="BodyText"/>
      </w:pPr>
      <w:r>
        <w:t xml:space="preserve">Reporting results </w:t>
      </w:r>
      <w:r w:rsidR="003168C1">
        <w:t>from a</w:t>
      </w:r>
      <w:r>
        <w:t xml:space="preserve"> behavioural microsimulation</w:t>
      </w:r>
      <w:r w:rsidR="003168C1">
        <w:t xml:space="preserve"> model</w:t>
      </w:r>
      <w:r>
        <w:t xml:space="preserve"> like CAPITA</w:t>
      </w:r>
      <w:r>
        <w:noBreakHyphen/>
        <w:t>B is complicated by the random utility term</w:t>
      </w:r>
      <w:r w:rsidR="00EC7946">
        <w:t>s</w:t>
      </w:r>
      <w:r>
        <w:t xml:space="preserve">; </w:t>
      </w:r>
      <w:r w:rsidR="00C15EB0">
        <w:t xml:space="preserve">since </w:t>
      </w:r>
      <w:r>
        <w:t xml:space="preserve">decision makers are assigned multiple sets of random </w:t>
      </w:r>
      <w:r w:rsidR="00A31EBA">
        <w:t>utility terms</w:t>
      </w:r>
      <w:r w:rsidR="005F67CE">
        <w:t xml:space="preserve"> (with each set containing a random utility </w:t>
      </w:r>
      <w:r w:rsidR="004904B6">
        <w:t>value</w:t>
      </w:r>
      <w:r w:rsidR="005F67CE">
        <w:t xml:space="preserve"> for each labour supply alternative)</w:t>
      </w:r>
      <w:r w:rsidR="00A31EBA">
        <w:t xml:space="preserve"> </w:t>
      </w:r>
      <w:r w:rsidR="00C15EB0">
        <w:t>they can be assigned</w:t>
      </w:r>
      <w:r>
        <w:t xml:space="preserve"> multiple optimal decisions in a given policy scenario.</w:t>
      </w:r>
      <w:r w:rsidR="00917A49">
        <w:t xml:space="preserve"> CAPITA-B addresses this issue by treating post</w:t>
      </w:r>
      <w:r w:rsidR="00917A49">
        <w:noBreakHyphen/>
        <w:t>reform outcomes</w:t>
      </w:r>
      <w:r w:rsidR="00696038">
        <w:t xml:space="preserve"> for each decision maker</w:t>
      </w:r>
      <w:r w:rsidR="00917A49">
        <w:t xml:space="preserve"> as the average of outcomes across</w:t>
      </w:r>
      <w:r w:rsidR="00696038">
        <w:t xml:space="preserve"> all</w:t>
      </w:r>
      <w:r w:rsidR="00917A49">
        <w:t xml:space="preserve"> sets of random</w:t>
      </w:r>
      <w:r w:rsidR="00A31EBA">
        <w:t xml:space="preserve"> utility terms</w:t>
      </w:r>
      <w:r w:rsidR="00917A49">
        <w:t xml:space="preserve">. </w:t>
      </w:r>
      <w:r w:rsidR="00690F26">
        <w:t xml:space="preserve">Alternative </w:t>
      </w:r>
      <w:r w:rsidR="00F7350C">
        <w:t xml:space="preserve">approaches </w:t>
      </w:r>
      <w:r w:rsidR="00C15EB0">
        <w:t xml:space="preserve">are possible </w:t>
      </w:r>
      <w:r w:rsidR="00F7350C">
        <w:t xml:space="preserve">(such as </w:t>
      </w:r>
      <w:r w:rsidR="008A434F">
        <w:t xml:space="preserve">by reporting </w:t>
      </w:r>
      <w:r w:rsidR="00216DE6">
        <w:t>the outcomes associated with</w:t>
      </w:r>
      <w:r w:rsidR="008A434F">
        <w:t xml:space="preserve"> all</w:t>
      </w:r>
      <w:r w:rsidR="00216DE6">
        <w:t xml:space="preserve"> </w:t>
      </w:r>
      <w:r w:rsidR="00FA76F8">
        <w:t xml:space="preserve">sets of </w:t>
      </w:r>
      <w:r w:rsidR="00216DE6">
        <w:t xml:space="preserve">random utility </w:t>
      </w:r>
      <w:r w:rsidR="008A434F">
        <w:t xml:space="preserve">terms and assuming each </w:t>
      </w:r>
      <w:r w:rsidR="00FA76F8">
        <w:t>set</w:t>
      </w:r>
      <w:r w:rsidR="008A434F">
        <w:t xml:space="preserve"> term belongs to a </w:t>
      </w:r>
      <w:r w:rsidR="002D2B67">
        <w:t>separate</w:t>
      </w:r>
      <w:r w:rsidR="008A434F">
        <w:t xml:space="preserve"> decision maker</w:t>
      </w:r>
      <w:r w:rsidR="00917A49">
        <w:t xml:space="preserve">), but taking </w:t>
      </w:r>
      <w:r w:rsidR="00611988">
        <w:t xml:space="preserve">the average is </w:t>
      </w:r>
      <w:r w:rsidR="00F7350C">
        <w:t>a simple and common approach</w:t>
      </w:r>
      <w:r w:rsidR="008308DF" w:rsidRPr="009A7EDA">
        <w:rPr>
          <w:rStyle w:val="FootnoteReference"/>
        </w:rPr>
        <w:footnoteReference w:id="11"/>
      </w:r>
      <w:r w:rsidR="00696038">
        <w:t xml:space="preserve">. </w:t>
      </w:r>
    </w:p>
    <w:p w:rsidR="00077FDA" w:rsidRDefault="00664C0E" w:rsidP="00077FDA">
      <w:pPr>
        <w:pStyle w:val="Heading2"/>
      </w:pPr>
      <w:r>
        <w:t>An example to explain the mechanics of CAPITA-B</w:t>
      </w:r>
    </w:p>
    <w:p w:rsidR="00DB1390" w:rsidRDefault="00134D2B" w:rsidP="00077FDA">
      <w:pPr>
        <w:pStyle w:val="BodyText"/>
      </w:pPr>
      <w:r>
        <w:t xml:space="preserve">The </w:t>
      </w:r>
      <w:r w:rsidR="00664C0E">
        <w:t>mechanics</w:t>
      </w:r>
      <w:r>
        <w:t xml:space="preserve"> of</w:t>
      </w:r>
      <w:r w:rsidR="00CE7AE7">
        <w:t xml:space="preserve"> CAPITA</w:t>
      </w:r>
      <w:r w:rsidR="00CE7AE7">
        <w:noBreakHyphen/>
        <w:t>B</w:t>
      </w:r>
      <w:r w:rsidR="00AC7EF9">
        <w:t xml:space="preserve"> </w:t>
      </w:r>
      <w:r w:rsidR="00664C0E">
        <w:t xml:space="preserve">are </w:t>
      </w:r>
      <w:r w:rsidR="00AC7EF9">
        <w:t xml:space="preserve">illustrated </w:t>
      </w:r>
      <w:r w:rsidR="00664C0E">
        <w:t xml:space="preserve">by </w:t>
      </w:r>
      <w:r w:rsidR="005C1B78">
        <w:t>estimatin</w:t>
      </w:r>
      <w:r w:rsidR="00664C0E">
        <w:t>g</w:t>
      </w:r>
      <w:r w:rsidR="005C1B78">
        <w:t xml:space="preserve"> </w:t>
      </w:r>
      <w:r w:rsidR="00664C0E">
        <w:t>the labour supply response of a</w:t>
      </w:r>
      <w:r w:rsidR="001C2D13">
        <w:t xml:space="preserve"> particular decision maker</w:t>
      </w:r>
      <w:r w:rsidR="00AC7EF9">
        <w:t xml:space="preserve"> to </w:t>
      </w:r>
      <w:r w:rsidR="007D6D5C">
        <w:t>a</w:t>
      </w:r>
      <w:r w:rsidR="00AC7EF9">
        <w:t xml:space="preserve"> hypothetical policy </w:t>
      </w:r>
      <w:r w:rsidR="005C1B78">
        <w:t>experiment</w:t>
      </w:r>
      <w:r w:rsidR="00AC7EF9">
        <w:t xml:space="preserve">. </w:t>
      </w:r>
      <w:r w:rsidR="002311BF">
        <w:t>In this instance, a 55 year old male decision maker who is in a couple</w:t>
      </w:r>
      <w:r w:rsidR="007D6D5C">
        <w:t>d relationship</w:t>
      </w:r>
      <w:r w:rsidR="002311BF">
        <w:t xml:space="preserve"> with a 4</w:t>
      </w:r>
      <w:r w:rsidR="008C6AE1">
        <w:t>7</w:t>
      </w:r>
      <w:r w:rsidR="007D6D5C">
        <w:t xml:space="preserve"> year old spouse and </w:t>
      </w:r>
      <w:r w:rsidR="002311BF">
        <w:lastRenderedPageBreak/>
        <w:t>without any dependent children has been selected from the model’s database</w:t>
      </w:r>
      <w:r w:rsidR="007D6D5C">
        <w:t xml:space="preserve">. The </w:t>
      </w:r>
      <w:r w:rsidR="00664C0E">
        <w:t>experiment</w:t>
      </w:r>
      <w:r w:rsidR="002311BF">
        <w:t xml:space="preserve"> is a five per cent increase in the marginal tax rate for income units in the lowest two tax brackets, and a ten per cent increase in the marginal tax rates for income units in the highest two tax brackets</w:t>
      </w:r>
      <w:r w:rsidR="00117BB2">
        <w:t xml:space="preserve"> (table 1)</w:t>
      </w:r>
      <w:r w:rsidR="002311BF">
        <w:t>.</w:t>
      </w:r>
    </w:p>
    <w:p w:rsidR="00692697" w:rsidRDefault="00692697" w:rsidP="001D1E5E">
      <w:pPr>
        <w:pStyle w:val="BoxSpaceAbove"/>
        <w:spacing w:before="240"/>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92697" w:rsidTr="0009714B">
        <w:tc>
          <w:tcPr>
            <w:tcW w:w="8771" w:type="dxa"/>
            <w:tcBorders>
              <w:top w:val="single" w:sz="6" w:space="0" w:color="78A22F"/>
              <w:left w:val="nil"/>
              <w:bottom w:val="nil"/>
              <w:right w:val="nil"/>
            </w:tcBorders>
            <w:shd w:val="clear" w:color="auto" w:fill="auto"/>
          </w:tcPr>
          <w:p w:rsidR="00692697" w:rsidRPr="00784A05" w:rsidRDefault="00692697" w:rsidP="00117BB2">
            <w:pPr>
              <w:pStyle w:val="TableTitle"/>
            </w:pPr>
            <w:r>
              <w:rPr>
                <w:b w:val="0"/>
              </w:rPr>
              <w:t xml:space="preserve">Table </w:t>
            </w:r>
            <w:bookmarkStart w:id="7" w:name="OLE_LINK5"/>
            <w:r w:rsidR="003F2E30">
              <w:rPr>
                <w:b w:val="0"/>
                <w:noProof/>
              </w:rPr>
              <w:t>1</w:t>
            </w:r>
            <w:bookmarkEnd w:id="7"/>
            <w:r>
              <w:tab/>
            </w:r>
            <w:r w:rsidR="00237A7D">
              <w:t>Benchmark and reform parameters</w:t>
            </w:r>
          </w:p>
        </w:tc>
      </w:tr>
      <w:tr w:rsidR="00692697" w:rsidTr="0009714B">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88"/>
              <w:gridCol w:w="2835"/>
              <w:gridCol w:w="3264"/>
            </w:tblGrid>
            <w:tr w:rsidR="00692697" w:rsidTr="004904B6">
              <w:tc>
                <w:tcPr>
                  <w:tcW w:w="1407" w:type="pct"/>
                  <w:tcBorders>
                    <w:top w:val="single" w:sz="6" w:space="0" w:color="BFBFBF"/>
                    <w:bottom w:val="single" w:sz="6" w:space="0" w:color="BFBFBF"/>
                  </w:tcBorders>
                  <w:shd w:val="clear" w:color="auto" w:fill="auto"/>
                  <w:tcMar>
                    <w:top w:w="28" w:type="dxa"/>
                  </w:tcMar>
                </w:tcPr>
                <w:p w:rsidR="00692697" w:rsidRDefault="00692697" w:rsidP="0009714B">
                  <w:pPr>
                    <w:pStyle w:val="TableColumnHeading"/>
                    <w:jc w:val="left"/>
                  </w:pPr>
                  <w:r>
                    <w:t>Income range</w:t>
                  </w:r>
                </w:p>
              </w:tc>
              <w:tc>
                <w:tcPr>
                  <w:tcW w:w="1670" w:type="pct"/>
                  <w:tcBorders>
                    <w:top w:val="single" w:sz="6" w:space="0" w:color="BFBFBF"/>
                    <w:bottom w:val="single" w:sz="6" w:space="0" w:color="BFBFBF"/>
                  </w:tcBorders>
                  <w:shd w:val="clear" w:color="auto" w:fill="auto"/>
                  <w:tcMar>
                    <w:top w:w="28" w:type="dxa"/>
                  </w:tcMar>
                </w:tcPr>
                <w:p w:rsidR="00692697" w:rsidRDefault="00237A7D" w:rsidP="0009714B">
                  <w:pPr>
                    <w:pStyle w:val="TableColumnHeading"/>
                  </w:pPr>
                  <w:r>
                    <w:t xml:space="preserve">Benchmark </w:t>
                  </w:r>
                  <w:r w:rsidR="00692697">
                    <w:t>marginal tax rates</w:t>
                  </w:r>
                  <w:r w:rsidR="00A822C9">
                    <w:t xml:space="preserve"> (%)</w:t>
                  </w:r>
                </w:p>
              </w:tc>
              <w:tc>
                <w:tcPr>
                  <w:tcW w:w="1923" w:type="pct"/>
                  <w:tcBorders>
                    <w:top w:val="single" w:sz="6" w:space="0" w:color="BFBFBF"/>
                    <w:bottom w:val="single" w:sz="6" w:space="0" w:color="BFBFBF"/>
                  </w:tcBorders>
                  <w:shd w:val="clear" w:color="auto" w:fill="auto"/>
                  <w:tcMar>
                    <w:top w:w="28" w:type="dxa"/>
                  </w:tcMar>
                </w:tcPr>
                <w:p w:rsidR="00692697" w:rsidRDefault="00692697" w:rsidP="0009714B">
                  <w:pPr>
                    <w:pStyle w:val="TableColumnHeading"/>
                    <w:ind w:right="28"/>
                  </w:pPr>
                  <w:r>
                    <w:t>Reform marginal tax rates</w:t>
                  </w:r>
                  <w:r w:rsidR="00A822C9">
                    <w:t xml:space="preserve"> </w:t>
                  </w:r>
                  <w:r w:rsidR="00237A7D">
                    <w:br/>
                  </w:r>
                  <w:r w:rsidR="00A822C9">
                    <w:t>(%)</w:t>
                  </w:r>
                </w:p>
              </w:tc>
            </w:tr>
            <w:tr w:rsidR="00692697" w:rsidTr="004904B6">
              <w:tc>
                <w:tcPr>
                  <w:tcW w:w="1407" w:type="pct"/>
                  <w:tcBorders>
                    <w:top w:val="single" w:sz="6" w:space="0" w:color="BFBFBF"/>
                  </w:tcBorders>
                </w:tcPr>
                <w:p w:rsidR="00692697" w:rsidRDefault="00A822C9" w:rsidP="0009714B">
                  <w:pPr>
                    <w:pStyle w:val="TableUnitsRow"/>
                    <w:jc w:val="left"/>
                  </w:pPr>
                  <w:r>
                    <w:t>$0 – $18 200</w:t>
                  </w:r>
                </w:p>
              </w:tc>
              <w:tc>
                <w:tcPr>
                  <w:tcW w:w="1670" w:type="pct"/>
                  <w:tcBorders>
                    <w:top w:val="single" w:sz="6" w:space="0" w:color="BFBFBF"/>
                  </w:tcBorders>
                </w:tcPr>
                <w:p w:rsidR="00692697" w:rsidRDefault="00A822C9" w:rsidP="0009714B">
                  <w:pPr>
                    <w:pStyle w:val="TableUnitsRow"/>
                  </w:pPr>
                  <w:r>
                    <w:t>0</w:t>
                  </w:r>
                  <w:r w:rsidR="008859BC">
                    <w:t>.0</w:t>
                  </w:r>
                </w:p>
              </w:tc>
              <w:tc>
                <w:tcPr>
                  <w:tcW w:w="1923" w:type="pct"/>
                  <w:tcBorders>
                    <w:top w:val="single" w:sz="6" w:space="0" w:color="BFBFBF"/>
                  </w:tcBorders>
                </w:tcPr>
                <w:p w:rsidR="00692697" w:rsidRDefault="00A822C9" w:rsidP="0009714B">
                  <w:pPr>
                    <w:pStyle w:val="TableUnitsRow"/>
                    <w:ind w:right="28"/>
                  </w:pPr>
                  <w:r>
                    <w:t>0</w:t>
                  </w:r>
                  <w:r w:rsidR="008859BC">
                    <w:t>.0</w:t>
                  </w:r>
                </w:p>
              </w:tc>
            </w:tr>
            <w:tr w:rsidR="00692697" w:rsidTr="004904B6">
              <w:tc>
                <w:tcPr>
                  <w:tcW w:w="1407" w:type="pct"/>
                </w:tcPr>
                <w:p w:rsidR="00692697" w:rsidRDefault="00C63B27" w:rsidP="0009714B">
                  <w:pPr>
                    <w:pStyle w:val="TableBodyText"/>
                    <w:jc w:val="left"/>
                  </w:pPr>
                  <w:r>
                    <w:t>$18 2</w:t>
                  </w:r>
                  <w:r w:rsidR="00A822C9">
                    <w:t>01 - $37 000</w:t>
                  </w:r>
                </w:p>
              </w:tc>
              <w:tc>
                <w:tcPr>
                  <w:tcW w:w="1670" w:type="pct"/>
                </w:tcPr>
                <w:p w:rsidR="00692697" w:rsidRDefault="00A822C9" w:rsidP="0009714B">
                  <w:pPr>
                    <w:pStyle w:val="TableBodyText"/>
                  </w:pPr>
                  <w:r>
                    <w:t>19</w:t>
                  </w:r>
                  <w:r w:rsidR="008859BC">
                    <w:t>.0</w:t>
                  </w:r>
                </w:p>
              </w:tc>
              <w:tc>
                <w:tcPr>
                  <w:tcW w:w="1923" w:type="pct"/>
                </w:tcPr>
                <w:p w:rsidR="00692697" w:rsidRDefault="00A822C9" w:rsidP="0009714B">
                  <w:pPr>
                    <w:pStyle w:val="TableBodyText"/>
                    <w:ind w:right="28"/>
                  </w:pPr>
                  <w:r>
                    <w:t>24</w:t>
                  </w:r>
                  <w:r w:rsidR="008859BC">
                    <w:t>.0</w:t>
                  </w:r>
                </w:p>
              </w:tc>
            </w:tr>
            <w:tr w:rsidR="00692697" w:rsidTr="004904B6">
              <w:tc>
                <w:tcPr>
                  <w:tcW w:w="1407" w:type="pct"/>
                  <w:shd w:val="clear" w:color="auto" w:fill="auto"/>
                </w:tcPr>
                <w:p w:rsidR="00692697" w:rsidRDefault="00A822C9" w:rsidP="0009714B">
                  <w:pPr>
                    <w:pStyle w:val="TableBodyText"/>
                    <w:jc w:val="left"/>
                  </w:pPr>
                  <w:r>
                    <w:t>$37 001 - $80 000</w:t>
                  </w:r>
                </w:p>
              </w:tc>
              <w:tc>
                <w:tcPr>
                  <w:tcW w:w="1670" w:type="pct"/>
                  <w:shd w:val="clear" w:color="auto" w:fill="auto"/>
                </w:tcPr>
                <w:p w:rsidR="00692697" w:rsidRDefault="00A822C9" w:rsidP="0009714B">
                  <w:pPr>
                    <w:pStyle w:val="TableBodyText"/>
                  </w:pPr>
                  <w:r>
                    <w:t>32.5</w:t>
                  </w:r>
                </w:p>
              </w:tc>
              <w:tc>
                <w:tcPr>
                  <w:tcW w:w="1923" w:type="pct"/>
                  <w:shd w:val="clear" w:color="auto" w:fill="auto"/>
                </w:tcPr>
                <w:p w:rsidR="00692697" w:rsidRDefault="00A822C9" w:rsidP="0009714B">
                  <w:pPr>
                    <w:pStyle w:val="TableBodyText"/>
                    <w:ind w:right="28"/>
                  </w:pPr>
                  <w:r>
                    <w:t>37.5</w:t>
                  </w:r>
                </w:p>
              </w:tc>
            </w:tr>
            <w:tr w:rsidR="00A822C9" w:rsidTr="004904B6">
              <w:tc>
                <w:tcPr>
                  <w:tcW w:w="1407" w:type="pct"/>
                  <w:shd w:val="clear" w:color="auto" w:fill="auto"/>
                </w:tcPr>
                <w:p w:rsidR="00A822C9" w:rsidRDefault="00A822C9" w:rsidP="0009714B">
                  <w:pPr>
                    <w:pStyle w:val="TableBodyText"/>
                    <w:jc w:val="left"/>
                  </w:pPr>
                  <w:r>
                    <w:t>$80 001 - $180 000</w:t>
                  </w:r>
                </w:p>
              </w:tc>
              <w:tc>
                <w:tcPr>
                  <w:tcW w:w="1670" w:type="pct"/>
                  <w:shd w:val="clear" w:color="auto" w:fill="auto"/>
                </w:tcPr>
                <w:p w:rsidR="00A822C9" w:rsidRDefault="00A822C9" w:rsidP="0009714B">
                  <w:pPr>
                    <w:pStyle w:val="TableBodyText"/>
                  </w:pPr>
                  <w:r>
                    <w:t>37</w:t>
                  </w:r>
                  <w:r w:rsidR="008859BC">
                    <w:t>.0</w:t>
                  </w:r>
                </w:p>
              </w:tc>
              <w:tc>
                <w:tcPr>
                  <w:tcW w:w="1923" w:type="pct"/>
                  <w:shd w:val="clear" w:color="auto" w:fill="auto"/>
                </w:tcPr>
                <w:p w:rsidR="00A822C9" w:rsidRDefault="00792838" w:rsidP="0009714B">
                  <w:pPr>
                    <w:pStyle w:val="TableBodyText"/>
                    <w:ind w:right="28"/>
                  </w:pPr>
                  <w:r>
                    <w:t>47</w:t>
                  </w:r>
                  <w:r w:rsidR="008859BC">
                    <w:t>.0</w:t>
                  </w:r>
                </w:p>
              </w:tc>
            </w:tr>
            <w:tr w:rsidR="00A822C9" w:rsidTr="004904B6">
              <w:tc>
                <w:tcPr>
                  <w:tcW w:w="1407" w:type="pct"/>
                  <w:tcBorders>
                    <w:bottom w:val="single" w:sz="6" w:space="0" w:color="BFBFBF"/>
                  </w:tcBorders>
                  <w:shd w:val="clear" w:color="auto" w:fill="auto"/>
                </w:tcPr>
                <w:p w:rsidR="00A822C9" w:rsidRDefault="00A822C9" w:rsidP="0009714B">
                  <w:pPr>
                    <w:pStyle w:val="TableBodyText"/>
                    <w:jc w:val="left"/>
                  </w:pPr>
                  <w:r>
                    <w:t>$180 00</w:t>
                  </w:r>
                  <w:r w:rsidR="00FC5DD8">
                    <w:t>1</w:t>
                  </w:r>
                  <w:r>
                    <w:t>+</w:t>
                  </w:r>
                </w:p>
              </w:tc>
              <w:tc>
                <w:tcPr>
                  <w:tcW w:w="1670" w:type="pct"/>
                  <w:tcBorders>
                    <w:bottom w:val="single" w:sz="6" w:space="0" w:color="BFBFBF"/>
                  </w:tcBorders>
                  <w:shd w:val="clear" w:color="auto" w:fill="auto"/>
                </w:tcPr>
                <w:p w:rsidR="00A822C9" w:rsidRDefault="00A822C9" w:rsidP="0009714B">
                  <w:pPr>
                    <w:pStyle w:val="TableBodyText"/>
                  </w:pPr>
                  <w:r>
                    <w:t>45</w:t>
                  </w:r>
                  <w:r w:rsidR="008859BC">
                    <w:t>.0</w:t>
                  </w:r>
                </w:p>
              </w:tc>
              <w:tc>
                <w:tcPr>
                  <w:tcW w:w="1923" w:type="pct"/>
                  <w:tcBorders>
                    <w:bottom w:val="single" w:sz="6" w:space="0" w:color="BFBFBF"/>
                  </w:tcBorders>
                  <w:shd w:val="clear" w:color="auto" w:fill="auto"/>
                </w:tcPr>
                <w:p w:rsidR="00A822C9" w:rsidRDefault="00792838" w:rsidP="0009714B">
                  <w:pPr>
                    <w:pStyle w:val="TableBodyText"/>
                    <w:ind w:right="28"/>
                  </w:pPr>
                  <w:r>
                    <w:t>55</w:t>
                  </w:r>
                  <w:r w:rsidR="008859BC">
                    <w:t>.0</w:t>
                  </w:r>
                </w:p>
              </w:tc>
            </w:tr>
          </w:tbl>
          <w:p w:rsidR="00692697" w:rsidRDefault="00692697" w:rsidP="0009714B">
            <w:pPr>
              <w:pStyle w:val="Box"/>
            </w:pPr>
          </w:p>
        </w:tc>
      </w:tr>
      <w:tr w:rsidR="00692697" w:rsidTr="0009714B">
        <w:trPr>
          <w:cantSplit/>
        </w:trPr>
        <w:tc>
          <w:tcPr>
            <w:tcW w:w="8771" w:type="dxa"/>
            <w:tcBorders>
              <w:top w:val="nil"/>
              <w:left w:val="nil"/>
              <w:bottom w:val="nil"/>
              <w:right w:val="nil"/>
            </w:tcBorders>
            <w:shd w:val="clear" w:color="auto" w:fill="auto"/>
          </w:tcPr>
          <w:p w:rsidR="00692697" w:rsidRDefault="00692697" w:rsidP="000B3F4C">
            <w:pPr>
              <w:pStyle w:val="Source"/>
            </w:pPr>
            <w:r>
              <w:rPr>
                <w:i/>
              </w:rPr>
              <w:t>Source</w:t>
            </w:r>
            <w:r w:rsidRPr="00167F06">
              <w:t>:</w:t>
            </w:r>
            <w:r w:rsidR="00DD0EDF">
              <w:t xml:space="preserve"> </w:t>
            </w:r>
            <w:r w:rsidR="00D5244C">
              <w:t xml:space="preserve">Australian Taxation Office </w:t>
            </w:r>
            <w:r w:rsidR="000B3F4C" w:rsidRPr="00D22ED5">
              <w:rPr>
                <w:rFonts w:cs="Arial"/>
                <w:szCs w:val="24"/>
              </w:rPr>
              <w:t>(</w:t>
            </w:r>
            <w:proofErr w:type="spellStart"/>
            <w:r w:rsidR="000B3F4C" w:rsidRPr="00D22ED5">
              <w:rPr>
                <w:rFonts w:cs="Arial"/>
                <w:szCs w:val="24"/>
              </w:rPr>
              <w:t>ATO</w:t>
            </w:r>
            <w:proofErr w:type="spellEnd"/>
            <w:r w:rsidR="000B3F4C" w:rsidRPr="00D22ED5">
              <w:rPr>
                <w:rFonts w:cs="Arial"/>
                <w:szCs w:val="24"/>
              </w:rPr>
              <w:t> 2016)</w:t>
            </w:r>
            <w:r w:rsidR="00AE58C6">
              <w:t>.</w:t>
            </w:r>
          </w:p>
        </w:tc>
      </w:tr>
      <w:tr w:rsidR="00692697" w:rsidTr="0009714B">
        <w:trPr>
          <w:cantSplit/>
        </w:trPr>
        <w:tc>
          <w:tcPr>
            <w:tcW w:w="8771" w:type="dxa"/>
            <w:tcBorders>
              <w:top w:val="nil"/>
              <w:left w:val="nil"/>
              <w:bottom w:val="single" w:sz="6" w:space="0" w:color="78A22F"/>
              <w:right w:val="nil"/>
            </w:tcBorders>
            <w:shd w:val="clear" w:color="auto" w:fill="auto"/>
          </w:tcPr>
          <w:p w:rsidR="00692697" w:rsidRDefault="00692697" w:rsidP="0009714B">
            <w:pPr>
              <w:pStyle w:val="Box"/>
              <w:spacing w:before="0" w:line="120" w:lineRule="exact"/>
            </w:pPr>
          </w:p>
        </w:tc>
      </w:tr>
      <w:tr w:rsidR="00692697" w:rsidRPr="000863A5" w:rsidTr="0009714B">
        <w:tc>
          <w:tcPr>
            <w:tcW w:w="8771" w:type="dxa"/>
            <w:tcBorders>
              <w:top w:val="single" w:sz="6" w:space="0" w:color="78A22F"/>
              <w:left w:val="nil"/>
              <w:bottom w:val="nil"/>
              <w:right w:val="nil"/>
            </w:tcBorders>
          </w:tcPr>
          <w:p w:rsidR="00692697" w:rsidRPr="00626D32" w:rsidRDefault="00692697" w:rsidP="0009714B">
            <w:pPr>
              <w:pStyle w:val="BoxSpaceBelow"/>
            </w:pPr>
          </w:p>
        </w:tc>
      </w:tr>
    </w:tbl>
    <w:p w:rsidR="00C81292" w:rsidRDefault="00C81292" w:rsidP="00084A13">
      <w:pPr>
        <w:pStyle w:val="Heading3"/>
      </w:pPr>
      <w:r>
        <w:t>Benchmark and reform runs</w:t>
      </w:r>
    </w:p>
    <w:p w:rsidR="00C81292" w:rsidRDefault="00664C0E" w:rsidP="00C81292">
      <w:pPr>
        <w:pStyle w:val="BodyText"/>
      </w:pPr>
      <w:r>
        <w:t>T</w:t>
      </w:r>
      <w:r w:rsidR="00C81292">
        <w:t>he benchmark run</w:t>
      </w:r>
      <w:r>
        <w:t xml:space="preserve"> </w:t>
      </w:r>
      <w:r w:rsidR="00DA5B16">
        <w:t>provide</w:t>
      </w:r>
      <w:r w:rsidR="00FC5DD8">
        <w:t>s</w:t>
      </w:r>
      <w:r w:rsidR="00C81292">
        <w:t xml:space="preserve"> a reference point for comparison and</w:t>
      </w:r>
      <w:r w:rsidR="00DA5B16">
        <w:t xml:space="preserve"> generate</w:t>
      </w:r>
      <w:r w:rsidR="00FC5DD8">
        <w:t>s</w:t>
      </w:r>
      <w:r w:rsidR="00C81292">
        <w:t xml:space="preserve"> key inputs needed for the reform run (such as </w:t>
      </w:r>
      <w:r>
        <w:t xml:space="preserve">imputed </w:t>
      </w:r>
      <w:r w:rsidR="00C81292">
        <w:t>wages</w:t>
      </w:r>
      <w:r>
        <w:t xml:space="preserve"> and</w:t>
      </w:r>
      <w:r w:rsidR="00C81292">
        <w:t xml:space="preserve"> gross income</w:t>
      </w:r>
      <w:r>
        <w:t>,</w:t>
      </w:r>
      <w:r w:rsidR="00C81292">
        <w:t xml:space="preserve"> and calibrated random utility</w:t>
      </w:r>
      <w:r>
        <w:t xml:space="preserve"> terms</w:t>
      </w:r>
      <w:r w:rsidR="00C81292">
        <w:t>). Specifically, the benchmark run:</w:t>
      </w:r>
    </w:p>
    <w:p w:rsidR="00C81292" w:rsidRDefault="00C81292" w:rsidP="00C81292">
      <w:pPr>
        <w:pStyle w:val="ListNumber"/>
        <w:numPr>
          <w:ilvl w:val="0"/>
          <w:numId w:val="29"/>
        </w:numPr>
      </w:pPr>
      <w:r>
        <w:t xml:space="preserve">calculates imputed wages </w:t>
      </w:r>
    </w:p>
    <w:p w:rsidR="00C81292" w:rsidRDefault="00C81292" w:rsidP="00C81292">
      <w:pPr>
        <w:pStyle w:val="ListNumber"/>
        <w:numPr>
          <w:ilvl w:val="0"/>
          <w:numId w:val="22"/>
        </w:numPr>
      </w:pPr>
      <w:r>
        <w:t>uses imputed wages to calculate gross income at each labour supply choice</w:t>
      </w:r>
    </w:p>
    <w:p w:rsidR="00C81292" w:rsidRDefault="00C81292" w:rsidP="00C81292">
      <w:pPr>
        <w:pStyle w:val="ListNumber"/>
        <w:numPr>
          <w:ilvl w:val="0"/>
          <w:numId w:val="22"/>
        </w:numPr>
      </w:pPr>
      <w:r>
        <w:t>calculates disposable income using imputed gross income and the tax and transfer rules represented in CAPITA</w:t>
      </w:r>
    </w:p>
    <w:p w:rsidR="00C81292" w:rsidRDefault="00C81292" w:rsidP="00C81292">
      <w:pPr>
        <w:pStyle w:val="ListNumber"/>
        <w:numPr>
          <w:ilvl w:val="0"/>
          <w:numId w:val="22"/>
        </w:numPr>
      </w:pPr>
      <w:r>
        <w:t>uses disposable income and hours worked to calculate utility</w:t>
      </w:r>
      <w:r w:rsidRPr="009A7EDA">
        <w:rPr>
          <w:rStyle w:val="FootnoteReference"/>
        </w:rPr>
        <w:footnoteReference w:id="12"/>
      </w:r>
      <w:r>
        <w:t xml:space="preserve"> at each possible labour supply choice </w:t>
      </w:r>
    </w:p>
    <w:p w:rsidR="00C81292" w:rsidRPr="00C041EC" w:rsidRDefault="00C81292" w:rsidP="00C81292">
      <w:pPr>
        <w:pStyle w:val="ListNumber"/>
        <w:numPr>
          <w:ilvl w:val="0"/>
          <w:numId w:val="22"/>
        </w:numPr>
      </w:pPr>
      <w:r>
        <w:t xml:space="preserve">generates and calibrates </w:t>
      </w:r>
      <w:r w:rsidR="00664C0E">
        <w:t xml:space="preserve">the </w:t>
      </w:r>
      <w:r>
        <w:t xml:space="preserve">random utility </w:t>
      </w:r>
      <w:r w:rsidR="00664C0E">
        <w:t xml:space="preserve">terms </w:t>
      </w:r>
      <w:r>
        <w:t xml:space="preserve">so that </w:t>
      </w:r>
      <w:r w:rsidR="00664C0E">
        <w:t xml:space="preserve">the </w:t>
      </w:r>
      <w:r>
        <w:t xml:space="preserve">model’s estimated optimal hours equal observed hours, and saves the calibrated </w:t>
      </w:r>
      <w:r w:rsidR="00664C0E">
        <w:t xml:space="preserve">terms </w:t>
      </w:r>
      <w:r>
        <w:t>for use in the reform run.</w:t>
      </w:r>
    </w:p>
    <w:p w:rsidR="00C81292" w:rsidRDefault="00664C0E" w:rsidP="00C81292">
      <w:pPr>
        <w:pStyle w:val="BodyText"/>
      </w:pPr>
      <w:r>
        <w:t>T</w:t>
      </w:r>
      <w:r w:rsidR="00C81292">
        <w:t>he reform run</w:t>
      </w:r>
      <w:r>
        <w:t xml:space="preserve"> </w:t>
      </w:r>
      <w:r w:rsidR="00C81292">
        <w:t xml:space="preserve">implements the </w:t>
      </w:r>
      <w:r>
        <w:t xml:space="preserve">parameters in the last column of </w:t>
      </w:r>
      <w:r w:rsidR="00DB0C22">
        <w:t>table 1</w:t>
      </w:r>
      <w:r w:rsidR="00C81292">
        <w:t>. By combining elements of the baseline run with post</w:t>
      </w:r>
      <w:r w:rsidR="00C81292">
        <w:noBreakHyphen/>
        <w:t>reform tax and transfer rules, CAPITA</w:t>
      </w:r>
      <w:r w:rsidR="00C81292">
        <w:noBreakHyphen/>
        <w:t>B can estimate decision maker’s expected response to policy reform. Specifically,</w:t>
      </w:r>
      <w:r w:rsidR="00196662">
        <w:t xml:space="preserve"> </w:t>
      </w:r>
      <w:r w:rsidR="00C81292">
        <w:t>for</w:t>
      </w:r>
      <w:r w:rsidR="008248E7">
        <w:t xml:space="preserve"> each</w:t>
      </w:r>
      <w:r w:rsidR="00C81292">
        <w:t xml:space="preserve"> decision maker, the reform run:</w:t>
      </w:r>
    </w:p>
    <w:p w:rsidR="00C81292" w:rsidRDefault="00C81292" w:rsidP="00C81292">
      <w:pPr>
        <w:pStyle w:val="ListNumber"/>
        <w:numPr>
          <w:ilvl w:val="0"/>
          <w:numId w:val="23"/>
        </w:numPr>
      </w:pPr>
      <w:r>
        <w:t>takes gross income from the be</w:t>
      </w:r>
      <w:r w:rsidR="00DA5B16">
        <w:t xml:space="preserve">nchmark run and applies </w:t>
      </w:r>
      <w:r w:rsidR="008248E7">
        <w:t xml:space="preserve">static </w:t>
      </w:r>
      <w:r w:rsidR="00DA5B16">
        <w:t xml:space="preserve">CAPITA </w:t>
      </w:r>
      <w:r>
        <w:t>with updated reform parameters to calculate post</w:t>
      </w:r>
      <w:r>
        <w:noBreakHyphen/>
        <w:t>reform disposable income</w:t>
      </w:r>
    </w:p>
    <w:p w:rsidR="00C81292" w:rsidRDefault="00C81292" w:rsidP="00C81292">
      <w:pPr>
        <w:pStyle w:val="ListNumber"/>
        <w:numPr>
          <w:ilvl w:val="0"/>
          <w:numId w:val="23"/>
        </w:numPr>
      </w:pPr>
      <w:r>
        <w:t>recalculate</w:t>
      </w:r>
      <w:r w:rsidR="008248E7">
        <w:t>s</w:t>
      </w:r>
      <w:r>
        <w:t xml:space="preserve"> deterministic utility at each labour supply choice</w:t>
      </w:r>
      <w:r w:rsidR="00DA5B16">
        <w:t xml:space="preserve"> using post</w:t>
      </w:r>
      <w:r w:rsidR="00DA5B16">
        <w:noBreakHyphen/>
        <w:t>reform disposable income</w:t>
      </w:r>
    </w:p>
    <w:p w:rsidR="00C81292" w:rsidRDefault="00DA5B16" w:rsidP="00C81292">
      <w:pPr>
        <w:pStyle w:val="ListNumber"/>
        <w:numPr>
          <w:ilvl w:val="0"/>
          <w:numId w:val="23"/>
        </w:numPr>
      </w:pPr>
      <w:r>
        <w:lastRenderedPageBreak/>
        <w:t>uses the</w:t>
      </w:r>
      <w:r w:rsidR="00C81292">
        <w:t xml:space="preserve"> calibrated random utility</w:t>
      </w:r>
      <w:r>
        <w:t xml:space="preserve"> term</w:t>
      </w:r>
      <w:r w:rsidR="006F7850">
        <w:t>s</w:t>
      </w:r>
      <w:r>
        <w:t xml:space="preserve"> calculated in the benchmark run along with updated deterministic utility to </w:t>
      </w:r>
      <w:r w:rsidR="008248E7">
        <w:t>calculate</w:t>
      </w:r>
      <w:r>
        <w:t xml:space="preserve"> updated total utility</w:t>
      </w:r>
    </w:p>
    <w:p w:rsidR="00C81292" w:rsidRDefault="00C81292" w:rsidP="00084A13">
      <w:pPr>
        <w:pStyle w:val="ListNumber"/>
        <w:numPr>
          <w:ilvl w:val="0"/>
          <w:numId w:val="23"/>
        </w:numPr>
      </w:pPr>
      <w:r>
        <w:t xml:space="preserve">selects </w:t>
      </w:r>
      <w:r w:rsidR="00DA5B16">
        <w:t xml:space="preserve">post-reform </w:t>
      </w:r>
      <w:r>
        <w:t xml:space="preserve">optimal labour supply based on </w:t>
      </w:r>
      <w:r w:rsidR="00DA5B16">
        <w:t xml:space="preserve">updated </w:t>
      </w:r>
      <w:r>
        <w:t>total utility, and reports results.</w:t>
      </w:r>
    </w:p>
    <w:p w:rsidR="00153A5B" w:rsidRDefault="00D63289" w:rsidP="007F4CFE">
      <w:pPr>
        <w:pStyle w:val="Heading3"/>
      </w:pPr>
      <w:r>
        <w:t xml:space="preserve">The </w:t>
      </w:r>
      <w:r w:rsidRPr="007F4CFE">
        <w:t>benchmark</w:t>
      </w:r>
      <w:r>
        <w:t xml:space="preserve"> run</w:t>
      </w:r>
    </w:p>
    <w:p w:rsidR="00D9267C" w:rsidRDefault="00323356" w:rsidP="00D9267C">
      <w:pPr>
        <w:pStyle w:val="BodyText"/>
      </w:pPr>
      <w:r>
        <w:t>CAPITA</w:t>
      </w:r>
      <w:r w:rsidR="001C2D13">
        <w:noBreakHyphen/>
        <w:t>B</w:t>
      </w:r>
      <w:r>
        <w:t xml:space="preserve"> estimates </w:t>
      </w:r>
      <w:r w:rsidR="00D977B8">
        <w:t xml:space="preserve">a decision maker’s </w:t>
      </w:r>
      <w:r w:rsidR="00DA730D">
        <w:t xml:space="preserve">hourly </w:t>
      </w:r>
      <w:r>
        <w:t xml:space="preserve">wage using </w:t>
      </w:r>
      <w:r w:rsidR="00DB0C22">
        <w:t xml:space="preserve">observed </w:t>
      </w:r>
      <w:r>
        <w:t>characteristics</w:t>
      </w:r>
      <w:r w:rsidR="000F7A5A">
        <w:t xml:space="preserve"> and parameters from </w:t>
      </w:r>
      <w:r w:rsidR="00DB0C22">
        <w:t>the</w:t>
      </w:r>
      <w:r w:rsidR="000F7A5A">
        <w:t xml:space="preserve"> wage equation</w:t>
      </w:r>
      <w:r>
        <w:t>.</w:t>
      </w:r>
      <w:r w:rsidR="000411C5">
        <w:t xml:space="preserve"> </w:t>
      </w:r>
      <w:r w:rsidR="00AB7467">
        <w:t>The selected decision maker’s wage is estimated at $45 per hour based</w:t>
      </w:r>
      <w:r w:rsidR="000411C5">
        <w:t xml:space="preserve"> on the fact that</w:t>
      </w:r>
      <w:r w:rsidR="00D731BF">
        <w:t> — amongst other things — t</w:t>
      </w:r>
      <w:r w:rsidR="00DA730D">
        <w:t>he</w:t>
      </w:r>
      <w:r w:rsidR="00AB7467">
        <w:t xml:space="preserve">y are </w:t>
      </w:r>
      <w:r w:rsidR="000411C5">
        <w:t xml:space="preserve">55 years old, </w:t>
      </w:r>
      <w:r w:rsidR="000411C5" w:rsidRPr="00D731BF">
        <w:t>ha</w:t>
      </w:r>
      <w:r w:rsidR="00AB7467">
        <w:t>ve</w:t>
      </w:r>
      <w:r w:rsidR="000411C5" w:rsidRPr="00D731BF">
        <w:t xml:space="preserve"> no dependent children</w:t>
      </w:r>
      <w:r w:rsidR="00D731BF">
        <w:t xml:space="preserve">, reside in Victoria and </w:t>
      </w:r>
      <w:r w:rsidR="00AB7467">
        <w:t>are</w:t>
      </w:r>
      <w:r w:rsidR="00D731BF">
        <w:t xml:space="preserve"> employed in the manufacturing industry</w:t>
      </w:r>
      <w:r w:rsidR="009C5B6C">
        <w:t xml:space="preserve">. Table </w:t>
      </w:r>
      <w:r w:rsidR="00F15634">
        <w:t>2</w:t>
      </w:r>
      <w:r w:rsidR="009C5B6C">
        <w:t xml:space="preserve"> illustrates the</w:t>
      </w:r>
      <w:r w:rsidR="00A73035">
        <w:t xml:space="preserve"> annual</w:t>
      </w:r>
      <w:r w:rsidR="009C5B6C">
        <w:t xml:space="preserve"> gross</w:t>
      </w:r>
      <w:r w:rsidR="00DA730D">
        <w:t xml:space="preserve"> wage</w:t>
      </w:r>
      <w:r w:rsidR="009C5B6C">
        <w:t xml:space="preserve"> income associated with this </w:t>
      </w:r>
      <w:r w:rsidR="00DA730D">
        <w:t>hourly wage</w:t>
      </w:r>
      <w:r w:rsidR="009C5B6C">
        <w:t xml:space="preserve"> at each possible labour supply choice</w:t>
      </w:r>
      <w:r>
        <w:t>.</w:t>
      </w:r>
    </w:p>
    <w:p w:rsidR="009C5B6C" w:rsidRDefault="009C5B6C" w:rsidP="0009714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9C5B6C" w:rsidTr="0009714B">
        <w:tc>
          <w:tcPr>
            <w:tcW w:w="8771" w:type="dxa"/>
            <w:tcBorders>
              <w:top w:val="single" w:sz="6" w:space="0" w:color="78A22F"/>
              <w:left w:val="nil"/>
              <w:bottom w:val="nil"/>
              <w:right w:val="nil"/>
            </w:tcBorders>
            <w:shd w:val="clear" w:color="auto" w:fill="auto"/>
          </w:tcPr>
          <w:p w:rsidR="009C5B6C" w:rsidRDefault="009C5B6C" w:rsidP="00DB0C22">
            <w:pPr>
              <w:pStyle w:val="TableTitle"/>
            </w:pPr>
            <w:r>
              <w:rPr>
                <w:b w:val="0"/>
              </w:rPr>
              <w:t xml:space="preserve">Table </w:t>
            </w:r>
            <w:bookmarkStart w:id="8" w:name="OLE_LINK9"/>
            <w:r w:rsidR="003F2E30">
              <w:rPr>
                <w:b w:val="0"/>
                <w:noProof/>
              </w:rPr>
              <w:t>2</w:t>
            </w:r>
            <w:bookmarkEnd w:id="8"/>
            <w:r>
              <w:tab/>
              <w:t>Gross and net income</w:t>
            </w:r>
            <w:r w:rsidR="00DB0C22">
              <w:t xml:space="preserve"> for each possible labour supply</w:t>
            </w:r>
          </w:p>
          <w:p w:rsidR="002508EF" w:rsidRPr="002508EF" w:rsidRDefault="002508EF" w:rsidP="003D7277">
            <w:pPr>
              <w:pStyle w:val="Subtitle"/>
            </w:pPr>
            <w:r>
              <w:t>B</w:t>
            </w:r>
            <w:r w:rsidRPr="002508EF">
              <w:t>enchmark run</w:t>
            </w:r>
          </w:p>
        </w:tc>
      </w:tr>
      <w:tr w:rsidR="009C5B6C" w:rsidTr="0009714B">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9C5B6C" w:rsidTr="0009714B">
              <w:tc>
                <w:tcPr>
                  <w:tcW w:w="1667" w:type="pct"/>
                  <w:tcBorders>
                    <w:top w:val="single" w:sz="6" w:space="0" w:color="BFBFBF"/>
                    <w:bottom w:val="single" w:sz="6" w:space="0" w:color="BFBFBF"/>
                  </w:tcBorders>
                  <w:shd w:val="clear" w:color="auto" w:fill="auto"/>
                  <w:tcMar>
                    <w:top w:w="28" w:type="dxa"/>
                  </w:tcMar>
                </w:tcPr>
                <w:p w:rsidR="009C5B6C" w:rsidRDefault="003A471E" w:rsidP="0009714B">
                  <w:pPr>
                    <w:pStyle w:val="TableColumnHeading"/>
                    <w:jc w:val="left"/>
                  </w:pPr>
                  <w:r>
                    <w:t>Hours worked per week</w:t>
                  </w:r>
                </w:p>
              </w:tc>
              <w:tc>
                <w:tcPr>
                  <w:tcW w:w="1667" w:type="pct"/>
                  <w:tcBorders>
                    <w:top w:val="single" w:sz="6" w:space="0" w:color="BFBFBF"/>
                    <w:bottom w:val="single" w:sz="6" w:space="0" w:color="BFBFBF"/>
                  </w:tcBorders>
                  <w:shd w:val="clear" w:color="auto" w:fill="auto"/>
                  <w:tcMar>
                    <w:top w:w="28" w:type="dxa"/>
                  </w:tcMar>
                </w:tcPr>
                <w:p w:rsidR="009C5B6C" w:rsidRDefault="003A471E" w:rsidP="0009714B">
                  <w:pPr>
                    <w:pStyle w:val="TableColumnHeading"/>
                  </w:pPr>
                  <w:r>
                    <w:t xml:space="preserve">Annual </w:t>
                  </w:r>
                  <w:r w:rsidR="00DA730D">
                    <w:t xml:space="preserve">gross </w:t>
                  </w:r>
                  <w:r>
                    <w:t>wage</w:t>
                  </w:r>
                  <w:r w:rsidR="009C5B6C">
                    <w:t xml:space="preserve"> income</w:t>
                  </w:r>
                </w:p>
              </w:tc>
              <w:tc>
                <w:tcPr>
                  <w:tcW w:w="1666" w:type="pct"/>
                  <w:tcBorders>
                    <w:top w:val="single" w:sz="6" w:space="0" w:color="BFBFBF"/>
                    <w:bottom w:val="single" w:sz="6" w:space="0" w:color="BFBFBF"/>
                  </w:tcBorders>
                  <w:shd w:val="clear" w:color="auto" w:fill="auto"/>
                  <w:tcMar>
                    <w:top w:w="28" w:type="dxa"/>
                  </w:tcMar>
                </w:tcPr>
                <w:p w:rsidR="009C5B6C" w:rsidRDefault="003A471E" w:rsidP="0009714B">
                  <w:pPr>
                    <w:pStyle w:val="TableColumnHeading"/>
                    <w:ind w:right="28"/>
                  </w:pPr>
                  <w:r>
                    <w:t>Annual d</w:t>
                  </w:r>
                  <w:r w:rsidR="009C5B6C">
                    <w:t>isposable income</w:t>
                  </w:r>
                </w:p>
              </w:tc>
            </w:tr>
            <w:tr w:rsidR="009C5B6C" w:rsidTr="0009714B">
              <w:tc>
                <w:tcPr>
                  <w:tcW w:w="1667" w:type="pct"/>
                  <w:tcBorders>
                    <w:top w:val="single" w:sz="6" w:space="0" w:color="BFBFBF"/>
                  </w:tcBorders>
                </w:tcPr>
                <w:p w:rsidR="009C5B6C" w:rsidRDefault="009C5B6C" w:rsidP="0009714B">
                  <w:pPr>
                    <w:pStyle w:val="TableUnitsRow"/>
                    <w:jc w:val="left"/>
                  </w:pPr>
                  <w:r>
                    <w:t>0</w:t>
                  </w:r>
                </w:p>
              </w:tc>
              <w:tc>
                <w:tcPr>
                  <w:tcW w:w="1667" w:type="pct"/>
                  <w:tcBorders>
                    <w:top w:val="single" w:sz="6" w:space="0" w:color="BFBFBF"/>
                  </w:tcBorders>
                </w:tcPr>
                <w:p w:rsidR="009C5B6C" w:rsidRDefault="00C067B9" w:rsidP="0009714B">
                  <w:pPr>
                    <w:pStyle w:val="TableUnitsRow"/>
                  </w:pPr>
                  <w:r>
                    <w:t>$</w:t>
                  </w:r>
                  <w:r w:rsidR="003A471E">
                    <w:t>0</w:t>
                  </w:r>
                </w:p>
              </w:tc>
              <w:tc>
                <w:tcPr>
                  <w:tcW w:w="1666" w:type="pct"/>
                  <w:tcBorders>
                    <w:top w:val="single" w:sz="6" w:space="0" w:color="BFBFBF"/>
                  </w:tcBorders>
                </w:tcPr>
                <w:p w:rsidR="009C5B6C" w:rsidRPr="00C067B9" w:rsidRDefault="00C067B9" w:rsidP="00783AB6">
                  <w:pPr>
                    <w:pStyle w:val="TableUnitsRow"/>
                    <w:spacing w:before="100" w:beforeAutospacing="1"/>
                    <w:ind w:right="28"/>
                    <w:rPr>
                      <w:rStyle w:val="NoteLabel"/>
                    </w:rPr>
                  </w:pPr>
                  <w:r>
                    <w:t>$</w:t>
                  </w:r>
                  <w:r w:rsidR="003A471E">
                    <w:t>0</w:t>
                  </w:r>
                  <w:r>
                    <w:rPr>
                      <w:rStyle w:val="NoteLabel"/>
                    </w:rPr>
                    <w:t>a</w:t>
                  </w:r>
                </w:p>
              </w:tc>
            </w:tr>
            <w:tr w:rsidR="009C5B6C" w:rsidTr="0009714B">
              <w:tc>
                <w:tcPr>
                  <w:tcW w:w="1667" w:type="pct"/>
                </w:tcPr>
                <w:p w:rsidR="009C5B6C" w:rsidRDefault="009C5B6C" w:rsidP="0009714B">
                  <w:pPr>
                    <w:pStyle w:val="TableBodyText"/>
                    <w:jc w:val="left"/>
                  </w:pPr>
                  <w:r>
                    <w:t>10</w:t>
                  </w:r>
                </w:p>
              </w:tc>
              <w:tc>
                <w:tcPr>
                  <w:tcW w:w="1667" w:type="pct"/>
                </w:tcPr>
                <w:p w:rsidR="009C5B6C" w:rsidRDefault="0041136D" w:rsidP="0009714B">
                  <w:pPr>
                    <w:pStyle w:val="TableBodyText"/>
                  </w:pPr>
                  <w:r>
                    <w:t>$23 226</w:t>
                  </w:r>
                </w:p>
              </w:tc>
              <w:tc>
                <w:tcPr>
                  <w:tcW w:w="1666" w:type="pct"/>
                </w:tcPr>
                <w:p w:rsidR="009C5B6C" w:rsidRDefault="003A471E" w:rsidP="0009714B">
                  <w:pPr>
                    <w:pStyle w:val="TableBodyText"/>
                    <w:ind w:right="28"/>
                  </w:pPr>
                  <w:r>
                    <w:t>$</w:t>
                  </w:r>
                  <w:r w:rsidR="0041136D">
                    <w:t>22 839</w:t>
                  </w:r>
                </w:p>
              </w:tc>
            </w:tr>
            <w:tr w:rsidR="009C5B6C" w:rsidTr="009C5B6C">
              <w:tc>
                <w:tcPr>
                  <w:tcW w:w="1667" w:type="pct"/>
                  <w:shd w:val="clear" w:color="auto" w:fill="auto"/>
                </w:tcPr>
                <w:p w:rsidR="009C5B6C" w:rsidRDefault="009C5B6C" w:rsidP="0009714B">
                  <w:pPr>
                    <w:pStyle w:val="TableBodyText"/>
                    <w:jc w:val="left"/>
                  </w:pPr>
                  <w:r>
                    <w:t>20</w:t>
                  </w:r>
                </w:p>
              </w:tc>
              <w:tc>
                <w:tcPr>
                  <w:tcW w:w="1667" w:type="pct"/>
                  <w:shd w:val="clear" w:color="auto" w:fill="auto"/>
                </w:tcPr>
                <w:p w:rsidR="009C5B6C" w:rsidRDefault="0041136D" w:rsidP="0009714B">
                  <w:pPr>
                    <w:pStyle w:val="TableBodyText"/>
                  </w:pPr>
                  <w:r>
                    <w:t>$46 451</w:t>
                  </w:r>
                </w:p>
              </w:tc>
              <w:tc>
                <w:tcPr>
                  <w:tcW w:w="1666" w:type="pct"/>
                  <w:shd w:val="clear" w:color="auto" w:fill="auto"/>
                </w:tcPr>
                <w:p w:rsidR="009C5B6C" w:rsidRDefault="0041136D" w:rsidP="00DA730D">
                  <w:pPr>
                    <w:pStyle w:val="TableBodyText"/>
                    <w:ind w:right="28"/>
                  </w:pPr>
                  <w:r>
                    <w:t>$39 624</w:t>
                  </w:r>
                </w:p>
              </w:tc>
            </w:tr>
            <w:tr w:rsidR="009C5B6C" w:rsidTr="009C5B6C">
              <w:tc>
                <w:tcPr>
                  <w:tcW w:w="1667" w:type="pct"/>
                  <w:shd w:val="clear" w:color="auto" w:fill="auto"/>
                </w:tcPr>
                <w:p w:rsidR="009C5B6C" w:rsidRDefault="009C5B6C" w:rsidP="0009714B">
                  <w:pPr>
                    <w:pStyle w:val="TableBodyText"/>
                    <w:jc w:val="left"/>
                  </w:pPr>
                  <w:r>
                    <w:t>30</w:t>
                  </w:r>
                </w:p>
              </w:tc>
              <w:tc>
                <w:tcPr>
                  <w:tcW w:w="1667" w:type="pct"/>
                  <w:shd w:val="clear" w:color="auto" w:fill="auto"/>
                </w:tcPr>
                <w:p w:rsidR="009C5B6C" w:rsidRDefault="0041136D" w:rsidP="0009714B">
                  <w:pPr>
                    <w:pStyle w:val="TableBodyText"/>
                  </w:pPr>
                  <w:r>
                    <w:t>$69 677</w:t>
                  </w:r>
                </w:p>
              </w:tc>
              <w:tc>
                <w:tcPr>
                  <w:tcW w:w="1666" w:type="pct"/>
                  <w:shd w:val="clear" w:color="auto" w:fill="auto"/>
                </w:tcPr>
                <w:p w:rsidR="009C5B6C" w:rsidRDefault="0041136D" w:rsidP="0009714B">
                  <w:pPr>
                    <w:pStyle w:val="TableBodyText"/>
                    <w:ind w:right="28"/>
                  </w:pPr>
                  <w:r>
                    <w:t>$54 515</w:t>
                  </w:r>
                </w:p>
              </w:tc>
            </w:tr>
            <w:tr w:rsidR="009C5B6C" w:rsidTr="009C5B6C">
              <w:tc>
                <w:tcPr>
                  <w:tcW w:w="1667" w:type="pct"/>
                  <w:shd w:val="clear" w:color="auto" w:fill="auto"/>
                </w:tcPr>
                <w:p w:rsidR="009C5B6C" w:rsidRDefault="009C5B6C" w:rsidP="0009714B">
                  <w:pPr>
                    <w:pStyle w:val="TableBodyText"/>
                    <w:jc w:val="left"/>
                  </w:pPr>
                  <w:r>
                    <w:t>40</w:t>
                  </w:r>
                </w:p>
              </w:tc>
              <w:tc>
                <w:tcPr>
                  <w:tcW w:w="1667" w:type="pct"/>
                  <w:shd w:val="clear" w:color="auto" w:fill="auto"/>
                </w:tcPr>
                <w:p w:rsidR="009C5B6C" w:rsidRDefault="0041136D" w:rsidP="0009714B">
                  <w:pPr>
                    <w:pStyle w:val="TableBodyText"/>
                  </w:pPr>
                  <w:r>
                    <w:t>$92 903</w:t>
                  </w:r>
                </w:p>
              </w:tc>
              <w:tc>
                <w:tcPr>
                  <w:tcW w:w="1666" w:type="pct"/>
                  <w:shd w:val="clear" w:color="auto" w:fill="auto"/>
                </w:tcPr>
                <w:p w:rsidR="009C5B6C" w:rsidRDefault="0041136D" w:rsidP="0009714B">
                  <w:pPr>
                    <w:pStyle w:val="TableBodyText"/>
                    <w:ind w:right="28"/>
                  </w:pPr>
                  <w:r>
                    <w:t>$69 203</w:t>
                  </w:r>
                </w:p>
              </w:tc>
            </w:tr>
            <w:tr w:rsidR="009C5B6C" w:rsidTr="0009714B">
              <w:tc>
                <w:tcPr>
                  <w:tcW w:w="1667" w:type="pct"/>
                  <w:tcBorders>
                    <w:bottom w:val="single" w:sz="6" w:space="0" w:color="BFBFBF"/>
                  </w:tcBorders>
                  <w:shd w:val="clear" w:color="auto" w:fill="auto"/>
                </w:tcPr>
                <w:p w:rsidR="009C5B6C" w:rsidRDefault="009C5B6C" w:rsidP="0009714B">
                  <w:pPr>
                    <w:pStyle w:val="TableBodyText"/>
                    <w:jc w:val="left"/>
                  </w:pPr>
                  <w:r>
                    <w:t>50</w:t>
                  </w:r>
                </w:p>
              </w:tc>
              <w:tc>
                <w:tcPr>
                  <w:tcW w:w="1667" w:type="pct"/>
                  <w:tcBorders>
                    <w:bottom w:val="single" w:sz="6" w:space="0" w:color="BFBFBF"/>
                  </w:tcBorders>
                  <w:shd w:val="clear" w:color="auto" w:fill="auto"/>
                </w:tcPr>
                <w:p w:rsidR="009C5B6C" w:rsidRDefault="0041136D" w:rsidP="0009714B">
                  <w:pPr>
                    <w:pStyle w:val="TableBodyText"/>
                  </w:pPr>
                  <w:r>
                    <w:t>$116 129</w:t>
                  </w:r>
                </w:p>
              </w:tc>
              <w:tc>
                <w:tcPr>
                  <w:tcW w:w="1666" w:type="pct"/>
                  <w:tcBorders>
                    <w:bottom w:val="single" w:sz="6" w:space="0" w:color="BFBFBF"/>
                  </w:tcBorders>
                  <w:shd w:val="clear" w:color="auto" w:fill="auto"/>
                </w:tcPr>
                <w:p w:rsidR="009C5B6C" w:rsidRDefault="0041136D" w:rsidP="0009714B">
                  <w:pPr>
                    <w:pStyle w:val="TableBodyText"/>
                    <w:ind w:right="28"/>
                  </w:pPr>
                  <w:r>
                    <w:t>$83 370</w:t>
                  </w:r>
                </w:p>
              </w:tc>
            </w:tr>
          </w:tbl>
          <w:p w:rsidR="009C5B6C" w:rsidRDefault="009C5B6C" w:rsidP="0009714B">
            <w:pPr>
              <w:pStyle w:val="Box"/>
            </w:pPr>
          </w:p>
        </w:tc>
      </w:tr>
      <w:tr w:rsidR="009C5B6C" w:rsidTr="0009714B">
        <w:trPr>
          <w:cantSplit/>
        </w:trPr>
        <w:tc>
          <w:tcPr>
            <w:tcW w:w="8771" w:type="dxa"/>
            <w:tcBorders>
              <w:top w:val="nil"/>
              <w:left w:val="nil"/>
              <w:bottom w:val="nil"/>
              <w:right w:val="nil"/>
            </w:tcBorders>
            <w:shd w:val="clear" w:color="auto" w:fill="auto"/>
          </w:tcPr>
          <w:p w:rsidR="009C5B6C" w:rsidRDefault="009C5B6C" w:rsidP="00DB0C22">
            <w:pPr>
              <w:pStyle w:val="Note"/>
              <w:rPr>
                <w:i/>
              </w:rPr>
            </w:pPr>
            <w:r w:rsidRPr="008E77FE">
              <w:rPr>
                <w:rStyle w:val="NoteLabel"/>
              </w:rPr>
              <w:t>a</w:t>
            </w:r>
            <w:r w:rsidR="00393E08">
              <w:t xml:space="preserve"> Z</w:t>
            </w:r>
            <w:r w:rsidR="00C067B9">
              <w:t xml:space="preserve">ero disposable income for this labour supply choice results from the eligibility criteria inherent in the static CAPITA model. That is, eligibility for a payment depends on whether a decision maker is observed </w:t>
            </w:r>
            <w:r w:rsidR="00DB0C22">
              <w:t xml:space="preserve">in the </w:t>
            </w:r>
            <w:proofErr w:type="spellStart"/>
            <w:r w:rsidR="00DB0C22">
              <w:t>SIH</w:t>
            </w:r>
            <w:proofErr w:type="spellEnd"/>
            <w:r w:rsidR="00DB0C22">
              <w:t xml:space="preserve"> </w:t>
            </w:r>
            <w:r w:rsidR="00C067B9">
              <w:t xml:space="preserve">as having received </w:t>
            </w:r>
            <w:r w:rsidR="00DB0C22">
              <w:t xml:space="preserve">a </w:t>
            </w:r>
            <w:r w:rsidR="00C067B9">
              <w:t xml:space="preserve">payment. </w:t>
            </w:r>
            <w:r w:rsidR="00DB0C22">
              <w:t xml:space="preserve">In this case, the person selected was not recorded as having received any payment. </w:t>
            </w:r>
          </w:p>
        </w:tc>
      </w:tr>
      <w:tr w:rsidR="009C5B6C" w:rsidTr="0009714B">
        <w:trPr>
          <w:cantSplit/>
        </w:trPr>
        <w:tc>
          <w:tcPr>
            <w:tcW w:w="8771" w:type="dxa"/>
            <w:tcBorders>
              <w:top w:val="nil"/>
              <w:left w:val="nil"/>
              <w:bottom w:val="nil"/>
              <w:right w:val="nil"/>
            </w:tcBorders>
            <w:shd w:val="clear" w:color="auto" w:fill="auto"/>
          </w:tcPr>
          <w:p w:rsidR="009C5B6C" w:rsidRDefault="009C5B6C" w:rsidP="00D22ED5">
            <w:pPr>
              <w:pStyle w:val="Source"/>
            </w:pPr>
            <w:r>
              <w:rPr>
                <w:i/>
              </w:rPr>
              <w:t>Source</w:t>
            </w:r>
            <w:r w:rsidRPr="00167F06">
              <w:t xml:space="preserve">: </w:t>
            </w:r>
            <w:r>
              <w:t>Author</w:t>
            </w:r>
            <w:r w:rsidR="00D22ED5">
              <w:t>s estimates</w:t>
            </w:r>
            <w:r w:rsidR="00DF21B5">
              <w:t>.</w:t>
            </w:r>
          </w:p>
        </w:tc>
      </w:tr>
      <w:tr w:rsidR="009C5B6C" w:rsidTr="0009714B">
        <w:trPr>
          <w:cantSplit/>
        </w:trPr>
        <w:tc>
          <w:tcPr>
            <w:tcW w:w="8771" w:type="dxa"/>
            <w:tcBorders>
              <w:top w:val="nil"/>
              <w:left w:val="nil"/>
              <w:bottom w:val="single" w:sz="6" w:space="0" w:color="78A22F"/>
              <w:right w:val="nil"/>
            </w:tcBorders>
            <w:shd w:val="clear" w:color="auto" w:fill="auto"/>
          </w:tcPr>
          <w:p w:rsidR="009C5B6C" w:rsidRDefault="009C5B6C" w:rsidP="0009714B">
            <w:pPr>
              <w:pStyle w:val="Box"/>
              <w:spacing w:before="0" w:line="120" w:lineRule="exact"/>
            </w:pPr>
          </w:p>
        </w:tc>
      </w:tr>
      <w:tr w:rsidR="009C5B6C" w:rsidRPr="000863A5" w:rsidTr="0009714B">
        <w:tc>
          <w:tcPr>
            <w:tcW w:w="8771" w:type="dxa"/>
            <w:tcBorders>
              <w:top w:val="single" w:sz="6" w:space="0" w:color="78A22F"/>
              <w:left w:val="nil"/>
              <w:bottom w:val="nil"/>
              <w:right w:val="nil"/>
            </w:tcBorders>
          </w:tcPr>
          <w:p w:rsidR="009C5B6C" w:rsidRPr="00626D32" w:rsidRDefault="009C5B6C" w:rsidP="0009714B">
            <w:pPr>
              <w:pStyle w:val="BoxSpaceBelow"/>
            </w:pPr>
          </w:p>
        </w:tc>
      </w:tr>
    </w:tbl>
    <w:p w:rsidR="00323356" w:rsidRDefault="008C4A44" w:rsidP="00D9267C">
      <w:pPr>
        <w:pStyle w:val="BodyText"/>
      </w:pPr>
      <w:r>
        <w:t>Deterministic</w:t>
      </w:r>
      <w:r w:rsidR="00970669">
        <w:t xml:space="preserve"> </w:t>
      </w:r>
      <w:r w:rsidR="00633274">
        <w:t xml:space="preserve">utility </w:t>
      </w:r>
      <w:r w:rsidR="00AD337A">
        <w:t>depends on disposable income and hours worked</w:t>
      </w:r>
      <w:r w:rsidR="00A73035">
        <w:t>;</w:t>
      </w:r>
      <w:r w:rsidR="00AD337A">
        <w:t xml:space="preserve"> and follows a quadratic form (figure</w:t>
      </w:r>
      <w:r w:rsidR="00C04FD9">
        <w:t xml:space="preserve"> </w:t>
      </w:r>
      <w:r w:rsidR="00AF6939">
        <w:t>1</w:t>
      </w:r>
      <w:r w:rsidR="00AD337A">
        <w:t xml:space="preserve">). </w:t>
      </w:r>
      <w:r w:rsidR="009C5B6C">
        <w:t>Disposable income</w:t>
      </w:r>
      <w:r w:rsidR="00DC13FB">
        <w:t xml:space="preserve"> at a specific labour supply choice</w:t>
      </w:r>
      <w:r w:rsidR="009C5B6C">
        <w:t xml:space="preserve"> </w:t>
      </w:r>
      <w:r w:rsidR="000622F7">
        <w:t>is</w:t>
      </w:r>
      <w:r w:rsidR="009C5B6C">
        <w:t xml:space="preserve"> calculated using the </w:t>
      </w:r>
      <w:r w:rsidR="00633274">
        <w:t>decision maker’s</w:t>
      </w:r>
      <w:r w:rsidR="009C5B6C">
        <w:t xml:space="preserve"> gross income and </w:t>
      </w:r>
      <w:r w:rsidR="00DC13FB">
        <w:t xml:space="preserve">their </w:t>
      </w:r>
      <w:r w:rsidR="009C5B6C">
        <w:t>demographic characteristics, as well as rules of the tax and transfer system.</w:t>
      </w:r>
      <w:r w:rsidR="00911610">
        <w:t xml:space="preserve"> </w:t>
      </w:r>
    </w:p>
    <w:p w:rsidR="000A6D40" w:rsidRDefault="000A6D40" w:rsidP="00D9267C">
      <w:pPr>
        <w:pStyle w:val="BodyText"/>
      </w:pPr>
      <w:r>
        <w:t>The selected decision maker is observed to be working 50 hours per week, but their deterministic utility function produces a labour supply of 40 hours. This suggests that the deterministic utility function in figure 1 does not accurately represent their preferences. To address this, the random utility term is added to deterministic utility at each labour supply choice. An example of successful calibration is illustrated in figure 2, where total utility produces the observed labour supply of 50 hours. After calibration, the random utility terms are stored and used again to calculate total utility</w:t>
      </w:r>
      <w:r w:rsidR="007D0A04">
        <w:t xml:space="preserve"> in the reform run</w:t>
      </w:r>
      <w:r>
        <w:t>.</w:t>
      </w:r>
    </w:p>
    <w:p w:rsidR="006937B9" w:rsidRDefault="008C4A44" w:rsidP="0009714B">
      <w:pPr>
        <w:pStyle w:val="BoxSpaceAbove"/>
      </w:pPr>
      <w:r>
        <w:br w:type="page"/>
      </w:r>
    </w:p>
    <w:p w:rsidR="00F52166" w:rsidRDefault="00F52166"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52166" w:rsidTr="00F95957">
        <w:tc>
          <w:tcPr>
            <w:tcW w:w="8771" w:type="dxa"/>
            <w:tcBorders>
              <w:top w:val="single" w:sz="6" w:space="0" w:color="78A22F"/>
              <w:left w:val="nil"/>
              <w:bottom w:val="nil"/>
              <w:right w:val="nil"/>
            </w:tcBorders>
            <w:shd w:val="clear" w:color="auto" w:fill="auto"/>
          </w:tcPr>
          <w:p w:rsidR="00F52166" w:rsidRDefault="00F52166" w:rsidP="00784A05">
            <w:pPr>
              <w:pStyle w:val="FigureTitle"/>
            </w:pPr>
            <w:r w:rsidRPr="00784A05">
              <w:rPr>
                <w:b w:val="0"/>
              </w:rPr>
              <w:t xml:space="preserve">Figure </w:t>
            </w:r>
            <w:r>
              <w:rPr>
                <w:b w:val="0"/>
              </w:rPr>
              <w:t>1</w:t>
            </w:r>
            <w:r>
              <w:tab/>
              <w:t>Deterministic utility</w:t>
            </w:r>
          </w:p>
          <w:p w:rsidR="00F52166" w:rsidRPr="00176D3F" w:rsidRDefault="00F52166" w:rsidP="00784A05">
            <w:pPr>
              <w:pStyle w:val="Subtitle"/>
            </w:pPr>
            <w:r>
              <w:t>Benchmark run</w:t>
            </w:r>
          </w:p>
        </w:tc>
      </w:tr>
      <w:tr w:rsidR="00F52166" w:rsidTr="00F9595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52166" w:rsidTr="00D27860">
              <w:trPr>
                <w:jc w:val="center"/>
              </w:trPr>
              <w:tc>
                <w:tcPr>
                  <w:tcW w:w="5000" w:type="pct"/>
                  <w:tcBorders>
                    <w:top w:val="nil"/>
                    <w:bottom w:val="nil"/>
                  </w:tcBorders>
                </w:tcPr>
                <w:p w:rsidR="00F52166" w:rsidRDefault="00F52166" w:rsidP="007C17A6">
                  <w:pPr>
                    <w:pStyle w:val="Figure"/>
                    <w:spacing w:before="60" w:after="60"/>
                  </w:pPr>
                  <w:r>
                    <w:rPr>
                      <w:noProof/>
                    </w:rPr>
                    <w:drawing>
                      <wp:inline distT="0" distB="0" distL="0" distR="0" wp14:anchorId="2EAC4449" wp14:editId="21C46689">
                        <wp:extent cx="5400000" cy="2880000"/>
                        <wp:effectExtent l="0" t="0" r="0" b="0"/>
                        <wp:docPr id="7" name="Chart 7" descr="Figure 1. The decision maker's deterministic utility at each of their labour supply alternatives for the benchmark run. This figure shows that the decision maker's deterministic utility is maximised when they choose to supply 40 hours of labou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F52166" w:rsidRDefault="00F52166" w:rsidP="00176D3F">
            <w:pPr>
              <w:pStyle w:val="Figure"/>
            </w:pPr>
          </w:p>
        </w:tc>
      </w:tr>
      <w:tr w:rsidR="00F52166" w:rsidRPr="00176D3F" w:rsidTr="00F95957">
        <w:tc>
          <w:tcPr>
            <w:tcW w:w="8771" w:type="dxa"/>
            <w:tcBorders>
              <w:top w:val="nil"/>
              <w:left w:val="nil"/>
              <w:bottom w:val="nil"/>
              <w:right w:val="nil"/>
            </w:tcBorders>
            <w:shd w:val="clear" w:color="auto" w:fill="auto"/>
          </w:tcPr>
          <w:p w:rsidR="00F52166" w:rsidRPr="00176D3F" w:rsidRDefault="00F52166" w:rsidP="00784A05">
            <w:pPr>
              <w:pStyle w:val="Source"/>
            </w:pPr>
            <w:r w:rsidRPr="00784A05">
              <w:rPr>
                <w:i/>
              </w:rPr>
              <w:t>Data source</w:t>
            </w:r>
            <w:r w:rsidRPr="00176D3F">
              <w:t xml:space="preserve">: </w:t>
            </w:r>
            <w:r>
              <w:t>Authors estimates</w:t>
            </w:r>
            <w:r w:rsidR="00D464B8">
              <w:t>.</w:t>
            </w:r>
          </w:p>
        </w:tc>
      </w:tr>
      <w:tr w:rsidR="00F52166" w:rsidTr="00F95957">
        <w:tc>
          <w:tcPr>
            <w:tcW w:w="8771" w:type="dxa"/>
            <w:tcBorders>
              <w:top w:val="nil"/>
              <w:left w:val="nil"/>
              <w:bottom w:val="single" w:sz="6" w:space="0" w:color="78A22F"/>
              <w:right w:val="nil"/>
            </w:tcBorders>
            <w:shd w:val="clear" w:color="auto" w:fill="auto"/>
          </w:tcPr>
          <w:p w:rsidR="00F52166" w:rsidRDefault="00F52166" w:rsidP="00176D3F">
            <w:pPr>
              <w:pStyle w:val="Figurespace"/>
            </w:pPr>
          </w:p>
        </w:tc>
      </w:tr>
      <w:tr w:rsidR="00F52166" w:rsidRPr="000863A5" w:rsidTr="00215A8A">
        <w:tc>
          <w:tcPr>
            <w:tcW w:w="8771" w:type="dxa"/>
            <w:tcBorders>
              <w:top w:val="single" w:sz="6" w:space="0" w:color="78A22F"/>
              <w:left w:val="nil"/>
              <w:bottom w:val="nil"/>
              <w:right w:val="nil"/>
            </w:tcBorders>
          </w:tcPr>
          <w:p w:rsidR="00F52166" w:rsidRPr="00626D32" w:rsidRDefault="00F52166" w:rsidP="00176D3F">
            <w:pPr>
              <w:pStyle w:val="BoxSpaceBelow"/>
            </w:pPr>
          </w:p>
        </w:tc>
      </w:tr>
    </w:tbl>
    <w:p w:rsidR="00F52166" w:rsidRDefault="00F52166" w:rsidP="00176D3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52166" w:rsidTr="00F95957">
        <w:tc>
          <w:tcPr>
            <w:tcW w:w="8771" w:type="dxa"/>
            <w:tcBorders>
              <w:top w:val="single" w:sz="6" w:space="0" w:color="78A22F"/>
              <w:left w:val="nil"/>
              <w:bottom w:val="nil"/>
              <w:right w:val="nil"/>
            </w:tcBorders>
            <w:shd w:val="clear" w:color="auto" w:fill="auto"/>
          </w:tcPr>
          <w:p w:rsidR="00F52166" w:rsidRDefault="00F52166" w:rsidP="00784A05">
            <w:pPr>
              <w:pStyle w:val="FigureTitle"/>
            </w:pPr>
            <w:r w:rsidRPr="00784A05">
              <w:rPr>
                <w:b w:val="0"/>
              </w:rPr>
              <w:t xml:space="preserve">Figure </w:t>
            </w:r>
            <w:r>
              <w:rPr>
                <w:b w:val="0"/>
              </w:rPr>
              <w:t>2</w:t>
            </w:r>
            <w:r>
              <w:tab/>
              <w:t>Total utility</w:t>
            </w:r>
          </w:p>
          <w:p w:rsidR="00F52166" w:rsidRPr="00176D3F" w:rsidRDefault="00F52166" w:rsidP="00784A05">
            <w:pPr>
              <w:pStyle w:val="Subtitle"/>
            </w:pPr>
            <w:r>
              <w:t>B</w:t>
            </w:r>
            <w:r w:rsidRPr="002508EF">
              <w:t>enchmark run</w:t>
            </w:r>
          </w:p>
        </w:tc>
      </w:tr>
      <w:tr w:rsidR="00F52166" w:rsidTr="00F9595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52166" w:rsidTr="00D27860">
              <w:trPr>
                <w:jc w:val="center"/>
              </w:trPr>
              <w:tc>
                <w:tcPr>
                  <w:tcW w:w="5000" w:type="pct"/>
                  <w:tcBorders>
                    <w:top w:val="nil"/>
                    <w:bottom w:val="nil"/>
                  </w:tcBorders>
                </w:tcPr>
                <w:p w:rsidR="00F52166" w:rsidRDefault="00F52166" w:rsidP="007C17A6">
                  <w:pPr>
                    <w:pStyle w:val="Figure"/>
                    <w:spacing w:before="60" w:after="60"/>
                  </w:pPr>
                  <w:r>
                    <w:rPr>
                      <w:noProof/>
                    </w:rPr>
                    <w:drawing>
                      <wp:inline distT="0" distB="0" distL="0" distR="0" wp14:anchorId="069E4A39" wp14:editId="019225E2">
                        <wp:extent cx="5400000" cy="2880000"/>
                        <wp:effectExtent l="0" t="0" r="0" b="0"/>
                        <wp:docPr id="8" name="Chart 8" descr="Figure 2. The decision maker’s total and deterministic utility at each of their labour supply alternatives in the benchmark run. This figure illustrates that the decision maker’s deterministic utility is maximised when they supply 40 hours of labour supplied per week. By adding a calibrated random utility term the model can replicate the labour supply choice that this decision maker is observed as making in the underlying database which is 50 hours of labour supplied per week."/>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F52166" w:rsidRDefault="00F52166" w:rsidP="00176D3F">
            <w:pPr>
              <w:pStyle w:val="Figure"/>
            </w:pPr>
          </w:p>
        </w:tc>
      </w:tr>
      <w:tr w:rsidR="00F52166" w:rsidRPr="00176D3F" w:rsidTr="00F95957">
        <w:tc>
          <w:tcPr>
            <w:tcW w:w="8771" w:type="dxa"/>
            <w:tcBorders>
              <w:top w:val="nil"/>
              <w:left w:val="nil"/>
              <w:bottom w:val="nil"/>
              <w:right w:val="nil"/>
            </w:tcBorders>
            <w:shd w:val="clear" w:color="auto" w:fill="auto"/>
          </w:tcPr>
          <w:p w:rsidR="00F52166" w:rsidRPr="00176D3F" w:rsidRDefault="00F52166" w:rsidP="00784A05">
            <w:pPr>
              <w:pStyle w:val="Source"/>
            </w:pPr>
            <w:r w:rsidRPr="00784A05">
              <w:rPr>
                <w:i/>
              </w:rPr>
              <w:t>Data source</w:t>
            </w:r>
            <w:r w:rsidRPr="00176D3F">
              <w:t xml:space="preserve">: </w:t>
            </w:r>
            <w:r>
              <w:t>Authors estimates</w:t>
            </w:r>
            <w:r w:rsidR="00D464B8">
              <w:t>.</w:t>
            </w:r>
          </w:p>
        </w:tc>
      </w:tr>
      <w:tr w:rsidR="00F52166" w:rsidTr="00F95957">
        <w:tc>
          <w:tcPr>
            <w:tcW w:w="8771" w:type="dxa"/>
            <w:tcBorders>
              <w:top w:val="nil"/>
              <w:left w:val="nil"/>
              <w:bottom w:val="single" w:sz="6" w:space="0" w:color="78A22F"/>
              <w:right w:val="nil"/>
            </w:tcBorders>
            <w:shd w:val="clear" w:color="auto" w:fill="auto"/>
          </w:tcPr>
          <w:p w:rsidR="00F52166" w:rsidRDefault="00F52166" w:rsidP="00176D3F">
            <w:pPr>
              <w:pStyle w:val="Figurespace"/>
            </w:pPr>
          </w:p>
        </w:tc>
      </w:tr>
      <w:tr w:rsidR="00F52166" w:rsidRPr="000863A5" w:rsidTr="00215A8A">
        <w:tc>
          <w:tcPr>
            <w:tcW w:w="8771" w:type="dxa"/>
            <w:tcBorders>
              <w:top w:val="single" w:sz="6" w:space="0" w:color="78A22F"/>
              <w:left w:val="nil"/>
              <w:bottom w:val="nil"/>
              <w:right w:val="nil"/>
            </w:tcBorders>
          </w:tcPr>
          <w:p w:rsidR="00F52166" w:rsidRPr="00626D32" w:rsidRDefault="00F52166" w:rsidP="00176D3F">
            <w:pPr>
              <w:pStyle w:val="BoxSpaceBelow"/>
            </w:pPr>
          </w:p>
        </w:tc>
      </w:tr>
    </w:tbl>
    <w:p w:rsidR="00F52166" w:rsidRDefault="00F52166">
      <w:pPr>
        <w:rPr>
          <w:szCs w:val="20"/>
        </w:rPr>
      </w:pPr>
      <w:r>
        <w:br w:type="page"/>
      </w:r>
    </w:p>
    <w:p w:rsidR="00F92C4E" w:rsidRDefault="00F92C4E" w:rsidP="00F92C4E">
      <w:pPr>
        <w:pStyle w:val="Heading3"/>
      </w:pPr>
      <w:r>
        <w:lastRenderedPageBreak/>
        <w:t>The reform run</w:t>
      </w:r>
    </w:p>
    <w:p w:rsidR="00F92C4E" w:rsidRDefault="00F92C4E" w:rsidP="00F92C4E">
      <w:pPr>
        <w:pStyle w:val="BodyText"/>
      </w:pPr>
      <w:r>
        <w:t>In this run, the marginal tax rates are increased for all tax payers, with the marginal rate for those in higher tax brackets increasing more than for those in lower tax brackets. This means that, all else equal, disposable income is lower than in the benchmark run at most labour supply choices. This is illustrated in table 3.</w:t>
      </w:r>
    </w:p>
    <w:p w:rsidR="00F92C4E" w:rsidRDefault="00F92C4E" w:rsidP="009B4038">
      <w:pPr>
        <w:pStyle w:val="BodyText"/>
      </w:pPr>
      <w:r>
        <w:t>Changing marginal tax rates affects labour supply choices by changing disposable income, a key argument in the labour supply decision. The deterministic utility values for the b</w:t>
      </w:r>
      <w:r w:rsidRPr="002508EF">
        <w:t>enchmark and reform runs</w:t>
      </w:r>
      <w:r>
        <w:t xml:space="preserve"> are shown in figure 3. As expected, deterministic utility is lower in the reform run at all non</w:t>
      </w:r>
      <w:r>
        <w:noBreakHyphen/>
        <w:t>zero labour supply choices, since disposable income is lower.</w:t>
      </w:r>
    </w:p>
    <w:p w:rsidR="0041136D" w:rsidRDefault="0041136D" w:rsidP="0009714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41136D" w:rsidTr="0009714B">
        <w:tc>
          <w:tcPr>
            <w:tcW w:w="8771" w:type="dxa"/>
            <w:tcBorders>
              <w:top w:val="single" w:sz="6" w:space="0" w:color="78A22F"/>
              <w:left w:val="nil"/>
              <w:bottom w:val="nil"/>
              <w:right w:val="nil"/>
            </w:tcBorders>
            <w:shd w:val="clear" w:color="auto" w:fill="auto"/>
          </w:tcPr>
          <w:p w:rsidR="0041136D" w:rsidRDefault="0041136D" w:rsidP="002508EF">
            <w:pPr>
              <w:pStyle w:val="TableTitle"/>
            </w:pPr>
            <w:r>
              <w:rPr>
                <w:b w:val="0"/>
              </w:rPr>
              <w:t xml:space="preserve">Table </w:t>
            </w:r>
            <w:bookmarkStart w:id="9" w:name="OLE_LINK6"/>
            <w:r w:rsidR="003F2E30">
              <w:rPr>
                <w:b w:val="0"/>
                <w:noProof/>
              </w:rPr>
              <w:t>3</w:t>
            </w:r>
            <w:bookmarkEnd w:id="9"/>
            <w:r w:rsidR="00A762EB">
              <w:tab/>
            </w:r>
            <w:r w:rsidR="002508EF">
              <w:t>A</w:t>
            </w:r>
            <w:r>
              <w:t>nnual disposable income</w:t>
            </w:r>
            <w:r w:rsidR="002508EF">
              <w:t xml:space="preserve"> for each possible labour supply</w:t>
            </w:r>
          </w:p>
          <w:p w:rsidR="002508EF" w:rsidRPr="002508EF" w:rsidRDefault="002508EF" w:rsidP="00235DEB">
            <w:pPr>
              <w:pStyle w:val="Subtitle"/>
            </w:pPr>
            <w:r>
              <w:t>B</w:t>
            </w:r>
            <w:r w:rsidRPr="002508EF">
              <w:t xml:space="preserve">enchmark </w:t>
            </w:r>
            <w:r>
              <w:t xml:space="preserve">and reform </w:t>
            </w:r>
            <w:r w:rsidRPr="002508EF">
              <w:t>run</w:t>
            </w:r>
            <w:r>
              <w:t>s</w:t>
            </w:r>
          </w:p>
        </w:tc>
      </w:tr>
      <w:tr w:rsidR="0041136D" w:rsidTr="0009714B">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41136D" w:rsidTr="0009714B">
              <w:tc>
                <w:tcPr>
                  <w:tcW w:w="1667" w:type="pct"/>
                  <w:tcBorders>
                    <w:top w:val="single" w:sz="6" w:space="0" w:color="BFBFBF"/>
                    <w:bottom w:val="single" w:sz="6" w:space="0" w:color="BFBFBF"/>
                  </w:tcBorders>
                  <w:shd w:val="clear" w:color="auto" w:fill="auto"/>
                  <w:tcMar>
                    <w:top w:w="28" w:type="dxa"/>
                  </w:tcMar>
                </w:tcPr>
                <w:p w:rsidR="0041136D" w:rsidRDefault="0041136D" w:rsidP="0009714B">
                  <w:pPr>
                    <w:pStyle w:val="TableColumnHeading"/>
                    <w:jc w:val="left"/>
                  </w:pPr>
                  <w:r>
                    <w:t>Hours worked per week</w:t>
                  </w:r>
                </w:p>
              </w:tc>
              <w:tc>
                <w:tcPr>
                  <w:tcW w:w="1667" w:type="pct"/>
                  <w:tcBorders>
                    <w:top w:val="single" w:sz="6" w:space="0" w:color="BFBFBF"/>
                    <w:bottom w:val="single" w:sz="6" w:space="0" w:color="BFBFBF"/>
                  </w:tcBorders>
                  <w:shd w:val="clear" w:color="auto" w:fill="auto"/>
                  <w:tcMar>
                    <w:top w:w="28" w:type="dxa"/>
                  </w:tcMar>
                </w:tcPr>
                <w:p w:rsidR="0041136D" w:rsidRDefault="0034758F" w:rsidP="0009714B">
                  <w:pPr>
                    <w:pStyle w:val="TableColumnHeading"/>
                  </w:pPr>
                  <w:r>
                    <w:t>Benchmark</w:t>
                  </w:r>
                </w:p>
              </w:tc>
              <w:tc>
                <w:tcPr>
                  <w:tcW w:w="1666" w:type="pct"/>
                  <w:tcBorders>
                    <w:top w:val="single" w:sz="6" w:space="0" w:color="BFBFBF"/>
                    <w:bottom w:val="single" w:sz="6" w:space="0" w:color="BFBFBF"/>
                  </w:tcBorders>
                  <w:shd w:val="clear" w:color="auto" w:fill="auto"/>
                  <w:tcMar>
                    <w:top w:w="28" w:type="dxa"/>
                  </w:tcMar>
                </w:tcPr>
                <w:p w:rsidR="0041136D" w:rsidRDefault="0034758F" w:rsidP="0009714B">
                  <w:pPr>
                    <w:pStyle w:val="TableColumnHeading"/>
                    <w:ind w:right="28"/>
                  </w:pPr>
                  <w:r>
                    <w:t>Reform</w:t>
                  </w:r>
                </w:p>
              </w:tc>
            </w:tr>
            <w:tr w:rsidR="0041136D" w:rsidTr="0009714B">
              <w:tc>
                <w:tcPr>
                  <w:tcW w:w="1667" w:type="pct"/>
                  <w:tcBorders>
                    <w:top w:val="single" w:sz="6" w:space="0" w:color="BFBFBF"/>
                  </w:tcBorders>
                </w:tcPr>
                <w:p w:rsidR="0041136D" w:rsidRDefault="0041136D" w:rsidP="0009714B">
                  <w:pPr>
                    <w:pStyle w:val="TableUnitsRow"/>
                    <w:jc w:val="left"/>
                  </w:pPr>
                  <w:r>
                    <w:t>0</w:t>
                  </w:r>
                </w:p>
              </w:tc>
              <w:tc>
                <w:tcPr>
                  <w:tcW w:w="1667" w:type="pct"/>
                  <w:tcBorders>
                    <w:top w:val="single" w:sz="6" w:space="0" w:color="BFBFBF"/>
                  </w:tcBorders>
                </w:tcPr>
                <w:p w:rsidR="0041136D" w:rsidRPr="00C067B9" w:rsidRDefault="0041136D" w:rsidP="00757AC8">
                  <w:pPr>
                    <w:pStyle w:val="TableUnitsRow"/>
                    <w:ind w:right="28"/>
                    <w:rPr>
                      <w:rStyle w:val="NoteLabel"/>
                    </w:rPr>
                  </w:pPr>
                  <w:r>
                    <w:t>$0</w:t>
                  </w:r>
                </w:p>
              </w:tc>
              <w:tc>
                <w:tcPr>
                  <w:tcW w:w="1666" w:type="pct"/>
                  <w:tcBorders>
                    <w:top w:val="single" w:sz="6" w:space="0" w:color="BFBFBF"/>
                  </w:tcBorders>
                </w:tcPr>
                <w:p w:rsidR="0041136D" w:rsidRPr="00757AC8" w:rsidRDefault="0041136D" w:rsidP="00783AB6">
                  <w:pPr>
                    <w:pStyle w:val="TableUnitsRow"/>
                    <w:spacing w:before="0"/>
                    <w:ind w:right="28"/>
                    <w:rPr>
                      <w:rStyle w:val="NoteLabel"/>
                    </w:rPr>
                  </w:pPr>
                  <w:r>
                    <w:t>$0</w:t>
                  </w:r>
                  <w:r w:rsidR="00757AC8">
                    <w:rPr>
                      <w:rStyle w:val="NoteLabel"/>
                    </w:rPr>
                    <w:t>a</w:t>
                  </w:r>
                </w:p>
              </w:tc>
            </w:tr>
            <w:tr w:rsidR="0041136D" w:rsidTr="0009714B">
              <w:tc>
                <w:tcPr>
                  <w:tcW w:w="1667" w:type="pct"/>
                </w:tcPr>
                <w:p w:rsidR="0041136D" w:rsidRDefault="0041136D" w:rsidP="0009714B">
                  <w:pPr>
                    <w:pStyle w:val="TableBodyText"/>
                    <w:jc w:val="left"/>
                  </w:pPr>
                  <w:r>
                    <w:t>10</w:t>
                  </w:r>
                </w:p>
              </w:tc>
              <w:tc>
                <w:tcPr>
                  <w:tcW w:w="1667" w:type="pct"/>
                </w:tcPr>
                <w:p w:rsidR="0041136D" w:rsidRDefault="0041136D" w:rsidP="0009714B">
                  <w:pPr>
                    <w:pStyle w:val="TableBodyText"/>
                    <w:ind w:right="28"/>
                  </w:pPr>
                  <w:r>
                    <w:t>$22 839</w:t>
                  </w:r>
                </w:p>
              </w:tc>
              <w:tc>
                <w:tcPr>
                  <w:tcW w:w="1666" w:type="pct"/>
                </w:tcPr>
                <w:p w:rsidR="0041136D" w:rsidRDefault="0041136D" w:rsidP="0009714B">
                  <w:pPr>
                    <w:pStyle w:val="TableBodyText"/>
                    <w:ind w:right="28"/>
                  </w:pPr>
                  <w:r>
                    <w:t>$22 649</w:t>
                  </w:r>
                </w:p>
              </w:tc>
            </w:tr>
            <w:tr w:rsidR="0041136D" w:rsidTr="0041136D">
              <w:tc>
                <w:tcPr>
                  <w:tcW w:w="1667" w:type="pct"/>
                  <w:shd w:val="clear" w:color="auto" w:fill="auto"/>
                </w:tcPr>
                <w:p w:rsidR="0041136D" w:rsidRDefault="0041136D" w:rsidP="0009714B">
                  <w:pPr>
                    <w:pStyle w:val="TableBodyText"/>
                    <w:jc w:val="left"/>
                  </w:pPr>
                  <w:r>
                    <w:t>20</w:t>
                  </w:r>
                </w:p>
              </w:tc>
              <w:tc>
                <w:tcPr>
                  <w:tcW w:w="1667" w:type="pct"/>
                  <w:shd w:val="clear" w:color="auto" w:fill="auto"/>
                </w:tcPr>
                <w:p w:rsidR="0041136D" w:rsidRDefault="0041136D" w:rsidP="00633274">
                  <w:pPr>
                    <w:pStyle w:val="TableBodyText"/>
                    <w:ind w:right="28"/>
                  </w:pPr>
                  <w:r>
                    <w:t>$39 624</w:t>
                  </w:r>
                </w:p>
              </w:tc>
              <w:tc>
                <w:tcPr>
                  <w:tcW w:w="1666" w:type="pct"/>
                  <w:shd w:val="clear" w:color="auto" w:fill="auto"/>
                </w:tcPr>
                <w:p w:rsidR="0041136D" w:rsidRDefault="0041136D" w:rsidP="0009714B">
                  <w:pPr>
                    <w:pStyle w:val="TableBodyText"/>
                    <w:ind w:right="28"/>
                  </w:pPr>
                  <w:r>
                    <w:t>$38 273</w:t>
                  </w:r>
                </w:p>
              </w:tc>
            </w:tr>
            <w:tr w:rsidR="0041136D" w:rsidTr="0041136D">
              <w:tc>
                <w:tcPr>
                  <w:tcW w:w="1667" w:type="pct"/>
                  <w:shd w:val="clear" w:color="auto" w:fill="auto"/>
                </w:tcPr>
                <w:p w:rsidR="0041136D" w:rsidRDefault="0041136D" w:rsidP="0009714B">
                  <w:pPr>
                    <w:pStyle w:val="TableBodyText"/>
                    <w:jc w:val="left"/>
                  </w:pPr>
                  <w:r>
                    <w:t>30</w:t>
                  </w:r>
                </w:p>
              </w:tc>
              <w:tc>
                <w:tcPr>
                  <w:tcW w:w="1667" w:type="pct"/>
                  <w:shd w:val="clear" w:color="auto" w:fill="auto"/>
                </w:tcPr>
                <w:p w:rsidR="0041136D" w:rsidRDefault="0041136D" w:rsidP="0009714B">
                  <w:pPr>
                    <w:pStyle w:val="TableBodyText"/>
                    <w:ind w:right="28"/>
                  </w:pPr>
                  <w:r>
                    <w:t>$54 515</w:t>
                  </w:r>
                </w:p>
              </w:tc>
              <w:tc>
                <w:tcPr>
                  <w:tcW w:w="1666" w:type="pct"/>
                  <w:shd w:val="clear" w:color="auto" w:fill="auto"/>
                </w:tcPr>
                <w:p w:rsidR="0041136D" w:rsidRDefault="0041136D" w:rsidP="0009714B">
                  <w:pPr>
                    <w:pStyle w:val="TableBodyText"/>
                    <w:ind w:right="28"/>
                  </w:pPr>
                  <w:r>
                    <w:t>$52 003</w:t>
                  </w:r>
                </w:p>
              </w:tc>
            </w:tr>
            <w:tr w:rsidR="0041136D" w:rsidTr="0041136D">
              <w:tc>
                <w:tcPr>
                  <w:tcW w:w="1667" w:type="pct"/>
                  <w:shd w:val="clear" w:color="auto" w:fill="auto"/>
                </w:tcPr>
                <w:p w:rsidR="0041136D" w:rsidRDefault="0041136D" w:rsidP="0009714B">
                  <w:pPr>
                    <w:pStyle w:val="TableBodyText"/>
                    <w:jc w:val="left"/>
                  </w:pPr>
                  <w:r>
                    <w:t>40</w:t>
                  </w:r>
                </w:p>
              </w:tc>
              <w:tc>
                <w:tcPr>
                  <w:tcW w:w="1667" w:type="pct"/>
                  <w:shd w:val="clear" w:color="auto" w:fill="auto"/>
                </w:tcPr>
                <w:p w:rsidR="0041136D" w:rsidRDefault="0041136D" w:rsidP="0009714B">
                  <w:pPr>
                    <w:pStyle w:val="TableBodyText"/>
                    <w:ind w:right="28"/>
                  </w:pPr>
                  <w:r>
                    <w:t>$69 203</w:t>
                  </w:r>
                </w:p>
              </w:tc>
              <w:tc>
                <w:tcPr>
                  <w:tcW w:w="1666" w:type="pct"/>
                  <w:shd w:val="clear" w:color="auto" w:fill="auto"/>
                </w:tcPr>
                <w:p w:rsidR="0041136D" w:rsidRDefault="0041136D" w:rsidP="0009714B">
                  <w:pPr>
                    <w:pStyle w:val="TableBodyText"/>
                    <w:ind w:right="28"/>
                  </w:pPr>
                  <w:r>
                    <w:t>$64 945</w:t>
                  </w:r>
                </w:p>
              </w:tc>
            </w:tr>
            <w:tr w:rsidR="0041136D" w:rsidTr="0009714B">
              <w:tc>
                <w:tcPr>
                  <w:tcW w:w="1667" w:type="pct"/>
                  <w:tcBorders>
                    <w:bottom w:val="single" w:sz="6" w:space="0" w:color="BFBFBF"/>
                  </w:tcBorders>
                  <w:shd w:val="clear" w:color="auto" w:fill="auto"/>
                </w:tcPr>
                <w:p w:rsidR="0041136D" w:rsidRDefault="0041136D" w:rsidP="0009714B">
                  <w:pPr>
                    <w:pStyle w:val="TableBodyText"/>
                    <w:jc w:val="left"/>
                  </w:pPr>
                  <w:r>
                    <w:t>50</w:t>
                  </w:r>
                </w:p>
              </w:tc>
              <w:tc>
                <w:tcPr>
                  <w:tcW w:w="1667" w:type="pct"/>
                  <w:tcBorders>
                    <w:bottom w:val="single" w:sz="6" w:space="0" w:color="BFBFBF"/>
                  </w:tcBorders>
                  <w:shd w:val="clear" w:color="auto" w:fill="auto"/>
                </w:tcPr>
                <w:p w:rsidR="0041136D" w:rsidRDefault="0041136D" w:rsidP="0009714B">
                  <w:pPr>
                    <w:pStyle w:val="TableBodyText"/>
                    <w:ind w:right="28"/>
                  </w:pPr>
                  <w:r>
                    <w:t>$83 370</w:t>
                  </w:r>
                </w:p>
              </w:tc>
              <w:tc>
                <w:tcPr>
                  <w:tcW w:w="1666" w:type="pct"/>
                  <w:tcBorders>
                    <w:bottom w:val="single" w:sz="6" w:space="0" w:color="BFBFBF"/>
                  </w:tcBorders>
                  <w:shd w:val="clear" w:color="auto" w:fill="auto"/>
                </w:tcPr>
                <w:p w:rsidR="0041136D" w:rsidRDefault="0041136D" w:rsidP="0009714B">
                  <w:pPr>
                    <w:pStyle w:val="TableBodyText"/>
                    <w:ind w:right="28"/>
                  </w:pPr>
                  <w:r>
                    <w:t>$76 790</w:t>
                  </w:r>
                </w:p>
              </w:tc>
            </w:tr>
          </w:tbl>
          <w:p w:rsidR="0041136D" w:rsidRDefault="0041136D" w:rsidP="0009714B">
            <w:pPr>
              <w:pStyle w:val="Box"/>
            </w:pPr>
          </w:p>
        </w:tc>
      </w:tr>
      <w:tr w:rsidR="00783AB6" w:rsidRPr="00783AB6" w:rsidTr="0009714B">
        <w:trPr>
          <w:cantSplit/>
        </w:trPr>
        <w:tc>
          <w:tcPr>
            <w:tcW w:w="8771" w:type="dxa"/>
            <w:tcBorders>
              <w:top w:val="nil"/>
              <w:left w:val="nil"/>
              <w:bottom w:val="nil"/>
              <w:right w:val="nil"/>
            </w:tcBorders>
            <w:shd w:val="clear" w:color="auto" w:fill="auto"/>
          </w:tcPr>
          <w:p w:rsidR="0041136D" w:rsidRPr="00783AB6" w:rsidRDefault="0041136D" w:rsidP="00783AB6">
            <w:pPr>
              <w:pStyle w:val="Note"/>
              <w:rPr>
                <w:rStyle w:val="DraftingNote"/>
                <w:color w:val="auto"/>
              </w:rPr>
            </w:pPr>
            <w:r w:rsidRPr="00783AB6">
              <w:rPr>
                <w:rStyle w:val="NoteLabel"/>
              </w:rPr>
              <w:t>a</w:t>
            </w:r>
            <w:r w:rsidR="00757AC8" w:rsidRPr="00783AB6">
              <w:t xml:space="preserve"> </w:t>
            </w:r>
            <w:r w:rsidR="00783AB6" w:rsidRPr="00783AB6">
              <w:t>S</w:t>
            </w:r>
            <w:r w:rsidR="002508EF" w:rsidRPr="00783AB6">
              <w:t>ee note a in table 2</w:t>
            </w:r>
            <w:r w:rsidR="00757AC8" w:rsidRPr="00783AB6">
              <w:t>.</w:t>
            </w:r>
          </w:p>
        </w:tc>
      </w:tr>
      <w:tr w:rsidR="0041136D" w:rsidTr="0009714B">
        <w:trPr>
          <w:cantSplit/>
        </w:trPr>
        <w:tc>
          <w:tcPr>
            <w:tcW w:w="8771" w:type="dxa"/>
            <w:tcBorders>
              <w:top w:val="nil"/>
              <w:left w:val="nil"/>
              <w:bottom w:val="nil"/>
              <w:right w:val="nil"/>
            </w:tcBorders>
            <w:shd w:val="clear" w:color="auto" w:fill="auto"/>
          </w:tcPr>
          <w:p w:rsidR="0041136D" w:rsidRDefault="0041136D" w:rsidP="00D22ED5">
            <w:pPr>
              <w:pStyle w:val="Source"/>
            </w:pPr>
            <w:r>
              <w:rPr>
                <w:i/>
              </w:rPr>
              <w:t>Source</w:t>
            </w:r>
            <w:r w:rsidRPr="00167F06">
              <w:t xml:space="preserve">: </w:t>
            </w:r>
            <w:r w:rsidR="004D0621">
              <w:t>Author</w:t>
            </w:r>
            <w:r w:rsidR="00D22ED5">
              <w:t>s estimates</w:t>
            </w:r>
            <w:r w:rsidR="004D0621">
              <w:t>.</w:t>
            </w:r>
          </w:p>
        </w:tc>
      </w:tr>
      <w:tr w:rsidR="0041136D" w:rsidTr="0009714B">
        <w:trPr>
          <w:cantSplit/>
        </w:trPr>
        <w:tc>
          <w:tcPr>
            <w:tcW w:w="8771" w:type="dxa"/>
            <w:tcBorders>
              <w:top w:val="nil"/>
              <w:left w:val="nil"/>
              <w:bottom w:val="single" w:sz="6" w:space="0" w:color="78A22F"/>
              <w:right w:val="nil"/>
            </w:tcBorders>
            <w:shd w:val="clear" w:color="auto" w:fill="auto"/>
          </w:tcPr>
          <w:p w:rsidR="0041136D" w:rsidRDefault="0041136D" w:rsidP="0009714B">
            <w:pPr>
              <w:pStyle w:val="Box"/>
              <w:spacing w:before="0" w:line="120" w:lineRule="exact"/>
            </w:pPr>
          </w:p>
        </w:tc>
      </w:tr>
      <w:tr w:rsidR="0041136D" w:rsidRPr="000863A5" w:rsidTr="0009714B">
        <w:tc>
          <w:tcPr>
            <w:tcW w:w="8771" w:type="dxa"/>
            <w:tcBorders>
              <w:top w:val="single" w:sz="6" w:space="0" w:color="78A22F"/>
              <w:left w:val="nil"/>
              <w:bottom w:val="nil"/>
              <w:right w:val="nil"/>
            </w:tcBorders>
          </w:tcPr>
          <w:p w:rsidR="0041136D" w:rsidRPr="00626D32" w:rsidRDefault="0041136D" w:rsidP="0009714B">
            <w:pPr>
              <w:pStyle w:val="BoxSpaceBelow"/>
            </w:pPr>
          </w:p>
        </w:tc>
      </w:tr>
    </w:tbl>
    <w:p w:rsidR="004904B6" w:rsidRDefault="0040496A" w:rsidP="004904B6">
      <w:pPr>
        <w:pStyle w:val="BodyText"/>
      </w:pPr>
      <w:r>
        <w:t xml:space="preserve">The total utility associated with one set of random </w:t>
      </w:r>
      <w:r w:rsidR="00A31EBA">
        <w:t xml:space="preserve">utility terms </w:t>
      </w:r>
      <w:r w:rsidR="00140ECC">
        <w:t>(the same random</w:t>
      </w:r>
      <w:r w:rsidR="00A31EBA">
        <w:t xml:space="preserve"> utility terms</w:t>
      </w:r>
      <w:r w:rsidR="00140ECC">
        <w:t xml:space="preserve"> as</w:t>
      </w:r>
      <w:r w:rsidR="00FA60AD">
        <w:t xml:space="preserve"> presented in figure</w:t>
      </w:r>
      <w:r w:rsidR="00FA60AD">
        <w:rPr>
          <w:b/>
        </w:rPr>
        <w:t xml:space="preserve"> </w:t>
      </w:r>
      <w:r w:rsidR="00772FD4">
        <w:t>2</w:t>
      </w:r>
      <w:r w:rsidR="00FA60AD" w:rsidRPr="001D1E5E">
        <w:t>)</w:t>
      </w:r>
      <w:r>
        <w:t xml:space="preserve"> is presented in figure</w:t>
      </w:r>
      <w:r w:rsidR="00F37419" w:rsidRPr="001D1E5E">
        <w:t xml:space="preserve"> </w:t>
      </w:r>
      <w:r w:rsidR="00772FD4">
        <w:t>4</w:t>
      </w:r>
      <w:r>
        <w:t xml:space="preserve">. </w:t>
      </w:r>
      <w:r w:rsidR="00656D13">
        <w:t>Total utility is maximised at 40 hours</w:t>
      </w:r>
      <w:r w:rsidR="00237A7D">
        <w:t xml:space="preserve"> in the reform run</w:t>
      </w:r>
      <w:r w:rsidR="00656D13">
        <w:t xml:space="preserve">. </w:t>
      </w:r>
      <w:r w:rsidR="00237A7D">
        <w:t xml:space="preserve">The increase in tax rates has decreased </w:t>
      </w:r>
      <w:r w:rsidR="00656D13">
        <w:t>labour supply by 10 hours.</w:t>
      </w:r>
    </w:p>
    <w:p w:rsidR="00871392" w:rsidRDefault="004904B6" w:rsidP="00871392">
      <w:pPr>
        <w:pStyle w:val="BodyText"/>
      </w:pPr>
      <w:r>
        <w:t>Several sets of random utility term</w:t>
      </w:r>
      <w:r w:rsidR="00A579D3">
        <w:t>s</w:t>
      </w:r>
      <w:r>
        <w:t xml:space="preserve"> are consistent with observed outcomes and are retained from the benchmark run. An expected change in labour supply is calculated as the average of the outcomes across the different sets of terms. In this case, the expected change in labour supply was calculated to be a reduction of 7 hours,</w:t>
      </w:r>
      <w:r w:rsidDel="00A66F15">
        <w:t xml:space="preserve"> </w:t>
      </w:r>
      <w:r>
        <w:t>based on ten sets of random</w:t>
      </w:r>
      <w:r w:rsidR="00871392">
        <w:t xml:space="preserve"> utility terms.</w:t>
      </w:r>
    </w:p>
    <w:p w:rsidR="004904B6" w:rsidRDefault="00871392" w:rsidP="004904B6">
      <w:pPr>
        <w:pStyle w:val="BodyText"/>
      </w:pPr>
      <w:r>
        <w:t>While this hypothetical example has focused on the response of one decision maker to policy reform, CAPITA-B calculates equivalent results for thousands of decision makers. Aggregate results are calculated by summing all decision maker’s responses in accordance with their population weights. In this instance, the hypothetical reform to marginal tax rates causes a fall in aggregate labour supply of around 1.6 per cent</w:t>
      </w:r>
      <w:r w:rsidRPr="009A7EDA">
        <w:rPr>
          <w:rStyle w:val="FootnoteReference"/>
        </w:rPr>
        <w:footnoteReference w:id="13"/>
      </w:r>
      <w:r>
        <w:t>.</w:t>
      </w:r>
    </w:p>
    <w:p w:rsidR="00BF22D9" w:rsidRDefault="00BF22D9" w:rsidP="0009714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F22D9" w:rsidTr="0009714B">
        <w:tc>
          <w:tcPr>
            <w:tcW w:w="8771" w:type="dxa"/>
            <w:tcBorders>
              <w:top w:val="single" w:sz="6" w:space="0" w:color="78A22F"/>
              <w:left w:val="nil"/>
              <w:bottom w:val="nil"/>
              <w:right w:val="nil"/>
            </w:tcBorders>
            <w:shd w:val="clear" w:color="auto" w:fill="auto"/>
          </w:tcPr>
          <w:p w:rsidR="00BF22D9" w:rsidRDefault="00BF22D9" w:rsidP="002508EF">
            <w:pPr>
              <w:pStyle w:val="FigureTitle"/>
              <w:rPr>
                <w:rStyle w:val="NoteLabel"/>
              </w:rPr>
            </w:pPr>
            <w:r w:rsidRPr="00784A05">
              <w:rPr>
                <w:b w:val="0"/>
              </w:rPr>
              <w:t xml:space="preserve">Figure </w:t>
            </w:r>
            <w:bookmarkStart w:id="10" w:name="OLE_LINK1"/>
            <w:r w:rsidR="003F2E30">
              <w:rPr>
                <w:b w:val="0"/>
                <w:noProof/>
              </w:rPr>
              <w:t>3</w:t>
            </w:r>
            <w:bookmarkEnd w:id="10"/>
            <w:r w:rsidR="00A762EB">
              <w:tab/>
            </w:r>
            <w:r w:rsidR="002508EF">
              <w:t>D</w:t>
            </w:r>
            <w:r>
              <w:t xml:space="preserve">eterministic </w:t>
            </w:r>
            <w:r w:rsidR="002508EF">
              <w:t>utility</w:t>
            </w:r>
          </w:p>
          <w:p w:rsidR="002508EF" w:rsidRPr="009B4038" w:rsidRDefault="002508EF" w:rsidP="009B4038">
            <w:pPr>
              <w:pStyle w:val="Subtitle"/>
            </w:pPr>
            <w:r>
              <w:t>B</w:t>
            </w:r>
            <w:r w:rsidRPr="002508EF">
              <w:t xml:space="preserve">enchmark </w:t>
            </w:r>
            <w:r>
              <w:t xml:space="preserve">and reform </w:t>
            </w:r>
            <w:r w:rsidRPr="002508EF">
              <w:t>run</w:t>
            </w:r>
            <w:r>
              <w:t>s</w:t>
            </w:r>
          </w:p>
        </w:tc>
      </w:tr>
      <w:tr w:rsidR="00BF22D9" w:rsidTr="0009714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BF22D9" w:rsidTr="003D7277">
              <w:trPr>
                <w:jc w:val="center"/>
              </w:trPr>
              <w:tc>
                <w:tcPr>
                  <w:tcW w:w="8504" w:type="dxa"/>
                  <w:tcBorders>
                    <w:top w:val="nil"/>
                    <w:bottom w:val="nil"/>
                  </w:tcBorders>
                </w:tcPr>
                <w:p w:rsidR="00BF22D9" w:rsidRDefault="003D7277" w:rsidP="0009714B">
                  <w:pPr>
                    <w:pStyle w:val="Figure"/>
                    <w:spacing w:before="60" w:after="60"/>
                  </w:pPr>
                  <w:r>
                    <w:rPr>
                      <w:noProof/>
                    </w:rPr>
                    <w:drawing>
                      <wp:inline distT="0" distB="0" distL="0" distR="0" wp14:anchorId="5EC3F2EA" wp14:editId="1E4AF478">
                        <wp:extent cx="5400000" cy="2880000"/>
                        <wp:effectExtent l="0" t="0" r="0" b="0"/>
                        <wp:docPr id="5" name="Chart 5" descr="Figure 3. Contrasting the decision maker’s deterministic utility in the benchmark and reform runs. This figure illustrates that the hypothetical increase in marginal tax rates reduces decision maker’s deterministic utility at most labour supply alternatives. The reduction in deterministic utility increases with labour suppli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BF22D9" w:rsidRDefault="00BF22D9" w:rsidP="0009714B">
            <w:pPr>
              <w:pStyle w:val="Figure"/>
            </w:pPr>
          </w:p>
        </w:tc>
      </w:tr>
      <w:tr w:rsidR="00BE2C0D" w:rsidRPr="00176D3F" w:rsidTr="0009714B">
        <w:tc>
          <w:tcPr>
            <w:tcW w:w="8771" w:type="dxa"/>
            <w:tcBorders>
              <w:top w:val="nil"/>
              <w:left w:val="nil"/>
              <w:bottom w:val="nil"/>
              <w:right w:val="nil"/>
            </w:tcBorders>
            <w:shd w:val="clear" w:color="auto" w:fill="auto"/>
          </w:tcPr>
          <w:p w:rsidR="00BE2C0D" w:rsidRPr="00784A05" w:rsidRDefault="00BE2C0D" w:rsidP="00783AB6">
            <w:pPr>
              <w:pStyle w:val="Source"/>
              <w:rPr>
                <w:i/>
              </w:rPr>
            </w:pPr>
            <w:r>
              <w:rPr>
                <w:rStyle w:val="NoteLabel"/>
              </w:rPr>
              <w:t>a</w:t>
            </w:r>
            <w:r>
              <w:t xml:space="preserve"> </w:t>
            </w:r>
            <w:r w:rsidR="00783AB6">
              <w:t>P</w:t>
            </w:r>
            <w:r>
              <w:t>arameters underlying these</w:t>
            </w:r>
            <w:r w:rsidRPr="00BE2C0D">
              <w:t xml:space="preserve"> utility function</w:t>
            </w:r>
            <w:r>
              <w:t>s</w:t>
            </w:r>
            <w:r w:rsidRPr="00BE2C0D">
              <w:t xml:space="preserve"> are reported in table 5.</w:t>
            </w:r>
          </w:p>
        </w:tc>
      </w:tr>
      <w:tr w:rsidR="00BF22D9" w:rsidRPr="00176D3F" w:rsidTr="0009714B">
        <w:tc>
          <w:tcPr>
            <w:tcW w:w="8771" w:type="dxa"/>
            <w:tcBorders>
              <w:top w:val="nil"/>
              <w:left w:val="nil"/>
              <w:bottom w:val="nil"/>
              <w:right w:val="nil"/>
            </w:tcBorders>
            <w:shd w:val="clear" w:color="auto" w:fill="auto"/>
          </w:tcPr>
          <w:p w:rsidR="00BF22D9" w:rsidRPr="00176D3F" w:rsidRDefault="00BF22D9" w:rsidP="0009714B">
            <w:pPr>
              <w:pStyle w:val="Source"/>
            </w:pPr>
            <w:r w:rsidRPr="00784A05">
              <w:rPr>
                <w:i/>
              </w:rPr>
              <w:t>Data source</w:t>
            </w:r>
            <w:r w:rsidRPr="00176D3F">
              <w:t xml:space="preserve">: </w:t>
            </w:r>
            <w:r w:rsidR="00841674">
              <w:t>Author</w:t>
            </w:r>
            <w:r w:rsidR="00E97299">
              <w:t>s estimates</w:t>
            </w:r>
            <w:r w:rsidR="00AE58C6">
              <w:t>.</w:t>
            </w:r>
          </w:p>
        </w:tc>
      </w:tr>
      <w:tr w:rsidR="00BF22D9" w:rsidTr="0009714B">
        <w:tc>
          <w:tcPr>
            <w:tcW w:w="8771" w:type="dxa"/>
            <w:tcBorders>
              <w:top w:val="nil"/>
              <w:left w:val="nil"/>
              <w:bottom w:val="single" w:sz="6" w:space="0" w:color="78A22F"/>
              <w:right w:val="nil"/>
            </w:tcBorders>
            <w:shd w:val="clear" w:color="auto" w:fill="auto"/>
          </w:tcPr>
          <w:p w:rsidR="00BF22D9" w:rsidRDefault="00BF22D9" w:rsidP="0009714B">
            <w:pPr>
              <w:pStyle w:val="Figurespace"/>
            </w:pPr>
          </w:p>
        </w:tc>
      </w:tr>
      <w:tr w:rsidR="00BF22D9" w:rsidRPr="000863A5" w:rsidTr="0009714B">
        <w:tc>
          <w:tcPr>
            <w:tcW w:w="8771" w:type="dxa"/>
            <w:tcBorders>
              <w:top w:val="single" w:sz="6" w:space="0" w:color="78A22F"/>
              <w:left w:val="nil"/>
              <w:bottom w:val="nil"/>
              <w:right w:val="nil"/>
            </w:tcBorders>
          </w:tcPr>
          <w:p w:rsidR="00BF22D9" w:rsidRPr="00626D32" w:rsidRDefault="00BF22D9" w:rsidP="0009714B">
            <w:pPr>
              <w:pStyle w:val="BoxSpaceBelow"/>
            </w:pPr>
          </w:p>
        </w:tc>
      </w:tr>
    </w:tbl>
    <w:p w:rsidR="00607D05" w:rsidRDefault="00607D05" w:rsidP="00CC1F4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07D05" w:rsidTr="0009714B">
        <w:tc>
          <w:tcPr>
            <w:tcW w:w="8771" w:type="dxa"/>
            <w:tcBorders>
              <w:top w:val="single" w:sz="6" w:space="0" w:color="78A22F"/>
              <w:left w:val="nil"/>
              <w:bottom w:val="nil"/>
              <w:right w:val="nil"/>
            </w:tcBorders>
            <w:shd w:val="clear" w:color="auto" w:fill="auto"/>
          </w:tcPr>
          <w:p w:rsidR="00607D05" w:rsidRDefault="00607D05" w:rsidP="00F37419">
            <w:pPr>
              <w:pStyle w:val="FigureTitle"/>
              <w:rPr>
                <w:rStyle w:val="NoteLabel"/>
              </w:rPr>
            </w:pPr>
            <w:r w:rsidRPr="00784A05">
              <w:rPr>
                <w:b w:val="0"/>
              </w:rPr>
              <w:t xml:space="preserve">Figure </w:t>
            </w:r>
            <w:bookmarkStart w:id="11" w:name="OLE_LINK2"/>
            <w:r w:rsidR="003F2E30">
              <w:rPr>
                <w:b w:val="0"/>
                <w:noProof/>
              </w:rPr>
              <w:t>4</w:t>
            </w:r>
            <w:bookmarkEnd w:id="11"/>
            <w:r>
              <w:tab/>
            </w:r>
            <w:r w:rsidR="00595132">
              <w:t>T</w:t>
            </w:r>
            <w:r>
              <w:t xml:space="preserve">otal </w:t>
            </w:r>
            <w:r w:rsidR="002508EF">
              <w:t>utility</w:t>
            </w:r>
          </w:p>
          <w:p w:rsidR="002508EF" w:rsidRPr="00235DEB" w:rsidRDefault="00595132" w:rsidP="00235DEB">
            <w:pPr>
              <w:pStyle w:val="Subtitle"/>
            </w:pPr>
            <w:r>
              <w:t>R</w:t>
            </w:r>
            <w:r w:rsidR="002508EF">
              <w:t xml:space="preserve">eform </w:t>
            </w:r>
            <w:r w:rsidR="002508EF" w:rsidRPr="002508EF">
              <w:t>run</w:t>
            </w:r>
          </w:p>
        </w:tc>
      </w:tr>
      <w:tr w:rsidR="00607D05" w:rsidTr="0009714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607D05" w:rsidTr="00595132">
              <w:trPr>
                <w:jc w:val="center"/>
              </w:trPr>
              <w:tc>
                <w:tcPr>
                  <w:tcW w:w="8504" w:type="dxa"/>
                  <w:tcBorders>
                    <w:top w:val="nil"/>
                    <w:bottom w:val="nil"/>
                  </w:tcBorders>
                </w:tcPr>
                <w:p w:rsidR="00607D05" w:rsidRDefault="00595132" w:rsidP="0009714B">
                  <w:pPr>
                    <w:pStyle w:val="Figure"/>
                    <w:spacing w:before="60" w:after="60"/>
                  </w:pPr>
                  <w:r>
                    <w:rPr>
                      <w:noProof/>
                    </w:rPr>
                    <w:drawing>
                      <wp:inline distT="0" distB="0" distL="0" distR="0" wp14:anchorId="3C916F65" wp14:editId="326B3A54">
                        <wp:extent cx="5400000" cy="2880000"/>
                        <wp:effectExtent l="0" t="0" r="0" b="0"/>
                        <wp:docPr id="6" name="Chart 6" descr="Figure 4. The decision maker’s total and deterministic utility at each of their labour supply alternatives in the reform run. This figure illustrates that by adding the calibrated random utility values from the benchmark run to the updated deterministic utility from the reform run yields the decision maker’s new labour supply of 40 hours per week."/>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607D05" w:rsidRDefault="00607D05" w:rsidP="0009714B">
            <w:pPr>
              <w:pStyle w:val="Figure"/>
            </w:pPr>
          </w:p>
        </w:tc>
      </w:tr>
      <w:tr w:rsidR="00607D05" w:rsidRPr="00176D3F" w:rsidTr="0009714B">
        <w:tc>
          <w:tcPr>
            <w:tcW w:w="8771" w:type="dxa"/>
            <w:tcBorders>
              <w:top w:val="nil"/>
              <w:left w:val="nil"/>
              <w:bottom w:val="nil"/>
              <w:right w:val="nil"/>
            </w:tcBorders>
            <w:shd w:val="clear" w:color="auto" w:fill="auto"/>
          </w:tcPr>
          <w:p w:rsidR="00607D05" w:rsidRPr="00176D3F" w:rsidRDefault="00607D05" w:rsidP="0009714B">
            <w:pPr>
              <w:pStyle w:val="Source"/>
            </w:pPr>
            <w:r w:rsidRPr="00784A05">
              <w:rPr>
                <w:i/>
              </w:rPr>
              <w:t>Data source</w:t>
            </w:r>
            <w:r w:rsidRPr="00176D3F">
              <w:t xml:space="preserve">: </w:t>
            </w:r>
            <w:r w:rsidR="00E97299">
              <w:t>Authors estimates</w:t>
            </w:r>
            <w:r w:rsidR="00AE58C6">
              <w:t>.</w:t>
            </w:r>
          </w:p>
        </w:tc>
      </w:tr>
      <w:tr w:rsidR="00607D05" w:rsidTr="0009714B">
        <w:tc>
          <w:tcPr>
            <w:tcW w:w="8771" w:type="dxa"/>
            <w:tcBorders>
              <w:top w:val="nil"/>
              <w:left w:val="nil"/>
              <w:bottom w:val="single" w:sz="6" w:space="0" w:color="78A22F"/>
              <w:right w:val="nil"/>
            </w:tcBorders>
            <w:shd w:val="clear" w:color="auto" w:fill="auto"/>
          </w:tcPr>
          <w:p w:rsidR="00607D05" w:rsidRDefault="00607D05" w:rsidP="0009714B">
            <w:pPr>
              <w:pStyle w:val="Figurespace"/>
            </w:pPr>
          </w:p>
        </w:tc>
      </w:tr>
      <w:tr w:rsidR="00607D05" w:rsidRPr="000863A5" w:rsidTr="0009714B">
        <w:tc>
          <w:tcPr>
            <w:tcW w:w="8771" w:type="dxa"/>
            <w:tcBorders>
              <w:top w:val="single" w:sz="6" w:space="0" w:color="78A22F"/>
              <w:left w:val="nil"/>
              <w:bottom w:val="nil"/>
              <w:right w:val="nil"/>
            </w:tcBorders>
          </w:tcPr>
          <w:p w:rsidR="00607D05" w:rsidRPr="00626D32" w:rsidRDefault="00607D05" w:rsidP="0009714B">
            <w:pPr>
              <w:pStyle w:val="BoxSpaceBelow"/>
            </w:pPr>
          </w:p>
        </w:tc>
      </w:tr>
    </w:tbl>
    <w:p w:rsidR="00EA48B7" w:rsidRDefault="00B5677E" w:rsidP="000B68B7">
      <w:pPr>
        <w:pStyle w:val="BodyText"/>
      </w:pPr>
      <w:r>
        <w:lastRenderedPageBreak/>
        <w:t>For an economy that is initially in equilibrium, a</w:t>
      </w:r>
      <w:r w:rsidR="00EA48B7">
        <w:t>ggregate labour supply results fro</w:t>
      </w:r>
      <w:r w:rsidR="005459A1">
        <w:t>m CAPITA</w:t>
      </w:r>
      <w:r w:rsidR="005459A1">
        <w:noBreakHyphen/>
        <w:t>B</w:t>
      </w:r>
      <w:r w:rsidR="00EA48B7">
        <w:t xml:space="preserve"> should not </w:t>
      </w:r>
      <w:r w:rsidR="00EA48B7" w:rsidRPr="00EA48B7">
        <w:rPr>
          <w:i/>
        </w:rPr>
        <w:t>usually</w:t>
      </w:r>
      <w:r w:rsidR="00EA48B7">
        <w:t xml:space="preserve"> be interpreted as changes in aggregate employment. For </w:t>
      </w:r>
      <w:r w:rsidR="00F81E56">
        <w:t xml:space="preserve">changes in </w:t>
      </w:r>
      <w:r w:rsidR="00EA48B7">
        <w:t xml:space="preserve">aggregate labour supply to equate with </w:t>
      </w:r>
      <w:r w:rsidR="00F81E56">
        <w:t xml:space="preserve">changes in </w:t>
      </w:r>
      <w:r w:rsidR="00EA48B7">
        <w:t>aggregate employment, demand for labour must be perfectly elastic</w:t>
      </w:r>
      <w:r w:rsidR="009A2F39">
        <w:t xml:space="preserve"> (although small changes to labour supply might approximate changes to employment</w:t>
      </w:r>
      <w:r w:rsidR="006415E9">
        <w:t xml:space="preserve"> in other circumstances</w:t>
      </w:r>
      <w:r w:rsidR="009A2F39">
        <w:t>)</w:t>
      </w:r>
      <w:r w:rsidR="00EA48B7">
        <w:t xml:space="preserve">. If demand is not perfectly elastic then changes to aggregate labour supply </w:t>
      </w:r>
      <w:r w:rsidR="00D66641">
        <w:t>estimated from behavioural microsimulation model</w:t>
      </w:r>
      <w:r w:rsidR="00B01277">
        <w:t>s</w:t>
      </w:r>
      <w:r w:rsidR="00D66641">
        <w:t xml:space="preserve"> </w:t>
      </w:r>
      <w:r w:rsidR="00EA48B7">
        <w:t xml:space="preserve">will be greater than </w:t>
      </w:r>
      <w:r w:rsidR="00123F93">
        <w:t xml:space="preserve">any changes to employment that might be </w:t>
      </w:r>
      <w:r w:rsidR="00C16740">
        <w:t>expected</w:t>
      </w:r>
      <w:r w:rsidR="00506C09">
        <w:t>.</w:t>
      </w:r>
      <w:r w:rsidR="00EA48B7">
        <w:t xml:space="preserve"> </w:t>
      </w:r>
    </w:p>
    <w:p w:rsidR="0010111D" w:rsidRDefault="002D47F5" w:rsidP="000B68B7">
      <w:pPr>
        <w:pStyle w:val="BodyText"/>
      </w:pPr>
      <w:r>
        <w:t>The distinction between</w:t>
      </w:r>
      <w:r w:rsidR="00843510">
        <w:t xml:space="preserve"> aggregate labou</w:t>
      </w:r>
      <w:r>
        <w:t xml:space="preserve">r supply and employment illustrates </w:t>
      </w:r>
      <w:r w:rsidR="00F81E56">
        <w:t xml:space="preserve">why </w:t>
      </w:r>
      <w:r>
        <w:t>it is important to be careful when</w:t>
      </w:r>
      <w:r w:rsidR="00961DDA">
        <w:t xml:space="preserve"> interpreting aggregate results </w:t>
      </w:r>
      <w:r w:rsidR="00843510">
        <w:t xml:space="preserve">from </w:t>
      </w:r>
      <w:r w:rsidR="00961DDA">
        <w:t>CAPITA-B</w:t>
      </w:r>
      <w:r w:rsidR="00252687">
        <w:t xml:space="preserve">. </w:t>
      </w:r>
      <w:r w:rsidR="00843510">
        <w:t>While being</w:t>
      </w:r>
      <w:r w:rsidR="00252687">
        <w:t xml:space="preserve"> a reasonable approximation for</w:t>
      </w:r>
      <w:r w:rsidR="00044004">
        <w:t xml:space="preserve"> </w:t>
      </w:r>
      <w:r w:rsidR="006E17D1">
        <w:t>short term effects</w:t>
      </w:r>
      <w:r w:rsidR="00252687">
        <w:t>,</w:t>
      </w:r>
      <w:r w:rsidR="00843510">
        <w:t xml:space="preserve"> aggregate results</w:t>
      </w:r>
      <w:r w:rsidR="00252687">
        <w:t xml:space="preserve"> are unlikely to produce </w:t>
      </w:r>
      <w:r w:rsidR="00843510">
        <w:t xml:space="preserve">accurate </w:t>
      </w:r>
      <w:r w:rsidR="001F0B75">
        <w:t>insights in</w:t>
      </w:r>
      <w:r w:rsidR="00D2030A">
        <w:t>to</w:t>
      </w:r>
      <w:r w:rsidR="0060244E">
        <w:t xml:space="preserve"> long </w:t>
      </w:r>
      <w:r w:rsidR="001F0B75">
        <w:t>term</w:t>
      </w:r>
      <w:r w:rsidR="00D2030A">
        <w:t xml:space="preserve"> changes as an economy moves </w:t>
      </w:r>
      <w:r w:rsidR="00843510">
        <w:t>to</w:t>
      </w:r>
      <w:r w:rsidR="00D2030A">
        <w:t xml:space="preserve"> a new</w:t>
      </w:r>
      <w:r w:rsidR="00843510">
        <w:t xml:space="preserve"> equilibrium.</w:t>
      </w:r>
    </w:p>
    <w:p w:rsidR="00E00E61" w:rsidRDefault="00250C31" w:rsidP="00E00E61">
      <w:pPr>
        <w:pStyle w:val="Heading2"/>
      </w:pPr>
      <w:r>
        <w:t>From</w:t>
      </w:r>
      <w:r w:rsidR="002E3DF0">
        <w:t xml:space="preserve"> CAPITA-</w:t>
      </w:r>
      <w:r w:rsidR="006D2098">
        <w:t>B to an application</w:t>
      </w:r>
      <w:r w:rsidR="00267701">
        <w:noBreakHyphen/>
      </w:r>
      <w:r w:rsidR="006D2098">
        <w:t>specific model</w:t>
      </w:r>
    </w:p>
    <w:p w:rsidR="00BB38DB" w:rsidRDefault="006D2098" w:rsidP="00783AB6">
      <w:pPr>
        <w:pStyle w:val="Heading3"/>
        <w:spacing w:before="240"/>
      </w:pPr>
      <w:r>
        <w:t>Application</w:t>
      </w:r>
      <w:r w:rsidR="00267701">
        <w:noBreakHyphen/>
      </w:r>
      <w:r>
        <w:t>specific utility and wage specifications</w:t>
      </w:r>
    </w:p>
    <w:p w:rsidR="006D2098" w:rsidRDefault="00D831A3" w:rsidP="00E00E61">
      <w:pPr>
        <w:pStyle w:val="BodyText"/>
      </w:pPr>
      <w:r>
        <w:t>The</w:t>
      </w:r>
      <w:r w:rsidR="006D2098">
        <w:t xml:space="preserve"> utility and wage equations</w:t>
      </w:r>
      <w:r w:rsidR="00803529">
        <w:t xml:space="preserve"> in CAPITA</w:t>
      </w:r>
      <w:r w:rsidR="00803529">
        <w:noBreakHyphen/>
        <w:t>B</w:t>
      </w:r>
      <w:r w:rsidR="006D2098">
        <w:t xml:space="preserve"> </w:t>
      </w:r>
      <w:r w:rsidR="00803529">
        <w:t xml:space="preserve">will usually need to </w:t>
      </w:r>
      <w:r w:rsidR="006D2098">
        <w:t xml:space="preserve">be revised </w:t>
      </w:r>
      <w:r w:rsidR="00803529">
        <w:t>in applying</w:t>
      </w:r>
      <w:r w:rsidR="00CF68C1">
        <w:t xml:space="preserve"> the platform </w:t>
      </w:r>
      <w:r w:rsidR="00803529">
        <w:t>as an</w:t>
      </w:r>
      <w:r w:rsidR="00BA4319">
        <w:t xml:space="preserve"> application</w:t>
      </w:r>
      <w:r w:rsidR="00267701">
        <w:noBreakHyphen/>
      </w:r>
      <w:r w:rsidR="00BA4319">
        <w:t xml:space="preserve">specific </w:t>
      </w:r>
      <w:r w:rsidR="00D176D7">
        <w:t>model</w:t>
      </w:r>
      <w:r w:rsidR="006D2098">
        <w:t xml:space="preserve">. </w:t>
      </w:r>
      <w:r w:rsidR="00EE406B">
        <w:t>Particularly</w:t>
      </w:r>
      <w:r w:rsidR="006D2098">
        <w:t>, in developi</w:t>
      </w:r>
      <w:r w:rsidR="00BA4319">
        <w:t>ng an application</w:t>
      </w:r>
      <w:r w:rsidR="00267701">
        <w:noBreakHyphen/>
      </w:r>
      <w:r w:rsidR="00BA4319">
        <w:t>specific</w:t>
      </w:r>
      <w:r w:rsidR="006D2098">
        <w:t xml:space="preserve"> model, analysts should</w:t>
      </w:r>
      <w:r w:rsidR="00931F0E">
        <w:t xml:space="preserve"> specify</w:t>
      </w:r>
      <w:r w:rsidR="006D2098">
        <w:t>:</w:t>
      </w:r>
    </w:p>
    <w:p w:rsidR="006D2098" w:rsidRDefault="006D2098" w:rsidP="006D2098">
      <w:pPr>
        <w:pStyle w:val="ListNumber"/>
        <w:numPr>
          <w:ilvl w:val="0"/>
          <w:numId w:val="25"/>
        </w:numPr>
      </w:pPr>
      <w:r>
        <w:t>utility function</w:t>
      </w:r>
      <w:r w:rsidR="00973FBA">
        <w:t>(</w:t>
      </w:r>
      <w:r>
        <w:t>s</w:t>
      </w:r>
      <w:r w:rsidR="00973FBA">
        <w:t>)</w:t>
      </w:r>
      <w:r w:rsidR="006447CF">
        <w:t xml:space="preserve"> that </w:t>
      </w:r>
      <w:r w:rsidR="00973FBA">
        <w:t>account for</w:t>
      </w:r>
      <w:r w:rsidR="006447CF">
        <w:t xml:space="preserve"> differen</w:t>
      </w:r>
      <w:r w:rsidR="00973FBA">
        <w:t>ces in the way that</w:t>
      </w:r>
      <w:r w:rsidR="006447CF">
        <w:t xml:space="preserve"> </w:t>
      </w:r>
      <w:r w:rsidR="00973FBA">
        <w:t>people belonging to different family types</w:t>
      </w:r>
      <w:r w:rsidR="006447CF">
        <w:t xml:space="preserve"> (</w:t>
      </w:r>
      <w:r w:rsidR="00EE33FD">
        <w:t>singles, couples and lone parents</w:t>
      </w:r>
      <w:r w:rsidR="006447CF">
        <w:t xml:space="preserve"> for instance)</w:t>
      </w:r>
      <w:r w:rsidR="00973FBA">
        <w:t xml:space="preserve"> make decisions</w:t>
      </w:r>
    </w:p>
    <w:p w:rsidR="006D2098" w:rsidRDefault="006D2098" w:rsidP="006D2098">
      <w:pPr>
        <w:pStyle w:val="ListNumber"/>
        <w:numPr>
          <w:ilvl w:val="0"/>
          <w:numId w:val="25"/>
        </w:numPr>
      </w:pPr>
      <w:r>
        <w:t>utility function</w:t>
      </w:r>
      <w:r w:rsidR="00973FBA">
        <w:t>(</w:t>
      </w:r>
      <w:r>
        <w:t>s</w:t>
      </w:r>
      <w:r w:rsidR="00973FBA">
        <w:t>)</w:t>
      </w:r>
      <w:r>
        <w:t xml:space="preserve"> that better account for non</w:t>
      </w:r>
      <w:r w:rsidR="00123F93">
        <w:t>-</w:t>
      </w:r>
      <w:r>
        <w:t>wage income</w:t>
      </w:r>
      <w:r w:rsidR="00E075D3">
        <w:t>.</w:t>
      </w:r>
      <w:r w:rsidRPr="009A7EDA">
        <w:rPr>
          <w:rStyle w:val="FootnoteReference"/>
        </w:rPr>
        <w:footnoteReference w:id="14"/>
      </w:r>
    </w:p>
    <w:p w:rsidR="00B93EDD" w:rsidRDefault="00192257" w:rsidP="00E00E61">
      <w:pPr>
        <w:pStyle w:val="BodyText"/>
      </w:pPr>
      <w:r>
        <w:t xml:space="preserve">For </w:t>
      </w:r>
      <w:r w:rsidR="00661403">
        <w:t>the initial implementation</w:t>
      </w:r>
      <w:r>
        <w:t>,</w:t>
      </w:r>
      <w:r w:rsidR="00642CA0">
        <w:t xml:space="preserve"> the</w:t>
      </w:r>
      <w:r w:rsidR="005A17F8">
        <w:t xml:space="preserve"> </w:t>
      </w:r>
      <w:r w:rsidR="006D2098">
        <w:t>utility and</w:t>
      </w:r>
      <w:r w:rsidR="00642CA0">
        <w:t xml:space="preserve"> wage equation</w:t>
      </w:r>
      <w:r w:rsidR="00F45826">
        <w:t>s</w:t>
      </w:r>
      <w:r w:rsidR="00642CA0">
        <w:t xml:space="preserve"> </w:t>
      </w:r>
      <w:r w:rsidR="005A17F8">
        <w:t>use</w:t>
      </w:r>
      <w:r w:rsidR="00642CA0">
        <w:t xml:space="preserve"> parameters</w:t>
      </w:r>
      <w:r w:rsidR="001809D4">
        <w:t xml:space="preserve"> based on</w:t>
      </w:r>
      <w:r w:rsidR="00642CA0">
        <w:t xml:space="preserve"> </w:t>
      </w:r>
      <w:r w:rsidR="005A17F8">
        <w:t>estimate</w:t>
      </w:r>
      <w:r w:rsidR="001809D4">
        <w:t>s</w:t>
      </w:r>
      <w:r w:rsidR="00307545">
        <w:t xml:space="preserve"> </w:t>
      </w:r>
      <w:r w:rsidR="001809D4">
        <w:t xml:space="preserve">from </w:t>
      </w:r>
      <w:r w:rsidR="00F57268">
        <w:t xml:space="preserve">modelling </w:t>
      </w:r>
      <w:r w:rsidR="00BF5D49">
        <w:t>for</w:t>
      </w:r>
      <w:r w:rsidR="00F57268">
        <w:t xml:space="preserve"> the</w:t>
      </w:r>
      <w:r w:rsidR="001809D4">
        <w:t xml:space="preserve"> Childcare and Early Childhood Learning </w:t>
      </w:r>
      <w:r w:rsidR="00F45826">
        <w:t xml:space="preserve">study </w:t>
      </w:r>
      <w:r w:rsidR="00507E71" w:rsidRPr="00850996">
        <w:rPr>
          <w:szCs w:val="24"/>
        </w:rPr>
        <w:t>(PC 2014)</w:t>
      </w:r>
      <w:r w:rsidR="00642CA0">
        <w:t>.</w:t>
      </w:r>
      <w:r w:rsidR="006D2098">
        <w:t xml:space="preserve"> In developing </w:t>
      </w:r>
      <w:r w:rsidR="00BA4319">
        <w:t>an application</w:t>
      </w:r>
      <w:r w:rsidR="00267701">
        <w:noBreakHyphen/>
      </w:r>
      <w:r w:rsidR="00BA4319">
        <w:t>specific</w:t>
      </w:r>
      <w:r w:rsidR="006D2098">
        <w:t xml:space="preserve"> model</w:t>
      </w:r>
      <w:r w:rsidR="00642CA0">
        <w:t xml:space="preserve"> utility parameters should be estimated using a </w:t>
      </w:r>
      <w:r w:rsidR="008218B9">
        <w:t>multinomial</w:t>
      </w:r>
      <w:r w:rsidR="00642CA0">
        <w:t xml:space="preserve"> logit and wage parameters </w:t>
      </w:r>
      <w:r w:rsidR="00140A3B">
        <w:t>using</w:t>
      </w:r>
      <w:r w:rsidR="00642CA0">
        <w:t xml:space="preserve"> a two</w:t>
      </w:r>
      <w:r w:rsidR="00642CA0">
        <w:noBreakHyphen/>
      </w:r>
      <w:r w:rsidR="008218B9">
        <w:t>stage H</w:t>
      </w:r>
      <w:r w:rsidR="00642CA0">
        <w:t>eckman estimator</w:t>
      </w:r>
      <w:r w:rsidR="00266C1B">
        <w:t>.</w:t>
      </w:r>
      <w:r w:rsidR="00BB4F57">
        <w:t xml:space="preserve"> </w:t>
      </w:r>
      <w:r w:rsidR="00123F93">
        <w:t xml:space="preserve">If the parameters are </w:t>
      </w:r>
      <w:r w:rsidR="00803529">
        <w:t>estimated using</w:t>
      </w:r>
      <w:r w:rsidR="00123F93">
        <w:t xml:space="preserve"> the same database </w:t>
      </w:r>
      <w:r w:rsidR="00803529">
        <w:t>as</w:t>
      </w:r>
      <w:r w:rsidR="00123F93">
        <w:t xml:space="preserve"> </w:t>
      </w:r>
      <w:r w:rsidR="00BB4F57">
        <w:t>CAPITA-B</w:t>
      </w:r>
      <w:r w:rsidR="00123F93">
        <w:t>, then the parameter estimates will be internally consistent</w:t>
      </w:r>
      <w:r w:rsidR="00BB4F57">
        <w:t>.</w:t>
      </w:r>
    </w:p>
    <w:p w:rsidR="00776BF2" w:rsidRDefault="00D176D7" w:rsidP="00776BF2">
      <w:pPr>
        <w:pStyle w:val="Heading3"/>
      </w:pPr>
      <w:r>
        <w:t>Expenditure application</w:t>
      </w:r>
    </w:p>
    <w:p w:rsidR="002A0831" w:rsidRDefault="002455F8" w:rsidP="00776BF2">
      <w:pPr>
        <w:pStyle w:val="BodyText"/>
      </w:pPr>
      <w:r>
        <w:t>F</w:t>
      </w:r>
      <w:r w:rsidR="004A1389">
        <w:t>urther work is needed before CAPITA</w:t>
      </w:r>
      <w:r w:rsidR="004A1389">
        <w:noBreakHyphen/>
        <w:t xml:space="preserve">B can be used to estimate behavioural responses to policy changes that </w:t>
      </w:r>
      <w:r w:rsidR="00596FF5">
        <w:t>directly affect</w:t>
      </w:r>
      <w:r w:rsidR="004A1389">
        <w:t xml:space="preserve"> decision maker’s expenditure behaviour </w:t>
      </w:r>
      <w:r w:rsidR="00CF68C1">
        <w:t>(</w:t>
      </w:r>
      <w:r w:rsidR="004A1389">
        <w:t>such as changes to the GST</w:t>
      </w:r>
      <w:r w:rsidR="00CF68C1">
        <w:t>)</w:t>
      </w:r>
      <w:r w:rsidR="004A1389">
        <w:t xml:space="preserve">. Considering </w:t>
      </w:r>
      <w:r w:rsidR="00123F93">
        <w:t xml:space="preserve">a </w:t>
      </w:r>
      <w:r w:rsidR="004A1389">
        <w:t>decision maker’</w:t>
      </w:r>
      <w:r w:rsidR="00634008">
        <w:t xml:space="preserve">s expenditure decisions </w:t>
      </w:r>
      <w:r w:rsidR="00596FF5">
        <w:t xml:space="preserve">would </w:t>
      </w:r>
      <w:r w:rsidR="00634008">
        <w:t>require</w:t>
      </w:r>
      <w:r w:rsidR="004A1389">
        <w:t xml:space="preserve"> specifying a utility function that incorporates preferences over consumption items</w:t>
      </w:r>
      <w:r>
        <w:t xml:space="preserve">, </w:t>
      </w:r>
      <w:r w:rsidR="00735494">
        <w:t xml:space="preserve">a </w:t>
      </w:r>
      <w:r w:rsidR="00123F93">
        <w:t xml:space="preserve">substantial </w:t>
      </w:r>
      <w:r w:rsidR="00735494">
        <w:t>extension</w:t>
      </w:r>
      <w:r w:rsidR="004A1389">
        <w:t xml:space="preserve">. </w:t>
      </w:r>
    </w:p>
    <w:p w:rsidR="00776BF2" w:rsidRPr="00776BF2" w:rsidRDefault="00803529" w:rsidP="00776BF2">
      <w:pPr>
        <w:pStyle w:val="BodyText"/>
      </w:pPr>
      <w:r>
        <w:lastRenderedPageBreak/>
        <w:t>The</w:t>
      </w:r>
      <w:r w:rsidR="002A0831">
        <w:t xml:space="preserve"> </w:t>
      </w:r>
      <w:r w:rsidR="004A1389">
        <w:t>CAPITA</w:t>
      </w:r>
      <w:r w:rsidR="004A1389">
        <w:noBreakHyphen/>
        <w:t xml:space="preserve">B </w:t>
      </w:r>
      <w:r w:rsidR="00845978">
        <w:t xml:space="preserve">database does not </w:t>
      </w:r>
      <w:r w:rsidR="00192257">
        <w:t xml:space="preserve">include </w:t>
      </w:r>
      <w:r w:rsidR="004A1389">
        <w:t>income units</w:t>
      </w:r>
      <w:r w:rsidR="003405C1">
        <w:t>’</w:t>
      </w:r>
      <w:r w:rsidR="004A1389">
        <w:t xml:space="preserve"> consumption expenditure</w:t>
      </w:r>
      <w:r w:rsidR="00192257">
        <w:t>, so further development of the database would be required</w:t>
      </w:r>
      <w:r w:rsidR="004A1389">
        <w:t xml:space="preserve">. </w:t>
      </w:r>
      <w:r w:rsidR="00AE63CE">
        <w:t>These developments</w:t>
      </w:r>
      <w:r w:rsidR="004A1389">
        <w:t xml:space="preserve"> would require either modifying the model to run with the 2009</w:t>
      </w:r>
      <w:r w:rsidR="004A1389">
        <w:noBreakHyphen/>
        <w:t>10 Survey of Income and Housing/Household Expenditure Survey, or statistically matching 2009</w:t>
      </w:r>
      <w:r w:rsidR="004A1389">
        <w:noBreakHyphen/>
        <w:t>10 Household Expenditure Survey expenditure data to income units in the 2011</w:t>
      </w:r>
      <w:r w:rsidR="004A1389">
        <w:noBreakHyphen/>
        <w:t>12 Survey of Income and Housing.</w:t>
      </w:r>
    </w:p>
    <w:p w:rsidR="00BB38DB" w:rsidRDefault="002A0831" w:rsidP="00BB38DB">
      <w:pPr>
        <w:pStyle w:val="Heading3"/>
      </w:pPr>
      <w:r>
        <w:t>E</w:t>
      </w:r>
      <w:r w:rsidR="00BB38DB">
        <w:t>ligibility criteria</w:t>
      </w:r>
    </w:p>
    <w:p w:rsidR="00BB38DB" w:rsidRDefault="002A0831" w:rsidP="00BB38DB">
      <w:pPr>
        <w:pStyle w:val="BodyText"/>
      </w:pPr>
      <w:r>
        <w:t>E</w:t>
      </w:r>
      <w:r w:rsidR="009F0D55">
        <w:t xml:space="preserve">ligibility for a transfer payment </w:t>
      </w:r>
      <w:r w:rsidR="00B94E17">
        <w:t xml:space="preserve">in CAPITA </w:t>
      </w:r>
      <w:r>
        <w:t xml:space="preserve">only occurs if </w:t>
      </w:r>
      <w:r w:rsidR="009F0D55">
        <w:t xml:space="preserve">a decision maker </w:t>
      </w:r>
      <w:r>
        <w:t xml:space="preserve">is </w:t>
      </w:r>
      <w:r w:rsidR="009F0D55">
        <w:t>observed as having received the particular payment in the database</w:t>
      </w:r>
      <w:r w:rsidR="00841B44">
        <w:t xml:space="preserve">. This means </w:t>
      </w:r>
      <w:r w:rsidR="006E02D9">
        <w:t>that some</w:t>
      </w:r>
      <w:r w:rsidR="009F0D55">
        <w:t xml:space="preserve"> decision makers </w:t>
      </w:r>
      <w:r w:rsidR="00B430DE">
        <w:t>can</w:t>
      </w:r>
      <w:r w:rsidR="00841B44">
        <w:t xml:space="preserve">not </w:t>
      </w:r>
      <w:r w:rsidR="009F0D55">
        <w:t xml:space="preserve">receive transfer payments </w:t>
      </w:r>
      <w:r w:rsidR="00841B44">
        <w:t>although they would</w:t>
      </w:r>
      <w:r w:rsidR="009F0D55">
        <w:t xml:space="preserve"> be eligible</w:t>
      </w:r>
      <w:r w:rsidR="006E02D9">
        <w:t xml:space="preserve"> for </w:t>
      </w:r>
      <w:r w:rsidR="00841B44">
        <w:t>th</w:t>
      </w:r>
      <w:r w:rsidR="001809D4">
        <w:t>ese</w:t>
      </w:r>
      <w:r w:rsidR="00841B44">
        <w:t xml:space="preserve"> payment</w:t>
      </w:r>
      <w:r w:rsidR="001809D4">
        <w:t>s</w:t>
      </w:r>
      <w:r w:rsidR="00841B44">
        <w:t xml:space="preserve"> </w:t>
      </w:r>
      <w:r w:rsidR="00F57268">
        <w:t xml:space="preserve">if they were to </w:t>
      </w:r>
      <w:r w:rsidR="00B430DE">
        <w:t xml:space="preserve">lower </w:t>
      </w:r>
      <w:r w:rsidR="00F57268">
        <w:t>their</w:t>
      </w:r>
      <w:r w:rsidR="00BE3E8B">
        <w:t xml:space="preserve"> labour supply</w:t>
      </w:r>
      <w:r w:rsidR="009F0D55">
        <w:t xml:space="preserve">. </w:t>
      </w:r>
    </w:p>
    <w:p w:rsidR="00C15D3C" w:rsidRDefault="0033236E" w:rsidP="00BB38DB">
      <w:pPr>
        <w:pStyle w:val="BodyText"/>
      </w:pPr>
      <w:r>
        <w:t>A</w:t>
      </w:r>
      <w:r w:rsidR="002A0831">
        <w:t xml:space="preserve">n alternative </w:t>
      </w:r>
      <w:r>
        <w:t xml:space="preserve">approach </w:t>
      </w:r>
      <w:r w:rsidR="009F0D55">
        <w:t xml:space="preserve">to modelling </w:t>
      </w:r>
      <w:r w:rsidR="00D121D0">
        <w:t xml:space="preserve">transfer payment </w:t>
      </w:r>
      <w:r w:rsidR="009F0D55">
        <w:t xml:space="preserve">eligibility </w:t>
      </w:r>
      <w:r w:rsidR="00803529">
        <w:t xml:space="preserve">would </w:t>
      </w:r>
      <w:r w:rsidR="002A0831">
        <w:t xml:space="preserve">be </w:t>
      </w:r>
      <w:r>
        <w:t xml:space="preserve">to remove the requirement that an income unit receive a payment in the </w:t>
      </w:r>
      <w:r w:rsidR="009F0D55">
        <w:t>survey</w:t>
      </w:r>
      <w:r>
        <w:t xml:space="preserve"> data in order to be eligible</w:t>
      </w:r>
      <w:r w:rsidR="00D121D0">
        <w:t xml:space="preserve">. </w:t>
      </w:r>
      <w:r w:rsidR="003C1D4C">
        <w:t>This</w:t>
      </w:r>
      <w:r w:rsidR="002A0831">
        <w:t xml:space="preserve"> would</w:t>
      </w:r>
      <w:r w:rsidR="003C1D4C">
        <w:t xml:space="preserve"> </w:t>
      </w:r>
      <w:r w:rsidR="00661403">
        <w:t>assume</w:t>
      </w:r>
      <w:r w:rsidR="002A0831">
        <w:t xml:space="preserve"> that</w:t>
      </w:r>
      <w:r w:rsidR="00661403">
        <w:t xml:space="preserve"> </w:t>
      </w:r>
      <w:r w:rsidR="002A0831">
        <w:t>an</w:t>
      </w:r>
      <w:r w:rsidR="00661403">
        <w:t xml:space="preserve">yone </w:t>
      </w:r>
      <w:r w:rsidR="002A0831">
        <w:t xml:space="preserve">who is </w:t>
      </w:r>
      <w:r w:rsidR="00661403">
        <w:t xml:space="preserve">eligible </w:t>
      </w:r>
      <w:r w:rsidR="002A0831">
        <w:t xml:space="preserve">would be modelled to </w:t>
      </w:r>
      <w:r w:rsidR="00661403">
        <w:t>receive a payment</w:t>
      </w:r>
      <w:r w:rsidR="00170B81">
        <w:t xml:space="preserve"> (</w:t>
      </w:r>
      <w:r w:rsidR="002A0831">
        <w:t>which</w:t>
      </w:r>
      <w:r w:rsidR="003C1D4C">
        <w:t xml:space="preserve"> </w:t>
      </w:r>
      <w:r w:rsidR="002A0831">
        <w:t>c</w:t>
      </w:r>
      <w:r w:rsidR="00661403">
        <w:t>ould</w:t>
      </w:r>
      <w:r w:rsidR="003C1D4C">
        <w:t xml:space="preserve"> overstate total transfer payments</w:t>
      </w:r>
      <w:r w:rsidR="00170B81">
        <w:t>)</w:t>
      </w:r>
      <w:r w:rsidR="003C1D4C">
        <w:t xml:space="preserve"> </w:t>
      </w:r>
      <w:r w:rsidR="00E4255A">
        <w:t xml:space="preserve">and </w:t>
      </w:r>
      <w:r w:rsidR="00170B81">
        <w:t>would ensure that CAPITA more accurately model</w:t>
      </w:r>
      <w:r w:rsidR="00E4255A">
        <w:t>s</w:t>
      </w:r>
      <w:r w:rsidR="00170B81">
        <w:t xml:space="preserve"> a decision maker’s disposable income at each </w:t>
      </w:r>
      <w:r w:rsidR="00235DEB">
        <w:t xml:space="preserve">possible </w:t>
      </w:r>
      <w:r w:rsidR="00170B81">
        <w:t xml:space="preserve">labour supply </w:t>
      </w:r>
      <w:r w:rsidR="00235DEB">
        <w:t>alternative</w:t>
      </w:r>
      <w:r w:rsidR="003C1D4C">
        <w:t>.</w:t>
      </w:r>
      <w:r w:rsidR="00A229FA">
        <w:t xml:space="preserve"> </w:t>
      </w:r>
    </w:p>
    <w:p w:rsidR="00D2187A" w:rsidRDefault="002478D3" w:rsidP="00D2187A">
      <w:pPr>
        <w:pStyle w:val="Heading3"/>
      </w:pPr>
      <w:r>
        <w:t>Decision makers</w:t>
      </w:r>
    </w:p>
    <w:p w:rsidR="00824DB3" w:rsidRDefault="00C27CA9" w:rsidP="00824DB3">
      <w:pPr>
        <w:pStyle w:val="BodyText"/>
      </w:pPr>
      <w:r>
        <w:t>Choices</w:t>
      </w:r>
      <w:r w:rsidR="002478D3">
        <w:t xml:space="preserve"> regarding the number of decision makers in an application</w:t>
      </w:r>
      <w:r w:rsidR="00267701">
        <w:noBreakHyphen/>
      </w:r>
      <w:r w:rsidR="002478D3">
        <w:t>specific model should be carefully considered on a case</w:t>
      </w:r>
      <w:r w:rsidR="002478D3">
        <w:noBreakHyphen/>
        <w:t>by</w:t>
      </w:r>
      <w:r w:rsidR="002478D3">
        <w:noBreakHyphen/>
        <w:t>case basis.</w:t>
      </w:r>
      <w:r w:rsidR="00824DB3">
        <w:t xml:space="preserve"> In some circumstances it may be </w:t>
      </w:r>
      <w:r w:rsidR="00803529">
        <w:t xml:space="preserve">appropriate </w:t>
      </w:r>
      <w:r w:rsidR="00824DB3">
        <w:t xml:space="preserve">to incorporate a secondary decision maker, and in other circumstances </w:t>
      </w:r>
      <w:r w:rsidR="00803529">
        <w:t>a</w:t>
      </w:r>
      <w:r w:rsidR="00824DB3">
        <w:t xml:space="preserve"> focus on the decisions of a single decision maker</w:t>
      </w:r>
      <w:r w:rsidR="00803529">
        <w:t xml:space="preserve"> is sufficient</w:t>
      </w:r>
      <w:r w:rsidR="00824DB3">
        <w:t xml:space="preserve">. </w:t>
      </w:r>
      <w:r w:rsidR="00841B44">
        <w:t>I</w:t>
      </w:r>
      <w:r w:rsidR="00282032">
        <w:t>nclusion of a secondary decision maker requires adjusting existing CAPITA</w:t>
      </w:r>
      <w:r w:rsidR="00282032">
        <w:noBreakHyphen/>
        <w:t>B</w:t>
      </w:r>
      <w:r w:rsidR="00CA5AF7">
        <w:t xml:space="preserve"> </w:t>
      </w:r>
      <w:r w:rsidR="00B541A1">
        <w:t>code</w:t>
      </w:r>
      <w:r w:rsidR="00282032">
        <w:t>.</w:t>
      </w:r>
    </w:p>
    <w:p w:rsidR="00F77146" w:rsidRPr="00824DB3" w:rsidRDefault="00803529" w:rsidP="00824DB3">
      <w:pPr>
        <w:pStyle w:val="BodyText"/>
      </w:pPr>
      <w:r>
        <w:t>The</w:t>
      </w:r>
      <w:r w:rsidR="00F77146">
        <w:t xml:space="preserve"> single decision maker </w:t>
      </w:r>
      <w:r>
        <w:t xml:space="preserve">model could </w:t>
      </w:r>
      <w:r w:rsidR="00A604D0">
        <w:t xml:space="preserve">retain </w:t>
      </w:r>
      <w:r w:rsidR="00F77146">
        <w:t>the primary earner as the sole decision maker</w:t>
      </w:r>
      <w:r w:rsidR="002A0831">
        <w:t xml:space="preserve">, or replace them with the secondary earner (as in the </w:t>
      </w:r>
      <w:r w:rsidR="00497E91">
        <w:t xml:space="preserve">modelling for the </w:t>
      </w:r>
      <w:r w:rsidR="002A0831">
        <w:t xml:space="preserve">Childcare </w:t>
      </w:r>
      <w:r w:rsidR="00497E91">
        <w:t xml:space="preserve">and Early Childhood Learning report </w:t>
      </w:r>
      <w:r w:rsidR="00497E91" w:rsidRPr="00497E91">
        <w:rPr>
          <w:szCs w:val="24"/>
        </w:rPr>
        <w:t>(PC 2014)</w:t>
      </w:r>
      <w:r w:rsidR="002A0831">
        <w:t>)</w:t>
      </w:r>
      <w:r w:rsidR="00F77146">
        <w:t>.</w:t>
      </w:r>
    </w:p>
    <w:p w:rsidR="001F369D" w:rsidRDefault="00EB11AD" w:rsidP="001F369D">
      <w:pPr>
        <w:pStyle w:val="Heading3"/>
      </w:pPr>
      <w:r>
        <w:t>Additional policies</w:t>
      </w:r>
    </w:p>
    <w:p w:rsidR="009E2E26" w:rsidRDefault="00EB11AD" w:rsidP="001F369D">
      <w:pPr>
        <w:pStyle w:val="BodyText"/>
      </w:pPr>
      <w:r>
        <w:t xml:space="preserve">CAPITA does not model some policies that may </w:t>
      </w:r>
      <w:r w:rsidR="00F00C32">
        <w:t xml:space="preserve">affect </w:t>
      </w:r>
      <w:r>
        <w:t>labour supply choices, such as childcare</w:t>
      </w:r>
      <w:r w:rsidR="001725FC" w:rsidRPr="009A7EDA">
        <w:rPr>
          <w:rStyle w:val="FootnoteReference"/>
        </w:rPr>
        <w:footnoteReference w:id="15"/>
      </w:r>
      <w:r>
        <w:t xml:space="preserve"> and housing subsidies</w:t>
      </w:r>
      <w:r w:rsidR="001F369D">
        <w:t xml:space="preserve">. </w:t>
      </w:r>
      <w:r w:rsidR="00803529">
        <w:t>Developing the model to assess</w:t>
      </w:r>
      <w:r w:rsidR="00741292">
        <w:t xml:space="preserve"> these policies </w:t>
      </w:r>
      <w:r w:rsidR="00803529">
        <w:t xml:space="preserve">will </w:t>
      </w:r>
      <w:r w:rsidR="00741292">
        <w:t>require making specific assumptions about decision maker</w:t>
      </w:r>
      <w:r w:rsidR="00F657FF">
        <w:t>’</w:t>
      </w:r>
      <w:r w:rsidR="00741292">
        <w:t>s</w:t>
      </w:r>
      <w:r w:rsidR="00803529">
        <w:t xml:space="preserve"> current outcomes</w:t>
      </w:r>
      <w:r w:rsidR="00741292">
        <w:t xml:space="preserve"> (</w:t>
      </w:r>
      <w:r w:rsidR="00EB1590">
        <w:t>hours of childcare used</w:t>
      </w:r>
      <w:r w:rsidR="002A0831">
        <w:t>,</w:t>
      </w:r>
      <w:r w:rsidR="00EB1590">
        <w:t xml:space="preserve"> </w:t>
      </w:r>
      <w:r w:rsidR="00741292">
        <w:t>for instance</w:t>
      </w:r>
      <w:r w:rsidR="00803529">
        <w:t>).</w:t>
      </w:r>
    </w:p>
    <w:p w:rsidR="009E2E26" w:rsidRDefault="009E2E26">
      <w:pPr>
        <w:rPr>
          <w:szCs w:val="20"/>
        </w:rPr>
      </w:pPr>
      <w:r>
        <w:br w:type="page"/>
      </w:r>
    </w:p>
    <w:p w:rsidR="001213C0" w:rsidRPr="00783AB6" w:rsidRDefault="001213C0" w:rsidP="00DF21B5">
      <w:pPr>
        <w:pStyle w:val="Heading2"/>
        <w:spacing w:after="480"/>
      </w:pPr>
      <w:r w:rsidRPr="00783AB6">
        <w:lastRenderedPageBreak/>
        <w:t>References</w:t>
      </w:r>
    </w:p>
    <w:p w:rsidR="00A000A8" w:rsidRPr="00A000A8" w:rsidRDefault="00A000A8" w:rsidP="00BE1D2B">
      <w:pPr>
        <w:pStyle w:val="Reference"/>
      </w:pPr>
      <w:r w:rsidRPr="00A000A8">
        <w:t xml:space="preserve">ABS (Australian Bureau of Statistics) 2013, </w:t>
      </w:r>
      <w:proofErr w:type="spellStart"/>
      <w:r w:rsidRPr="00A000A8">
        <w:rPr>
          <w:i/>
          <w:iCs/>
        </w:rPr>
        <w:t>Microdata</w:t>
      </w:r>
      <w:proofErr w:type="spellEnd"/>
      <w:r w:rsidRPr="00A000A8">
        <w:rPr>
          <w:i/>
          <w:iCs/>
        </w:rPr>
        <w:t>: Income and Housing, Australia, 2011-12</w:t>
      </w:r>
      <w:r w:rsidRPr="00A000A8">
        <w:t>, http://www.abs.gov.au/AUSSTATS/abs@.nsf/Lookup/6541.0.30.001Main+</w:t>
      </w:r>
      <w:r w:rsidR="00BE1D2B">
        <w:br/>
      </w:r>
      <w:proofErr w:type="spellStart"/>
      <w:r w:rsidRPr="00A000A8">
        <w:t>Features12011-12?OpenDocument</w:t>
      </w:r>
      <w:proofErr w:type="spellEnd"/>
      <w:r w:rsidRPr="00A000A8">
        <w:t xml:space="preserve"> (accessed 26 June 2014).</w:t>
      </w:r>
    </w:p>
    <w:p w:rsidR="000B3F4C" w:rsidRDefault="00A000A8" w:rsidP="00BE1D2B">
      <w:pPr>
        <w:pStyle w:val="Reference"/>
      </w:pPr>
      <w:r w:rsidRPr="00A000A8">
        <w:t>——</w:t>
      </w:r>
      <w:r w:rsidR="00DF21B5">
        <w:t xml:space="preserve"> </w:t>
      </w:r>
      <w:r w:rsidRPr="00A000A8">
        <w:t xml:space="preserve">2014, </w:t>
      </w:r>
      <w:r w:rsidRPr="00A000A8">
        <w:rPr>
          <w:i/>
          <w:iCs/>
        </w:rPr>
        <w:t>Family, Household and Income Unit Variables</w:t>
      </w:r>
      <w:r w:rsidRPr="00A000A8">
        <w:t>, http://</w:t>
      </w:r>
      <w:proofErr w:type="spellStart"/>
      <w:r w:rsidRPr="00A000A8">
        <w:t>www.abs.gov.au</w:t>
      </w:r>
      <w:proofErr w:type="spellEnd"/>
      <w:r w:rsidRPr="00A000A8">
        <w:t>/</w:t>
      </w:r>
      <w:r w:rsidR="00DF21B5">
        <w:br/>
      </w:r>
      <w:proofErr w:type="spellStart"/>
      <w:r w:rsidRPr="00A000A8">
        <w:t>AUSSTATS</w:t>
      </w:r>
      <w:proofErr w:type="spellEnd"/>
      <w:r w:rsidRPr="00A000A8">
        <w:t>/abs@.</w:t>
      </w:r>
      <w:proofErr w:type="spellStart"/>
      <w:r w:rsidRPr="00A000A8">
        <w:t>nsf</w:t>
      </w:r>
      <w:proofErr w:type="spellEnd"/>
      <w:r w:rsidRPr="00A000A8">
        <w:t>/Lookup/</w:t>
      </w:r>
      <w:proofErr w:type="spellStart"/>
      <w:r w:rsidRPr="00A000A8">
        <w:t>1286.0Glossary12014?OpenDocument</w:t>
      </w:r>
      <w:proofErr w:type="spellEnd"/>
      <w:r w:rsidRPr="00A000A8">
        <w:t xml:space="preserve"> (accessed 27</w:t>
      </w:r>
      <w:r w:rsidR="00BE1D2B">
        <w:t> </w:t>
      </w:r>
      <w:r w:rsidRPr="00A000A8">
        <w:t>October 2015).</w:t>
      </w:r>
    </w:p>
    <w:p w:rsidR="000B3F4C" w:rsidRPr="005E36B8" w:rsidRDefault="000B3F4C" w:rsidP="005E36B8">
      <w:pPr>
        <w:pStyle w:val="Reference"/>
      </w:pPr>
      <w:proofErr w:type="spellStart"/>
      <w:r w:rsidRPr="004E1646">
        <w:t>ATO</w:t>
      </w:r>
      <w:proofErr w:type="spellEnd"/>
      <w:r w:rsidRPr="004E1646">
        <w:t xml:space="preserve"> (Australian Taxation Office) 2016, </w:t>
      </w:r>
      <w:r w:rsidRPr="005E36B8">
        <w:t xml:space="preserve">Income tax rates, </w:t>
      </w:r>
      <w:hyperlink r:id="rId19" w:history="1">
        <w:r w:rsidRPr="005E36B8">
          <w:rPr>
            <w:rStyle w:val="Hyperlink"/>
            <w:color w:val="auto"/>
            <w:u w:val="none"/>
          </w:rPr>
          <w:t>https://</w:t>
        </w:r>
        <w:proofErr w:type="spellStart"/>
        <w:r w:rsidRPr="005E36B8">
          <w:rPr>
            <w:rStyle w:val="Hyperlink"/>
            <w:color w:val="auto"/>
            <w:u w:val="none"/>
          </w:rPr>
          <w:t>www.ato.gov.au</w:t>
        </w:r>
        <w:proofErr w:type="spellEnd"/>
        <w:r w:rsidRPr="005E36B8">
          <w:rPr>
            <w:rStyle w:val="Hyperlink"/>
            <w:color w:val="auto"/>
            <w:u w:val="none"/>
          </w:rPr>
          <w:t>/</w:t>
        </w:r>
      </w:hyperlink>
      <w:r w:rsidR="00FC5C32">
        <w:br/>
      </w:r>
      <w:r w:rsidRPr="005E36B8">
        <w:t>rates/individual-income-tax-rates/ (accessed 15 February 2016).</w:t>
      </w:r>
    </w:p>
    <w:p w:rsidR="00A000A8" w:rsidRPr="00A000A8" w:rsidRDefault="00A000A8" w:rsidP="00BE1D2B">
      <w:pPr>
        <w:pStyle w:val="Reference"/>
      </w:pPr>
      <w:r w:rsidRPr="00A000A8">
        <w:t xml:space="preserve">Bourguignon, F., Fournier, M. and </w:t>
      </w:r>
      <w:proofErr w:type="spellStart"/>
      <w:r w:rsidRPr="00A000A8">
        <w:t>Gurgand</w:t>
      </w:r>
      <w:proofErr w:type="spellEnd"/>
      <w:r w:rsidRPr="00A000A8">
        <w:t xml:space="preserve">, M. 1998, </w:t>
      </w:r>
      <w:r w:rsidRPr="00A000A8">
        <w:rPr>
          <w:i/>
          <w:iCs/>
        </w:rPr>
        <w:t>Distribution, Development and Education: Taiwan, 1979-1994</w:t>
      </w:r>
      <w:r w:rsidRPr="00A000A8">
        <w:t>.</w:t>
      </w:r>
    </w:p>
    <w:p w:rsidR="00A000A8" w:rsidRPr="00A000A8" w:rsidRDefault="00A000A8" w:rsidP="00BE1D2B">
      <w:pPr>
        <w:pStyle w:val="Reference"/>
      </w:pPr>
      <w:proofErr w:type="spellStart"/>
      <w:r w:rsidRPr="00A000A8">
        <w:t>Creedy</w:t>
      </w:r>
      <w:proofErr w:type="spellEnd"/>
      <w:r w:rsidRPr="00A000A8">
        <w:t xml:space="preserve">, J., Duncan, A., </w:t>
      </w:r>
      <w:proofErr w:type="spellStart"/>
      <w:r w:rsidRPr="00A000A8">
        <w:t>Kalb</w:t>
      </w:r>
      <w:proofErr w:type="spellEnd"/>
      <w:r w:rsidRPr="00A000A8">
        <w:t xml:space="preserve">, G., Kew, H. and Scutella, R. 2004, </w:t>
      </w:r>
      <w:r w:rsidRPr="00A000A8">
        <w:rPr>
          <w:i/>
          <w:iCs/>
        </w:rPr>
        <w:t>The Melbourne Institute Tax and Transfer Simulator (MITTS)</w:t>
      </w:r>
      <w:r w:rsidRPr="00A000A8">
        <w:t>, The Melbourne Institute of Applied Economic and Social Research.</w:t>
      </w:r>
    </w:p>
    <w:p w:rsidR="00A000A8" w:rsidRPr="00A000A8" w:rsidRDefault="00A000A8" w:rsidP="00BE1D2B">
      <w:pPr>
        <w:pStyle w:val="Reference"/>
      </w:pPr>
      <w:proofErr w:type="spellStart"/>
      <w:r w:rsidRPr="00A000A8">
        <w:t>MathWorks</w:t>
      </w:r>
      <w:proofErr w:type="spellEnd"/>
      <w:r w:rsidRPr="00A000A8">
        <w:t xml:space="preserve"> Australia 2016, </w:t>
      </w:r>
      <w:r w:rsidRPr="00A000A8">
        <w:rPr>
          <w:i/>
          <w:iCs/>
        </w:rPr>
        <w:t xml:space="preserve">Generalized Extreme Value Distribution - </w:t>
      </w:r>
      <w:proofErr w:type="spellStart"/>
      <w:r w:rsidRPr="00A000A8">
        <w:rPr>
          <w:i/>
          <w:iCs/>
        </w:rPr>
        <w:t>MATLAB</w:t>
      </w:r>
      <w:proofErr w:type="spellEnd"/>
      <w:r w:rsidRPr="00A000A8">
        <w:rPr>
          <w:i/>
          <w:iCs/>
        </w:rPr>
        <w:t xml:space="preserve"> &amp; Simulink</w:t>
      </w:r>
      <w:r w:rsidRPr="00A000A8">
        <w:t>, http://au.mathworks.com/help/stats/generalized-extreme-value-distribution.html (accessed 31 January 2016).</w:t>
      </w:r>
    </w:p>
    <w:p w:rsidR="00A000A8" w:rsidRPr="00A000A8" w:rsidRDefault="00A000A8" w:rsidP="00BE1D2B">
      <w:pPr>
        <w:pStyle w:val="Reference"/>
      </w:pPr>
      <w:r w:rsidRPr="00A000A8">
        <w:t xml:space="preserve">PC (Productivity Commission) 2014, </w:t>
      </w:r>
      <w:r w:rsidRPr="00A000A8">
        <w:rPr>
          <w:i/>
          <w:iCs/>
        </w:rPr>
        <w:t>Childcare and Early Childhood Learning</w:t>
      </w:r>
      <w:r w:rsidRPr="00A000A8">
        <w:t>, Canberra.</w:t>
      </w:r>
    </w:p>
    <w:p w:rsidR="00A000A8" w:rsidRPr="00A000A8" w:rsidRDefault="00A000A8" w:rsidP="00BE1D2B">
      <w:pPr>
        <w:pStyle w:val="Reference"/>
      </w:pPr>
      <w:r w:rsidRPr="00A000A8">
        <w:t>——</w:t>
      </w:r>
      <w:r w:rsidR="00DF21B5">
        <w:t> </w:t>
      </w:r>
      <w:r w:rsidRPr="00A000A8">
        <w:t xml:space="preserve">2015, </w:t>
      </w:r>
      <w:r w:rsidRPr="00A000A8">
        <w:rPr>
          <w:i/>
          <w:iCs/>
        </w:rPr>
        <w:t>Tax and Transfer Incidence in Australia</w:t>
      </w:r>
      <w:r w:rsidRPr="00A000A8">
        <w:t>, Canberra.</w:t>
      </w:r>
    </w:p>
    <w:p w:rsidR="001213C0" w:rsidRDefault="001213C0" w:rsidP="00497E91">
      <w:pPr>
        <w:pStyle w:val="Bibliography"/>
      </w:pPr>
      <w:r>
        <w:br w:type="page"/>
      </w:r>
    </w:p>
    <w:p w:rsidR="003E2597" w:rsidRDefault="003E2597" w:rsidP="00783AB6">
      <w:pPr>
        <w:pStyle w:val="Heading2"/>
      </w:pPr>
      <w:r>
        <w:lastRenderedPageBreak/>
        <w:t>Appendix</w:t>
      </w:r>
    </w:p>
    <w:p w:rsidR="00B45C86" w:rsidRDefault="007F18A1" w:rsidP="00EC65B7">
      <w:pPr>
        <w:pStyle w:val="BodyText"/>
      </w:pPr>
      <w:r>
        <w:t>P</w:t>
      </w:r>
      <w:r w:rsidR="00B45C86">
        <w:t xml:space="preserve">rimary and secondary earners </w:t>
      </w:r>
      <w:r w:rsidR="001210DB">
        <w:t>vary in their</w:t>
      </w:r>
      <w:r w:rsidR="00B45C86">
        <w:t xml:space="preserve"> </w:t>
      </w:r>
      <w:r w:rsidR="00742BA5">
        <w:t>ability</w:t>
      </w:r>
      <w:r w:rsidR="00B45C86">
        <w:t xml:space="preserve"> to increase </w:t>
      </w:r>
      <w:r w:rsidR="00161D5A">
        <w:t>their hours of work</w:t>
      </w:r>
      <w:r w:rsidR="00B45C86">
        <w:t>. Analysis of</w:t>
      </w:r>
      <w:r w:rsidR="00F90D51">
        <w:t xml:space="preserve"> </w:t>
      </w:r>
      <w:r w:rsidR="001210DB">
        <w:t xml:space="preserve">data on </w:t>
      </w:r>
      <w:r w:rsidR="00F90D51">
        <w:t>couples in</w:t>
      </w:r>
      <w:r w:rsidR="00B45C86">
        <w:t xml:space="preserve"> the 2011</w:t>
      </w:r>
      <w:r w:rsidR="00B45C86">
        <w:noBreakHyphen/>
        <w:t>12 Survey of Income and Housing</w:t>
      </w:r>
      <w:r w:rsidR="008F4C59">
        <w:t xml:space="preserve"> (figure 5)</w:t>
      </w:r>
      <w:r w:rsidR="00B45C86">
        <w:t xml:space="preserve"> suggests that primary earners work more than secondary earners generally, and </w:t>
      </w:r>
      <w:r w:rsidR="00B75241">
        <w:t xml:space="preserve">so </w:t>
      </w:r>
      <w:r w:rsidR="00B45C86">
        <w:t>se</w:t>
      </w:r>
      <w:r w:rsidR="00742BA5">
        <w:t>condary earners can</w:t>
      </w:r>
      <w:r w:rsidR="00B45C86">
        <w:t xml:space="preserve"> increase their </w:t>
      </w:r>
      <w:r w:rsidR="00161D5A">
        <w:t>hours</w:t>
      </w:r>
      <w:r w:rsidR="00742BA5">
        <w:t xml:space="preserve"> to a greater extent</w:t>
      </w:r>
      <w:r w:rsidR="00405FB4">
        <w:t xml:space="preserve"> </w:t>
      </w:r>
      <w:r w:rsidR="000C61DC">
        <w:t>provid</w:t>
      </w:r>
      <w:r w:rsidR="002814DD">
        <w:t>ed</w:t>
      </w:r>
      <w:r w:rsidR="000C61DC">
        <w:t xml:space="preserve"> there is demand for the</w:t>
      </w:r>
      <w:r w:rsidR="0015765D">
        <w:t xml:space="preserve"> extra</w:t>
      </w:r>
      <w:r w:rsidR="00283478">
        <w:t xml:space="preserve"> </w:t>
      </w:r>
      <w:r w:rsidR="000C61DC">
        <w:t xml:space="preserve">labour. </w:t>
      </w:r>
      <w:r w:rsidR="00B45C86">
        <w:t>Having said this, a significant proportion of primary earners (around 40 per cent) work less than 38.5 hours per week and</w:t>
      </w:r>
      <w:r w:rsidR="0082065E">
        <w:t xml:space="preserve"> </w:t>
      </w:r>
      <w:r w:rsidR="00B45C86">
        <w:t xml:space="preserve">have </w:t>
      </w:r>
      <w:r w:rsidR="00742BA5">
        <w:t xml:space="preserve">the </w:t>
      </w:r>
      <w:r w:rsidR="00AA3033">
        <w:t xml:space="preserve">capacity </w:t>
      </w:r>
      <w:r w:rsidR="00B45C86">
        <w:t xml:space="preserve">to increase their </w:t>
      </w:r>
      <w:r w:rsidR="00161D5A">
        <w:t>hours</w:t>
      </w:r>
      <w:r w:rsidR="00F77146">
        <w:t xml:space="preserve"> </w:t>
      </w:r>
      <w:r w:rsidR="00F77146" w:rsidRPr="00F77146">
        <w:rPr>
          <w:szCs w:val="24"/>
        </w:rPr>
        <w:t>(ABS 2013)</w:t>
      </w:r>
      <w:r w:rsidR="00A87172">
        <w:t xml:space="preserve"> if the demand exists</w:t>
      </w:r>
      <w:r w:rsidR="00AA3033">
        <w:t>; and those working full time could work ‘overtime’</w:t>
      </w:r>
      <w:r w:rsidR="00B45C86">
        <w:t>.</w:t>
      </w:r>
    </w:p>
    <w:p w:rsidR="00B45C86" w:rsidRDefault="001210DB" w:rsidP="00EC65B7">
      <w:pPr>
        <w:pStyle w:val="BodyText"/>
      </w:pPr>
      <w:r>
        <w:t>Conversely</w:t>
      </w:r>
      <w:r w:rsidR="00B45C86">
        <w:t xml:space="preserve">, primary earners </w:t>
      </w:r>
      <w:r>
        <w:t xml:space="preserve">might </w:t>
      </w:r>
      <w:r w:rsidR="00B45C86">
        <w:t xml:space="preserve">decrease their </w:t>
      </w:r>
      <w:r w:rsidR="00161D5A">
        <w:t>hours</w:t>
      </w:r>
      <w:r w:rsidR="00B45C86">
        <w:t xml:space="preserve">. </w:t>
      </w:r>
      <w:r w:rsidR="00161D5A">
        <w:t>Around</w:t>
      </w:r>
      <w:r w:rsidR="00B45C86">
        <w:t xml:space="preserve"> 25 per cent of secondary earners work at least 38.5 hours per week and</w:t>
      </w:r>
      <w:r w:rsidR="00EC6BD3">
        <w:t xml:space="preserve"> </w:t>
      </w:r>
      <w:r>
        <w:t xml:space="preserve">have significant scope to reduce their hours; </w:t>
      </w:r>
      <w:r w:rsidR="00EC6BD3">
        <w:t>so most secondary earners</w:t>
      </w:r>
      <w:r w:rsidR="00B45C86">
        <w:t xml:space="preserve"> </w:t>
      </w:r>
      <w:r w:rsidR="00A46E8A">
        <w:t>can only</w:t>
      </w:r>
      <w:r w:rsidR="00B45C86">
        <w:t xml:space="preserve"> reduce their already lower </w:t>
      </w:r>
      <w:r w:rsidR="00161D5A">
        <w:t xml:space="preserve">hours </w:t>
      </w:r>
      <w:r w:rsidR="00A46E8A">
        <w:t>by a small amount</w:t>
      </w:r>
      <w:r w:rsidR="00B45C86">
        <w:t xml:space="preserve">. In contrast, around 60 per cent of primary earners work full time and </w:t>
      </w:r>
      <w:r w:rsidR="00EC6BD3">
        <w:t>have more scope to</w:t>
      </w:r>
      <w:r w:rsidR="00B45C86">
        <w:t xml:space="preserve"> reduce their </w:t>
      </w:r>
      <w:r w:rsidR="00161D5A">
        <w:t>hours</w:t>
      </w:r>
      <w:r w:rsidR="00D85DE5">
        <w:t xml:space="preserve"> </w:t>
      </w:r>
      <w:r w:rsidR="00F77146" w:rsidRPr="00F77146">
        <w:rPr>
          <w:szCs w:val="24"/>
        </w:rPr>
        <w:t>(ABS 2013)</w:t>
      </w:r>
      <w:r w:rsidR="00B45C86">
        <w:t>.</w:t>
      </w:r>
    </w:p>
    <w:p w:rsidR="005F1D14" w:rsidRDefault="005F1D14" w:rsidP="005F1D1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F1D14" w:rsidTr="00B239A1">
        <w:tc>
          <w:tcPr>
            <w:tcW w:w="8771" w:type="dxa"/>
            <w:tcBorders>
              <w:top w:val="single" w:sz="6" w:space="0" w:color="78A22F"/>
              <w:left w:val="nil"/>
              <w:bottom w:val="nil"/>
              <w:right w:val="nil"/>
            </w:tcBorders>
            <w:shd w:val="clear" w:color="auto" w:fill="auto"/>
          </w:tcPr>
          <w:p w:rsidR="005F1D14" w:rsidRPr="00176D3F" w:rsidRDefault="005F1D14" w:rsidP="00CB4D43">
            <w:pPr>
              <w:pStyle w:val="FigureTitle"/>
            </w:pPr>
            <w:r w:rsidRPr="00784A05">
              <w:rPr>
                <w:b w:val="0"/>
              </w:rPr>
              <w:t xml:space="preserve">Figure </w:t>
            </w:r>
            <w:r w:rsidR="003F2E30">
              <w:rPr>
                <w:b w:val="0"/>
                <w:noProof/>
              </w:rPr>
              <w:t>5</w:t>
            </w:r>
            <w:r>
              <w:tab/>
              <w:t>Working hours of primary and secondary earners</w:t>
            </w:r>
            <w:proofErr w:type="spellStart"/>
            <w:r w:rsidRPr="002E3DF0">
              <w:rPr>
                <w:rStyle w:val="NoteLabel"/>
                <w:b/>
              </w:rPr>
              <w:t>a</w:t>
            </w:r>
            <w:r w:rsidR="001210DB" w:rsidRPr="002E3DF0">
              <w:rPr>
                <w:rStyle w:val="NoteLabel"/>
                <w:b/>
              </w:rPr>
              <w:t>,b,c</w:t>
            </w:r>
            <w:proofErr w:type="spellEnd"/>
          </w:p>
        </w:tc>
      </w:tr>
      <w:tr w:rsidR="005F1D14" w:rsidTr="00B239A1">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5F1D14" w:rsidTr="006832F8">
              <w:trPr>
                <w:jc w:val="center"/>
              </w:trPr>
              <w:tc>
                <w:tcPr>
                  <w:tcW w:w="8504" w:type="dxa"/>
                  <w:tcBorders>
                    <w:top w:val="nil"/>
                    <w:bottom w:val="nil"/>
                  </w:tcBorders>
                </w:tcPr>
                <w:p w:rsidR="005F1D14" w:rsidRDefault="006832F8">
                  <w:pPr>
                    <w:pStyle w:val="Figure"/>
                    <w:spacing w:before="60" w:after="60"/>
                  </w:pPr>
                  <w:r>
                    <w:rPr>
                      <w:noProof/>
                    </w:rPr>
                    <w:drawing>
                      <wp:inline distT="0" distB="0" distL="0" distR="0" wp14:anchorId="59788BDF" wp14:editId="009AD756">
                        <wp:extent cx="5400000" cy="2880000"/>
                        <wp:effectExtent l="0" t="0" r="0" b="0"/>
                        <wp:docPr id="3" name="Chart 3" descr="Figure 5. The working hours of primary and secondary earners for each couple in the 2011 12 Survey of Income and Housing. The primary earner is assumed to be the adult with the highest income from all sources. When there is no clear primary earner (when both adults receive the same income), the primary earner is assumed to be the reference person according to the ABS. This figure shows that, in general, primary earners work more than secondary earners but that a number of primary earners work less than full tim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5F1D14" w:rsidRDefault="005F1D14" w:rsidP="00B239A1">
            <w:pPr>
              <w:pStyle w:val="Figure"/>
            </w:pPr>
          </w:p>
        </w:tc>
      </w:tr>
      <w:tr w:rsidR="005F1D14" w:rsidRPr="00176D3F" w:rsidTr="00B239A1">
        <w:tc>
          <w:tcPr>
            <w:tcW w:w="8771" w:type="dxa"/>
            <w:tcBorders>
              <w:top w:val="nil"/>
              <w:left w:val="nil"/>
              <w:bottom w:val="nil"/>
              <w:right w:val="nil"/>
            </w:tcBorders>
            <w:shd w:val="clear" w:color="auto" w:fill="auto"/>
          </w:tcPr>
          <w:p w:rsidR="005F1D14" w:rsidRPr="00176D3F" w:rsidRDefault="005F1D14" w:rsidP="00CB4D43">
            <w:pPr>
              <w:pStyle w:val="Note"/>
              <w:rPr>
                <w:i/>
              </w:rPr>
            </w:pPr>
            <w:r>
              <w:rPr>
                <w:rStyle w:val="NoteLabel"/>
              </w:rPr>
              <w:t>a</w:t>
            </w:r>
            <w:r>
              <w:t xml:space="preserve"> </w:t>
            </w:r>
            <w:r w:rsidR="001210DB">
              <w:t>C</w:t>
            </w:r>
            <w:r>
              <w:t>ouple</w:t>
            </w:r>
            <w:r w:rsidR="001210DB">
              <w:t>s</w:t>
            </w:r>
            <w:r>
              <w:t xml:space="preserve"> </w:t>
            </w:r>
            <w:r w:rsidR="001210DB">
              <w:t>only</w:t>
            </w:r>
            <w:r w:rsidRPr="007B4909">
              <w:t>.</w:t>
            </w:r>
            <w:r w:rsidR="004258FE">
              <w:t xml:space="preserve"> </w:t>
            </w:r>
            <w:r w:rsidR="001210DB">
              <w:rPr>
                <w:rStyle w:val="NoteLabel"/>
              </w:rPr>
              <w:t xml:space="preserve">b </w:t>
            </w:r>
            <w:r w:rsidR="001210DB">
              <w:t>T</w:t>
            </w:r>
            <w:r w:rsidR="00EC6BD3">
              <w:t xml:space="preserve">he primary earner is the adult </w:t>
            </w:r>
            <w:r w:rsidR="001210DB">
              <w:t>with the highest</w:t>
            </w:r>
            <w:r w:rsidR="00EC6BD3">
              <w:t xml:space="preserve"> income from all sources.</w:t>
            </w:r>
            <w:r w:rsidR="00CB4D43">
              <w:t xml:space="preserve"> When there is no clear primary earner (when both adults receive the same income), the primary earner is assumed to be the reference person as defined by the ABS.</w:t>
            </w:r>
            <w:r w:rsidR="001210DB">
              <w:t xml:space="preserve"> </w:t>
            </w:r>
            <w:r w:rsidR="001210DB">
              <w:rPr>
                <w:rStyle w:val="NoteLabel"/>
              </w:rPr>
              <w:t>c</w:t>
            </w:r>
            <w:r>
              <w:t xml:space="preserve"> 0 hours of work implies that a person is either unemployed or not in the labour force. </w:t>
            </w:r>
          </w:p>
        </w:tc>
      </w:tr>
      <w:tr w:rsidR="005F1D14" w:rsidRPr="00176D3F" w:rsidTr="00B239A1">
        <w:tc>
          <w:tcPr>
            <w:tcW w:w="8771" w:type="dxa"/>
            <w:tcBorders>
              <w:top w:val="nil"/>
              <w:left w:val="nil"/>
              <w:bottom w:val="nil"/>
              <w:right w:val="nil"/>
            </w:tcBorders>
            <w:shd w:val="clear" w:color="auto" w:fill="auto"/>
          </w:tcPr>
          <w:p w:rsidR="005F1D14" w:rsidRPr="00176D3F" w:rsidRDefault="005F1D14" w:rsidP="00D22ED5">
            <w:pPr>
              <w:pStyle w:val="Source"/>
            </w:pPr>
            <w:r w:rsidRPr="00784A05">
              <w:rPr>
                <w:i/>
              </w:rPr>
              <w:t>Data source</w:t>
            </w:r>
            <w:r w:rsidRPr="00176D3F">
              <w:t xml:space="preserve">: </w:t>
            </w:r>
            <w:r w:rsidR="00AA3033">
              <w:t>Author</w:t>
            </w:r>
            <w:r w:rsidR="00D22ED5">
              <w:t>s estimates</w:t>
            </w:r>
            <w:r w:rsidR="00AA3033">
              <w:t xml:space="preserve"> from the </w:t>
            </w:r>
            <w:r w:rsidR="00AE58C6">
              <w:t>2011-</w:t>
            </w:r>
            <w:r w:rsidRPr="007B4909">
              <w:t>12 Survey of Income and Housing</w:t>
            </w:r>
            <w:r w:rsidR="00270989">
              <w:t xml:space="preserve"> </w:t>
            </w:r>
            <w:r w:rsidR="00270989" w:rsidRPr="00EC65B7">
              <w:rPr>
                <w:rFonts w:cs="Arial"/>
                <w:szCs w:val="24"/>
              </w:rPr>
              <w:t>(ABS 2013)</w:t>
            </w:r>
            <w:r w:rsidR="00AE58C6">
              <w:rPr>
                <w:rFonts w:cs="Arial"/>
                <w:szCs w:val="24"/>
              </w:rPr>
              <w:t>.</w:t>
            </w:r>
          </w:p>
        </w:tc>
      </w:tr>
      <w:tr w:rsidR="005F1D14" w:rsidTr="00B239A1">
        <w:tc>
          <w:tcPr>
            <w:tcW w:w="8771" w:type="dxa"/>
            <w:tcBorders>
              <w:top w:val="nil"/>
              <w:left w:val="nil"/>
              <w:bottom w:val="single" w:sz="6" w:space="0" w:color="78A22F"/>
              <w:right w:val="nil"/>
            </w:tcBorders>
            <w:shd w:val="clear" w:color="auto" w:fill="auto"/>
          </w:tcPr>
          <w:p w:rsidR="005F1D14" w:rsidRDefault="005F1D14" w:rsidP="00B239A1">
            <w:pPr>
              <w:pStyle w:val="Figurespace"/>
            </w:pPr>
          </w:p>
        </w:tc>
      </w:tr>
      <w:tr w:rsidR="005F1D14" w:rsidRPr="000863A5" w:rsidTr="00B239A1">
        <w:tc>
          <w:tcPr>
            <w:tcW w:w="8771" w:type="dxa"/>
            <w:tcBorders>
              <w:top w:val="single" w:sz="6" w:space="0" w:color="78A22F"/>
              <w:left w:val="nil"/>
              <w:bottom w:val="nil"/>
              <w:right w:val="nil"/>
            </w:tcBorders>
          </w:tcPr>
          <w:p w:rsidR="005F1D14" w:rsidRPr="00626D32" w:rsidRDefault="005F1D14" w:rsidP="00B239A1">
            <w:pPr>
              <w:pStyle w:val="BoxSpaceBelow"/>
            </w:pPr>
          </w:p>
        </w:tc>
      </w:tr>
    </w:tbl>
    <w:p w:rsidR="00BA3696" w:rsidRDefault="00BA3696" w:rsidP="00783AB6">
      <w:pPr>
        <w:pStyle w:val="Heading2"/>
      </w:pPr>
      <w:r>
        <w:lastRenderedPageBreak/>
        <w:t>Annex</w:t>
      </w:r>
    </w:p>
    <w:p w:rsidR="004419CF" w:rsidRDefault="004419CF" w:rsidP="004419C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4419CF" w:rsidTr="0009714B">
        <w:tc>
          <w:tcPr>
            <w:tcW w:w="8771" w:type="dxa"/>
            <w:tcBorders>
              <w:top w:val="single" w:sz="6" w:space="0" w:color="78A22F"/>
              <w:left w:val="nil"/>
              <w:bottom w:val="nil"/>
              <w:right w:val="nil"/>
            </w:tcBorders>
            <w:shd w:val="clear" w:color="auto" w:fill="auto"/>
          </w:tcPr>
          <w:p w:rsidR="004419CF" w:rsidRPr="00784A05" w:rsidRDefault="004419CF" w:rsidP="00DD0A92">
            <w:pPr>
              <w:pStyle w:val="TableTitle"/>
            </w:pPr>
            <w:r>
              <w:rPr>
                <w:b w:val="0"/>
              </w:rPr>
              <w:t xml:space="preserve">Table </w:t>
            </w:r>
            <w:bookmarkStart w:id="12" w:name="OLE_LINK7"/>
            <w:r w:rsidR="003F2E30">
              <w:rPr>
                <w:b w:val="0"/>
                <w:noProof/>
              </w:rPr>
              <w:t>4</w:t>
            </w:r>
            <w:bookmarkEnd w:id="12"/>
            <w:r>
              <w:tab/>
            </w:r>
            <w:r w:rsidR="00DD0A92">
              <w:t>Transfer and tax policies modelled in CAPITA</w:t>
            </w:r>
          </w:p>
        </w:tc>
      </w:tr>
      <w:tr w:rsidR="004419CF" w:rsidTr="00FF14F3">
        <w:trPr>
          <w:cantSplit/>
          <w:trHeight w:val="8868"/>
        </w:trPr>
        <w:tc>
          <w:tcPr>
            <w:tcW w:w="8771" w:type="dxa"/>
            <w:tcBorders>
              <w:top w:val="nil"/>
              <w:left w:val="nil"/>
              <w:bottom w:val="nil"/>
              <w:right w:val="nil"/>
            </w:tcBorders>
            <w:shd w:val="clear" w:color="auto" w:fill="auto"/>
          </w:tcPr>
          <w:tbl>
            <w:tblPr>
              <w:tblW w:w="5000" w:type="pct"/>
              <w:tblBorders>
                <w:top w:val="single" w:sz="6" w:space="0" w:color="BFBFBF"/>
                <w:bottom w:val="single" w:sz="6" w:space="0" w:color="BFBFBF"/>
              </w:tblBorders>
              <w:tblCellMar>
                <w:top w:w="28" w:type="dxa"/>
                <w:left w:w="0" w:type="dxa"/>
                <w:right w:w="0" w:type="dxa"/>
              </w:tblCellMar>
              <w:tblLook w:val="0000" w:firstRow="0" w:lastRow="0" w:firstColumn="0" w:lastColumn="0" w:noHBand="0" w:noVBand="0"/>
            </w:tblPr>
            <w:tblGrid>
              <w:gridCol w:w="8487"/>
            </w:tblGrid>
            <w:tr w:rsidR="004419CF" w:rsidTr="001A46B0">
              <w:tc>
                <w:tcPr>
                  <w:tcW w:w="5000" w:type="pct"/>
                  <w:shd w:val="clear" w:color="auto" w:fill="auto"/>
                  <w:tcMar>
                    <w:top w:w="28" w:type="dxa"/>
                  </w:tcMar>
                </w:tcPr>
                <w:p w:rsidR="004419CF" w:rsidRDefault="004419CF" w:rsidP="0009714B">
                  <w:pPr>
                    <w:pStyle w:val="TableColumnHeading"/>
                    <w:ind w:right="28"/>
                    <w:jc w:val="left"/>
                  </w:pPr>
                  <w:r>
                    <w:t>Policy</w:t>
                  </w:r>
                </w:p>
              </w:tc>
            </w:tr>
            <w:tr w:rsidR="004419CF" w:rsidTr="001A46B0">
              <w:tc>
                <w:tcPr>
                  <w:tcW w:w="5000" w:type="pct"/>
                </w:tcPr>
                <w:p w:rsidR="004419CF" w:rsidRDefault="004419CF" w:rsidP="0009714B">
                  <w:pPr>
                    <w:pStyle w:val="TableUnitsRow"/>
                    <w:ind w:right="28"/>
                    <w:jc w:val="left"/>
                  </w:pPr>
                  <w:r>
                    <w:t>Age pension</w:t>
                  </w:r>
                </w:p>
              </w:tc>
            </w:tr>
            <w:tr w:rsidR="004419CF" w:rsidTr="001A46B0">
              <w:tc>
                <w:tcPr>
                  <w:tcW w:w="5000" w:type="pct"/>
                </w:tcPr>
                <w:p w:rsidR="004419CF" w:rsidRDefault="004419CF" w:rsidP="0009714B">
                  <w:pPr>
                    <w:pStyle w:val="TableBodyText"/>
                    <w:ind w:right="28"/>
                    <w:jc w:val="left"/>
                  </w:pPr>
                  <w:proofErr w:type="spellStart"/>
                  <w:r>
                    <w:t>Austudy</w:t>
                  </w:r>
                  <w:proofErr w:type="spellEnd"/>
                </w:p>
              </w:tc>
            </w:tr>
            <w:tr w:rsidR="004419CF" w:rsidTr="001A46B0">
              <w:tc>
                <w:tcPr>
                  <w:tcW w:w="5000" w:type="pct"/>
                  <w:shd w:val="clear" w:color="auto" w:fill="auto"/>
                </w:tcPr>
                <w:p w:rsidR="004419CF" w:rsidRDefault="004419CF" w:rsidP="0009714B">
                  <w:pPr>
                    <w:pStyle w:val="TableBodyText"/>
                    <w:ind w:right="28"/>
                    <w:jc w:val="left"/>
                  </w:pPr>
                  <w:r>
                    <w:t>Carer allowance</w:t>
                  </w:r>
                </w:p>
              </w:tc>
            </w:tr>
            <w:tr w:rsidR="004419CF" w:rsidTr="001A46B0">
              <w:tc>
                <w:tcPr>
                  <w:tcW w:w="5000" w:type="pct"/>
                  <w:shd w:val="clear" w:color="auto" w:fill="auto"/>
                </w:tcPr>
                <w:p w:rsidR="004419CF" w:rsidRDefault="004419CF" w:rsidP="0009714B">
                  <w:pPr>
                    <w:pStyle w:val="TableBodyText"/>
                    <w:ind w:right="28"/>
                    <w:jc w:val="left"/>
                  </w:pPr>
                  <w:r>
                    <w:t>Carer payment</w:t>
                  </w:r>
                </w:p>
              </w:tc>
            </w:tr>
            <w:tr w:rsidR="004419CF" w:rsidTr="001A46B0">
              <w:tc>
                <w:tcPr>
                  <w:tcW w:w="5000" w:type="pct"/>
                  <w:shd w:val="clear" w:color="auto" w:fill="auto"/>
                </w:tcPr>
                <w:p w:rsidR="004419CF" w:rsidRDefault="004419CF" w:rsidP="0009714B">
                  <w:pPr>
                    <w:pStyle w:val="TableBodyText"/>
                    <w:ind w:right="28"/>
                    <w:jc w:val="left"/>
                  </w:pPr>
                  <w:r>
                    <w:t>Carer supplement</w:t>
                  </w:r>
                </w:p>
              </w:tc>
            </w:tr>
            <w:tr w:rsidR="004419CF" w:rsidTr="001A46B0">
              <w:tc>
                <w:tcPr>
                  <w:tcW w:w="5000" w:type="pct"/>
                  <w:shd w:val="clear" w:color="auto" w:fill="auto"/>
                </w:tcPr>
                <w:p w:rsidR="004419CF" w:rsidRDefault="004419CF" w:rsidP="0009714B">
                  <w:pPr>
                    <w:pStyle w:val="TableBodyText"/>
                    <w:ind w:right="28"/>
                    <w:jc w:val="left"/>
                  </w:pPr>
                  <w:r>
                    <w:t>Clean energy supplement</w:t>
                  </w:r>
                </w:p>
              </w:tc>
            </w:tr>
            <w:tr w:rsidR="004419CF" w:rsidTr="001A46B0">
              <w:tc>
                <w:tcPr>
                  <w:tcW w:w="5000" w:type="pct"/>
                  <w:shd w:val="clear" w:color="auto" w:fill="auto"/>
                </w:tcPr>
                <w:p w:rsidR="004419CF" w:rsidRDefault="004419CF" w:rsidP="0009714B">
                  <w:pPr>
                    <w:pStyle w:val="TableBodyText"/>
                    <w:ind w:right="28"/>
                    <w:jc w:val="left"/>
                  </w:pPr>
                  <w:r>
                    <w:t>Disability support pension</w:t>
                  </w:r>
                </w:p>
              </w:tc>
            </w:tr>
            <w:tr w:rsidR="004419CF" w:rsidTr="001A46B0">
              <w:tc>
                <w:tcPr>
                  <w:tcW w:w="5000" w:type="pct"/>
                  <w:shd w:val="clear" w:color="auto" w:fill="auto"/>
                </w:tcPr>
                <w:p w:rsidR="004419CF" w:rsidRDefault="004419CF" w:rsidP="0009714B">
                  <w:pPr>
                    <w:pStyle w:val="TableBodyText"/>
                    <w:ind w:right="28"/>
                    <w:jc w:val="left"/>
                  </w:pPr>
                  <w:r>
                    <w:t>Income support bonus</w:t>
                  </w:r>
                </w:p>
              </w:tc>
            </w:tr>
            <w:tr w:rsidR="004419CF" w:rsidTr="001A46B0">
              <w:tc>
                <w:tcPr>
                  <w:tcW w:w="5000" w:type="pct"/>
                  <w:shd w:val="clear" w:color="auto" w:fill="auto"/>
                </w:tcPr>
                <w:p w:rsidR="004419CF" w:rsidRDefault="004419CF" w:rsidP="0009714B">
                  <w:pPr>
                    <w:pStyle w:val="TableBodyText"/>
                    <w:ind w:right="28"/>
                    <w:jc w:val="left"/>
                  </w:pPr>
                  <w:proofErr w:type="spellStart"/>
                  <w:r>
                    <w:t>Newstart</w:t>
                  </w:r>
                  <w:proofErr w:type="spellEnd"/>
                  <w:r>
                    <w:t xml:space="preserve"> allowance</w:t>
                  </w:r>
                </w:p>
              </w:tc>
            </w:tr>
            <w:tr w:rsidR="004419CF" w:rsidTr="001A46B0">
              <w:tc>
                <w:tcPr>
                  <w:tcW w:w="5000" w:type="pct"/>
                  <w:shd w:val="clear" w:color="auto" w:fill="auto"/>
                </w:tcPr>
                <w:p w:rsidR="004419CF" w:rsidRDefault="004419CF" w:rsidP="0009714B">
                  <w:pPr>
                    <w:pStyle w:val="TableBodyText"/>
                    <w:ind w:right="28"/>
                    <w:jc w:val="left"/>
                  </w:pPr>
                  <w:r>
                    <w:t>Parenting payment partnered</w:t>
                  </w:r>
                </w:p>
              </w:tc>
            </w:tr>
            <w:tr w:rsidR="004419CF" w:rsidTr="001A46B0">
              <w:tc>
                <w:tcPr>
                  <w:tcW w:w="5000" w:type="pct"/>
                  <w:shd w:val="clear" w:color="auto" w:fill="auto"/>
                </w:tcPr>
                <w:p w:rsidR="004419CF" w:rsidRDefault="004419CF" w:rsidP="0009714B">
                  <w:pPr>
                    <w:pStyle w:val="TableBodyText"/>
                    <w:ind w:right="28"/>
                    <w:jc w:val="left"/>
                  </w:pPr>
                  <w:r>
                    <w:t>Parenting payment single</w:t>
                  </w:r>
                </w:p>
              </w:tc>
            </w:tr>
            <w:tr w:rsidR="004419CF" w:rsidTr="001A46B0">
              <w:tc>
                <w:tcPr>
                  <w:tcW w:w="5000" w:type="pct"/>
                  <w:shd w:val="clear" w:color="auto" w:fill="auto"/>
                </w:tcPr>
                <w:p w:rsidR="004419CF" w:rsidRDefault="004419CF" w:rsidP="0009714B">
                  <w:pPr>
                    <w:pStyle w:val="TableBodyText"/>
                    <w:ind w:right="28"/>
                    <w:jc w:val="left"/>
                  </w:pPr>
                  <w:r>
                    <w:t>Pension supplement</w:t>
                  </w:r>
                </w:p>
              </w:tc>
            </w:tr>
            <w:tr w:rsidR="004419CF" w:rsidTr="001A46B0">
              <w:tc>
                <w:tcPr>
                  <w:tcW w:w="5000" w:type="pct"/>
                  <w:shd w:val="clear" w:color="auto" w:fill="auto"/>
                </w:tcPr>
                <w:p w:rsidR="004419CF" w:rsidRDefault="004419CF" w:rsidP="0009714B">
                  <w:pPr>
                    <w:pStyle w:val="TableBodyText"/>
                    <w:ind w:right="28"/>
                    <w:jc w:val="left"/>
                  </w:pPr>
                  <w:r>
                    <w:t>Pensioner education supplement</w:t>
                  </w:r>
                </w:p>
              </w:tc>
            </w:tr>
            <w:tr w:rsidR="004419CF" w:rsidTr="001A46B0">
              <w:tc>
                <w:tcPr>
                  <w:tcW w:w="5000" w:type="pct"/>
                  <w:shd w:val="clear" w:color="auto" w:fill="auto"/>
                </w:tcPr>
                <w:p w:rsidR="004419CF" w:rsidRDefault="004419CF" w:rsidP="0009714B">
                  <w:pPr>
                    <w:pStyle w:val="TableBodyText"/>
                    <w:ind w:right="28"/>
                    <w:jc w:val="left"/>
                  </w:pPr>
                  <w:r>
                    <w:t>Pharmaceutical allowance</w:t>
                  </w:r>
                </w:p>
              </w:tc>
            </w:tr>
            <w:tr w:rsidR="004419CF" w:rsidTr="001A46B0">
              <w:tc>
                <w:tcPr>
                  <w:tcW w:w="5000" w:type="pct"/>
                  <w:shd w:val="clear" w:color="auto" w:fill="auto"/>
                </w:tcPr>
                <w:p w:rsidR="004419CF" w:rsidRDefault="004419CF" w:rsidP="0009714B">
                  <w:pPr>
                    <w:pStyle w:val="TableBodyText"/>
                    <w:ind w:right="28"/>
                    <w:jc w:val="left"/>
                  </w:pPr>
                  <w:r>
                    <w:t>Rent assistance</w:t>
                  </w:r>
                </w:p>
              </w:tc>
            </w:tr>
            <w:tr w:rsidR="004419CF" w:rsidTr="001A46B0">
              <w:tc>
                <w:tcPr>
                  <w:tcW w:w="5000" w:type="pct"/>
                  <w:shd w:val="clear" w:color="auto" w:fill="auto"/>
                </w:tcPr>
                <w:p w:rsidR="004419CF" w:rsidRDefault="004419CF" w:rsidP="0009714B">
                  <w:pPr>
                    <w:pStyle w:val="TableBodyText"/>
                    <w:ind w:right="28"/>
                    <w:jc w:val="left"/>
                  </w:pPr>
                  <w:r>
                    <w:t>Seniors supplement</w:t>
                  </w:r>
                </w:p>
              </w:tc>
            </w:tr>
            <w:tr w:rsidR="004419CF" w:rsidTr="001A46B0">
              <w:tc>
                <w:tcPr>
                  <w:tcW w:w="5000" w:type="pct"/>
                  <w:shd w:val="clear" w:color="auto" w:fill="auto"/>
                </w:tcPr>
                <w:p w:rsidR="004419CF" w:rsidRDefault="004419CF" w:rsidP="0009714B">
                  <w:pPr>
                    <w:pStyle w:val="TableBodyText"/>
                    <w:ind w:right="28"/>
                    <w:jc w:val="left"/>
                  </w:pPr>
                  <w:r>
                    <w:t>Telephone allowance</w:t>
                  </w:r>
                </w:p>
              </w:tc>
            </w:tr>
            <w:tr w:rsidR="004419CF" w:rsidTr="001A46B0">
              <w:tc>
                <w:tcPr>
                  <w:tcW w:w="5000" w:type="pct"/>
                  <w:shd w:val="clear" w:color="auto" w:fill="auto"/>
                </w:tcPr>
                <w:p w:rsidR="004419CF" w:rsidRDefault="004419CF" w:rsidP="0009714B">
                  <w:pPr>
                    <w:pStyle w:val="TableBodyText"/>
                    <w:ind w:right="28"/>
                    <w:jc w:val="left"/>
                  </w:pPr>
                  <w:r>
                    <w:t>Utilities allowance</w:t>
                  </w:r>
                </w:p>
              </w:tc>
            </w:tr>
            <w:tr w:rsidR="004419CF" w:rsidTr="001A46B0">
              <w:tc>
                <w:tcPr>
                  <w:tcW w:w="5000" w:type="pct"/>
                  <w:shd w:val="clear" w:color="auto" w:fill="auto"/>
                </w:tcPr>
                <w:p w:rsidR="004419CF" w:rsidRDefault="004419CF" w:rsidP="0009714B">
                  <w:pPr>
                    <w:pStyle w:val="TableBodyText"/>
                    <w:ind w:right="28"/>
                    <w:jc w:val="left"/>
                  </w:pPr>
                  <w:r>
                    <w:t>Widow allowance</w:t>
                  </w:r>
                </w:p>
              </w:tc>
            </w:tr>
            <w:tr w:rsidR="004419CF" w:rsidTr="001A46B0">
              <w:tc>
                <w:tcPr>
                  <w:tcW w:w="5000" w:type="pct"/>
                  <w:shd w:val="clear" w:color="auto" w:fill="auto"/>
                </w:tcPr>
                <w:p w:rsidR="004419CF" w:rsidRDefault="004419CF" w:rsidP="0009714B">
                  <w:pPr>
                    <w:pStyle w:val="TableBodyText"/>
                    <w:ind w:right="28"/>
                    <w:jc w:val="left"/>
                  </w:pPr>
                  <w:r>
                    <w:t xml:space="preserve">Wife pension (age and </w:t>
                  </w:r>
                  <w:proofErr w:type="spellStart"/>
                  <w:r>
                    <w:t>DSP</w:t>
                  </w:r>
                  <w:proofErr w:type="spellEnd"/>
                  <w:r>
                    <w:t>)</w:t>
                  </w:r>
                </w:p>
              </w:tc>
            </w:tr>
            <w:tr w:rsidR="004419CF" w:rsidTr="001A46B0">
              <w:tc>
                <w:tcPr>
                  <w:tcW w:w="5000" w:type="pct"/>
                  <w:shd w:val="clear" w:color="auto" w:fill="auto"/>
                </w:tcPr>
                <w:p w:rsidR="004419CF" w:rsidRDefault="004419CF" w:rsidP="0009714B">
                  <w:pPr>
                    <w:pStyle w:val="TableBodyText"/>
                    <w:ind w:right="28"/>
                    <w:jc w:val="left"/>
                  </w:pPr>
                  <w:r>
                    <w:t>Youth allowance (full time and apprentice)</w:t>
                  </w:r>
                </w:p>
              </w:tc>
            </w:tr>
            <w:tr w:rsidR="004419CF" w:rsidTr="001A46B0">
              <w:tc>
                <w:tcPr>
                  <w:tcW w:w="5000" w:type="pct"/>
                  <w:shd w:val="clear" w:color="auto" w:fill="auto"/>
                </w:tcPr>
                <w:p w:rsidR="004419CF" w:rsidRDefault="004419CF" w:rsidP="0009714B">
                  <w:pPr>
                    <w:pStyle w:val="TableBodyText"/>
                    <w:ind w:right="28"/>
                    <w:jc w:val="left"/>
                  </w:pPr>
                  <w:r>
                    <w:t>Youth allowance (other)</w:t>
                  </w:r>
                </w:p>
              </w:tc>
            </w:tr>
            <w:tr w:rsidR="004419CF" w:rsidTr="001A46B0">
              <w:tc>
                <w:tcPr>
                  <w:tcW w:w="5000" w:type="pct"/>
                  <w:shd w:val="clear" w:color="auto" w:fill="auto"/>
                </w:tcPr>
                <w:p w:rsidR="004419CF" w:rsidRDefault="004419CF" w:rsidP="0009714B">
                  <w:pPr>
                    <w:pStyle w:val="TableBodyText"/>
                    <w:ind w:right="28"/>
                    <w:jc w:val="left"/>
                  </w:pPr>
                  <w:r>
                    <w:t>Family tax benefit part A and B</w:t>
                  </w:r>
                </w:p>
              </w:tc>
            </w:tr>
            <w:tr w:rsidR="004419CF" w:rsidTr="001A46B0">
              <w:tc>
                <w:tcPr>
                  <w:tcW w:w="5000" w:type="pct"/>
                  <w:shd w:val="clear" w:color="auto" w:fill="auto"/>
                </w:tcPr>
                <w:p w:rsidR="004419CF" w:rsidRDefault="004419CF" w:rsidP="0009714B">
                  <w:pPr>
                    <w:pStyle w:val="TableBodyText"/>
                    <w:ind w:right="28"/>
                    <w:jc w:val="left"/>
                  </w:pPr>
                  <w:r>
                    <w:t>Large family supplement</w:t>
                  </w:r>
                </w:p>
              </w:tc>
            </w:tr>
            <w:tr w:rsidR="004419CF" w:rsidTr="001A46B0">
              <w:tc>
                <w:tcPr>
                  <w:tcW w:w="5000" w:type="pct"/>
                  <w:shd w:val="clear" w:color="auto" w:fill="auto"/>
                </w:tcPr>
                <w:p w:rsidR="004419CF" w:rsidRDefault="004419CF" w:rsidP="0009714B">
                  <w:pPr>
                    <w:pStyle w:val="TableBodyText"/>
                    <w:ind w:right="28"/>
                    <w:jc w:val="left"/>
                  </w:pPr>
                  <w:r>
                    <w:t>Newborn upfront payment</w:t>
                  </w:r>
                </w:p>
              </w:tc>
            </w:tr>
            <w:tr w:rsidR="004419CF" w:rsidTr="001A46B0">
              <w:tc>
                <w:tcPr>
                  <w:tcW w:w="5000" w:type="pct"/>
                  <w:shd w:val="clear" w:color="auto" w:fill="auto"/>
                </w:tcPr>
                <w:p w:rsidR="004419CF" w:rsidRDefault="004419CF" w:rsidP="0009714B">
                  <w:pPr>
                    <w:pStyle w:val="TableBodyText"/>
                    <w:ind w:right="28"/>
                    <w:jc w:val="left"/>
                  </w:pPr>
                  <w:r>
                    <w:t>Schoolkids bonus</w:t>
                  </w:r>
                </w:p>
              </w:tc>
            </w:tr>
            <w:tr w:rsidR="004419CF" w:rsidTr="001A46B0">
              <w:tc>
                <w:tcPr>
                  <w:tcW w:w="5000" w:type="pct"/>
                  <w:shd w:val="clear" w:color="auto" w:fill="auto"/>
                </w:tcPr>
                <w:p w:rsidR="004419CF" w:rsidRDefault="004419CF" w:rsidP="0009714B">
                  <w:pPr>
                    <w:pStyle w:val="TableBodyText"/>
                    <w:ind w:right="28"/>
                    <w:jc w:val="left"/>
                  </w:pPr>
                  <w:r>
                    <w:t>Single income family supplement</w:t>
                  </w:r>
                </w:p>
              </w:tc>
            </w:tr>
            <w:tr w:rsidR="004419CF" w:rsidTr="001A46B0">
              <w:tc>
                <w:tcPr>
                  <w:tcW w:w="5000" w:type="pct"/>
                  <w:shd w:val="clear" w:color="auto" w:fill="auto"/>
                </w:tcPr>
                <w:p w:rsidR="004419CF" w:rsidRDefault="004419CF" w:rsidP="0009714B">
                  <w:pPr>
                    <w:pStyle w:val="TableBodyText"/>
                    <w:ind w:right="28"/>
                    <w:jc w:val="left"/>
                  </w:pPr>
                  <w:r>
                    <w:t xml:space="preserve">Service pension – </w:t>
                  </w:r>
                  <w:proofErr w:type="spellStart"/>
                  <w:r>
                    <w:t>DVA</w:t>
                  </w:r>
                  <w:proofErr w:type="spellEnd"/>
                </w:p>
              </w:tc>
            </w:tr>
            <w:tr w:rsidR="004419CF" w:rsidTr="001A46B0">
              <w:tc>
                <w:tcPr>
                  <w:tcW w:w="5000" w:type="pct"/>
                  <w:shd w:val="clear" w:color="auto" w:fill="auto"/>
                </w:tcPr>
                <w:p w:rsidR="004419CF" w:rsidRDefault="004419CF" w:rsidP="0009714B">
                  <w:pPr>
                    <w:pStyle w:val="TableBodyText"/>
                    <w:ind w:right="28"/>
                    <w:jc w:val="left"/>
                  </w:pPr>
                  <w:r>
                    <w:t xml:space="preserve">Beneficiary tax offset </w:t>
                  </w:r>
                </w:p>
              </w:tc>
            </w:tr>
            <w:tr w:rsidR="004419CF" w:rsidTr="001A46B0">
              <w:tc>
                <w:tcPr>
                  <w:tcW w:w="5000" w:type="pct"/>
                  <w:shd w:val="clear" w:color="auto" w:fill="auto"/>
                </w:tcPr>
                <w:p w:rsidR="004419CF" w:rsidRDefault="004419CF" w:rsidP="0009714B">
                  <w:pPr>
                    <w:pStyle w:val="TableBodyText"/>
                    <w:ind w:right="28"/>
                    <w:jc w:val="left"/>
                  </w:pPr>
                  <w:r>
                    <w:t>Dependent spouse tax offset</w:t>
                  </w:r>
                </w:p>
              </w:tc>
            </w:tr>
            <w:tr w:rsidR="00FF14F3" w:rsidTr="001A46B0">
              <w:tc>
                <w:tcPr>
                  <w:tcW w:w="5000" w:type="pct"/>
                </w:tcPr>
                <w:p w:rsidR="00FF14F3" w:rsidRDefault="00FF14F3" w:rsidP="00A762EB">
                  <w:pPr>
                    <w:pStyle w:val="TableUnitsRow"/>
                    <w:ind w:right="28"/>
                    <w:jc w:val="left"/>
                  </w:pPr>
                  <w:r>
                    <w:t>Single parent supplement</w:t>
                  </w:r>
                </w:p>
              </w:tc>
            </w:tr>
            <w:tr w:rsidR="00FF14F3" w:rsidTr="001A46B0">
              <w:tc>
                <w:tcPr>
                  <w:tcW w:w="5000" w:type="pct"/>
                </w:tcPr>
                <w:p w:rsidR="00FF14F3" w:rsidRDefault="00FF14F3" w:rsidP="00A762EB">
                  <w:pPr>
                    <w:pStyle w:val="TableBodyText"/>
                    <w:ind w:right="28"/>
                    <w:jc w:val="left"/>
                  </w:pPr>
                  <w:r>
                    <w:t>Partner allowance</w:t>
                  </w:r>
                  <w:r>
                    <w:rPr>
                      <w:rStyle w:val="NoteLabel"/>
                    </w:rPr>
                    <w:t>a</w:t>
                  </w:r>
                </w:p>
              </w:tc>
            </w:tr>
            <w:tr w:rsidR="00FF14F3" w:rsidTr="001A46B0">
              <w:tc>
                <w:tcPr>
                  <w:tcW w:w="5000" w:type="pct"/>
                  <w:shd w:val="clear" w:color="auto" w:fill="auto"/>
                </w:tcPr>
                <w:p w:rsidR="00FF14F3" w:rsidRDefault="00FF14F3" w:rsidP="00A762EB">
                  <w:pPr>
                    <w:pStyle w:val="TableBodyText"/>
                    <w:ind w:right="28"/>
                    <w:jc w:val="left"/>
                  </w:pPr>
                  <w:r>
                    <w:t>Low income tax offset</w:t>
                  </w:r>
                </w:p>
              </w:tc>
            </w:tr>
          </w:tbl>
          <w:p w:rsidR="004419CF" w:rsidRDefault="004419CF" w:rsidP="0009714B">
            <w:pPr>
              <w:pStyle w:val="Box"/>
            </w:pPr>
          </w:p>
        </w:tc>
      </w:tr>
      <w:tr w:rsidR="004419CF" w:rsidTr="0009714B">
        <w:trPr>
          <w:cantSplit/>
        </w:trPr>
        <w:tc>
          <w:tcPr>
            <w:tcW w:w="8771" w:type="dxa"/>
            <w:tcBorders>
              <w:top w:val="nil"/>
              <w:left w:val="nil"/>
              <w:bottom w:val="nil"/>
              <w:right w:val="nil"/>
            </w:tcBorders>
            <w:shd w:val="clear" w:color="auto" w:fill="auto"/>
          </w:tcPr>
          <w:p w:rsidR="004419CF" w:rsidRDefault="00667FAC" w:rsidP="00667FAC">
            <w:pPr>
              <w:pStyle w:val="Continued"/>
            </w:pPr>
            <w:r>
              <w:t>(Continued next page)</w:t>
            </w:r>
          </w:p>
        </w:tc>
      </w:tr>
      <w:tr w:rsidR="004419CF" w:rsidTr="0009714B">
        <w:trPr>
          <w:cantSplit/>
        </w:trPr>
        <w:tc>
          <w:tcPr>
            <w:tcW w:w="8771" w:type="dxa"/>
            <w:tcBorders>
              <w:top w:val="nil"/>
              <w:left w:val="nil"/>
              <w:bottom w:val="single" w:sz="6" w:space="0" w:color="78A22F"/>
              <w:right w:val="nil"/>
            </w:tcBorders>
            <w:shd w:val="clear" w:color="auto" w:fill="auto"/>
          </w:tcPr>
          <w:p w:rsidR="004419CF" w:rsidRDefault="004419CF" w:rsidP="0009714B">
            <w:pPr>
              <w:pStyle w:val="Box"/>
              <w:spacing w:before="0" w:line="120" w:lineRule="exact"/>
            </w:pPr>
          </w:p>
        </w:tc>
      </w:tr>
      <w:tr w:rsidR="004419CF" w:rsidRPr="000863A5" w:rsidTr="0009714B">
        <w:tc>
          <w:tcPr>
            <w:tcW w:w="8771" w:type="dxa"/>
            <w:tcBorders>
              <w:top w:val="single" w:sz="6" w:space="0" w:color="78A22F"/>
              <w:left w:val="nil"/>
              <w:bottom w:val="nil"/>
              <w:right w:val="nil"/>
            </w:tcBorders>
          </w:tcPr>
          <w:p w:rsidR="004419CF" w:rsidRPr="00626D32" w:rsidRDefault="004419CF" w:rsidP="0009714B">
            <w:pPr>
              <w:pStyle w:val="BoxSpaceBelow"/>
            </w:pPr>
          </w:p>
        </w:tc>
      </w:tr>
    </w:tbl>
    <w:p w:rsidR="004419CF" w:rsidRDefault="004419CF" w:rsidP="0009714B">
      <w:pPr>
        <w:pStyle w:val="BoxSpaceAbove"/>
      </w:pPr>
      <w:r>
        <w:lastRenderedPageBreak/>
        <w:t xml:space="preserve"> </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4419CF" w:rsidTr="0009714B">
        <w:tc>
          <w:tcPr>
            <w:tcW w:w="8771" w:type="dxa"/>
            <w:tcBorders>
              <w:top w:val="single" w:sz="6" w:space="0" w:color="78A22F"/>
              <w:left w:val="nil"/>
              <w:bottom w:val="nil"/>
              <w:right w:val="nil"/>
            </w:tcBorders>
            <w:shd w:val="clear" w:color="auto" w:fill="auto"/>
          </w:tcPr>
          <w:p w:rsidR="004419CF" w:rsidRPr="00784A05" w:rsidRDefault="004419CF" w:rsidP="000109B0">
            <w:pPr>
              <w:pStyle w:val="TableTitle"/>
            </w:pPr>
            <w:r>
              <w:rPr>
                <w:b w:val="0"/>
              </w:rPr>
              <w:t xml:space="preserve">Table </w:t>
            </w:r>
            <w:r w:rsidR="000109B0">
              <w:rPr>
                <w:b w:val="0"/>
              </w:rPr>
              <w:t xml:space="preserve">4 </w:t>
            </w:r>
            <w:r w:rsidR="00667FAC">
              <w:tab/>
            </w:r>
            <w:r w:rsidR="00667FAC" w:rsidRPr="00667FAC">
              <w:rPr>
                <w:b w:val="0"/>
                <w:sz w:val="18"/>
                <w:szCs w:val="18"/>
              </w:rPr>
              <w:t>(continued)</w:t>
            </w:r>
          </w:p>
        </w:tc>
      </w:tr>
      <w:tr w:rsidR="004419CF" w:rsidTr="0009714B">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487"/>
            </w:tblGrid>
            <w:tr w:rsidR="004419CF" w:rsidTr="004419CF">
              <w:tc>
                <w:tcPr>
                  <w:tcW w:w="5000" w:type="pct"/>
                  <w:tcBorders>
                    <w:top w:val="single" w:sz="6" w:space="0" w:color="BFBFBF"/>
                    <w:bottom w:val="single" w:sz="6" w:space="0" w:color="BFBFBF"/>
                  </w:tcBorders>
                  <w:shd w:val="clear" w:color="auto" w:fill="auto"/>
                  <w:tcMar>
                    <w:top w:w="28" w:type="dxa"/>
                  </w:tcMar>
                </w:tcPr>
                <w:p w:rsidR="004419CF" w:rsidRDefault="004419CF" w:rsidP="004419CF">
                  <w:pPr>
                    <w:pStyle w:val="TableColumnHeading"/>
                    <w:ind w:right="28"/>
                    <w:jc w:val="left"/>
                  </w:pPr>
                  <w:r>
                    <w:t>Policy</w:t>
                  </w:r>
                </w:p>
              </w:tc>
            </w:tr>
            <w:tr w:rsidR="00FF14F3" w:rsidTr="00A762EB">
              <w:tc>
                <w:tcPr>
                  <w:tcW w:w="5000" w:type="pct"/>
                  <w:shd w:val="clear" w:color="auto" w:fill="auto"/>
                </w:tcPr>
                <w:p w:rsidR="00FF14F3" w:rsidRDefault="00FF14F3" w:rsidP="00A762EB">
                  <w:pPr>
                    <w:pStyle w:val="TableBodyText"/>
                    <w:ind w:right="28"/>
                    <w:jc w:val="left"/>
                  </w:pPr>
                  <w:r>
                    <w:t>Income tax</w:t>
                  </w:r>
                </w:p>
              </w:tc>
            </w:tr>
            <w:tr w:rsidR="00FF14F3" w:rsidTr="00A762EB">
              <w:tc>
                <w:tcPr>
                  <w:tcW w:w="5000" w:type="pct"/>
                  <w:shd w:val="clear" w:color="auto" w:fill="auto"/>
                </w:tcPr>
                <w:p w:rsidR="00FF14F3" w:rsidRDefault="00FF14F3" w:rsidP="00A762EB">
                  <w:pPr>
                    <w:pStyle w:val="TableBodyText"/>
                    <w:ind w:right="28"/>
                    <w:jc w:val="left"/>
                  </w:pPr>
                  <w:r>
                    <w:t>Mature age worker tax offset</w:t>
                  </w:r>
                </w:p>
              </w:tc>
            </w:tr>
            <w:tr w:rsidR="00FF14F3" w:rsidTr="00A762EB">
              <w:tc>
                <w:tcPr>
                  <w:tcW w:w="5000" w:type="pct"/>
                  <w:shd w:val="clear" w:color="auto" w:fill="auto"/>
                </w:tcPr>
                <w:p w:rsidR="00FF14F3" w:rsidRDefault="00FF14F3" w:rsidP="00A762EB">
                  <w:pPr>
                    <w:pStyle w:val="TableBodyText"/>
                    <w:ind w:right="28"/>
                    <w:jc w:val="left"/>
                  </w:pPr>
                  <w:r>
                    <w:t>Medicare levy</w:t>
                  </w:r>
                </w:p>
              </w:tc>
            </w:tr>
            <w:tr w:rsidR="00FF14F3" w:rsidTr="00A762EB">
              <w:tc>
                <w:tcPr>
                  <w:tcW w:w="5000" w:type="pct"/>
                  <w:shd w:val="clear" w:color="auto" w:fill="auto"/>
                </w:tcPr>
                <w:p w:rsidR="00FF14F3" w:rsidRDefault="00FF14F3" w:rsidP="00A762EB">
                  <w:pPr>
                    <w:pStyle w:val="TableBodyText"/>
                    <w:ind w:right="28"/>
                    <w:jc w:val="left"/>
                  </w:pPr>
                  <w:r>
                    <w:t>Medicare levy surcharge</w:t>
                  </w:r>
                </w:p>
              </w:tc>
            </w:tr>
            <w:tr w:rsidR="00FF14F3" w:rsidTr="00A762EB">
              <w:tc>
                <w:tcPr>
                  <w:tcW w:w="5000" w:type="pct"/>
                  <w:shd w:val="clear" w:color="auto" w:fill="auto"/>
                </w:tcPr>
                <w:p w:rsidR="00FF14F3" w:rsidRDefault="00FF14F3" w:rsidP="00A762EB">
                  <w:pPr>
                    <w:pStyle w:val="TableBodyText"/>
                    <w:ind w:right="28"/>
                    <w:jc w:val="left"/>
                  </w:pPr>
                  <w:r>
                    <w:t>Senior and pensioner tax offset</w:t>
                  </w:r>
                </w:p>
              </w:tc>
            </w:tr>
            <w:tr w:rsidR="00FF14F3" w:rsidRPr="00DD2279" w:rsidTr="00A762EB">
              <w:tc>
                <w:tcPr>
                  <w:tcW w:w="5000" w:type="pct"/>
                  <w:shd w:val="clear" w:color="auto" w:fill="auto"/>
                </w:tcPr>
                <w:p w:rsidR="00FF14F3" w:rsidRPr="00DD2279" w:rsidRDefault="00FF14F3" w:rsidP="00A762EB">
                  <w:pPr>
                    <w:pStyle w:val="TableBodyText"/>
                    <w:ind w:right="28"/>
                    <w:jc w:val="left"/>
                    <w:rPr>
                      <w:rStyle w:val="NoteLabel"/>
                    </w:rPr>
                  </w:pPr>
                  <w:r>
                    <w:t>War widow pension</w:t>
                  </w:r>
                  <w:r>
                    <w:rPr>
                      <w:rStyle w:val="NoteLabel"/>
                    </w:rPr>
                    <w:t>a</w:t>
                  </w:r>
                </w:p>
              </w:tc>
            </w:tr>
            <w:tr w:rsidR="00FF14F3" w:rsidRPr="00DD2279" w:rsidTr="00A762EB">
              <w:tc>
                <w:tcPr>
                  <w:tcW w:w="5000" w:type="pct"/>
                  <w:shd w:val="clear" w:color="auto" w:fill="auto"/>
                </w:tcPr>
                <w:p w:rsidR="00FF14F3" w:rsidRPr="00DD2279" w:rsidRDefault="00FF14F3" w:rsidP="00A762EB">
                  <w:pPr>
                    <w:pStyle w:val="TableBodyText"/>
                    <w:ind w:right="28"/>
                    <w:jc w:val="left"/>
                    <w:rPr>
                      <w:rStyle w:val="NoteLabel"/>
                    </w:rPr>
                  </w:pPr>
                  <w:r>
                    <w:t>Special benefit</w:t>
                  </w:r>
                  <w:r>
                    <w:rPr>
                      <w:rStyle w:val="NoteLabel"/>
                    </w:rPr>
                    <w:t>a</w:t>
                  </w:r>
                </w:p>
              </w:tc>
            </w:tr>
            <w:tr w:rsidR="00FF14F3" w:rsidRPr="00DD2279" w:rsidTr="00A762EB">
              <w:tc>
                <w:tcPr>
                  <w:tcW w:w="5000" w:type="pct"/>
                  <w:shd w:val="clear" w:color="auto" w:fill="auto"/>
                </w:tcPr>
                <w:p w:rsidR="00FF14F3" w:rsidRPr="00DD2279" w:rsidRDefault="00FF14F3" w:rsidP="00A762EB">
                  <w:pPr>
                    <w:pStyle w:val="TableBodyText"/>
                    <w:ind w:right="28"/>
                    <w:jc w:val="left"/>
                    <w:rPr>
                      <w:rStyle w:val="NoteLabel"/>
                    </w:rPr>
                  </w:pPr>
                  <w:r>
                    <w:t>Sickness allowance</w:t>
                  </w:r>
                  <w:r>
                    <w:rPr>
                      <w:rStyle w:val="NoteLabel"/>
                    </w:rPr>
                    <w:t>a</w:t>
                  </w:r>
                </w:p>
              </w:tc>
            </w:tr>
            <w:tr w:rsidR="00DD2279" w:rsidTr="004419CF">
              <w:tc>
                <w:tcPr>
                  <w:tcW w:w="5000" w:type="pct"/>
                </w:tcPr>
                <w:p w:rsidR="00DD2279" w:rsidRPr="00DD2279" w:rsidRDefault="00DD2279" w:rsidP="00DD2279">
                  <w:pPr>
                    <w:pStyle w:val="TableBodyText"/>
                    <w:ind w:right="28"/>
                    <w:jc w:val="left"/>
                    <w:rPr>
                      <w:rStyle w:val="NoteLabel"/>
                    </w:rPr>
                  </w:pPr>
                  <w:proofErr w:type="spellStart"/>
                  <w:r>
                    <w:t>Abstudy</w:t>
                  </w:r>
                  <w:proofErr w:type="spellEnd"/>
                  <w:r>
                    <w:rPr>
                      <w:rStyle w:val="NoteLabel"/>
                    </w:rPr>
                    <w:t>a</w:t>
                  </w:r>
                </w:p>
              </w:tc>
            </w:tr>
            <w:tr w:rsidR="004419CF" w:rsidTr="004419CF">
              <w:tc>
                <w:tcPr>
                  <w:tcW w:w="5000" w:type="pct"/>
                </w:tcPr>
                <w:p w:rsidR="004419CF" w:rsidRDefault="004419CF" w:rsidP="00DD2279">
                  <w:pPr>
                    <w:pStyle w:val="TableBodyText"/>
                    <w:ind w:right="28"/>
                    <w:jc w:val="left"/>
                  </w:pPr>
                  <w:r>
                    <w:t>Baby bonus</w:t>
                  </w:r>
                </w:p>
              </w:tc>
            </w:tr>
            <w:tr w:rsidR="004419CF" w:rsidTr="004419CF">
              <w:tc>
                <w:tcPr>
                  <w:tcW w:w="5000" w:type="pct"/>
                  <w:shd w:val="clear" w:color="auto" w:fill="auto"/>
                </w:tcPr>
                <w:p w:rsidR="004419CF" w:rsidRPr="00DD2279" w:rsidRDefault="004419CF" w:rsidP="00DD2279">
                  <w:pPr>
                    <w:pStyle w:val="TableBodyText"/>
                    <w:ind w:right="28"/>
                    <w:jc w:val="left"/>
                    <w:rPr>
                      <w:rStyle w:val="NoteLabel"/>
                    </w:rPr>
                  </w:pPr>
                  <w:proofErr w:type="spellStart"/>
                  <w:r>
                    <w:t>DVA</w:t>
                  </w:r>
                  <w:proofErr w:type="spellEnd"/>
                  <w:r>
                    <w:t xml:space="preserve"> disability pension</w:t>
                  </w:r>
                  <w:r w:rsidR="00DD2279">
                    <w:rPr>
                      <w:rStyle w:val="NoteLabel"/>
                    </w:rPr>
                    <w:t>a</w:t>
                  </w:r>
                </w:p>
              </w:tc>
            </w:tr>
            <w:tr w:rsidR="004419CF" w:rsidTr="004419CF">
              <w:tc>
                <w:tcPr>
                  <w:tcW w:w="5000" w:type="pct"/>
                  <w:shd w:val="clear" w:color="auto" w:fill="auto"/>
                </w:tcPr>
                <w:p w:rsidR="004419CF" w:rsidRDefault="004419CF" w:rsidP="00DD2279">
                  <w:pPr>
                    <w:pStyle w:val="TableBodyText"/>
                    <w:ind w:right="28"/>
                    <w:jc w:val="left"/>
                  </w:pPr>
                  <w:r>
                    <w:t>Dependent invalid and carer tax offset</w:t>
                  </w:r>
                </w:p>
              </w:tc>
            </w:tr>
            <w:tr w:rsidR="004419CF" w:rsidTr="004419CF">
              <w:tc>
                <w:tcPr>
                  <w:tcW w:w="5000" w:type="pct"/>
                  <w:shd w:val="clear" w:color="auto" w:fill="auto"/>
                </w:tcPr>
                <w:p w:rsidR="004419CF" w:rsidRDefault="004419CF" w:rsidP="00DD2279">
                  <w:pPr>
                    <w:pStyle w:val="TableBodyText"/>
                    <w:ind w:right="28"/>
                    <w:jc w:val="left"/>
                  </w:pPr>
                  <w:r>
                    <w:t>Superannuation tax offset</w:t>
                  </w:r>
                </w:p>
              </w:tc>
            </w:tr>
            <w:tr w:rsidR="004419CF" w:rsidTr="004419CF">
              <w:tc>
                <w:tcPr>
                  <w:tcW w:w="5000" w:type="pct"/>
                  <w:tcBorders>
                    <w:bottom w:val="single" w:sz="6" w:space="0" w:color="BFBFBF"/>
                  </w:tcBorders>
                  <w:shd w:val="clear" w:color="auto" w:fill="auto"/>
                </w:tcPr>
                <w:p w:rsidR="004419CF" w:rsidRDefault="004419CF" w:rsidP="00DD2279">
                  <w:pPr>
                    <w:pStyle w:val="TableBodyText"/>
                    <w:ind w:right="28"/>
                    <w:jc w:val="left"/>
                  </w:pPr>
                  <w:r>
                    <w:t>Temporary budget repair levy</w:t>
                  </w:r>
                </w:p>
              </w:tc>
            </w:tr>
          </w:tbl>
          <w:p w:rsidR="004419CF" w:rsidRDefault="004419CF" w:rsidP="0009714B">
            <w:pPr>
              <w:pStyle w:val="Box"/>
            </w:pPr>
          </w:p>
        </w:tc>
      </w:tr>
      <w:tr w:rsidR="004419CF" w:rsidTr="0009714B">
        <w:trPr>
          <w:cantSplit/>
        </w:trPr>
        <w:tc>
          <w:tcPr>
            <w:tcW w:w="8771" w:type="dxa"/>
            <w:tcBorders>
              <w:top w:val="nil"/>
              <w:left w:val="nil"/>
              <w:bottom w:val="nil"/>
              <w:right w:val="nil"/>
            </w:tcBorders>
            <w:shd w:val="clear" w:color="auto" w:fill="auto"/>
          </w:tcPr>
          <w:p w:rsidR="004419CF" w:rsidRDefault="004419CF" w:rsidP="00783AB6">
            <w:pPr>
              <w:pStyle w:val="Note"/>
              <w:rPr>
                <w:i/>
              </w:rPr>
            </w:pPr>
            <w:proofErr w:type="spellStart"/>
            <w:r w:rsidRPr="008E77FE">
              <w:rPr>
                <w:rStyle w:val="NoteLabel"/>
              </w:rPr>
              <w:t>a</w:t>
            </w:r>
            <w:proofErr w:type="spellEnd"/>
            <w:r>
              <w:t xml:space="preserve"> </w:t>
            </w:r>
            <w:r w:rsidR="00783AB6">
              <w:t>E</w:t>
            </w:r>
            <w:r w:rsidR="00DD2279">
              <w:t xml:space="preserve">ligibility rules not modelled, rather inflation adjusted values from the survey database are </w:t>
            </w:r>
            <w:r w:rsidR="00EA1823">
              <w:t>reported</w:t>
            </w:r>
            <w:r w:rsidR="00DD2279">
              <w:t>.</w:t>
            </w:r>
          </w:p>
        </w:tc>
      </w:tr>
      <w:tr w:rsidR="004419CF" w:rsidTr="0009714B">
        <w:trPr>
          <w:cantSplit/>
        </w:trPr>
        <w:tc>
          <w:tcPr>
            <w:tcW w:w="8771" w:type="dxa"/>
            <w:tcBorders>
              <w:top w:val="nil"/>
              <w:left w:val="nil"/>
              <w:bottom w:val="nil"/>
              <w:right w:val="nil"/>
            </w:tcBorders>
            <w:shd w:val="clear" w:color="auto" w:fill="auto"/>
          </w:tcPr>
          <w:p w:rsidR="004419CF" w:rsidRDefault="004419CF" w:rsidP="00783AB6">
            <w:pPr>
              <w:pStyle w:val="Source"/>
            </w:pPr>
            <w:r>
              <w:rPr>
                <w:i/>
              </w:rPr>
              <w:t>Source</w:t>
            </w:r>
            <w:r w:rsidRPr="00167F06">
              <w:t xml:space="preserve">: </w:t>
            </w:r>
            <w:r w:rsidR="00DD2279">
              <w:t>CAPITA documentation.</w:t>
            </w:r>
          </w:p>
        </w:tc>
      </w:tr>
      <w:tr w:rsidR="004419CF" w:rsidTr="0009714B">
        <w:trPr>
          <w:cantSplit/>
        </w:trPr>
        <w:tc>
          <w:tcPr>
            <w:tcW w:w="8771" w:type="dxa"/>
            <w:tcBorders>
              <w:top w:val="nil"/>
              <w:left w:val="nil"/>
              <w:bottom w:val="single" w:sz="6" w:space="0" w:color="78A22F"/>
              <w:right w:val="nil"/>
            </w:tcBorders>
            <w:shd w:val="clear" w:color="auto" w:fill="auto"/>
          </w:tcPr>
          <w:p w:rsidR="004419CF" w:rsidRDefault="004419CF" w:rsidP="0009714B">
            <w:pPr>
              <w:pStyle w:val="Box"/>
              <w:spacing w:before="0" w:line="120" w:lineRule="exact"/>
            </w:pPr>
          </w:p>
        </w:tc>
      </w:tr>
      <w:tr w:rsidR="004419CF" w:rsidRPr="000863A5" w:rsidTr="0009714B">
        <w:tc>
          <w:tcPr>
            <w:tcW w:w="8771" w:type="dxa"/>
            <w:tcBorders>
              <w:top w:val="single" w:sz="6" w:space="0" w:color="78A22F"/>
              <w:left w:val="nil"/>
              <w:bottom w:val="nil"/>
              <w:right w:val="nil"/>
            </w:tcBorders>
          </w:tcPr>
          <w:p w:rsidR="004419CF" w:rsidRPr="00626D32" w:rsidRDefault="004419CF" w:rsidP="0009714B">
            <w:pPr>
              <w:pStyle w:val="BoxSpaceBelow"/>
            </w:pPr>
          </w:p>
        </w:tc>
      </w:tr>
    </w:tbl>
    <w:p w:rsidR="0009714B" w:rsidRDefault="0009714B" w:rsidP="0009714B">
      <w:pPr>
        <w:pStyle w:val="BodyText"/>
      </w:pPr>
      <w:r>
        <w:br w:type="page"/>
      </w:r>
    </w:p>
    <w:p w:rsidR="00D6323F" w:rsidRDefault="00D6323F" w:rsidP="00084A1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6323F" w:rsidTr="00084A13">
        <w:tc>
          <w:tcPr>
            <w:tcW w:w="8771" w:type="dxa"/>
            <w:tcBorders>
              <w:top w:val="single" w:sz="6" w:space="0" w:color="78A22F"/>
              <w:left w:val="nil"/>
              <w:bottom w:val="nil"/>
              <w:right w:val="nil"/>
            </w:tcBorders>
            <w:shd w:val="clear" w:color="auto" w:fill="auto"/>
          </w:tcPr>
          <w:p w:rsidR="00D6323F" w:rsidRDefault="00D6323F" w:rsidP="00084A13">
            <w:pPr>
              <w:pStyle w:val="TableTitle"/>
            </w:pPr>
            <w:r>
              <w:rPr>
                <w:b w:val="0"/>
              </w:rPr>
              <w:t xml:space="preserve">Table </w:t>
            </w:r>
            <w:r w:rsidR="003F2E30">
              <w:rPr>
                <w:b w:val="0"/>
                <w:noProof/>
              </w:rPr>
              <w:t>5</w:t>
            </w:r>
            <w:r>
              <w:tab/>
              <w:t>The specification of utility</w:t>
            </w:r>
          </w:p>
          <w:p w:rsidR="00D6323F" w:rsidRPr="00784A05" w:rsidRDefault="00D6323F" w:rsidP="00084A13">
            <w:pPr>
              <w:pStyle w:val="Subtitle"/>
            </w:pPr>
            <w:r>
              <w:t>The utility function’s variables and parameters</w:t>
            </w:r>
          </w:p>
        </w:tc>
      </w:tr>
      <w:tr w:rsidR="00D6323F" w:rsidTr="00084A1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22"/>
              <w:gridCol w:w="4965"/>
            </w:tblGrid>
            <w:tr w:rsidR="00D6323F" w:rsidTr="00084A13">
              <w:tc>
                <w:tcPr>
                  <w:tcW w:w="2075" w:type="pct"/>
                  <w:tcBorders>
                    <w:top w:val="single" w:sz="6" w:space="0" w:color="BFBFBF"/>
                    <w:bottom w:val="single" w:sz="6" w:space="0" w:color="BFBFBF"/>
                  </w:tcBorders>
                  <w:shd w:val="clear" w:color="auto" w:fill="auto"/>
                  <w:tcMar>
                    <w:top w:w="28" w:type="dxa"/>
                  </w:tcMar>
                </w:tcPr>
                <w:p w:rsidR="00D6323F" w:rsidRDefault="00D6323F" w:rsidP="00084A13">
                  <w:pPr>
                    <w:pStyle w:val="TableColumnHeading"/>
                    <w:jc w:val="left"/>
                  </w:pPr>
                  <w:r>
                    <w:t>Variable</w:t>
                  </w:r>
                </w:p>
              </w:tc>
              <w:tc>
                <w:tcPr>
                  <w:tcW w:w="2925" w:type="pct"/>
                  <w:tcBorders>
                    <w:top w:val="single" w:sz="6" w:space="0" w:color="BFBFBF"/>
                    <w:bottom w:val="single" w:sz="6" w:space="0" w:color="BFBFBF"/>
                  </w:tcBorders>
                  <w:shd w:val="clear" w:color="auto" w:fill="auto"/>
                  <w:tcMar>
                    <w:top w:w="28" w:type="dxa"/>
                  </w:tcMar>
                </w:tcPr>
                <w:p w:rsidR="00D6323F" w:rsidRDefault="00D6323F" w:rsidP="00084A13">
                  <w:pPr>
                    <w:pStyle w:val="TableColumnHeading"/>
                    <w:ind w:right="28"/>
                    <w:jc w:val="left"/>
                  </w:pPr>
                  <w:r>
                    <w:t>Parameter</w:t>
                  </w:r>
                </w:p>
              </w:tc>
            </w:tr>
            <w:tr w:rsidR="00D6323F" w:rsidTr="00084A13">
              <w:tc>
                <w:tcPr>
                  <w:tcW w:w="2075" w:type="pct"/>
                  <w:tcBorders>
                    <w:top w:val="single" w:sz="6" w:space="0" w:color="BFBFBF"/>
                  </w:tcBorders>
                </w:tcPr>
                <w:p w:rsidR="00D6323F" w:rsidRPr="0009714B" w:rsidRDefault="00D6323F" w:rsidP="00084A13">
                  <w:pPr>
                    <w:pStyle w:val="TableUnitsRow"/>
                    <w:jc w:val="left"/>
                    <w:rPr>
                      <w:i/>
                    </w:rPr>
                  </w:pPr>
                  <w:r w:rsidRPr="0009714B">
                    <w:rPr>
                      <w:i/>
                    </w:rPr>
                    <w:t>Quadratic parameters</w:t>
                  </w:r>
                </w:p>
              </w:tc>
              <w:tc>
                <w:tcPr>
                  <w:tcW w:w="2925" w:type="pct"/>
                  <w:tcBorders>
                    <w:top w:val="single" w:sz="6" w:space="0" w:color="BFBFBF"/>
                  </w:tcBorders>
                </w:tcPr>
                <w:p w:rsidR="00D6323F" w:rsidRPr="0009714B" w:rsidRDefault="00D6323F" w:rsidP="00084A13">
                  <w:pPr>
                    <w:rPr>
                      <w:rFonts w:ascii="Calibri" w:hAnsi="Calibri"/>
                      <w:color w:val="000000"/>
                      <w:sz w:val="22"/>
                      <w:szCs w:val="22"/>
                    </w:rPr>
                  </w:pPr>
                </w:p>
              </w:tc>
            </w:tr>
            <w:tr w:rsidR="00D6323F" w:rsidTr="00084A13">
              <w:tc>
                <w:tcPr>
                  <w:tcW w:w="2075" w:type="pct"/>
                </w:tcPr>
                <w:p w:rsidR="00D6323F" w:rsidRDefault="00D6323F" w:rsidP="00084A13">
                  <w:pPr>
                    <w:pStyle w:val="TableUnitsRow"/>
                    <w:ind w:left="113"/>
                    <w:jc w:val="left"/>
                  </w:pPr>
                  <w:r>
                    <w:t xml:space="preserve">Labour supply </w:t>
                  </w:r>
                  <w:r>
                    <w:rPr>
                      <w:rFonts w:cs="Arial"/>
                    </w:rPr>
                    <w:t>×</w:t>
                  </w:r>
                  <w:r>
                    <w:t xml:space="preserve"> income </w:t>
                  </w:r>
                  <w:r>
                    <w:rPr>
                      <w:rFonts w:cs="Arial"/>
                    </w:rPr>
                    <w:t>× 10 000</w:t>
                  </w:r>
                </w:p>
              </w:tc>
              <w:tc>
                <w:tcPr>
                  <w:tcW w:w="2925" w:type="pct"/>
                </w:tcPr>
                <w:p w:rsidR="00D6323F" w:rsidRPr="0009714B" w:rsidRDefault="00D6323F" w:rsidP="00084A13">
                  <w:pPr>
                    <w:pStyle w:val="TableBodyText"/>
                  </w:pPr>
                  <w:r>
                    <w:t>-0.</w:t>
                  </w:r>
                  <w:r w:rsidRPr="0009714B">
                    <w:t>617</w:t>
                  </w:r>
                </w:p>
              </w:tc>
            </w:tr>
            <w:tr w:rsidR="00D6323F" w:rsidTr="00084A13">
              <w:tc>
                <w:tcPr>
                  <w:tcW w:w="2075" w:type="pct"/>
                </w:tcPr>
                <w:p w:rsidR="00D6323F" w:rsidRDefault="00D6323F" w:rsidP="00084A13">
                  <w:pPr>
                    <w:pStyle w:val="TableBodyText"/>
                    <w:ind w:left="113"/>
                    <w:jc w:val="left"/>
                  </w:pPr>
                  <w:r>
                    <w:t xml:space="preserve">Labour supply squared </w:t>
                  </w:r>
                  <w:r>
                    <w:rPr>
                      <w:rFonts w:cs="Arial"/>
                    </w:rPr>
                    <w:t>× 100</w:t>
                  </w:r>
                </w:p>
              </w:tc>
              <w:tc>
                <w:tcPr>
                  <w:tcW w:w="2925" w:type="pct"/>
                </w:tcPr>
                <w:p w:rsidR="00D6323F" w:rsidRPr="0009714B" w:rsidRDefault="00D6323F" w:rsidP="00084A13">
                  <w:pPr>
                    <w:pStyle w:val="TableBodyText"/>
                  </w:pPr>
                  <w:r>
                    <w:t>-0.243</w:t>
                  </w:r>
                </w:p>
              </w:tc>
            </w:tr>
            <w:tr w:rsidR="00D6323F" w:rsidTr="00084A13">
              <w:tc>
                <w:tcPr>
                  <w:tcW w:w="2075" w:type="pct"/>
                  <w:shd w:val="clear" w:color="auto" w:fill="auto"/>
                </w:tcPr>
                <w:p w:rsidR="00D6323F" w:rsidRDefault="00D6323F" w:rsidP="00084A13">
                  <w:pPr>
                    <w:pStyle w:val="TableBodyText"/>
                    <w:ind w:left="113"/>
                    <w:jc w:val="left"/>
                  </w:pPr>
                  <w:r>
                    <w:t xml:space="preserve">Income squared </w:t>
                  </w:r>
                  <w:r>
                    <w:rPr>
                      <w:rFonts w:cs="Arial"/>
                    </w:rPr>
                    <w:t>× 100 000</w:t>
                  </w:r>
                </w:p>
              </w:tc>
              <w:tc>
                <w:tcPr>
                  <w:tcW w:w="2925" w:type="pct"/>
                  <w:shd w:val="clear" w:color="auto" w:fill="auto"/>
                </w:tcPr>
                <w:p w:rsidR="00D6323F" w:rsidRDefault="00D6323F" w:rsidP="00084A13">
                  <w:pPr>
                    <w:pStyle w:val="TableBodyText"/>
                  </w:pPr>
                  <w:r>
                    <w:t>-0.</w:t>
                  </w:r>
                  <w:r w:rsidRPr="0009714B">
                    <w:t>179</w:t>
                  </w:r>
                </w:p>
              </w:tc>
            </w:tr>
            <w:tr w:rsidR="00D6323F" w:rsidTr="00084A13">
              <w:tc>
                <w:tcPr>
                  <w:tcW w:w="2075" w:type="pct"/>
                  <w:shd w:val="clear" w:color="auto" w:fill="auto"/>
                </w:tcPr>
                <w:p w:rsidR="00D6323F" w:rsidRPr="00A276E6" w:rsidRDefault="00D6323F" w:rsidP="00084A13">
                  <w:pPr>
                    <w:pStyle w:val="TableBodyText"/>
                    <w:jc w:val="left"/>
                    <w:rPr>
                      <w:rStyle w:val="NoteLabel"/>
                    </w:rPr>
                  </w:pPr>
                  <w:r w:rsidRPr="0009714B">
                    <w:rPr>
                      <w:i/>
                    </w:rPr>
                    <w:t>Parameters for income coefficient</w:t>
                  </w:r>
                  <w:r>
                    <w:rPr>
                      <w:rStyle w:val="NoteLabel"/>
                    </w:rPr>
                    <w:t>a</w:t>
                  </w:r>
                </w:p>
              </w:tc>
              <w:tc>
                <w:tcPr>
                  <w:tcW w:w="2925" w:type="pct"/>
                  <w:shd w:val="clear" w:color="auto" w:fill="auto"/>
                </w:tcPr>
                <w:p w:rsidR="00D6323F" w:rsidRPr="0009714B" w:rsidRDefault="00D6323F" w:rsidP="00084A13">
                  <w:pPr>
                    <w:pStyle w:val="TableBodyText"/>
                  </w:pPr>
                </w:p>
              </w:tc>
            </w:tr>
            <w:tr w:rsidR="00D6323F" w:rsidTr="00084A13">
              <w:tc>
                <w:tcPr>
                  <w:tcW w:w="2075" w:type="pct"/>
                  <w:shd w:val="clear" w:color="auto" w:fill="auto"/>
                </w:tcPr>
                <w:p w:rsidR="00D6323F" w:rsidRPr="0009714B" w:rsidRDefault="00D6323F" w:rsidP="00084A13">
                  <w:pPr>
                    <w:pStyle w:val="TableBodyText"/>
                    <w:ind w:left="113"/>
                    <w:jc w:val="left"/>
                  </w:pPr>
                  <w:r>
                    <w:t>Constant</w:t>
                  </w:r>
                </w:p>
              </w:tc>
              <w:tc>
                <w:tcPr>
                  <w:tcW w:w="2925" w:type="pct"/>
                  <w:shd w:val="clear" w:color="auto" w:fill="auto"/>
                </w:tcPr>
                <w:p w:rsidR="00D6323F" w:rsidRPr="0009714B" w:rsidRDefault="00D6323F" w:rsidP="00084A13">
                  <w:pPr>
                    <w:pStyle w:val="TableBodyText"/>
                  </w:pPr>
                  <w:r>
                    <w:t>0.006</w:t>
                  </w:r>
                </w:p>
              </w:tc>
            </w:tr>
            <w:tr w:rsidR="00D6323F" w:rsidTr="00084A13">
              <w:tc>
                <w:tcPr>
                  <w:tcW w:w="2075" w:type="pct"/>
                  <w:shd w:val="clear" w:color="auto" w:fill="auto"/>
                </w:tcPr>
                <w:p w:rsidR="00D6323F" w:rsidRDefault="00D6323F" w:rsidP="00084A13">
                  <w:pPr>
                    <w:pStyle w:val="TableBodyText"/>
                    <w:ind w:left="113"/>
                    <w:jc w:val="left"/>
                  </w:pPr>
                  <w:r>
                    <w:t>Child aged 0 to 2</w:t>
                  </w:r>
                </w:p>
              </w:tc>
              <w:tc>
                <w:tcPr>
                  <w:tcW w:w="2925" w:type="pct"/>
                  <w:shd w:val="clear" w:color="auto" w:fill="auto"/>
                </w:tcPr>
                <w:p w:rsidR="00D6323F" w:rsidRDefault="00D6323F" w:rsidP="00084A13">
                  <w:pPr>
                    <w:pStyle w:val="TableBodyText"/>
                  </w:pPr>
                  <w:r>
                    <w:t>0.004</w:t>
                  </w:r>
                </w:p>
              </w:tc>
            </w:tr>
            <w:tr w:rsidR="00D6323F" w:rsidTr="00084A13">
              <w:tc>
                <w:tcPr>
                  <w:tcW w:w="2075" w:type="pct"/>
                  <w:shd w:val="clear" w:color="auto" w:fill="auto"/>
                </w:tcPr>
                <w:p w:rsidR="00D6323F" w:rsidRDefault="00D6323F" w:rsidP="00084A13">
                  <w:pPr>
                    <w:pStyle w:val="TableBodyText"/>
                    <w:ind w:left="113"/>
                    <w:jc w:val="left"/>
                  </w:pPr>
                  <w:r>
                    <w:t>Child aged 3 to 4</w:t>
                  </w:r>
                </w:p>
              </w:tc>
              <w:tc>
                <w:tcPr>
                  <w:tcW w:w="2925" w:type="pct"/>
                  <w:shd w:val="clear" w:color="auto" w:fill="auto"/>
                </w:tcPr>
                <w:p w:rsidR="00D6323F" w:rsidRDefault="00D6323F" w:rsidP="00084A13">
                  <w:pPr>
                    <w:pStyle w:val="TableBodyText"/>
                  </w:pPr>
                  <w:r>
                    <w:t>0.001</w:t>
                  </w:r>
                </w:p>
              </w:tc>
            </w:tr>
            <w:tr w:rsidR="00D6323F" w:rsidTr="00084A13">
              <w:tc>
                <w:tcPr>
                  <w:tcW w:w="2075" w:type="pct"/>
                  <w:shd w:val="clear" w:color="auto" w:fill="auto"/>
                </w:tcPr>
                <w:p w:rsidR="00D6323F" w:rsidRDefault="00D6323F" w:rsidP="00084A13">
                  <w:pPr>
                    <w:pStyle w:val="TableBodyText"/>
                    <w:ind w:left="113"/>
                    <w:jc w:val="left"/>
                  </w:pPr>
                  <w:r>
                    <w:t>Child aged 5 to 9</w:t>
                  </w:r>
                </w:p>
              </w:tc>
              <w:tc>
                <w:tcPr>
                  <w:tcW w:w="2925" w:type="pct"/>
                  <w:shd w:val="clear" w:color="auto" w:fill="auto"/>
                </w:tcPr>
                <w:p w:rsidR="00D6323F" w:rsidRDefault="00D6323F" w:rsidP="00084A13">
                  <w:pPr>
                    <w:pStyle w:val="TableBodyText"/>
                  </w:pPr>
                  <w:r>
                    <w:t>0.001</w:t>
                  </w:r>
                </w:p>
              </w:tc>
            </w:tr>
            <w:tr w:rsidR="00D6323F" w:rsidTr="00084A13">
              <w:tc>
                <w:tcPr>
                  <w:tcW w:w="2075" w:type="pct"/>
                  <w:shd w:val="clear" w:color="auto" w:fill="auto"/>
                </w:tcPr>
                <w:p w:rsidR="00D6323F" w:rsidRDefault="00D6323F" w:rsidP="00084A13">
                  <w:pPr>
                    <w:pStyle w:val="TableBodyText"/>
                    <w:ind w:left="113"/>
                    <w:jc w:val="left"/>
                  </w:pPr>
                  <w:r>
                    <w:t xml:space="preserve">Number of children </w:t>
                  </w:r>
                  <w:r>
                    <w:rPr>
                      <w:rFonts w:cs="Arial"/>
                    </w:rPr>
                    <w:t>× 10</w:t>
                  </w:r>
                </w:p>
              </w:tc>
              <w:tc>
                <w:tcPr>
                  <w:tcW w:w="2925" w:type="pct"/>
                  <w:shd w:val="clear" w:color="auto" w:fill="auto"/>
                </w:tcPr>
                <w:p w:rsidR="00D6323F" w:rsidRDefault="00D6323F" w:rsidP="00084A13">
                  <w:pPr>
                    <w:pStyle w:val="TableBodyText"/>
                  </w:pPr>
                  <w:r>
                    <w:t>-0.003</w:t>
                  </w:r>
                </w:p>
              </w:tc>
            </w:tr>
            <w:tr w:rsidR="00D6323F" w:rsidTr="00084A13">
              <w:tc>
                <w:tcPr>
                  <w:tcW w:w="2075" w:type="pct"/>
                  <w:shd w:val="clear" w:color="auto" w:fill="auto"/>
                </w:tcPr>
                <w:p w:rsidR="00D6323F" w:rsidRDefault="00D6323F" w:rsidP="00084A13">
                  <w:pPr>
                    <w:pStyle w:val="TableBodyText"/>
                    <w:ind w:left="113"/>
                    <w:jc w:val="left"/>
                  </w:pPr>
                  <w:r>
                    <w:t xml:space="preserve">Age </w:t>
                  </w:r>
                  <w:r>
                    <w:rPr>
                      <w:rFonts w:cs="Arial"/>
                    </w:rPr>
                    <w:t>× 10</w:t>
                  </w:r>
                </w:p>
              </w:tc>
              <w:tc>
                <w:tcPr>
                  <w:tcW w:w="2925" w:type="pct"/>
                  <w:shd w:val="clear" w:color="auto" w:fill="auto"/>
                </w:tcPr>
                <w:p w:rsidR="00D6323F" w:rsidRDefault="00D6323F" w:rsidP="00084A13">
                  <w:pPr>
                    <w:pStyle w:val="TableBodyText"/>
                  </w:pPr>
                  <w:r>
                    <w:t>0.003</w:t>
                  </w:r>
                </w:p>
              </w:tc>
            </w:tr>
            <w:tr w:rsidR="00D6323F" w:rsidTr="00084A13">
              <w:tc>
                <w:tcPr>
                  <w:tcW w:w="2075" w:type="pct"/>
                  <w:shd w:val="clear" w:color="auto" w:fill="auto"/>
                </w:tcPr>
                <w:p w:rsidR="00D6323F" w:rsidRDefault="00D6323F" w:rsidP="00084A13">
                  <w:pPr>
                    <w:pStyle w:val="TableBodyText"/>
                    <w:ind w:left="113"/>
                    <w:jc w:val="left"/>
                  </w:pPr>
                  <w:r>
                    <w:t xml:space="preserve">Age squared </w:t>
                  </w:r>
                  <w:r>
                    <w:rPr>
                      <w:rFonts w:cs="Arial"/>
                    </w:rPr>
                    <w:t>× 1 000</w:t>
                  </w:r>
                </w:p>
              </w:tc>
              <w:tc>
                <w:tcPr>
                  <w:tcW w:w="2925" w:type="pct"/>
                  <w:shd w:val="clear" w:color="auto" w:fill="auto"/>
                </w:tcPr>
                <w:p w:rsidR="00D6323F" w:rsidRDefault="00D6323F" w:rsidP="00084A13">
                  <w:pPr>
                    <w:pStyle w:val="TableBodyText"/>
                  </w:pPr>
                  <w:r>
                    <w:t>-0.003</w:t>
                  </w:r>
                </w:p>
              </w:tc>
            </w:tr>
            <w:tr w:rsidR="00D6323F" w:rsidTr="00084A13">
              <w:tc>
                <w:tcPr>
                  <w:tcW w:w="2075" w:type="pct"/>
                  <w:shd w:val="clear" w:color="auto" w:fill="auto"/>
                </w:tcPr>
                <w:p w:rsidR="00D6323F" w:rsidRDefault="00D6323F" w:rsidP="00084A13">
                  <w:pPr>
                    <w:pStyle w:val="TableBodyText"/>
                    <w:ind w:left="113"/>
                    <w:jc w:val="left"/>
                  </w:pPr>
                  <w:r>
                    <w:t>Vocational education</w:t>
                  </w:r>
                </w:p>
              </w:tc>
              <w:tc>
                <w:tcPr>
                  <w:tcW w:w="2925" w:type="pct"/>
                  <w:shd w:val="clear" w:color="auto" w:fill="auto"/>
                </w:tcPr>
                <w:p w:rsidR="00D6323F" w:rsidRDefault="00D6323F" w:rsidP="00084A13">
                  <w:pPr>
                    <w:pStyle w:val="TableBodyText"/>
                  </w:pPr>
                  <w:r>
                    <w:t>0.001</w:t>
                  </w:r>
                </w:p>
              </w:tc>
            </w:tr>
            <w:tr w:rsidR="00D6323F" w:rsidTr="00084A13">
              <w:tc>
                <w:tcPr>
                  <w:tcW w:w="2075" w:type="pct"/>
                  <w:shd w:val="clear" w:color="auto" w:fill="auto"/>
                </w:tcPr>
                <w:p w:rsidR="00D6323F" w:rsidRDefault="00D6323F" w:rsidP="00084A13">
                  <w:pPr>
                    <w:pStyle w:val="TableBodyText"/>
                    <w:ind w:left="113"/>
                    <w:jc w:val="left"/>
                  </w:pPr>
                  <w:r>
                    <w:t>Degree</w:t>
                  </w:r>
                </w:p>
              </w:tc>
              <w:tc>
                <w:tcPr>
                  <w:tcW w:w="2925" w:type="pct"/>
                  <w:shd w:val="clear" w:color="auto" w:fill="auto"/>
                </w:tcPr>
                <w:p w:rsidR="00D6323F" w:rsidRDefault="00D6323F" w:rsidP="00084A13">
                  <w:pPr>
                    <w:pStyle w:val="TableBodyText"/>
                  </w:pPr>
                  <w:r>
                    <w:t>-0.005</w:t>
                  </w:r>
                </w:p>
              </w:tc>
            </w:tr>
            <w:tr w:rsidR="00D6323F" w:rsidTr="00084A13">
              <w:tc>
                <w:tcPr>
                  <w:tcW w:w="2075" w:type="pct"/>
                  <w:shd w:val="clear" w:color="auto" w:fill="auto"/>
                </w:tcPr>
                <w:p w:rsidR="00D6323F" w:rsidRDefault="00D6323F" w:rsidP="00084A13">
                  <w:pPr>
                    <w:pStyle w:val="TableBodyText"/>
                    <w:ind w:left="113"/>
                    <w:jc w:val="left"/>
                  </w:pPr>
                  <w:r>
                    <w:t>Female</w:t>
                  </w:r>
                </w:p>
              </w:tc>
              <w:tc>
                <w:tcPr>
                  <w:tcW w:w="2925" w:type="pct"/>
                  <w:shd w:val="clear" w:color="auto" w:fill="auto"/>
                </w:tcPr>
                <w:p w:rsidR="00D6323F" w:rsidRPr="0009714B" w:rsidRDefault="00D6323F" w:rsidP="00084A13">
                  <w:pPr>
                    <w:pStyle w:val="TableBodyText"/>
                  </w:pPr>
                  <w:r>
                    <w:t>-0.006</w:t>
                  </w:r>
                </w:p>
              </w:tc>
            </w:tr>
            <w:tr w:rsidR="00D6323F" w:rsidTr="00084A13">
              <w:tc>
                <w:tcPr>
                  <w:tcW w:w="2075" w:type="pct"/>
                  <w:shd w:val="clear" w:color="auto" w:fill="auto"/>
                </w:tcPr>
                <w:p w:rsidR="00D6323F" w:rsidRPr="00A276E6" w:rsidRDefault="00D6323F" w:rsidP="00084A13">
                  <w:pPr>
                    <w:pStyle w:val="TableBodyText"/>
                    <w:jc w:val="left"/>
                    <w:rPr>
                      <w:rStyle w:val="NoteLabel"/>
                    </w:rPr>
                  </w:pPr>
                  <w:r w:rsidRPr="0009714B">
                    <w:rPr>
                      <w:i/>
                    </w:rPr>
                    <w:t xml:space="preserve">Parameters for labour supply </w:t>
                  </w:r>
                  <w:r>
                    <w:rPr>
                      <w:i/>
                    </w:rPr>
                    <w:t>coefficien</w:t>
                  </w:r>
                  <w:r w:rsidRPr="0009714B">
                    <w:rPr>
                      <w:i/>
                    </w:rPr>
                    <w:t>t</w:t>
                  </w:r>
                  <w:r>
                    <w:rPr>
                      <w:rStyle w:val="NoteLabel"/>
                    </w:rPr>
                    <w:t>a</w:t>
                  </w:r>
                </w:p>
              </w:tc>
              <w:tc>
                <w:tcPr>
                  <w:tcW w:w="2925" w:type="pct"/>
                  <w:shd w:val="clear" w:color="auto" w:fill="auto"/>
                </w:tcPr>
                <w:p w:rsidR="00D6323F" w:rsidRPr="0009714B" w:rsidRDefault="00D6323F" w:rsidP="00084A13">
                  <w:pPr>
                    <w:pStyle w:val="TableBodyText"/>
                  </w:pPr>
                </w:p>
              </w:tc>
            </w:tr>
            <w:tr w:rsidR="00D6323F" w:rsidTr="00084A13">
              <w:tc>
                <w:tcPr>
                  <w:tcW w:w="2075" w:type="pct"/>
                  <w:shd w:val="clear" w:color="auto" w:fill="auto"/>
                </w:tcPr>
                <w:p w:rsidR="00D6323F" w:rsidRPr="0009714B" w:rsidRDefault="00D6323F" w:rsidP="00084A13">
                  <w:pPr>
                    <w:pStyle w:val="TableBodyText"/>
                    <w:ind w:left="113"/>
                    <w:jc w:val="left"/>
                  </w:pPr>
                  <w:r>
                    <w:t>Constant</w:t>
                  </w:r>
                </w:p>
              </w:tc>
              <w:tc>
                <w:tcPr>
                  <w:tcW w:w="2925" w:type="pct"/>
                  <w:shd w:val="clear" w:color="auto" w:fill="auto"/>
                </w:tcPr>
                <w:p w:rsidR="00D6323F" w:rsidRPr="0009714B" w:rsidRDefault="00D6323F" w:rsidP="00084A13">
                  <w:pPr>
                    <w:pStyle w:val="TableBodyText"/>
                  </w:pPr>
                  <w:r>
                    <w:t>0.100</w:t>
                  </w:r>
                </w:p>
              </w:tc>
            </w:tr>
            <w:tr w:rsidR="00D6323F" w:rsidTr="00084A13">
              <w:tc>
                <w:tcPr>
                  <w:tcW w:w="2075" w:type="pct"/>
                  <w:shd w:val="clear" w:color="auto" w:fill="auto"/>
                </w:tcPr>
                <w:p w:rsidR="00D6323F" w:rsidRDefault="00D6323F" w:rsidP="00084A13">
                  <w:pPr>
                    <w:pStyle w:val="TableBodyText"/>
                    <w:ind w:left="113"/>
                    <w:jc w:val="left"/>
                  </w:pPr>
                  <w:r>
                    <w:t>Child aged 0 to 2</w:t>
                  </w:r>
                </w:p>
              </w:tc>
              <w:tc>
                <w:tcPr>
                  <w:tcW w:w="2925" w:type="pct"/>
                  <w:shd w:val="clear" w:color="auto" w:fill="auto"/>
                </w:tcPr>
                <w:p w:rsidR="00D6323F" w:rsidRDefault="00D6323F" w:rsidP="00084A13">
                  <w:pPr>
                    <w:pStyle w:val="TableBodyText"/>
                  </w:pPr>
                  <w:r w:rsidRPr="0009714B">
                    <w:t>-0.</w:t>
                  </w:r>
                  <w:r>
                    <w:t>088</w:t>
                  </w:r>
                </w:p>
              </w:tc>
            </w:tr>
            <w:tr w:rsidR="00D6323F" w:rsidTr="00084A13">
              <w:tc>
                <w:tcPr>
                  <w:tcW w:w="2075" w:type="pct"/>
                  <w:shd w:val="clear" w:color="auto" w:fill="auto"/>
                </w:tcPr>
                <w:p w:rsidR="00D6323F" w:rsidRDefault="00D6323F" w:rsidP="00084A13">
                  <w:pPr>
                    <w:pStyle w:val="TableBodyText"/>
                    <w:ind w:left="113"/>
                    <w:jc w:val="left"/>
                  </w:pPr>
                  <w:r>
                    <w:t>Child aged 3 to 4</w:t>
                  </w:r>
                </w:p>
              </w:tc>
              <w:tc>
                <w:tcPr>
                  <w:tcW w:w="2925" w:type="pct"/>
                  <w:shd w:val="clear" w:color="auto" w:fill="auto"/>
                </w:tcPr>
                <w:p w:rsidR="00D6323F" w:rsidRPr="0009714B" w:rsidRDefault="00D6323F" w:rsidP="00084A13">
                  <w:pPr>
                    <w:pStyle w:val="TableBodyText"/>
                  </w:pPr>
                  <w:r>
                    <w:t>-0.044</w:t>
                  </w:r>
                </w:p>
              </w:tc>
            </w:tr>
            <w:tr w:rsidR="00D6323F" w:rsidTr="00084A13">
              <w:tc>
                <w:tcPr>
                  <w:tcW w:w="2075" w:type="pct"/>
                  <w:shd w:val="clear" w:color="auto" w:fill="auto"/>
                </w:tcPr>
                <w:p w:rsidR="00D6323F" w:rsidRDefault="00D6323F" w:rsidP="00084A13">
                  <w:pPr>
                    <w:pStyle w:val="TableBodyText"/>
                    <w:ind w:left="113"/>
                    <w:jc w:val="left"/>
                  </w:pPr>
                  <w:r>
                    <w:t>Child aged 5 to 9</w:t>
                  </w:r>
                </w:p>
              </w:tc>
              <w:tc>
                <w:tcPr>
                  <w:tcW w:w="2925" w:type="pct"/>
                  <w:shd w:val="clear" w:color="auto" w:fill="auto"/>
                </w:tcPr>
                <w:p w:rsidR="00D6323F" w:rsidRPr="0009714B" w:rsidRDefault="00D6323F" w:rsidP="00084A13">
                  <w:pPr>
                    <w:pStyle w:val="TableBodyText"/>
                  </w:pPr>
                  <w:r>
                    <w:t>-0.019</w:t>
                  </w:r>
                </w:p>
              </w:tc>
            </w:tr>
            <w:tr w:rsidR="00D6323F" w:rsidTr="00084A13">
              <w:tc>
                <w:tcPr>
                  <w:tcW w:w="2075" w:type="pct"/>
                  <w:shd w:val="clear" w:color="auto" w:fill="auto"/>
                </w:tcPr>
                <w:p w:rsidR="00D6323F" w:rsidRDefault="00D6323F" w:rsidP="00084A13">
                  <w:pPr>
                    <w:pStyle w:val="TableBodyText"/>
                    <w:ind w:left="113"/>
                    <w:jc w:val="left"/>
                  </w:pPr>
                  <w:r>
                    <w:t xml:space="preserve">Number of children </w:t>
                  </w:r>
                  <w:r>
                    <w:rPr>
                      <w:rFonts w:cs="Arial"/>
                    </w:rPr>
                    <w:t>× 10</w:t>
                  </w:r>
                </w:p>
              </w:tc>
              <w:tc>
                <w:tcPr>
                  <w:tcW w:w="2925" w:type="pct"/>
                  <w:shd w:val="clear" w:color="auto" w:fill="auto"/>
                </w:tcPr>
                <w:p w:rsidR="00D6323F" w:rsidRDefault="00D6323F" w:rsidP="00084A13">
                  <w:pPr>
                    <w:pStyle w:val="TableBodyText"/>
                  </w:pPr>
                  <w:r>
                    <w:t>0.050</w:t>
                  </w:r>
                </w:p>
              </w:tc>
            </w:tr>
            <w:tr w:rsidR="00D6323F" w:rsidTr="00084A13">
              <w:tc>
                <w:tcPr>
                  <w:tcW w:w="2075" w:type="pct"/>
                  <w:shd w:val="clear" w:color="auto" w:fill="auto"/>
                </w:tcPr>
                <w:p w:rsidR="00D6323F" w:rsidRDefault="00D6323F" w:rsidP="00084A13">
                  <w:pPr>
                    <w:pStyle w:val="TableBodyText"/>
                    <w:ind w:left="113"/>
                    <w:jc w:val="left"/>
                  </w:pPr>
                  <w:r>
                    <w:t xml:space="preserve">Age </w:t>
                  </w:r>
                  <w:r>
                    <w:rPr>
                      <w:rFonts w:cs="Arial"/>
                    </w:rPr>
                    <w:t>× 10</w:t>
                  </w:r>
                </w:p>
              </w:tc>
              <w:tc>
                <w:tcPr>
                  <w:tcW w:w="2925" w:type="pct"/>
                  <w:shd w:val="clear" w:color="auto" w:fill="auto"/>
                </w:tcPr>
                <w:p w:rsidR="00D6323F" w:rsidRDefault="00D6323F" w:rsidP="00084A13">
                  <w:pPr>
                    <w:pStyle w:val="TableBodyText"/>
                  </w:pPr>
                  <w:r>
                    <w:t>0.024</w:t>
                  </w:r>
                </w:p>
              </w:tc>
            </w:tr>
            <w:tr w:rsidR="00D6323F" w:rsidTr="00084A13">
              <w:tc>
                <w:tcPr>
                  <w:tcW w:w="2075" w:type="pct"/>
                  <w:shd w:val="clear" w:color="auto" w:fill="auto"/>
                </w:tcPr>
                <w:p w:rsidR="00D6323F" w:rsidRDefault="00D6323F" w:rsidP="00084A13">
                  <w:pPr>
                    <w:pStyle w:val="TableBodyText"/>
                    <w:ind w:left="113"/>
                    <w:jc w:val="left"/>
                  </w:pPr>
                  <w:r>
                    <w:t xml:space="preserve">Age squared </w:t>
                  </w:r>
                  <w:r>
                    <w:rPr>
                      <w:rFonts w:cs="Arial"/>
                    </w:rPr>
                    <w:t>× 1 000</w:t>
                  </w:r>
                </w:p>
              </w:tc>
              <w:tc>
                <w:tcPr>
                  <w:tcW w:w="2925" w:type="pct"/>
                  <w:shd w:val="clear" w:color="auto" w:fill="auto"/>
                </w:tcPr>
                <w:p w:rsidR="00D6323F" w:rsidRDefault="00D6323F" w:rsidP="00084A13">
                  <w:pPr>
                    <w:pStyle w:val="TableBodyText"/>
                  </w:pPr>
                  <w:r>
                    <w:t>-0.067</w:t>
                  </w:r>
                </w:p>
              </w:tc>
            </w:tr>
            <w:tr w:rsidR="00D6323F" w:rsidTr="00084A13">
              <w:tc>
                <w:tcPr>
                  <w:tcW w:w="2075" w:type="pct"/>
                  <w:shd w:val="clear" w:color="auto" w:fill="auto"/>
                </w:tcPr>
                <w:p w:rsidR="00D6323F" w:rsidRDefault="00D6323F" w:rsidP="00084A13">
                  <w:pPr>
                    <w:pStyle w:val="TableBodyText"/>
                    <w:ind w:left="113"/>
                    <w:jc w:val="left"/>
                  </w:pPr>
                  <w:r>
                    <w:t>Vocational education</w:t>
                  </w:r>
                </w:p>
              </w:tc>
              <w:tc>
                <w:tcPr>
                  <w:tcW w:w="2925" w:type="pct"/>
                  <w:shd w:val="clear" w:color="auto" w:fill="auto"/>
                </w:tcPr>
                <w:p w:rsidR="00D6323F" w:rsidRDefault="00D6323F" w:rsidP="00084A13">
                  <w:pPr>
                    <w:pStyle w:val="TableBodyText"/>
                  </w:pPr>
                  <w:r>
                    <w:t>-0.004</w:t>
                  </w:r>
                </w:p>
              </w:tc>
            </w:tr>
            <w:tr w:rsidR="00D6323F" w:rsidTr="00084A13">
              <w:tc>
                <w:tcPr>
                  <w:tcW w:w="2075" w:type="pct"/>
                  <w:shd w:val="clear" w:color="auto" w:fill="auto"/>
                </w:tcPr>
                <w:p w:rsidR="00D6323F" w:rsidRDefault="00D6323F" w:rsidP="00084A13">
                  <w:pPr>
                    <w:pStyle w:val="TableBodyText"/>
                    <w:ind w:left="113"/>
                    <w:jc w:val="left"/>
                  </w:pPr>
                  <w:r>
                    <w:t>Degree</w:t>
                  </w:r>
                </w:p>
              </w:tc>
              <w:tc>
                <w:tcPr>
                  <w:tcW w:w="2925" w:type="pct"/>
                  <w:shd w:val="clear" w:color="auto" w:fill="auto"/>
                </w:tcPr>
                <w:p w:rsidR="00D6323F" w:rsidRDefault="00D6323F" w:rsidP="00084A13">
                  <w:pPr>
                    <w:pStyle w:val="TableBodyText"/>
                  </w:pPr>
                  <w:r>
                    <w:t>0.058</w:t>
                  </w:r>
                </w:p>
              </w:tc>
            </w:tr>
            <w:tr w:rsidR="00D6323F" w:rsidTr="00084A13">
              <w:tc>
                <w:tcPr>
                  <w:tcW w:w="2075" w:type="pct"/>
                  <w:shd w:val="clear" w:color="auto" w:fill="auto"/>
                </w:tcPr>
                <w:p w:rsidR="00D6323F" w:rsidRDefault="00D6323F" w:rsidP="00084A13">
                  <w:pPr>
                    <w:pStyle w:val="TableBodyText"/>
                    <w:ind w:left="113"/>
                    <w:jc w:val="left"/>
                  </w:pPr>
                  <w:r>
                    <w:t>Female</w:t>
                  </w:r>
                </w:p>
              </w:tc>
              <w:tc>
                <w:tcPr>
                  <w:tcW w:w="2925" w:type="pct"/>
                  <w:shd w:val="clear" w:color="auto" w:fill="auto"/>
                </w:tcPr>
                <w:p w:rsidR="00D6323F" w:rsidRDefault="00D6323F" w:rsidP="00084A13">
                  <w:pPr>
                    <w:pStyle w:val="TableBodyText"/>
                  </w:pPr>
                  <w:r>
                    <w:t>-0.021</w:t>
                  </w:r>
                </w:p>
              </w:tc>
            </w:tr>
            <w:tr w:rsidR="00D6323F" w:rsidTr="00084A13">
              <w:tc>
                <w:tcPr>
                  <w:tcW w:w="2075" w:type="pct"/>
                  <w:shd w:val="clear" w:color="auto" w:fill="auto"/>
                </w:tcPr>
                <w:p w:rsidR="00D6323F" w:rsidRPr="00A276E6" w:rsidRDefault="00D6323F" w:rsidP="00084A13">
                  <w:pPr>
                    <w:pStyle w:val="TableBodyText"/>
                    <w:jc w:val="left"/>
                    <w:rPr>
                      <w:rStyle w:val="NoteLabel"/>
                    </w:rPr>
                  </w:pPr>
                  <w:r w:rsidRPr="0009714B">
                    <w:rPr>
                      <w:i/>
                    </w:rPr>
                    <w:t>Fixed cost parameters</w:t>
                  </w:r>
                  <w:r>
                    <w:rPr>
                      <w:rStyle w:val="NoteLabel"/>
                    </w:rPr>
                    <w:t>a</w:t>
                  </w:r>
                </w:p>
              </w:tc>
              <w:tc>
                <w:tcPr>
                  <w:tcW w:w="2925" w:type="pct"/>
                  <w:shd w:val="clear" w:color="auto" w:fill="auto"/>
                </w:tcPr>
                <w:p w:rsidR="00D6323F" w:rsidRPr="0009714B" w:rsidRDefault="00D6323F" w:rsidP="00084A13">
                  <w:pPr>
                    <w:pStyle w:val="TableBodyText"/>
                  </w:pPr>
                </w:p>
              </w:tc>
            </w:tr>
            <w:tr w:rsidR="00D6323F" w:rsidTr="00084A13">
              <w:tc>
                <w:tcPr>
                  <w:tcW w:w="2075" w:type="pct"/>
                  <w:shd w:val="clear" w:color="auto" w:fill="auto"/>
                </w:tcPr>
                <w:p w:rsidR="00D6323F" w:rsidRPr="0009714B" w:rsidRDefault="00D6323F" w:rsidP="00084A13">
                  <w:pPr>
                    <w:pStyle w:val="TableBodyText"/>
                    <w:ind w:left="113"/>
                    <w:jc w:val="left"/>
                  </w:pPr>
                  <w:r w:rsidRPr="0009714B">
                    <w:t>Constant</w:t>
                  </w:r>
                </w:p>
              </w:tc>
              <w:tc>
                <w:tcPr>
                  <w:tcW w:w="2925" w:type="pct"/>
                  <w:shd w:val="clear" w:color="auto" w:fill="auto"/>
                </w:tcPr>
                <w:p w:rsidR="00D6323F" w:rsidRPr="0009714B" w:rsidRDefault="00D6323F" w:rsidP="00084A13">
                  <w:pPr>
                    <w:pStyle w:val="TableBodyText"/>
                  </w:pPr>
                  <w:r>
                    <w:t>-4.880</w:t>
                  </w:r>
                </w:p>
              </w:tc>
            </w:tr>
            <w:tr w:rsidR="00D6323F" w:rsidTr="00084A13">
              <w:tc>
                <w:tcPr>
                  <w:tcW w:w="2075" w:type="pct"/>
                  <w:tcBorders>
                    <w:bottom w:val="single" w:sz="6" w:space="0" w:color="BFBFBF"/>
                  </w:tcBorders>
                  <w:shd w:val="clear" w:color="auto" w:fill="auto"/>
                </w:tcPr>
                <w:p w:rsidR="00D6323F" w:rsidRPr="0009714B" w:rsidRDefault="00D6323F" w:rsidP="00084A13">
                  <w:pPr>
                    <w:pStyle w:val="TableBodyText"/>
                    <w:ind w:left="113"/>
                    <w:jc w:val="left"/>
                  </w:pPr>
                  <w:r>
                    <w:t>Female</w:t>
                  </w:r>
                </w:p>
              </w:tc>
              <w:tc>
                <w:tcPr>
                  <w:tcW w:w="2925" w:type="pct"/>
                  <w:tcBorders>
                    <w:bottom w:val="single" w:sz="6" w:space="0" w:color="BFBFBF"/>
                  </w:tcBorders>
                  <w:shd w:val="clear" w:color="auto" w:fill="auto"/>
                </w:tcPr>
                <w:p w:rsidR="00D6323F" w:rsidRDefault="00D6323F" w:rsidP="00084A13">
                  <w:pPr>
                    <w:pStyle w:val="TableBodyText"/>
                  </w:pPr>
                  <w:r>
                    <w:t>1.860</w:t>
                  </w:r>
                </w:p>
              </w:tc>
            </w:tr>
          </w:tbl>
          <w:p w:rsidR="00D6323F" w:rsidRDefault="00D6323F" w:rsidP="00084A13">
            <w:pPr>
              <w:pStyle w:val="Box"/>
            </w:pPr>
          </w:p>
        </w:tc>
      </w:tr>
      <w:tr w:rsidR="00D6323F" w:rsidTr="00084A13">
        <w:trPr>
          <w:cantSplit/>
        </w:trPr>
        <w:tc>
          <w:tcPr>
            <w:tcW w:w="8771" w:type="dxa"/>
            <w:tcBorders>
              <w:top w:val="nil"/>
              <w:left w:val="nil"/>
              <w:bottom w:val="nil"/>
              <w:right w:val="nil"/>
            </w:tcBorders>
            <w:shd w:val="clear" w:color="auto" w:fill="auto"/>
          </w:tcPr>
          <w:p w:rsidR="00D6323F" w:rsidRDefault="00D6323F" w:rsidP="00783AB6">
            <w:pPr>
              <w:pStyle w:val="Note"/>
              <w:rPr>
                <w:i/>
              </w:rPr>
            </w:pPr>
            <w:r w:rsidRPr="008E77FE">
              <w:rPr>
                <w:rStyle w:val="NoteLabel"/>
              </w:rPr>
              <w:t>a</w:t>
            </w:r>
            <w:r>
              <w:t xml:space="preserve"> </w:t>
            </w:r>
            <w:r w:rsidR="00783AB6">
              <w:t>P</w:t>
            </w:r>
            <w:r>
              <w:t>arameters in these groups indirectly impact utility by influencing the sensitivity of utility to labour supply and income for each individual; and by influencing the fixed cost associated with working</w:t>
            </w:r>
          </w:p>
        </w:tc>
      </w:tr>
      <w:tr w:rsidR="00D6323F" w:rsidTr="00084A13">
        <w:trPr>
          <w:cantSplit/>
        </w:trPr>
        <w:tc>
          <w:tcPr>
            <w:tcW w:w="8771" w:type="dxa"/>
            <w:tcBorders>
              <w:top w:val="nil"/>
              <w:left w:val="nil"/>
              <w:bottom w:val="nil"/>
              <w:right w:val="nil"/>
            </w:tcBorders>
            <w:shd w:val="clear" w:color="auto" w:fill="auto"/>
          </w:tcPr>
          <w:p w:rsidR="00D6323F" w:rsidRDefault="00D6323F" w:rsidP="00783AB6">
            <w:pPr>
              <w:pStyle w:val="Source"/>
            </w:pPr>
            <w:r>
              <w:rPr>
                <w:i/>
              </w:rPr>
              <w:t>Source</w:t>
            </w:r>
            <w:r w:rsidRPr="00167F06">
              <w:t xml:space="preserve">: </w:t>
            </w:r>
            <w:r>
              <w:t xml:space="preserve">Based on parameter estimates </w:t>
            </w:r>
            <w:r w:rsidR="00507E71">
              <w:t>used in modelling for the</w:t>
            </w:r>
            <w:r>
              <w:t xml:space="preserve"> Childcare and Early Childhood Learning </w:t>
            </w:r>
            <w:r w:rsidR="002F500D">
              <w:t>study</w:t>
            </w:r>
            <w:r w:rsidR="00507E71">
              <w:t xml:space="preserve"> </w:t>
            </w:r>
            <w:r w:rsidR="00507E71" w:rsidRPr="00084A13">
              <w:rPr>
                <w:rFonts w:cs="Arial"/>
                <w:szCs w:val="24"/>
              </w:rPr>
              <w:t>(PC 2014)</w:t>
            </w:r>
            <w:r>
              <w:t>.</w:t>
            </w:r>
          </w:p>
        </w:tc>
      </w:tr>
      <w:tr w:rsidR="00D6323F" w:rsidTr="00084A13">
        <w:trPr>
          <w:cantSplit/>
        </w:trPr>
        <w:tc>
          <w:tcPr>
            <w:tcW w:w="8771" w:type="dxa"/>
            <w:tcBorders>
              <w:top w:val="nil"/>
              <w:left w:val="nil"/>
              <w:bottom w:val="single" w:sz="6" w:space="0" w:color="78A22F"/>
              <w:right w:val="nil"/>
            </w:tcBorders>
            <w:shd w:val="clear" w:color="auto" w:fill="auto"/>
          </w:tcPr>
          <w:p w:rsidR="00D6323F" w:rsidRDefault="00D6323F" w:rsidP="00084A13">
            <w:pPr>
              <w:pStyle w:val="Box"/>
              <w:spacing w:before="0" w:line="120" w:lineRule="exact"/>
            </w:pPr>
          </w:p>
        </w:tc>
      </w:tr>
      <w:tr w:rsidR="00D6323F" w:rsidRPr="000863A5" w:rsidTr="00084A13">
        <w:tc>
          <w:tcPr>
            <w:tcW w:w="8771" w:type="dxa"/>
            <w:tcBorders>
              <w:top w:val="single" w:sz="6" w:space="0" w:color="78A22F"/>
              <w:left w:val="nil"/>
              <w:bottom w:val="nil"/>
              <w:right w:val="nil"/>
            </w:tcBorders>
          </w:tcPr>
          <w:p w:rsidR="00D6323F" w:rsidRPr="00626D32" w:rsidRDefault="00D6323F" w:rsidP="00084A13">
            <w:pPr>
              <w:pStyle w:val="BoxSpaceBelow"/>
            </w:pPr>
          </w:p>
        </w:tc>
      </w:tr>
    </w:tbl>
    <w:p w:rsidR="004419CF" w:rsidRDefault="004419CF">
      <w:pPr>
        <w:pStyle w:val="BodyText"/>
      </w:pPr>
    </w:p>
    <w:sectPr w:rsidR="004419CF" w:rsidSect="004F0160">
      <w:headerReference w:type="even" r:id="rId21"/>
      <w:headerReference w:type="default" r:id="rId22"/>
      <w:footerReference w:type="even" r:id="rId23"/>
      <w:footerReference w:type="default" r:id="rId24"/>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99" w:rsidRDefault="00E97299">
      <w:r>
        <w:separator/>
      </w:r>
    </w:p>
  </w:endnote>
  <w:endnote w:type="continuationSeparator" w:id="0">
    <w:p w:rsidR="00E97299" w:rsidRDefault="00E9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97299" w:rsidTr="005F48ED">
      <w:trPr>
        <w:trHeight w:hRule="exact" w:val="567"/>
      </w:trPr>
      <w:tc>
        <w:tcPr>
          <w:tcW w:w="510" w:type="dxa"/>
        </w:tcPr>
        <w:p w:rsidR="00E97299" w:rsidRPr="00A24443" w:rsidRDefault="00E9729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86D89">
            <w:rPr>
              <w:rStyle w:val="PageNumber"/>
              <w:caps w:val="0"/>
              <w:noProof/>
            </w:rPr>
            <w:t>20</w:t>
          </w:r>
          <w:r w:rsidRPr="00A24443">
            <w:rPr>
              <w:rStyle w:val="PageNumber"/>
              <w:caps w:val="0"/>
            </w:rPr>
            <w:fldChar w:fldCharType="end"/>
          </w:r>
        </w:p>
      </w:tc>
      <w:tc>
        <w:tcPr>
          <w:tcW w:w="7767" w:type="dxa"/>
        </w:tcPr>
        <w:p w:rsidR="00E97299" w:rsidRPr="0013739A" w:rsidRDefault="00E97299" w:rsidP="0013739A">
          <w:pPr>
            <w:pStyle w:val="Footer"/>
            <w:rPr>
              <w:rFonts w:cs="Arial"/>
            </w:rPr>
          </w:pPr>
          <w:r>
            <w:rPr>
              <w:rFonts w:cs="Arial"/>
            </w:rPr>
            <w:t>staff RESEARCH note</w:t>
          </w:r>
        </w:p>
      </w:tc>
      <w:tc>
        <w:tcPr>
          <w:tcW w:w="510" w:type="dxa"/>
        </w:tcPr>
        <w:p w:rsidR="00E97299" w:rsidRDefault="00E97299" w:rsidP="0019293B">
          <w:pPr>
            <w:pStyle w:val="Footer"/>
          </w:pPr>
        </w:p>
      </w:tc>
    </w:tr>
  </w:tbl>
  <w:p w:rsidR="00E97299" w:rsidRDefault="00E9729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97299" w:rsidTr="005F48ED">
      <w:trPr>
        <w:trHeight w:hRule="exact" w:val="567"/>
      </w:trPr>
      <w:tc>
        <w:tcPr>
          <w:tcW w:w="510" w:type="dxa"/>
        </w:tcPr>
        <w:p w:rsidR="00E97299" w:rsidRDefault="00E97299">
          <w:pPr>
            <w:pStyle w:val="Footer"/>
            <w:ind w:right="360" w:firstLine="360"/>
          </w:pPr>
        </w:p>
      </w:tc>
      <w:tc>
        <w:tcPr>
          <w:tcW w:w="7767" w:type="dxa"/>
        </w:tcPr>
        <w:p w:rsidR="00E97299" w:rsidRPr="00BA5B14" w:rsidRDefault="00E97299" w:rsidP="00AE710C">
          <w:pPr>
            <w:pStyle w:val="Footer"/>
            <w:jc w:val="right"/>
            <w:rPr>
              <w:rFonts w:cs="Arial"/>
            </w:rPr>
          </w:pPr>
          <w:r>
            <w:rPr>
              <w:rFonts w:cs="Arial"/>
            </w:rPr>
            <w:t xml:space="preserve">CAPITA-B : </w:t>
          </w:r>
          <w:r>
            <w:t>A Behavioural Microsimulation Model</w:t>
          </w:r>
        </w:p>
      </w:tc>
      <w:tc>
        <w:tcPr>
          <w:tcW w:w="510" w:type="dxa"/>
        </w:tcPr>
        <w:p w:rsidR="00E97299" w:rsidRPr="00A24443" w:rsidRDefault="00E9729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86D89">
            <w:rPr>
              <w:rStyle w:val="PageNumber"/>
              <w:caps w:val="0"/>
              <w:noProof/>
            </w:rPr>
            <w:t>21</w:t>
          </w:r>
          <w:r w:rsidRPr="00A24443">
            <w:rPr>
              <w:rStyle w:val="PageNumber"/>
              <w:caps w:val="0"/>
            </w:rPr>
            <w:fldChar w:fldCharType="end"/>
          </w:r>
        </w:p>
      </w:tc>
    </w:tr>
  </w:tbl>
  <w:p w:rsidR="00E97299" w:rsidRDefault="00E9729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99" w:rsidRDefault="00E97299">
      <w:r>
        <w:separator/>
      </w:r>
    </w:p>
  </w:footnote>
  <w:footnote w:type="continuationSeparator" w:id="0">
    <w:p w:rsidR="00E97299" w:rsidRDefault="00E97299">
      <w:r>
        <w:continuationSeparator/>
      </w:r>
    </w:p>
  </w:footnote>
  <w:footnote w:id="1">
    <w:p w:rsidR="00E97299" w:rsidRDefault="00E97299">
      <w:pPr>
        <w:pStyle w:val="FootnoteText"/>
      </w:pPr>
      <w:r w:rsidRPr="009A7EDA">
        <w:rPr>
          <w:rStyle w:val="FootnoteReference"/>
        </w:rPr>
        <w:footnoteRef/>
      </w:r>
      <w:r>
        <w:tab/>
        <w:t xml:space="preserve">For example, MITTS-B or STINMOD-B, see below. </w:t>
      </w:r>
    </w:p>
  </w:footnote>
  <w:footnote w:id="2">
    <w:p w:rsidR="00E97299" w:rsidRDefault="00E97299">
      <w:pPr>
        <w:pStyle w:val="FootnoteText"/>
      </w:pPr>
      <w:r w:rsidRPr="009A7EDA">
        <w:rPr>
          <w:rStyle w:val="FootnoteReference"/>
        </w:rPr>
        <w:footnoteRef/>
      </w:r>
      <w:r>
        <w:tab/>
        <w:t>Aspects of the model that could be considered application</w:t>
      </w:r>
      <w:r>
        <w:noBreakHyphen/>
        <w:t>specific — such as the utility function, utility and wage parameters; and database sample — have generic specifications. The specifications are simple, and should be updated when developing an application</w:t>
      </w:r>
      <w:r>
        <w:noBreakHyphen/>
        <w:t xml:space="preserve">specific model. Initial wage and utility parameters are informed by the Childcare and Early Childhood Learning report </w:t>
      </w:r>
      <w:r w:rsidRPr="00084A13">
        <w:rPr>
          <w:szCs w:val="24"/>
        </w:rPr>
        <w:t>(PC 2014)</w:t>
      </w:r>
      <w:r>
        <w:t>.</w:t>
      </w:r>
    </w:p>
  </w:footnote>
  <w:footnote w:id="3">
    <w:p w:rsidR="00E97299" w:rsidRDefault="00E97299">
      <w:pPr>
        <w:pStyle w:val="FootnoteText"/>
      </w:pPr>
      <w:r w:rsidRPr="009A7EDA">
        <w:rPr>
          <w:rStyle w:val="FootnoteReference"/>
        </w:rPr>
        <w:footnoteRef/>
      </w:r>
      <w:r>
        <w:tab/>
        <w:t xml:space="preserve">As a general principle, only factors that have been shown to have a significant impact on behaviour should be considered for inclusion, with the magnitude of the impact the determining factor. </w:t>
      </w:r>
    </w:p>
  </w:footnote>
  <w:footnote w:id="4">
    <w:p w:rsidR="00E97299" w:rsidRDefault="00E97299">
      <w:pPr>
        <w:pStyle w:val="FootnoteText"/>
      </w:pPr>
      <w:r w:rsidRPr="009A7EDA">
        <w:rPr>
          <w:rStyle w:val="FootnoteReference"/>
        </w:rPr>
        <w:footnoteRef/>
      </w:r>
      <w:r>
        <w:tab/>
        <w:t>A concordance would not be needed if STINMOD</w:t>
      </w:r>
      <w:r>
        <w:noBreakHyphen/>
        <w:t>B was modified to adopt CAPITA naming conventions. This would, however, incur development costs as STINMOD</w:t>
      </w:r>
      <w:r>
        <w:noBreakHyphen/>
        <w:t>B would need to be extensively modified. This once</w:t>
      </w:r>
      <w:r>
        <w:noBreakHyphen/>
        <w:t>off development cost would need to be weighed against the overall development and run time costs of using a concordance.</w:t>
      </w:r>
    </w:p>
  </w:footnote>
  <w:footnote w:id="5">
    <w:p w:rsidR="00E97299" w:rsidRDefault="00E97299">
      <w:pPr>
        <w:pStyle w:val="FootnoteText"/>
      </w:pPr>
      <w:r w:rsidRPr="009A7EDA">
        <w:rPr>
          <w:rStyle w:val="FootnoteReference"/>
        </w:rPr>
        <w:footnoteRef/>
      </w:r>
      <w:r>
        <w:tab/>
        <w:t xml:space="preserve">An income unit is a ‘group of two or more people who are usually resident in the same household and are related to each other through a couple relationship and/or parent/dependent child relationship; or a person not party to either such relationship’ </w:t>
      </w:r>
      <w:r w:rsidRPr="00EC65B7">
        <w:rPr>
          <w:szCs w:val="24"/>
        </w:rPr>
        <w:t>(ABS 2014)</w:t>
      </w:r>
      <w:r>
        <w:t>. In other words an income unit can be thought of as a family.</w:t>
      </w:r>
    </w:p>
  </w:footnote>
  <w:footnote w:id="6">
    <w:p w:rsidR="00E97299" w:rsidRDefault="00E97299">
      <w:pPr>
        <w:pStyle w:val="FootnoteText"/>
      </w:pPr>
      <w:r w:rsidRPr="009A7EDA">
        <w:rPr>
          <w:rStyle w:val="FootnoteReference"/>
        </w:rPr>
        <w:footnoteRef/>
      </w:r>
      <w:r>
        <w:tab/>
      </w:r>
      <w:proofErr w:type="spellStart"/>
      <w:r w:rsidRPr="00A95F42">
        <w:rPr>
          <w:szCs w:val="24"/>
        </w:rPr>
        <w:t>MathWorks</w:t>
      </w:r>
      <w:proofErr w:type="spellEnd"/>
      <w:r w:rsidRPr="00A95F42">
        <w:rPr>
          <w:szCs w:val="24"/>
        </w:rPr>
        <w:t xml:space="preserve"> Australia </w:t>
      </w:r>
      <w:r>
        <w:rPr>
          <w:szCs w:val="24"/>
        </w:rPr>
        <w:t>(</w:t>
      </w:r>
      <w:r w:rsidRPr="00A95F42">
        <w:rPr>
          <w:szCs w:val="24"/>
        </w:rPr>
        <w:t>2016)</w:t>
      </w:r>
      <w:r>
        <w:t xml:space="preserve"> provide a discussion of the Extreme Value (type one) distribution. </w:t>
      </w:r>
    </w:p>
  </w:footnote>
  <w:footnote w:id="7">
    <w:p w:rsidR="00E97299" w:rsidRDefault="00E97299" w:rsidP="00441967">
      <w:pPr>
        <w:pStyle w:val="FootnoteText"/>
      </w:pPr>
      <w:r w:rsidRPr="009A7EDA">
        <w:rPr>
          <w:rStyle w:val="FootnoteReference"/>
        </w:rPr>
        <w:footnoteRef/>
      </w:r>
      <w:r>
        <w:t xml:space="preserve"> </w:t>
      </w:r>
      <w:r>
        <w:tab/>
        <w:t xml:space="preserve">In this implementation, parameters for the wage imputation are from previous modelling that the Commission undertook for the Childcare and Early Childhood Learning study </w:t>
      </w:r>
      <w:r w:rsidRPr="001D1E5E">
        <w:rPr>
          <w:szCs w:val="24"/>
        </w:rPr>
        <w:t>(PC 2014)</w:t>
      </w:r>
      <w:r>
        <w:t>. A wage regression should be estimated if CAPITA-B is to be used to answer specific policy questions.</w:t>
      </w:r>
    </w:p>
  </w:footnote>
  <w:footnote w:id="8">
    <w:p w:rsidR="00E97299" w:rsidRDefault="00E97299" w:rsidP="00441967">
      <w:pPr>
        <w:pStyle w:val="FootnoteText"/>
      </w:pPr>
      <w:r w:rsidRPr="009A7EDA">
        <w:rPr>
          <w:rStyle w:val="FootnoteReference"/>
        </w:rPr>
        <w:footnoteRef/>
      </w:r>
      <w:r>
        <w:tab/>
        <w:t>Wage regressions link observed wages with reported demographic and economic characteristics. Sample selection bias occurs when those who report observed wages (and are included in the regression) differ in characteristics from those who do not report wages (and are not included in the regression) and these characteristics determine wages.</w:t>
      </w:r>
    </w:p>
  </w:footnote>
  <w:footnote w:id="9">
    <w:p w:rsidR="00E97299" w:rsidRDefault="00E97299">
      <w:pPr>
        <w:pStyle w:val="FootnoteText"/>
      </w:pPr>
      <w:r w:rsidRPr="009A7EDA">
        <w:rPr>
          <w:rStyle w:val="FootnoteReference"/>
        </w:rPr>
        <w:footnoteRef/>
      </w:r>
      <w:r>
        <w:tab/>
        <w:t>Parameters relating to quadratic terms (</w:t>
      </w:r>
      <m:oMath>
        <m:sSub>
          <m:sSubPr>
            <m:ctrlPr>
              <w:rPr>
                <w:rFonts w:ascii="Cambria Math" w:hAnsi="Cambria Math"/>
                <w:i/>
              </w:rPr>
            </m:ctrlPr>
          </m:sSubPr>
          <m:e>
            <m:r>
              <w:rPr>
                <w:rFonts w:ascii="Cambria Math" w:hAnsi="Cambria Math"/>
              </w:rPr>
              <m:t>∝</m:t>
            </m:r>
          </m:e>
          <m:sub>
            <m:r>
              <w:rPr>
                <w:rFonts w:ascii="Cambria Math" w:hAnsi="Cambria Math"/>
              </w:rPr>
              <m:t>y</m:t>
            </m:r>
          </m:sub>
        </m:sSub>
      </m:oMath>
      <w:r>
        <w:t>,</w:t>
      </w:r>
      <m:oMath>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y,h</m:t>
            </m:r>
          </m:sub>
        </m:sSub>
      </m:oMath>
      <w:r>
        <w:t xml:space="preserve"> and </w:t>
      </w:r>
      <m:oMath>
        <m:sSub>
          <m:sSubPr>
            <m:ctrlPr>
              <w:rPr>
                <w:rFonts w:ascii="Cambria Math" w:hAnsi="Cambria Math"/>
                <w:i/>
              </w:rPr>
            </m:ctrlPr>
          </m:sSubPr>
          <m:e>
            <m:r>
              <w:rPr>
                <w:rFonts w:ascii="Cambria Math" w:hAnsi="Cambria Math"/>
              </w:rPr>
              <m:t>∝</m:t>
            </m:r>
          </m:e>
          <m:sub>
            <m:r>
              <w:rPr>
                <w:rFonts w:ascii="Cambria Math" w:hAnsi="Cambria Math"/>
              </w:rPr>
              <m:t>h</m:t>
            </m:r>
          </m:sub>
        </m:sSub>
      </m:oMath>
      <w:r>
        <w:t xml:space="preserve">) do not vary with demographic characteristics. This utility specification is inherited from modelling for the Commission’s Childcare and Early Childhood Learning report </w:t>
      </w:r>
      <w:r w:rsidRPr="009B4038">
        <w:rPr>
          <w:szCs w:val="24"/>
        </w:rPr>
        <w:t>(PC 2014)</w:t>
      </w:r>
      <w:r>
        <w:t>. Further application-specific models developed from this platform could include quadratic terms that vary with demographic characteristics of different decision makers.</w:t>
      </w:r>
    </w:p>
  </w:footnote>
  <w:footnote w:id="10">
    <w:p w:rsidR="00E97299" w:rsidRDefault="00E97299" w:rsidP="00A3498A">
      <w:pPr>
        <w:pStyle w:val="FootnoteText"/>
      </w:pPr>
      <w:r>
        <w:rPr>
          <w:rStyle w:val="FootnoteReference"/>
        </w:rPr>
        <w:footnoteRef/>
      </w:r>
      <w:r>
        <w:tab/>
        <w:t xml:space="preserve">The Commission is aware of technical issues that make electronic versions of this paper difficult to read. A more legible version is available from the Commission website. </w:t>
      </w:r>
    </w:p>
  </w:footnote>
  <w:footnote w:id="11">
    <w:p w:rsidR="00E97299" w:rsidRPr="00D35302" w:rsidRDefault="00E97299">
      <w:pPr>
        <w:pStyle w:val="FootnoteText"/>
      </w:pPr>
      <w:r w:rsidRPr="009A7EDA">
        <w:rPr>
          <w:rStyle w:val="FootnoteReference"/>
        </w:rPr>
        <w:footnoteRef/>
      </w:r>
      <w:r>
        <w:tab/>
        <w:t>Like CAPITA</w:t>
      </w:r>
      <w:r>
        <w:noBreakHyphen/>
        <w:t>B, MITTS</w:t>
      </w:r>
      <w:r>
        <w:noBreakHyphen/>
        <w:t xml:space="preserve">B calculates a decision maker’s labour supply after a policy change as the average labour supply choice for all sets of random utility </w:t>
      </w:r>
      <w:r w:rsidRPr="000C2FE3">
        <w:rPr>
          <w:szCs w:val="24"/>
        </w:rPr>
        <w:t>(</w:t>
      </w:r>
      <w:proofErr w:type="spellStart"/>
      <w:r w:rsidRPr="000C2FE3">
        <w:rPr>
          <w:szCs w:val="24"/>
        </w:rPr>
        <w:t>Creedy</w:t>
      </w:r>
      <w:proofErr w:type="spellEnd"/>
      <w:r w:rsidRPr="000C2FE3">
        <w:rPr>
          <w:szCs w:val="24"/>
        </w:rPr>
        <w:t xml:space="preserve"> et al. 2004)</w:t>
      </w:r>
      <w:r>
        <w:t>. In contrast, STINMOD</w:t>
      </w:r>
      <w:r>
        <w:noBreakHyphen/>
        <w:t xml:space="preserve">B reports the results associated with each set of random utility terms but with adjusted population weights (effectively assuming each set of random utility terms belongs to different decision maker). </w:t>
      </w:r>
    </w:p>
  </w:footnote>
  <w:footnote w:id="12">
    <w:p w:rsidR="00E97299" w:rsidRDefault="00E97299" w:rsidP="00C81292">
      <w:pPr>
        <w:pStyle w:val="FootnoteText"/>
      </w:pPr>
      <w:r w:rsidRPr="009A7EDA">
        <w:rPr>
          <w:rStyle w:val="FootnoteReference"/>
        </w:rPr>
        <w:footnoteRef/>
      </w:r>
      <w:r>
        <w:tab/>
        <w:t xml:space="preserve">Utility parameters used in this exercise are presented in table 5, and are based on estimates used in modelling for the Commission’s Childcare and Early Childhood Learning Report </w:t>
      </w:r>
      <w:r w:rsidRPr="00084A13">
        <w:rPr>
          <w:szCs w:val="24"/>
        </w:rPr>
        <w:t>(PC 2014)</w:t>
      </w:r>
      <w:r>
        <w:t xml:space="preserve">. </w:t>
      </w:r>
    </w:p>
  </w:footnote>
  <w:footnote w:id="13">
    <w:p w:rsidR="00E97299" w:rsidRDefault="00E97299" w:rsidP="00871392">
      <w:pPr>
        <w:pStyle w:val="FootnoteText"/>
      </w:pPr>
      <w:r w:rsidRPr="009A7EDA">
        <w:rPr>
          <w:rStyle w:val="FootnoteReference"/>
        </w:rPr>
        <w:footnoteRef/>
      </w:r>
      <w:r>
        <w:tab/>
        <w:t>While no weight should be placed on this aggregate result, the model produces a negative relationship between increases in marginal tax rates and labour supply, as might be expected.</w:t>
      </w:r>
    </w:p>
  </w:footnote>
  <w:footnote w:id="14">
    <w:p w:rsidR="00E97299" w:rsidRDefault="00E97299">
      <w:pPr>
        <w:pStyle w:val="FootnoteText"/>
      </w:pPr>
      <w:r w:rsidRPr="009A7EDA">
        <w:rPr>
          <w:rStyle w:val="FootnoteReference"/>
        </w:rPr>
        <w:footnoteRef/>
      </w:r>
      <w:r>
        <w:tab/>
        <w:t>The current utility function is not designed to model the decisions of individuals who have significant sources of nonwage income. This is currently addressed by setting these sources of nonwage income to zero. This is unlikely to be a satisfactory approach when conducting policy analysis.</w:t>
      </w:r>
    </w:p>
  </w:footnote>
  <w:footnote w:id="15">
    <w:p w:rsidR="00E97299" w:rsidRDefault="00E97299" w:rsidP="001725FC">
      <w:pPr>
        <w:pStyle w:val="FootnoteText"/>
      </w:pPr>
      <w:r w:rsidRPr="009A7EDA">
        <w:rPr>
          <w:rStyle w:val="FootnoteReference"/>
        </w:rPr>
        <w:footnoteRef/>
      </w:r>
      <w:r>
        <w:tab/>
        <w:t>CAPITA includes childcare payments in a cameo mode, but not in the distributional mode that forms the basis for CAPITA</w:t>
      </w:r>
      <w:r>
        <w:noBreakHyphen/>
        <w:t xml:space="preserve">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97299">
      <w:tc>
        <w:tcPr>
          <w:tcW w:w="2155" w:type="dxa"/>
          <w:tcBorders>
            <w:top w:val="single" w:sz="24" w:space="0" w:color="auto"/>
          </w:tcBorders>
        </w:tcPr>
        <w:p w:rsidR="00E97299" w:rsidRDefault="00E97299" w:rsidP="0019293B">
          <w:pPr>
            <w:pStyle w:val="HeaderEven"/>
          </w:pPr>
        </w:p>
      </w:tc>
      <w:tc>
        <w:tcPr>
          <w:tcW w:w="6634" w:type="dxa"/>
          <w:tcBorders>
            <w:top w:val="single" w:sz="6" w:space="0" w:color="auto"/>
          </w:tcBorders>
        </w:tcPr>
        <w:p w:rsidR="00E97299" w:rsidRDefault="00E97299" w:rsidP="0019293B">
          <w:pPr>
            <w:pStyle w:val="HeaderEven"/>
          </w:pPr>
        </w:p>
      </w:tc>
    </w:tr>
  </w:tbl>
  <w:p w:rsidR="00E97299" w:rsidRDefault="00E9729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97299">
      <w:tc>
        <w:tcPr>
          <w:tcW w:w="6634" w:type="dxa"/>
          <w:tcBorders>
            <w:top w:val="single" w:sz="6" w:space="0" w:color="auto"/>
          </w:tcBorders>
        </w:tcPr>
        <w:p w:rsidR="00E97299" w:rsidRDefault="00E97299" w:rsidP="00E669E2">
          <w:pPr>
            <w:pStyle w:val="HeaderOdd"/>
          </w:pPr>
        </w:p>
      </w:tc>
      <w:tc>
        <w:tcPr>
          <w:tcW w:w="2155" w:type="dxa"/>
          <w:tcBorders>
            <w:top w:val="single" w:sz="24" w:space="0" w:color="auto"/>
          </w:tcBorders>
        </w:tcPr>
        <w:p w:rsidR="00E97299" w:rsidRDefault="00E97299" w:rsidP="00E669E2">
          <w:pPr>
            <w:pStyle w:val="HeaderOdd"/>
          </w:pPr>
        </w:p>
      </w:tc>
    </w:tr>
  </w:tbl>
  <w:p w:rsidR="00E97299" w:rsidRDefault="00E9729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23A4584"/>
    <w:multiLevelType w:val="hybridMultilevel"/>
    <w:tmpl w:val="323CA4B8"/>
    <w:lvl w:ilvl="0" w:tplc="78A6E790">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4B341FC"/>
    <w:multiLevelType w:val="hybridMultilevel"/>
    <w:tmpl w:val="D2FA5086"/>
    <w:lvl w:ilvl="0" w:tplc="F348AD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91F6D05"/>
    <w:multiLevelType w:val="hybridMultilevel"/>
    <w:tmpl w:val="80886130"/>
    <w:lvl w:ilvl="0" w:tplc="840643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65F68A5"/>
    <w:multiLevelType w:val="hybridMultilevel"/>
    <w:tmpl w:val="9E747686"/>
    <w:lvl w:ilvl="0" w:tplc="6A0243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7"/>
  </w:num>
  <w:num w:numId="4">
    <w:abstractNumId w:val="4"/>
  </w:num>
  <w:num w:numId="5">
    <w:abstractNumId w:val="22"/>
  </w:num>
  <w:num w:numId="6">
    <w:abstractNumId w:val="19"/>
  </w:num>
  <w:num w:numId="7">
    <w:abstractNumId w:val="8"/>
  </w:num>
  <w:num w:numId="8">
    <w:abstractNumId w:val="18"/>
  </w:num>
  <w:num w:numId="9">
    <w:abstractNumId w:val="7"/>
  </w:num>
  <w:num w:numId="10">
    <w:abstractNumId w:val="6"/>
  </w:num>
  <w:num w:numId="11">
    <w:abstractNumId w:val="11"/>
  </w:num>
  <w:num w:numId="12">
    <w:abstractNumId w:val="12"/>
  </w:num>
  <w:num w:numId="13">
    <w:abstractNumId w:val="5"/>
  </w:num>
  <w:num w:numId="14">
    <w:abstractNumId w:val="20"/>
  </w:num>
  <w:num w:numId="15">
    <w:abstractNumId w:val="24"/>
  </w:num>
  <w:num w:numId="16">
    <w:abstractNumId w:val="16"/>
  </w:num>
  <w:num w:numId="17">
    <w:abstractNumId w:val="25"/>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4"/>
  </w:num>
  <w:num w:numId="33">
    <w:abstractNumId w:val="15"/>
  </w:num>
  <w:num w:numId="34">
    <w:abstractNumId w:val="1"/>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APITA-B"/>
    <w:docVar w:name="ShortReportTitle" w:val="CAPITA-B documentation"/>
  </w:docVars>
  <w:rsids>
    <w:rsidRoot w:val="00F64799"/>
    <w:rsid w:val="000001B7"/>
    <w:rsid w:val="00001364"/>
    <w:rsid w:val="000018CB"/>
    <w:rsid w:val="000021D3"/>
    <w:rsid w:val="00002926"/>
    <w:rsid w:val="000029CE"/>
    <w:rsid w:val="00002E2A"/>
    <w:rsid w:val="00004F9C"/>
    <w:rsid w:val="0000736B"/>
    <w:rsid w:val="000074FE"/>
    <w:rsid w:val="00007BD7"/>
    <w:rsid w:val="00007F8B"/>
    <w:rsid w:val="000109B0"/>
    <w:rsid w:val="00011234"/>
    <w:rsid w:val="000117FD"/>
    <w:rsid w:val="0001205A"/>
    <w:rsid w:val="000121C6"/>
    <w:rsid w:val="00013A50"/>
    <w:rsid w:val="0001591A"/>
    <w:rsid w:val="000163D4"/>
    <w:rsid w:val="00016EDE"/>
    <w:rsid w:val="00020B48"/>
    <w:rsid w:val="00021F9D"/>
    <w:rsid w:val="000227D5"/>
    <w:rsid w:val="00023721"/>
    <w:rsid w:val="000245AA"/>
    <w:rsid w:val="000268A6"/>
    <w:rsid w:val="00027A37"/>
    <w:rsid w:val="00027CE4"/>
    <w:rsid w:val="00031024"/>
    <w:rsid w:val="000319E7"/>
    <w:rsid w:val="0003278A"/>
    <w:rsid w:val="0003345A"/>
    <w:rsid w:val="00034B5F"/>
    <w:rsid w:val="0003550C"/>
    <w:rsid w:val="00035AA7"/>
    <w:rsid w:val="00035B09"/>
    <w:rsid w:val="0003633B"/>
    <w:rsid w:val="0003664B"/>
    <w:rsid w:val="00036794"/>
    <w:rsid w:val="00037D8F"/>
    <w:rsid w:val="00037E2A"/>
    <w:rsid w:val="0004111F"/>
    <w:rsid w:val="000411C5"/>
    <w:rsid w:val="000415BD"/>
    <w:rsid w:val="0004242B"/>
    <w:rsid w:val="00042BE1"/>
    <w:rsid w:val="00043766"/>
    <w:rsid w:val="00043AD1"/>
    <w:rsid w:val="00044004"/>
    <w:rsid w:val="00044725"/>
    <w:rsid w:val="00044C73"/>
    <w:rsid w:val="00046B38"/>
    <w:rsid w:val="000470AE"/>
    <w:rsid w:val="00047106"/>
    <w:rsid w:val="000506AE"/>
    <w:rsid w:val="00050915"/>
    <w:rsid w:val="00050CAF"/>
    <w:rsid w:val="00053014"/>
    <w:rsid w:val="00053638"/>
    <w:rsid w:val="000538B6"/>
    <w:rsid w:val="0005470E"/>
    <w:rsid w:val="00055077"/>
    <w:rsid w:val="000565B3"/>
    <w:rsid w:val="00056A75"/>
    <w:rsid w:val="000622F7"/>
    <w:rsid w:val="0006234E"/>
    <w:rsid w:val="000629EB"/>
    <w:rsid w:val="00062B95"/>
    <w:rsid w:val="00063090"/>
    <w:rsid w:val="0006394B"/>
    <w:rsid w:val="00063D79"/>
    <w:rsid w:val="00064531"/>
    <w:rsid w:val="00065A58"/>
    <w:rsid w:val="000668D5"/>
    <w:rsid w:val="0006788F"/>
    <w:rsid w:val="0007150B"/>
    <w:rsid w:val="00073176"/>
    <w:rsid w:val="00074017"/>
    <w:rsid w:val="000742C9"/>
    <w:rsid w:val="00074409"/>
    <w:rsid w:val="00074BD9"/>
    <w:rsid w:val="00076011"/>
    <w:rsid w:val="000760E1"/>
    <w:rsid w:val="00076356"/>
    <w:rsid w:val="000767BF"/>
    <w:rsid w:val="00076DB5"/>
    <w:rsid w:val="00076E56"/>
    <w:rsid w:val="00077FDA"/>
    <w:rsid w:val="00081AC5"/>
    <w:rsid w:val="000825EE"/>
    <w:rsid w:val="00082AA9"/>
    <w:rsid w:val="0008311C"/>
    <w:rsid w:val="000833AA"/>
    <w:rsid w:val="00083C64"/>
    <w:rsid w:val="00084A13"/>
    <w:rsid w:val="00086E05"/>
    <w:rsid w:val="00090EC1"/>
    <w:rsid w:val="00091572"/>
    <w:rsid w:val="000918B0"/>
    <w:rsid w:val="00093152"/>
    <w:rsid w:val="000938F5"/>
    <w:rsid w:val="00093D5C"/>
    <w:rsid w:val="00094BC0"/>
    <w:rsid w:val="0009541B"/>
    <w:rsid w:val="00095663"/>
    <w:rsid w:val="00095808"/>
    <w:rsid w:val="0009589A"/>
    <w:rsid w:val="00096819"/>
    <w:rsid w:val="00096E55"/>
    <w:rsid w:val="0009714B"/>
    <w:rsid w:val="0009783E"/>
    <w:rsid w:val="000A05E8"/>
    <w:rsid w:val="000A0C51"/>
    <w:rsid w:val="000A16EB"/>
    <w:rsid w:val="000A24C5"/>
    <w:rsid w:val="000A334B"/>
    <w:rsid w:val="000A4DE3"/>
    <w:rsid w:val="000A4E55"/>
    <w:rsid w:val="000A528C"/>
    <w:rsid w:val="000A6D40"/>
    <w:rsid w:val="000B03EA"/>
    <w:rsid w:val="000B1022"/>
    <w:rsid w:val="000B10E0"/>
    <w:rsid w:val="000B1EB5"/>
    <w:rsid w:val="000B1EBC"/>
    <w:rsid w:val="000B2938"/>
    <w:rsid w:val="000B2D0E"/>
    <w:rsid w:val="000B36A4"/>
    <w:rsid w:val="000B3EBC"/>
    <w:rsid w:val="000B3F4C"/>
    <w:rsid w:val="000B416A"/>
    <w:rsid w:val="000B53F4"/>
    <w:rsid w:val="000B547A"/>
    <w:rsid w:val="000B5B7F"/>
    <w:rsid w:val="000B601B"/>
    <w:rsid w:val="000B640A"/>
    <w:rsid w:val="000B68B7"/>
    <w:rsid w:val="000B753C"/>
    <w:rsid w:val="000B7CEC"/>
    <w:rsid w:val="000C0246"/>
    <w:rsid w:val="000C207E"/>
    <w:rsid w:val="000C20B3"/>
    <w:rsid w:val="000C2FE3"/>
    <w:rsid w:val="000C3D66"/>
    <w:rsid w:val="000C48A5"/>
    <w:rsid w:val="000C5A9B"/>
    <w:rsid w:val="000C5FC3"/>
    <w:rsid w:val="000C61DC"/>
    <w:rsid w:val="000C7273"/>
    <w:rsid w:val="000C7605"/>
    <w:rsid w:val="000D1120"/>
    <w:rsid w:val="000D13A5"/>
    <w:rsid w:val="000D17A1"/>
    <w:rsid w:val="000D180C"/>
    <w:rsid w:val="000D20FD"/>
    <w:rsid w:val="000D2893"/>
    <w:rsid w:val="000D2D5F"/>
    <w:rsid w:val="000D33B0"/>
    <w:rsid w:val="000D41E9"/>
    <w:rsid w:val="000D48F0"/>
    <w:rsid w:val="000D4D20"/>
    <w:rsid w:val="000D550D"/>
    <w:rsid w:val="000D5768"/>
    <w:rsid w:val="000D73E5"/>
    <w:rsid w:val="000D7548"/>
    <w:rsid w:val="000D7917"/>
    <w:rsid w:val="000E0A07"/>
    <w:rsid w:val="000E146C"/>
    <w:rsid w:val="000E1935"/>
    <w:rsid w:val="000E1CA6"/>
    <w:rsid w:val="000E2D6F"/>
    <w:rsid w:val="000E3D42"/>
    <w:rsid w:val="000E499F"/>
    <w:rsid w:val="000E4D00"/>
    <w:rsid w:val="000E4F40"/>
    <w:rsid w:val="000E6348"/>
    <w:rsid w:val="000E72D1"/>
    <w:rsid w:val="000F0035"/>
    <w:rsid w:val="000F04E7"/>
    <w:rsid w:val="000F060A"/>
    <w:rsid w:val="000F0E57"/>
    <w:rsid w:val="000F2CEF"/>
    <w:rsid w:val="000F3341"/>
    <w:rsid w:val="000F3750"/>
    <w:rsid w:val="000F420B"/>
    <w:rsid w:val="000F492E"/>
    <w:rsid w:val="000F52C9"/>
    <w:rsid w:val="000F5E64"/>
    <w:rsid w:val="000F6125"/>
    <w:rsid w:val="000F75D6"/>
    <w:rsid w:val="000F7A5A"/>
    <w:rsid w:val="000F7A72"/>
    <w:rsid w:val="0010111D"/>
    <w:rsid w:val="00101AD1"/>
    <w:rsid w:val="00102A47"/>
    <w:rsid w:val="00102A57"/>
    <w:rsid w:val="00102AAB"/>
    <w:rsid w:val="00102F5E"/>
    <w:rsid w:val="0010417D"/>
    <w:rsid w:val="0010419D"/>
    <w:rsid w:val="00104B18"/>
    <w:rsid w:val="00104DC0"/>
    <w:rsid w:val="001054F1"/>
    <w:rsid w:val="00105F41"/>
    <w:rsid w:val="00106F0D"/>
    <w:rsid w:val="00110116"/>
    <w:rsid w:val="0011020E"/>
    <w:rsid w:val="00110C45"/>
    <w:rsid w:val="00112274"/>
    <w:rsid w:val="00114BAE"/>
    <w:rsid w:val="00117522"/>
    <w:rsid w:val="00117BB2"/>
    <w:rsid w:val="00120072"/>
    <w:rsid w:val="00120F4A"/>
    <w:rsid w:val="001210B4"/>
    <w:rsid w:val="001210DB"/>
    <w:rsid w:val="001213C0"/>
    <w:rsid w:val="0012147B"/>
    <w:rsid w:val="001238F3"/>
    <w:rsid w:val="00123E7E"/>
    <w:rsid w:val="00123F93"/>
    <w:rsid w:val="001241C3"/>
    <w:rsid w:val="001256F2"/>
    <w:rsid w:val="00126EB8"/>
    <w:rsid w:val="001274D4"/>
    <w:rsid w:val="00127CDB"/>
    <w:rsid w:val="00130FFA"/>
    <w:rsid w:val="00132D53"/>
    <w:rsid w:val="001345E9"/>
    <w:rsid w:val="00134D2B"/>
    <w:rsid w:val="0013551F"/>
    <w:rsid w:val="00135F12"/>
    <w:rsid w:val="00135FAE"/>
    <w:rsid w:val="001362A5"/>
    <w:rsid w:val="001363AA"/>
    <w:rsid w:val="00136425"/>
    <w:rsid w:val="00136CB4"/>
    <w:rsid w:val="0013739A"/>
    <w:rsid w:val="0014035C"/>
    <w:rsid w:val="0014045F"/>
    <w:rsid w:val="00140968"/>
    <w:rsid w:val="001409DA"/>
    <w:rsid w:val="00140A3B"/>
    <w:rsid w:val="00140D47"/>
    <w:rsid w:val="00140ECC"/>
    <w:rsid w:val="001411A7"/>
    <w:rsid w:val="00142165"/>
    <w:rsid w:val="001430ED"/>
    <w:rsid w:val="00143F46"/>
    <w:rsid w:val="001441C6"/>
    <w:rsid w:val="001450D7"/>
    <w:rsid w:val="00146D09"/>
    <w:rsid w:val="001472BC"/>
    <w:rsid w:val="00147894"/>
    <w:rsid w:val="00147C2B"/>
    <w:rsid w:val="0015017A"/>
    <w:rsid w:val="00150ED3"/>
    <w:rsid w:val="001515D3"/>
    <w:rsid w:val="0015223B"/>
    <w:rsid w:val="0015283F"/>
    <w:rsid w:val="00153A5B"/>
    <w:rsid w:val="00153AF5"/>
    <w:rsid w:val="0015402C"/>
    <w:rsid w:val="00154050"/>
    <w:rsid w:val="001542C5"/>
    <w:rsid w:val="001545D3"/>
    <w:rsid w:val="001556B9"/>
    <w:rsid w:val="0015577E"/>
    <w:rsid w:val="00155983"/>
    <w:rsid w:val="00156056"/>
    <w:rsid w:val="001568CB"/>
    <w:rsid w:val="00156CD6"/>
    <w:rsid w:val="0015765D"/>
    <w:rsid w:val="00157C60"/>
    <w:rsid w:val="001602B1"/>
    <w:rsid w:val="00160A42"/>
    <w:rsid w:val="00160F09"/>
    <w:rsid w:val="00161781"/>
    <w:rsid w:val="00161D5A"/>
    <w:rsid w:val="00161DAC"/>
    <w:rsid w:val="00162369"/>
    <w:rsid w:val="00162434"/>
    <w:rsid w:val="001628D6"/>
    <w:rsid w:val="00162B48"/>
    <w:rsid w:val="00163299"/>
    <w:rsid w:val="00164482"/>
    <w:rsid w:val="00165384"/>
    <w:rsid w:val="00166880"/>
    <w:rsid w:val="001677AD"/>
    <w:rsid w:val="00170B81"/>
    <w:rsid w:val="00170D89"/>
    <w:rsid w:val="00171234"/>
    <w:rsid w:val="001725FC"/>
    <w:rsid w:val="0017321E"/>
    <w:rsid w:val="00174A85"/>
    <w:rsid w:val="00176531"/>
    <w:rsid w:val="0018025A"/>
    <w:rsid w:val="001809D4"/>
    <w:rsid w:val="0018110E"/>
    <w:rsid w:val="001813BE"/>
    <w:rsid w:val="00181883"/>
    <w:rsid w:val="00182166"/>
    <w:rsid w:val="00182428"/>
    <w:rsid w:val="00183237"/>
    <w:rsid w:val="00183C2E"/>
    <w:rsid w:val="00183E82"/>
    <w:rsid w:val="001846BE"/>
    <w:rsid w:val="00184BF0"/>
    <w:rsid w:val="0018596C"/>
    <w:rsid w:val="001863E6"/>
    <w:rsid w:val="00186954"/>
    <w:rsid w:val="0018761B"/>
    <w:rsid w:val="001878BB"/>
    <w:rsid w:val="00191AE0"/>
    <w:rsid w:val="00191DBD"/>
    <w:rsid w:val="00192257"/>
    <w:rsid w:val="0019293B"/>
    <w:rsid w:val="00192E6A"/>
    <w:rsid w:val="0019426B"/>
    <w:rsid w:val="00195602"/>
    <w:rsid w:val="00196662"/>
    <w:rsid w:val="00196EE8"/>
    <w:rsid w:val="0019727D"/>
    <w:rsid w:val="00197341"/>
    <w:rsid w:val="001A0188"/>
    <w:rsid w:val="001A0FBE"/>
    <w:rsid w:val="001A13B1"/>
    <w:rsid w:val="001A2BE3"/>
    <w:rsid w:val="001A46B0"/>
    <w:rsid w:val="001A4CEB"/>
    <w:rsid w:val="001A4FBF"/>
    <w:rsid w:val="001A4FDC"/>
    <w:rsid w:val="001A55BB"/>
    <w:rsid w:val="001A5B21"/>
    <w:rsid w:val="001A5F2C"/>
    <w:rsid w:val="001A647E"/>
    <w:rsid w:val="001A653A"/>
    <w:rsid w:val="001A697C"/>
    <w:rsid w:val="001A6A4B"/>
    <w:rsid w:val="001A7061"/>
    <w:rsid w:val="001B0765"/>
    <w:rsid w:val="001B10C3"/>
    <w:rsid w:val="001B16D3"/>
    <w:rsid w:val="001B1907"/>
    <w:rsid w:val="001B1D00"/>
    <w:rsid w:val="001B4E6C"/>
    <w:rsid w:val="001B5087"/>
    <w:rsid w:val="001B556F"/>
    <w:rsid w:val="001B6F48"/>
    <w:rsid w:val="001B7DE1"/>
    <w:rsid w:val="001B7FD8"/>
    <w:rsid w:val="001C0007"/>
    <w:rsid w:val="001C0865"/>
    <w:rsid w:val="001C0AED"/>
    <w:rsid w:val="001C147B"/>
    <w:rsid w:val="001C1A06"/>
    <w:rsid w:val="001C2508"/>
    <w:rsid w:val="001C2D13"/>
    <w:rsid w:val="001C3ABA"/>
    <w:rsid w:val="001C41C4"/>
    <w:rsid w:val="001C45EA"/>
    <w:rsid w:val="001C4A73"/>
    <w:rsid w:val="001C4C47"/>
    <w:rsid w:val="001C5111"/>
    <w:rsid w:val="001C6592"/>
    <w:rsid w:val="001C71C3"/>
    <w:rsid w:val="001C7420"/>
    <w:rsid w:val="001C7BA3"/>
    <w:rsid w:val="001C7D5B"/>
    <w:rsid w:val="001D0458"/>
    <w:rsid w:val="001D04A3"/>
    <w:rsid w:val="001D0DF5"/>
    <w:rsid w:val="001D1E5E"/>
    <w:rsid w:val="001D2AA6"/>
    <w:rsid w:val="001D2D66"/>
    <w:rsid w:val="001D4B36"/>
    <w:rsid w:val="001D61F0"/>
    <w:rsid w:val="001D7BED"/>
    <w:rsid w:val="001E09A5"/>
    <w:rsid w:val="001E2EB9"/>
    <w:rsid w:val="001E321D"/>
    <w:rsid w:val="001E5F15"/>
    <w:rsid w:val="001E7BE8"/>
    <w:rsid w:val="001F0248"/>
    <w:rsid w:val="001F0B75"/>
    <w:rsid w:val="001F0F9B"/>
    <w:rsid w:val="001F20A9"/>
    <w:rsid w:val="001F2270"/>
    <w:rsid w:val="001F369D"/>
    <w:rsid w:val="001F3E52"/>
    <w:rsid w:val="001F3EB3"/>
    <w:rsid w:val="001F4274"/>
    <w:rsid w:val="001F4D89"/>
    <w:rsid w:val="001F4F86"/>
    <w:rsid w:val="001F7A18"/>
    <w:rsid w:val="002020F1"/>
    <w:rsid w:val="00202C2C"/>
    <w:rsid w:val="00203050"/>
    <w:rsid w:val="00203677"/>
    <w:rsid w:val="00203ADA"/>
    <w:rsid w:val="00203FDA"/>
    <w:rsid w:val="00204926"/>
    <w:rsid w:val="002053CC"/>
    <w:rsid w:val="00205F0B"/>
    <w:rsid w:val="00206956"/>
    <w:rsid w:val="00206C3B"/>
    <w:rsid w:val="00206CBA"/>
    <w:rsid w:val="0021183C"/>
    <w:rsid w:val="002123A3"/>
    <w:rsid w:val="00212676"/>
    <w:rsid w:val="00212762"/>
    <w:rsid w:val="00213277"/>
    <w:rsid w:val="0021346C"/>
    <w:rsid w:val="002135AB"/>
    <w:rsid w:val="002144BE"/>
    <w:rsid w:val="00214A7C"/>
    <w:rsid w:val="00215445"/>
    <w:rsid w:val="00215613"/>
    <w:rsid w:val="00216DE6"/>
    <w:rsid w:val="002215C5"/>
    <w:rsid w:val="002215CA"/>
    <w:rsid w:val="002217A0"/>
    <w:rsid w:val="00221AD8"/>
    <w:rsid w:val="0022366D"/>
    <w:rsid w:val="00225AD3"/>
    <w:rsid w:val="00227A9D"/>
    <w:rsid w:val="002311BF"/>
    <w:rsid w:val="00231C7B"/>
    <w:rsid w:val="002323DE"/>
    <w:rsid w:val="00233689"/>
    <w:rsid w:val="002336D7"/>
    <w:rsid w:val="00233791"/>
    <w:rsid w:val="00235DEB"/>
    <w:rsid w:val="0023736D"/>
    <w:rsid w:val="00237A7D"/>
    <w:rsid w:val="00237AC5"/>
    <w:rsid w:val="00237B64"/>
    <w:rsid w:val="00241EE9"/>
    <w:rsid w:val="00242279"/>
    <w:rsid w:val="002429C8"/>
    <w:rsid w:val="00242D24"/>
    <w:rsid w:val="002438F0"/>
    <w:rsid w:val="00243997"/>
    <w:rsid w:val="002442D4"/>
    <w:rsid w:val="00244DEF"/>
    <w:rsid w:val="0024516C"/>
    <w:rsid w:val="002455A1"/>
    <w:rsid w:val="002455F8"/>
    <w:rsid w:val="00245C82"/>
    <w:rsid w:val="00246375"/>
    <w:rsid w:val="00246867"/>
    <w:rsid w:val="002478D3"/>
    <w:rsid w:val="00247E92"/>
    <w:rsid w:val="00247FE7"/>
    <w:rsid w:val="00250068"/>
    <w:rsid w:val="002505AA"/>
    <w:rsid w:val="002507BF"/>
    <w:rsid w:val="002508EF"/>
    <w:rsid w:val="00250C31"/>
    <w:rsid w:val="00250CA2"/>
    <w:rsid w:val="00250E6A"/>
    <w:rsid w:val="00251872"/>
    <w:rsid w:val="00252687"/>
    <w:rsid w:val="0025454C"/>
    <w:rsid w:val="0025470E"/>
    <w:rsid w:val="002549AC"/>
    <w:rsid w:val="002554D9"/>
    <w:rsid w:val="002559C7"/>
    <w:rsid w:val="00255E0C"/>
    <w:rsid w:val="002561E3"/>
    <w:rsid w:val="002565FE"/>
    <w:rsid w:val="0026061C"/>
    <w:rsid w:val="00261CCE"/>
    <w:rsid w:val="002643A2"/>
    <w:rsid w:val="00264FC3"/>
    <w:rsid w:val="00265A40"/>
    <w:rsid w:val="00265D62"/>
    <w:rsid w:val="002663C2"/>
    <w:rsid w:val="00266C1B"/>
    <w:rsid w:val="0026704D"/>
    <w:rsid w:val="00267701"/>
    <w:rsid w:val="00270989"/>
    <w:rsid w:val="00270FA4"/>
    <w:rsid w:val="002714DA"/>
    <w:rsid w:val="00272449"/>
    <w:rsid w:val="002724BA"/>
    <w:rsid w:val="002732FC"/>
    <w:rsid w:val="00273AAF"/>
    <w:rsid w:val="00276C8A"/>
    <w:rsid w:val="002773B8"/>
    <w:rsid w:val="002814DD"/>
    <w:rsid w:val="00282032"/>
    <w:rsid w:val="00282160"/>
    <w:rsid w:val="00282B19"/>
    <w:rsid w:val="00282B92"/>
    <w:rsid w:val="00283478"/>
    <w:rsid w:val="00286EA0"/>
    <w:rsid w:val="0028707B"/>
    <w:rsid w:val="002871AB"/>
    <w:rsid w:val="00287444"/>
    <w:rsid w:val="002918BB"/>
    <w:rsid w:val="00291B40"/>
    <w:rsid w:val="002924CE"/>
    <w:rsid w:val="00293F56"/>
    <w:rsid w:val="0029463C"/>
    <w:rsid w:val="002948F6"/>
    <w:rsid w:val="00295E60"/>
    <w:rsid w:val="002A032F"/>
    <w:rsid w:val="002A0831"/>
    <w:rsid w:val="002A1693"/>
    <w:rsid w:val="002A1F10"/>
    <w:rsid w:val="002A227F"/>
    <w:rsid w:val="002A28A0"/>
    <w:rsid w:val="002A2CAC"/>
    <w:rsid w:val="002A356A"/>
    <w:rsid w:val="002A3966"/>
    <w:rsid w:val="002A45F8"/>
    <w:rsid w:val="002A5176"/>
    <w:rsid w:val="002A64FB"/>
    <w:rsid w:val="002A786D"/>
    <w:rsid w:val="002A7C86"/>
    <w:rsid w:val="002A7D91"/>
    <w:rsid w:val="002A7F42"/>
    <w:rsid w:val="002A7F84"/>
    <w:rsid w:val="002B00A6"/>
    <w:rsid w:val="002B0F09"/>
    <w:rsid w:val="002B110A"/>
    <w:rsid w:val="002B24A5"/>
    <w:rsid w:val="002B4008"/>
    <w:rsid w:val="002B57E6"/>
    <w:rsid w:val="002B6599"/>
    <w:rsid w:val="002B6F68"/>
    <w:rsid w:val="002B789F"/>
    <w:rsid w:val="002C2BF2"/>
    <w:rsid w:val="002C304A"/>
    <w:rsid w:val="002C439F"/>
    <w:rsid w:val="002C43DF"/>
    <w:rsid w:val="002C469D"/>
    <w:rsid w:val="002C5088"/>
    <w:rsid w:val="002C5777"/>
    <w:rsid w:val="002C5929"/>
    <w:rsid w:val="002C6872"/>
    <w:rsid w:val="002C6B68"/>
    <w:rsid w:val="002C7316"/>
    <w:rsid w:val="002D0505"/>
    <w:rsid w:val="002D05B9"/>
    <w:rsid w:val="002D0C42"/>
    <w:rsid w:val="002D0E8E"/>
    <w:rsid w:val="002D11A1"/>
    <w:rsid w:val="002D2B23"/>
    <w:rsid w:val="002D2B67"/>
    <w:rsid w:val="002D3211"/>
    <w:rsid w:val="002D37D4"/>
    <w:rsid w:val="002D411C"/>
    <w:rsid w:val="002D424A"/>
    <w:rsid w:val="002D47F5"/>
    <w:rsid w:val="002D5FAE"/>
    <w:rsid w:val="002D644E"/>
    <w:rsid w:val="002D7415"/>
    <w:rsid w:val="002E071A"/>
    <w:rsid w:val="002E1631"/>
    <w:rsid w:val="002E1D4D"/>
    <w:rsid w:val="002E1E74"/>
    <w:rsid w:val="002E3A4B"/>
    <w:rsid w:val="002E3DF0"/>
    <w:rsid w:val="002E4A17"/>
    <w:rsid w:val="002E55F3"/>
    <w:rsid w:val="002E7CD6"/>
    <w:rsid w:val="002F3001"/>
    <w:rsid w:val="002F3336"/>
    <w:rsid w:val="002F4B97"/>
    <w:rsid w:val="002F4CBB"/>
    <w:rsid w:val="002F500D"/>
    <w:rsid w:val="002F5776"/>
    <w:rsid w:val="002F5E8F"/>
    <w:rsid w:val="002F5F82"/>
    <w:rsid w:val="002F6726"/>
    <w:rsid w:val="002F6B86"/>
    <w:rsid w:val="002F75E2"/>
    <w:rsid w:val="002F7B24"/>
    <w:rsid w:val="00300E4F"/>
    <w:rsid w:val="0030114C"/>
    <w:rsid w:val="00301189"/>
    <w:rsid w:val="00301E4A"/>
    <w:rsid w:val="00303A23"/>
    <w:rsid w:val="00303B4C"/>
    <w:rsid w:val="00304E3E"/>
    <w:rsid w:val="00305BB5"/>
    <w:rsid w:val="003068FA"/>
    <w:rsid w:val="00307545"/>
    <w:rsid w:val="00310704"/>
    <w:rsid w:val="00310901"/>
    <w:rsid w:val="0031096C"/>
    <w:rsid w:val="00310A22"/>
    <w:rsid w:val="00310E4C"/>
    <w:rsid w:val="0031188F"/>
    <w:rsid w:val="00313377"/>
    <w:rsid w:val="003138A1"/>
    <w:rsid w:val="00313FAF"/>
    <w:rsid w:val="00314939"/>
    <w:rsid w:val="00314D76"/>
    <w:rsid w:val="00315B72"/>
    <w:rsid w:val="00315B8A"/>
    <w:rsid w:val="0031613E"/>
    <w:rsid w:val="0031620E"/>
    <w:rsid w:val="003168B8"/>
    <w:rsid w:val="003168C1"/>
    <w:rsid w:val="00316AEC"/>
    <w:rsid w:val="00317236"/>
    <w:rsid w:val="00317682"/>
    <w:rsid w:val="00317966"/>
    <w:rsid w:val="0032043D"/>
    <w:rsid w:val="003212AF"/>
    <w:rsid w:val="00322D64"/>
    <w:rsid w:val="00323356"/>
    <w:rsid w:val="00323E09"/>
    <w:rsid w:val="00325033"/>
    <w:rsid w:val="003252FD"/>
    <w:rsid w:val="0032607A"/>
    <w:rsid w:val="00326957"/>
    <w:rsid w:val="00331197"/>
    <w:rsid w:val="0033132D"/>
    <w:rsid w:val="003322FF"/>
    <w:rsid w:val="0033236E"/>
    <w:rsid w:val="003334E7"/>
    <w:rsid w:val="0033353D"/>
    <w:rsid w:val="00333932"/>
    <w:rsid w:val="0033494D"/>
    <w:rsid w:val="003369BB"/>
    <w:rsid w:val="00337031"/>
    <w:rsid w:val="0033739E"/>
    <w:rsid w:val="003405C1"/>
    <w:rsid w:val="00340C66"/>
    <w:rsid w:val="00340FCA"/>
    <w:rsid w:val="00342865"/>
    <w:rsid w:val="003431A5"/>
    <w:rsid w:val="003435F8"/>
    <w:rsid w:val="00343AA6"/>
    <w:rsid w:val="00345BED"/>
    <w:rsid w:val="0034652B"/>
    <w:rsid w:val="003467A9"/>
    <w:rsid w:val="00346891"/>
    <w:rsid w:val="00346CF9"/>
    <w:rsid w:val="00347080"/>
    <w:rsid w:val="0034758F"/>
    <w:rsid w:val="00347A74"/>
    <w:rsid w:val="00347FA1"/>
    <w:rsid w:val="0035054C"/>
    <w:rsid w:val="00350780"/>
    <w:rsid w:val="00351681"/>
    <w:rsid w:val="003518AA"/>
    <w:rsid w:val="003520E0"/>
    <w:rsid w:val="00352165"/>
    <w:rsid w:val="00352C88"/>
    <w:rsid w:val="00352CF5"/>
    <w:rsid w:val="00353182"/>
    <w:rsid w:val="00353A81"/>
    <w:rsid w:val="00353AAB"/>
    <w:rsid w:val="0035452C"/>
    <w:rsid w:val="003554FC"/>
    <w:rsid w:val="003555AA"/>
    <w:rsid w:val="0035593F"/>
    <w:rsid w:val="003565D9"/>
    <w:rsid w:val="003566FA"/>
    <w:rsid w:val="0035694C"/>
    <w:rsid w:val="00357B20"/>
    <w:rsid w:val="003602E1"/>
    <w:rsid w:val="003603E3"/>
    <w:rsid w:val="00361111"/>
    <w:rsid w:val="003616D3"/>
    <w:rsid w:val="0036176C"/>
    <w:rsid w:val="00361E75"/>
    <w:rsid w:val="0036274E"/>
    <w:rsid w:val="00365145"/>
    <w:rsid w:val="003664CD"/>
    <w:rsid w:val="00366B43"/>
    <w:rsid w:val="0036767E"/>
    <w:rsid w:val="0037026F"/>
    <w:rsid w:val="003706D3"/>
    <w:rsid w:val="00371240"/>
    <w:rsid w:val="00371832"/>
    <w:rsid w:val="00372060"/>
    <w:rsid w:val="003726EE"/>
    <w:rsid w:val="00372969"/>
    <w:rsid w:val="00373C1B"/>
    <w:rsid w:val="0037430B"/>
    <w:rsid w:val="00374409"/>
    <w:rsid w:val="00374731"/>
    <w:rsid w:val="00374B67"/>
    <w:rsid w:val="0037500C"/>
    <w:rsid w:val="00375678"/>
    <w:rsid w:val="00376588"/>
    <w:rsid w:val="00376A28"/>
    <w:rsid w:val="00376E59"/>
    <w:rsid w:val="00377EC1"/>
    <w:rsid w:val="00380340"/>
    <w:rsid w:val="00380869"/>
    <w:rsid w:val="00382499"/>
    <w:rsid w:val="00382D8A"/>
    <w:rsid w:val="0038344A"/>
    <w:rsid w:val="00383559"/>
    <w:rsid w:val="003835D0"/>
    <w:rsid w:val="003837C0"/>
    <w:rsid w:val="00384133"/>
    <w:rsid w:val="00384853"/>
    <w:rsid w:val="00386C94"/>
    <w:rsid w:val="003907A8"/>
    <w:rsid w:val="00390BBB"/>
    <w:rsid w:val="00390CED"/>
    <w:rsid w:val="00391490"/>
    <w:rsid w:val="003919F9"/>
    <w:rsid w:val="003920CF"/>
    <w:rsid w:val="0039294B"/>
    <w:rsid w:val="00392FA7"/>
    <w:rsid w:val="00393E08"/>
    <w:rsid w:val="003945A9"/>
    <w:rsid w:val="00394802"/>
    <w:rsid w:val="00395A1E"/>
    <w:rsid w:val="003961D2"/>
    <w:rsid w:val="00396637"/>
    <w:rsid w:val="00396C25"/>
    <w:rsid w:val="003A1469"/>
    <w:rsid w:val="003A1AEB"/>
    <w:rsid w:val="003A24F6"/>
    <w:rsid w:val="003A2792"/>
    <w:rsid w:val="003A2AB0"/>
    <w:rsid w:val="003A38CE"/>
    <w:rsid w:val="003A471E"/>
    <w:rsid w:val="003A4D10"/>
    <w:rsid w:val="003A4ECF"/>
    <w:rsid w:val="003A5E60"/>
    <w:rsid w:val="003A7223"/>
    <w:rsid w:val="003B033F"/>
    <w:rsid w:val="003B0F86"/>
    <w:rsid w:val="003B23C2"/>
    <w:rsid w:val="003B3FF2"/>
    <w:rsid w:val="003B42E4"/>
    <w:rsid w:val="003B4D1A"/>
    <w:rsid w:val="003B6E45"/>
    <w:rsid w:val="003B74BF"/>
    <w:rsid w:val="003B7B5F"/>
    <w:rsid w:val="003C08CA"/>
    <w:rsid w:val="003C1D4C"/>
    <w:rsid w:val="003C2835"/>
    <w:rsid w:val="003C3062"/>
    <w:rsid w:val="003C37EC"/>
    <w:rsid w:val="003C38B5"/>
    <w:rsid w:val="003C3933"/>
    <w:rsid w:val="003C4A7A"/>
    <w:rsid w:val="003C4A81"/>
    <w:rsid w:val="003C5656"/>
    <w:rsid w:val="003C5D99"/>
    <w:rsid w:val="003C6785"/>
    <w:rsid w:val="003C751A"/>
    <w:rsid w:val="003C7EBA"/>
    <w:rsid w:val="003D09C2"/>
    <w:rsid w:val="003D1087"/>
    <w:rsid w:val="003D1896"/>
    <w:rsid w:val="003D26BB"/>
    <w:rsid w:val="003D43EA"/>
    <w:rsid w:val="003D59F6"/>
    <w:rsid w:val="003D5D34"/>
    <w:rsid w:val="003D6418"/>
    <w:rsid w:val="003D6ACD"/>
    <w:rsid w:val="003D7277"/>
    <w:rsid w:val="003D7C78"/>
    <w:rsid w:val="003E0D6B"/>
    <w:rsid w:val="003E1013"/>
    <w:rsid w:val="003E1F9E"/>
    <w:rsid w:val="003E209C"/>
    <w:rsid w:val="003E228A"/>
    <w:rsid w:val="003E2597"/>
    <w:rsid w:val="003E2F59"/>
    <w:rsid w:val="003E4321"/>
    <w:rsid w:val="003E48F2"/>
    <w:rsid w:val="003E5A7F"/>
    <w:rsid w:val="003E5AAE"/>
    <w:rsid w:val="003E5D18"/>
    <w:rsid w:val="003E6174"/>
    <w:rsid w:val="003E65AD"/>
    <w:rsid w:val="003E746B"/>
    <w:rsid w:val="003F0736"/>
    <w:rsid w:val="003F0789"/>
    <w:rsid w:val="003F1238"/>
    <w:rsid w:val="003F14DC"/>
    <w:rsid w:val="003F1500"/>
    <w:rsid w:val="003F1744"/>
    <w:rsid w:val="003F1749"/>
    <w:rsid w:val="003F1ED2"/>
    <w:rsid w:val="003F212A"/>
    <w:rsid w:val="003F21CF"/>
    <w:rsid w:val="003F27BA"/>
    <w:rsid w:val="003F2A3C"/>
    <w:rsid w:val="003F2E30"/>
    <w:rsid w:val="003F2EDB"/>
    <w:rsid w:val="003F3066"/>
    <w:rsid w:val="003F308C"/>
    <w:rsid w:val="003F3136"/>
    <w:rsid w:val="003F3655"/>
    <w:rsid w:val="003F5E8A"/>
    <w:rsid w:val="003F6312"/>
    <w:rsid w:val="003F7500"/>
    <w:rsid w:val="003F757E"/>
    <w:rsid w:val="00400579"/>
    <w:rsid w:val="004008A1"/>
    <w:rsid w:val="00400D04"/>
    <w:rsid w:val="00401882"/>
    <w:rsid w:val="00401A06"/>
    <w:rsid w:val="004045AE"/>
    <w:rsid w:val="0040496A"/>
    <w:rsid w:val="00405CF6"/>
    <w:rsid w:val="00405EC4"/>
    <w:rsid w:val="00405FB4"/>
    <w:rsid w:val="004060D0"/>
    <w:rsid w:val="0040616F"/>
    <w:rsid w:val="00406669"/>
    <w:rsid w:val="004074B8"/>
    <w:rsid w:val="00407B40"/>
    <w:rsid w:val="00407E87"/>
    <w:rsid w:val="004100C8"/>
    <w:rsid w:val="004111EC"/>
    <w:rsid w:val="0041136D"/>
    <w:rsid w:val="00411DBD"/>
    <w:rsid w:val="00412476"/>
    <w:rsid w:val="00412ACE"/>
    <w:rsid w:val="00413314"/>
    <w:rsid w:val="004145D2"/>
    <w:rsid w:val="00414A87"/>
    <w:rsid w:val="00414EC5"/>
    <w:rsid w:val="0041518A"/>
    <w:rsid w:val="00415DA6"/>
    <w:rsid w:val="004170CA"/>
    <w:rsid w:val="00417DA5"/>
    <w:rsid w:val="004207D6"/>
    <w:rsid w:val="00423A86"/>
    <w:rsid w:val="00423A9D"/>
    <w:rsid w:val="0042445D"/>
    <w:rsid w:val="00425620"/>
    <w:rsid w:val="004258FE"/>
    <w:rsid w:val="00425EE0"/>
    <w:rsid w:val="00426032"/>
    <w:rsid w:val="004266A3"/>
    <w:rsid w:val="00426CB4"/>
    <w:rsid w:val="00427F90"/>
    <w:rsid w:val="00430CD0"/>
    <w:rsid w:val="00430D91"/>
    <w:rsid w:val="00431249"/>
    <w:rsid w:val="004312A4"/>
    <w:rsid w:val="00431AE6"/>
    <w:rsid w:val="00431F1E"/>
    <w:rsid w:val="00432A1E"/>
    <w:rsid w:val="004335A0"/>
    <w:rsid w:val="004346C1"/>
    <w:rsid w:val="00434C19"/>
    <w:rsid w:val="00434CD3"/>
    <w:rsid w:val="00440C31"/>
    <w:rsid w:val="00440C92"/>
    <w:rsid w:val="00441327"/>
    <w:rsid w:val="00441967"/>
    <w:rsid w:val="004419CF"/>
    <w:rsid w:val="00441BB8"/>
    <w:rsid w:val="00442617"/>
    <w:rsid w:val="00443D59"/>
    <w:rsid w:val="00444239"/>
    <w:rsid w:val="00444EA6"/>
    <w:rsid w:val="00445720"/>
    <w:rsid w:val="00450810"/>
    <w:rsid w:val="0045145A"/>
    <w:rsid w:val="00452768"/>
    <w:rsid w:val="00453A7C"/>
    <w:rsid w:val="00453C50"/>
    <w:rsid w:val="00453CBA"/>
    <w:rsid w:val="00453F64"/>
    <w:rsid w:val="0045404B"/>
    <w:rsid w:val="00454071"/>
    <w:rsid w:val="00454490"/>
    <w:rsid w:val="00454A10"/>
    <w:rsid w:val="00454E80"/>
    <w:rsid w:val="00455A93"/>
    <w:rsid w:val="00456401"/>
    <w:rsid w:val="004569A0"/>
    <w:rsid w:val="00457DAA"/>
    <w:rsid w:val="00461552"/>
    <w:rsid w:val="00462C55"/>
    <w:rsid w:val="00462C59"/>
    <w:rsid w:val="00462DCF"/>
    <w:rsid w:val="00462F2A"/>
    <w:rsid w:val="00463099"/>
    <w:rsid w:val="004638B3"/>
    <w:rsid w:val="00463973"/>
    <w:rsid w:val="00463A5F"/>
    <w:rsid w:val="00463D58"/>
    <w:rsid w:val="00463F71"/>
    <w:rsid w:val="00464586"/>
    <w:rsid w:val="00465168"/>
    <w:rsid w:val="00470737"/>
    <w:rsid w:val="004725F8"/>
    <w:rsid w:val="004728E0"/>
    <w:rsid w:val="0047305D"/>
    <w:rsid w:val="00474569"/>
    <w:rsid w:val="00474881"/>
    <w:rsid w:val="0047499F"/>
    <w:rsid w:val="00474C89"/>
    <w:rsid w:val="00475123"/>
    <w:rsid w:val="0047523E"/>
    <w:rsid w:val="00475512"/>
    <w:rsid w:val="00475993"/>
    <w:rsid w:val="00475E65"/>
    <w:rsid w:val="004763BD"/>
    <w:rsid w:val="00477144"/>
    <w:rsid w:val="004779F7"/>
    <w:rsid w:val="0048363C"/>
    <w:rsid w:val="00483730"/>
    <w:rsid w:val="00483C2C"/>
    <w:rsid w:val="00484409"/>
    <w:rsid w:val="00484550"/>
    <w:rsid w:val="004846A7"/>
    <w:rsid w:val="00484D3A"/>
    <w:rsid w:val="00485DBB"/>
    <w:rsid w:val="00486362"/>
    <w:rsid w:val="0048683E"/>
    <w:rsid w:val="00487626"/>
    <w:rsid w:val="00487AF4"/>
    <w:rsid w:val="00487B3F"/>
    <w:rsid w:val="004904B6"/>
    <w:rsid w:val="00490F3C"/>
    <w:rsid w:val="00491380"/>
    <w:rsid w:val="00491436"/>
    <w:rsid w:val="004939C2"/>
    <w:rsid w:val="004939DC"/>
    <w:rsid w:val="0049459F"/>
    <w:rsid w:val="00494FCC"/>
    <w:rsid w:val="0049520B"/>
    <w:rsid w:val="004959FD"/>
    <w:rsid w:val="00497065"/>
    <w:rsid w:val="00497CC5"/>
    <w:rsid w:val="00497E91"/>
    <w:rsid w:val="004A1389"/>
    <w:rsid w:val="004A2D2A"/>
    <w:rsid w:val="004A33DF"/>
    <w:rsid w:val="004A38DD"/>
    <w:rsid w:val="004A539B"/>
    <w:rsid w:val="004A6977"/>
    <w:rsid w:val="004B035D"/>
    <w:rsid w:val="004B0C4E"/>
    <w:rsid w:val="004B11C4"/>
    <w:rsid w:val="004B12B9"/>
    <w:rsid w:val="004B13B8"/>
    <w:rsid w:val="004B1725"/>
    <w:rsid w:val="004B1E01"/>
    <w:rsid w:val="004B2C92"/>
    <w:rsid w:val="004B3175"/>
    <w:rsid w:val="004B378F"/>
    <w:rsid w:val="004B43AE"/>
    <w:rsid w:val="004B4C61"/>
    <w:rsid w:val="004B5920"/>
    <w:rsid w:val="004B62A6"/>
    <w:rsid w:val="004B6D23"/>
    <w:rsid w:val="004B7252"/>
    <w:rsid w:val="004B7DBC"/>
    <w:rsid w:val="004C0B45"/>
    <w:rsid w:val="004C132D"/>
    <w:rsid w:val="004C1421"/>
    <w:rsid w:val="004C2091"/>
    <w:rsid w:val="004C30ED"/>
    <w:rsid w:val="004C4675"/>
    <w:rsid w:val="004C46BE"/>
    <w:rsid w:val="004C46D3"/>
    <w:rsid w:val="004C5240"/>
    <w:rsid w:val="004C57E6"/>
    <w:rsid w:val="004C630C"/>
    <w:rsid w:val="004C6599"/>
    <w:rsid w:val="004D0621"/>
    <w:rsid w:val="004D141F"/>
    <w:rsid w:val="004D16BE"/>
    <w:rsid w:val="004D2396"/>
    <w:rsid w:val="004D23A4"/>
    <w:rsid w:val="004D33EA"/>
    <w:rsid w:val="004D3479"/>
    <w:rsid w:val="004D5675"/>
    <w:rsid w:val="004D56FB"/>
    <w:rsid w:val="004D6164"/>
    <w:rsid w:val="004D69C9"/>
    <w:rsid w:val="004D6B97"/>
    <w:rsid w:val="004D7D8A"/>
    <w:rsid w:val="004D7DAB"/>
    <w:rsid w:val="004E0D0B"/>
    <w:rsid w:val="004E0E7C"/>
    <w:rsid w:val="004E14D5"/>
    <w:rsid w:val="004E1646"/>
    <w:rsid w:val="004E1AB7"/>
    <w:rsid w:val="004E20AE"/>
    <w:rsid w:val="004E4339"/>
    <w:rsid w:val="004E4F07"/>
    <w:rsid w:val="004E628C"/>
    <w:rsid w:val="004E6779"/>
    <w:rsid w:val="004F0160"/>
    <w:rsid w:val="004F0415"/>
    <w:rsid w:val="004F067C"/>
    <w:rsid w:val="004F1003"/>
    <w:rsid w:val="004F1B44"/>
    <w:rsid w:val="004F2082"/>
    <w:rsid w:val="004F25D3"/>
    <w:rsid w:val="004F3D60"/>
    <w:rsid w:val="004F50EB"/>
    <w:rsid w:val="004F5DBE"/>
    <w:rsid w:val="004F60CD"/>
    <w:rsid w:val="004F628B"/>
    <w:rsid w:val="004F7AAB"/>
    <w:rsid w:val="005013A4"/>
    <w:rsid w:val="00501AF9"/>
    <w:rsid w:val="005025DC"/>
    <w:rsid w:val="0050330B"/>
    <w:rsid w:val="00504583"/>
    <w:rsid w:val="00506C09"/>
    <w:rsid w:val="00507E71"/>
    <w:rsid w:val="00510006"/>
    <w:rsid w:val="005103C9"/>
    <w:rsid w:val="00513892"/>
    <w:rsid w:val="00513A99"/>
    <w:rsid w:val="00513E9C"/>
    <w:rsid w:val="0051472A"/>
    <w:rsid w:val="0051549A"/>
    <w:rsid w:val="00515E1C"/>
    <w:rsid w:val="00517795"/>
    <w:rsid w:val="00517EC4"/>
    <w:rsid w:val="005209C0"/>
    <w:rsid w:val="0052134F"/>
    <w:rsid w:val="0052261F"/>
    <w:rsid w:val="00522F31"/>
    <w:rsid w:val="0052324D"/>
    <w:rsid w:val="00523639"/>
    <w:rsid w:val="00523E96"/>
    <w:rsid w:val="00524402"/>
    <w:rsid w:val="00525E4F"/>
    <w:rsid w:val="00530A4F"/>
    <w:rsid w:val="00531356"/>
    <w:rsid w:val="00531FE5"/>
    <w:rsid w:val="00534D4E"/>
    <w:rsid w:val="0053531E"/>
    <w:rsid w:val="0053669C"/>
    <w:rsid w:val="00536DEA"/>
    <w:rsid w:val="00537EFE"/>
    <w:rsid w:val="005402FA"/>
    <w:rsid w:val="005420F9"/>
    <w:rsid w:val="005428EA"/>
    <w:rsid w:val="00543C94"/>
    <w:rsid w:val="00543D4D"/>
    <w:rsid w:val="005440F6"/>
    <w:rsid w:val="005448BE"/>
    <w:rsid w:val="00544CF5"/>
    <w:rsid w:val="005454AE"/>
    <w:rsid w:val="005455EF"/>
    <w:rsid w:val="005459A1"/>
    <w:rsid w:val="005467F5"/>
    <w:rsid w:val="00546E8A"/>
    <w:rsid w:val="005472BB"/>
    <w:rsid w:val="0055149A"/>
    <w:rsid w:val="005515B7"/>
    <w:rsid w:val="00551C7E"/>
    <w:rsid w:val="00552C80"/>
    <w:rsid w:val="005538E9"/>
    <w:rsid w:val="00553B63"/>
    <w:rsid w:val="005549D2"/>
    <w:rsid w:val="00555107"/>
    <w:rsid w:val="00555381"/>
    <w:rsid w:val="005578D0"/>
    <w:rsid w:val="00561BF5"/>
    <w:rsid w:val="005636EE"/>
    <w:rsid w:val="00564B82"/>
    <w:rsid w:val="00564E72"/>
    <w:rsid w:val="00565D73"/>
    <w:rsid w:val="0056724A"/>
    <w:rsid w:val="00567B53"/>
    <w:rsid w:val="00571271"/>
    <w:rsid w:val="00572029"/>
    <w:rsid w:val="00572961"/>
    <w:rsid w:val="005729BD"/>
    <w:rsid w:val="00572C26"/>
    <w:rsid w:val="00574632"/>
    <w:rsid w:val="0057544B"/>
    <w:rsid w:val="005758A5"/>
    <w:rsid w:val="00575D48"/>
    <w:rsid w:val="00576170"/>
    <w:rsid w:val="00576353"/>
    <w:rsid w:val="00576A2F"/>
    <w:rsid w:val="00580154"/>
    <w:rsid w:val="00580813"/>
    <w:rsid w:val="00580B75"/>
    <w:rsid w:val="0058162E"/>
    <w:rsid w:val="00583C39"/>
    <w:rsid w:val="0058440A"/>
    <w:rsid w:val="00584613"/>
    <w:rsid w:val="00585237"/>
    <w:rsid w:val="00585790"/>
    <w:rsid w:val="00585987"/>
    <w:rsid w:val="005859B1"/>
    <w:rsid w:val="00585DC9"/>
    <w:rsid w:val="00585DF6"/>
    <w:rsid w:val="0058688A"/>
    <w:rsid w:val="00586A90"/>
    <w:rsid w:val="00586BAF"/>
    <w:rsid w:val="00586FCC"/>
    <w:rsid w:val="00587A8C"/>
    <w:rsid w:val="00587F28"/>
    <w:rsid w:val="00590697"/>
    <w:rsid w:val="005909CF"/>
    <w:rsid w:val="00591990"/>
    <w:rsid w:val="00591E71"/>
    <w:rsid w:val="00592AAC"/>
    <w:rsid w:val="00593CCC"/>
    <w:rsid w:val="00594E63"/>
    <w:rsid w:val="00595132"/>
    <w:rsid w:val="00595C8D"/>
    <w:rsid w:val="00595FCD"/>
    <w:rsid w:val="00596FF5"/>
    <w:rsid w:val="005A0D41"/>
    <w:rsid w:val="005A17F8"/>
    <w:rsid w:val="005A1F1C"/>
    <w:rsid w:val="005A3353"/>
    <w:rsid w:val="005A4CEA"/>
    <w:rsid w:val="005A4F3B"/>
    <w:rsid w:val="005A53FE"/>
    <w:rsid w:val="005A60F8"/>
    <w:rsid w:val="005A615D"/>
    <w:rsid w:val="005A692C"/>
    <w:rsid w:val="005B1462"/>
    <w:rsid w:val="005B3051"/>
    <w:rsid w:val="005B3943"/>
    <w:rsid w:val="005B3D2C"/>
    <w:rsid w:val="005B499B"/>
    <w:rsid w:val="005B6E94"/>
    <w:rsid w:val="005B73A3"/>
    <w:rsid w:val="005B773D"/>
    <w:rsid w:val="005B7E27"/>
    <w:rsid w:val="005C0904"/>
    <w:rsid w:val="005C12C9"/>
    <w:rsid w:val="005C1B78"/>
    <w:rsid w:val="005C1F32"/>
    <w:rsid w:val="005C3883"/>
    <w:rsid w:val="005C39E7"/>
    <w:rsid w:val="005C43A7"/>
    <w:rsid w:val="005C595A"/>
    <w:rsid w:val="005C7007"/>
    <w:rsid w:val="005C792C"/>
    <w:rsid w:val="005D329F"/>
    <w:rsid w:val="005D4ACD"/>
    <w:rsid w:val="005D666C"/>
    <w:rsid w:val="005D684C"/>
    <w:rsid w:val="005D75BB"/>
    <w:rsid w:val="005E0851"/>
    <w:rsid w:val="005E1D09"/>
    <w:rsid w:val="005E2559"/>
    <w:rsid w:val="005E2C43"/>
    <w:rsid w:val="005E2E05"/>
    <w:rsid w:val="005E30DA"/>
    <w:rsid w:val="005E36B8"/>
    <w:rsid w:val="005E5E39"/>
    <w:rsid w:val="005F01CD"/>
    <w:rsid w:val="005F08DF"/>
    <w:rsid w:val="005F1D14"/>
    <w:rsid w:val="005F2A39"/>
    <w:rsid w:val="005F48ED"/>
    <w:rsid w:val="005F614A"/>
    <w:rsid w:val="005F67CE"/>
    <w:rsid w:val="00600000"/>
    <w:rsid w:val="00600A86"/>
    <w:rsid w:val="0060149D"/>
    <w:rsid w:val="00601593"/>
    <w:rsid w:val="0060244E"/>
    <w:rsid w:val="006025BE"/>
    <w:rsid w:val="00602A78"/>
    <w:rsid w:val="00602B40"/>
    <w:rsid w:val="00603172"/>
    <w:rsid w:val="006039DA"/>
    <w:rsid w:val="00603AE2"/>
    <w:rsid w:val="00603CA9"/>
    <w:rsid w:val="00603EA8"/>
    <w:rsid w:val="00604D7A"/>
    <w:rsid w:val="00605B59"/>
    <w:rsid w:val="00606E78"/>
    <w:rsid w:val="0060714A"/>
    <w:rsid w:val="00607BF1"/>
    <w:rsid w:val="00607D05"/>
    <w:rsid w:val="00610350"/>
    <w:rsid w:val="006114E4"/>
    <w:rsid w:val="00611988"/>
    <w:rsid w:val="0061380E"/>
    <w:rsid w:val="00613AAE"/>
    <w:rsid w:val="00614380"/>
    <w:rsid w:val="00614AC4"/>
    <w:rsid w:val="00614AFE"/>
    <w:rsid w:val="006150AC"/>
    <w:rsid w:val="00616454"/>
    <w:rsid w:val="00616BB6"/>
    <w:rsid w:val="0061739C"/>
    <w:rsid w:val="006178EE"/>
    <w:rsid w:val="006179ED"/>
    <w:rsid w:val="0062111B"/>
    <w:rsid w:val="00621D69"/>
    <w:rsid w:val="006222E4"/>
    <w:rsid w:val="00622C88"/>
    <w:rsid w:val="0062408F"/>
    <w:rsid w:val="00624D11"/>
    <w:rsid w:val="0062570B"/>
    <w:rsid w:val="00626F3E"/>
    <w:rsid w:val="0062713D"/>
    <w:rsid w:val="00627422"/>
    <w:rsid w:val="00627C07"/>
    <w:rsid w:val="0063011C"/>
    <w:rsid w:val="0063033D"/>
    <w:rsid w:val="00630D4D"/>
    <w:rsid w:val="00632540"/>
    <w:rsid w:val="00632A74"/>
    <w:rsid w:val="00632AA9"/>
    <w:rsid w:val="00633274"/>
    <w:rsid w:val="00633614"/>
    <w:rsid w:val="00634008"/>
    <w:rsid w:val="006340F9"/>
    <w:rsid w:val="00635BC5"/>
    <w:rsid w:val="00636627"/>
    <w:rsid w:val="0063688C"/>
    <w:rsid w:val="006408FE"/>
    <w:rsid w:val="00640C7F"/>
    <w:rsid w:val="00640CE3"/>
    <w:rsid w:val="006415E9"/>
    <w:rsid w:val="00641C30"/>
    <w:rsid w:val="00642AAD"/>
    <w:rsid w:val="00642AE8"/>
    <w:rsid w:val="00642CA0"/>
    <w:rsid w:val="0064454E"/>
    <w:rsid w:val="006447CF"/>
    <w:rsid w:val="00644C46"/>
    <w:rsid w:val="00650F13"/>
    <w:rsid w:val="00651C0E"/>
    <w:rsid w:val="00652D69"/>
    <w:rsid w:val="00652F3A"/>
    <w:rsid w:val="00653E4A"/>
    <w:rsid w:val="00654CA8"/>
    <w:rsid w:val="00654D42"/>
    <w:rsid w:val="00654E98"/>
    <w:rsid w:val="0065559B"/>
    <w:rsid w:val="00655A84"/>
    <w:rsid w:val="0065626A"/>
    <w:rsid w:val="00656854"/>
    <w:rsid w:val="00656D13"/>
    <w:rsid w:val="00661403"/>
    <w:rsid w:val="006616C4"/>
    <w:rsid w:val="00663E2F"/>
    <w:rsid w:val="006644E3"/>
    <w:rsid w:val="00664C0E"/>
    <w:rsid w:val="0066548E"/>
    <w:rsid w:val="00665949"/>
    <w:rsid w:val="00666E02"/>
    <w:rsid w:val="006678A4"/>
    <w:rsid w:val="00667FAC"/>
    <w:rsid w:val="00671ABB"/>
    <w:rsid w:val="006732A3"/>
    <w:rsid w:val="00673F71"/>
    <w:rsid w:val="006758A1"/>
    <w:rsid w:val="00675D98"/>
    <w:rsid w:val="00676894"/>
    <w:rsid w:val="00677754"/>
    <w:rsid w:val="006779F7"/>
    <w:rsid w:val="00677A27"/>
    <w:rsid w:val="0068092F"/>
    <w:rsid w:val="00681BED"/>
    <w:rsid w:val="0068278F"/>
    <w:rsid w:val="006832F8"/>
    <w:rsid w:val="00684422"/>
    <w:rsid w:val="00684EDA"/>
    <w:rsid w:val="00690F26"/>
    <w:rsid w:val="00691742"/>
    <w:rsid w:val="00691B04"/>
    <w:rsid w:val="00692308"/>
    <w:rsid w:val="00692697"/>
    <w:rsid w:val="006927E2"/>
    <w:rsid w:val="00692D01"/>
    <w:rsid w:val="00692FD7"/>
    <w:rsid w:val="006937B9"/>
    <w:rsid w:val="00695325"/>
    <w:rsid w:val="006953D2"/>
    <w:rsid w:val="00696038"/>
    <w:rsid w:val="0069636B"/>
    <w:rsid w:val="006967C0"/>
    <w:rsid w:val="00696A47"/>
    <w:rsid w:val="00696FC1"/>
    <w:rsid w:val="00697369"/>
    <w:rsid w:val="006A2A90"/>
    <w:rsid w:val="006A39EE"/>
    <w:rsid w:val="006A4655"/>
    <w:rsid w:val="006A6765"/>
    <w:rsid w:val="006B05D0"/>
    <w:rsid w:val="006B1DA0"/>
    <w:rsid w:val="006B2B3C"/>
    <w:rsid w:val="006B3B81"/>
    <w:rsid w:val="006B6BD9"/>
    <w:rsid w:val="006B7C1E"/>
    <w:rsid w:val="006B7EC2"/>
    <w:rsid w:val="006C0F28"/>
    <w:rsid w:val="006C1D81"/>
    <w:rsid w:val="006C220E"/>
    <w:rsid w:val="006C2487"/>
    <w:rsid w:val="006C2EC2"/>
    <w:rsid w:val="006C3E45"/>
    <w:rsid w:val="006C42AC"/>
    <w:rsid w:val="006C4875"/>
    <w:rsid w:val="006C6039"/>
    <w:rsid w:val="006C61E2"/>
    <w:rsid w:val="006C652D"/>
    <w:rsid w:val="006C7038"/>
    <w:rsid w:val="006C7349"/>
    <w:rsid w:val="006C734D"/>
    <w:rsid w:val="006D026B"/>
    <w:rsid w:val="006D0AD5"/>
    <w:rsid w:val="006D2098"/>
    <w:rsid w:val="006D311A"/>
    <w:rsid w:val="006D334D"/>
    <w:rsid w:val="006D3F9C"/>
    <w:rsid w:val="006D51AD"/>
    <w:rsid w:val="006D5443"/>
    <w:rsid w:val="006E02D9"/>
    <w:rsid w:val="006E0319"/>
    <w:rsid w:val="006E16FF"/>
    <w:rsid w:val="006E17C7"/>
    <w:rsid w:val="006E17D1"/>
    <w:rsid w:val="006E2CB2"/>
    <w:rsid w:val="006E30F7"/>
    <w:rsid w:val="006E47DA"/>
    <w:rsid w:val="006E4DD5"/>
    <w:rsid w:val="006E57CB"/>
    <w:rsid w:val="006E5DEA"/>
    <w:rsid w:val="006E61DB"/>
    <w:rsid w:val="006E713E"/>
    <w:rsid w:val="006E73EF"/>
    <w:rsid w:val="006E7696"/>
    <w:rsid w:val="006E7AC3"/>
    <w:rsid w:val="006F06AC"/>
    <w:rsid w:val="006F0871"/>
    <w:rsid w:val="006F15EA"/>
    <w:rsid w:val="006F1D85"/>
    <w:rsid w:val="006F26BD"/>
    <w:rsid w:val="006F33A7"/>
    <w:rsid w:val="006F4440"/>
    <w:rsid w:val="006F4771"/>
    <w:rsid w:val="006F5648"/>
    <w:rsid w:val="006F5BA8"/>
    <w:rsid w:val="006F5FD8"/>
    <w:rsid w:val="006F7143"/>
    <w:rsid w:val="006F7850"/>
    <w:rsid w:val="006F7884"/>
    <w:rsid w:val="007001B2"/>
    <w:rsid w:val="00700EA0"/>
    <w:rsid w:val="00701536"/>
    <w:rsid w:val="00702426"/>
    <w:rsid w:val="0070401E"/>
    <w:rsid w:val="0070610F"/>
    <w:rsid w:val="007063E7"/>
    <w:rsid w:val="00707188"/>
    <w:rsid w:val="007074AA"/>
    <w:rsid w:val="007079C9"/>
    <w:rsid w:val="007079DE"/>
    <w:rsid w:val="00707B9A"/>
    <w:rsid w:val="00710057"/>
    <w:rsid w:val="00711B0B"/>
    <w:rsid w:val="0071294A"/>
    <w:rsid w:val="0071499B"/>
    <w:rsid w:val="00714D4D"/>
    <w:rsid w:val="00715995"/>
    <w:rsid w:val="00715D29"/>
    <w:rsid w:val="00715F70"/>
    <w:rsid w:val="00716234"/>
    <w:rsid w:val="007167C4"/>
    <w:rsid w:val="00716A75"/>
    <w:rsid w:val="007200A1"/>
    <w:rsid w:val="00721D08"/>
    <w:rsid w:val="0072244F"/>
    <w:rsid w:val="007229D6"/>
    <w:rsid w:val="00723290"/>
    <w:rsid w:val="00723510"/>
    <w:rsid w:val="00723DE8"/>
    <w:rsid w:val="007252E7"/>
    <w:rsid w:val="007266D3"/>
    <w:rsid w:val="0073000A"/>
    <w:rsid w:val="00731283"/>
    <w:rsid w:val="007319AC"/>
    <w:rsid w:val="00731AD9"/>
    <w:rsid w:val="00731DB6"/>
    <w:rsid w:val="0073201D"/>
    <w:rsid w:val="00732029"/>
    <w:rsid w:val="00732342"/>
    <w:rsid w:val="00735494"/>
    <w:rsid w:val="007366D0"/>
    <w:rsid w:val="00736E00"/>
    <w:rsid w:val="00737164"/>
    <w:rsid w:val="00737228"/>
    <w:rsid w:val="00740B9E"/>
    <w:rsid w:val="00741165"/>
    <w:rsid w:val="00741207"/>
    <w:rsid w:val="00741292"/>
    <w:rsid w:val="007414EC"/>
    <w:rsid w:val="00742810"/>
    <w:rsid w:val="00742BA5"/>
    <w:rsid w:val="00742D81"/>
    <w:rsid w:val="007433B5"/>
    <w:rsid w:val="0074363C"/>
    <w:rsid w:val="007436D1"/>
    <w:rsid w:val="00743E94"/>
    <w:rsid w:val="00744C9B"/>
    <w:rsid w:val="007450E7"/>
    <w:rsid w:val="007465E4"/>
    <w:rsid w:val="00747A65"/>
    <w:rsid w:val="00750413"/>
    <w:rsid w:val="00750A2F"/>
    <w:rsid w:val="007511EE"/>
    <w:rsid w:val="00751ACC"/>
    <w:rsid w:val="00751AF4"/>
    <w:rsid w:val="007534CE"/>
    <w:rsid w:val="00754607"/>
    <w:rsid w:val="00755493"/>
    <w:rsid w:val="007578C0"/>
    <w:rsid w:val="00757AC8"/>
    <w:rsid w:val="007604BB"/>
    <w:rsid w:val="007606A2"/>
    <w:rsid w:val="00761414"/>
    <w:rsid w:val="007618DE"/>
    <w:rsid w:val="00764397"/>
    <w:rsid w:val="007650A3"/>
    <w:rsid w:val="00765314"/>
    <w:rsid w:val="007653AC"/>
    <w:rsid w:val="0076557A"/>
    <w:rsid w:val="00766205"/>
    <w:rsid w:val="007665B6"/>
    <w:rsid w:val="00767D17"/>
    <w:rsid w:val="00767EAF"/>
    <w:rsid w:val="007702FF"/>
    <w:rsid w:val="007706B3"/>
    <w:rsid w:val="007721E4"/>
    <w:rsid w:val="00772909"/>
    <w:rsid w:val="00772CAD"/>
    <w:rsid w:val="00772FD4"/>
    <w:rsid w:val="007730C4"/>
    <w:rsid w:val="00775A76"/>
    <w:rsid w:val="00776322"/>
    <w:rsid w:val="00776BF2"/>
    <w:rsid w:val="00777229"/>
    <w:rsid w:val="00777500"/>
    <w:rsid w:val="00780FBA"/>
    <w:rsid w:val="007812DB"/>
    <w:rsid w:val="00781DEA"/>
    <w:rsid w:val="007822DD"/>
    <w:rsid w:val="0078343F"/>
    <w:rsid w:val="00783AB6"/>
    <w:rsid w:val="007845C5"/>
    <w:rsid w:val="00784A21"/>
    <w:rsid w:val="00785232"/>
    <w:rsid w:val="00786D89"/>
    <w:rsid w:val="00790305"/>
    <w:rsid w:val="00790491"/>
    <w:rsid w:val="007904EF"/>
    <w:rsid w:val="00790F13"/>
    <w:rsid w:val="00791087"/>
    <w:rsid w:val="00791390"/>
    <w:rsid w:val="00791A1D"/>
    <w:rsid w:val="00791EA2"/>
    <w:rsid w:val="00792838"/>
    <w:rsid w:val="00792AE0"/>
    <w:rsid w:val="00793772"/>
    <w:rsid w:val="00794752"/>
    <w:rsid w:val="00794AE7"/>
    <w:rsid w:val="007950DC"/>
    <w:rsid w:val="0079570D"/>
    <w:rsid w:val="00795BCA"/>
    <w:rsid w:val="0079701E"/>
    <w:rsid w:val="00797569"/>
    <w:rsid w:val="00797B35"/>
    <w:rsid w:val="007A065C"/>
    <w:rsid w:val="007A0E19"/>
    <w:rsid w:val="007A21EB"/>
    <w:rsid w:val="007A343E"/>
    <w:rsid w:val="007A40E2"/>
    <w:rsid w:val="007A4885"/>
    <w:rsid w:val="007A4A6F"/>
    <w:rsid w:val="007A50EA"/>
    <w:rsid w:val="007A5CE9"/>
    <w:rsid w:val="007A6AC2"/>
    <w:rsid w:val="007A6EA2"/>
    <w:rsid w:val="007A78A4"/>
    <w:rsid w:val="007B1A4A"/>
    <w:rsid w:val="007B1A93"/>
    <w:rsid w:val="007B2222"/>
    <w:rsid w:val="007B2D97"/>
    <w:rsid w:val="007B59B3"/>
    <w:rsid w:val="007B6407"/>
    <w:rsid w:val="007B6663"/>
    <w:rsid w:val="007B68C2"/>
    <w:rsid w:val="007B705C"/>
    <w:rsid w:val="007B76A6"/>
    <w:rsid w:val="007B7F16"/>
    <w:rsid w:val="007C1133"/>
    <w:rsid w:val="007C338A"/>
    <w:rsid w:val="007C36C9"/>
    <w:rsid w:val="007C5122"/>
    <w:rsid w:val="007C54E1"/>
    <w:rsid w:val="007C5A3E"/>
    <w:rsid w:val="007C6069"/>
    <w:rsid w:val="007C63A3"/>
    <w:rsid w:val="007C6CF0"/>
    <w:rsid w:val="007C7ADB"/>
    <w:rsid w:val="007C7E32"/>
    <w:rsid w:val="007D0A04"/>
    <w:rsid w:val="007D18E3"/>
    <w:rsid w:val="007D1C72"/>
    <w:rsid w:val="007D2B0C"/>
    <w:rsid w:val="007D2B9E"/>
    <w:rsid w:val="007D2F5A"/>
    <w:rsid w:val="007D3B04"/>
    <w:rsid w:val="007D606C"/>
    <w:rsid w:val="007D6401"/>
    <w:rsid w:val="007D696E"/>
    <w:rsid w:val="007D6D5C"/>
    <w:rsid w:val="007D743D"/>
    <w:rsid w:val="007E01E4"/>
    <w:rsid w:val="007E0D48"/>
    <w:rsid w:val="007E1AF3"/>
    <w:rsid w:val="007E3938"/>
    <w:rsid w:val="007E3C8B"/>
    <w:rsid w:val="007E576D"/>
    <w:rsid w:val="007E5AB6"/>
    <w:rsid w:val="007E759D"/>
    <w:rsid w:val="007E7A12"/>
    <w:rsid w:val="007F0980"/>
    <w:rsid w:val="007F105E"/>
    <w:rsid w:val="007F14F6"/>
    <w:rsid w:val="007F15D8"/>
    <w:rsid w:val="007F18A1"/>
    <w:rsid w:val="007F20B4"/>
    <w:rsid w:val="007F26A1"/>
    <w:rsid w:val="007F29C6"/>
    <w:rsid w:val="007F319E"/>
    <w:rsid w:val="007F4CFE"/>
    <w:rsid w:val="007F6AA5"/>
    <w:rsid w:val="007F7107"/>
    <w:rsid w:val="00800D4C"/>
    <w:rsid w:val="00800F79"/>
    <w:rsid w:val="008019F5"/>
    <w:rsid w:val="00802440"/>
    <w:rsid w:val="00802A0A"/>
    <w:rsid w:val="00802C7B"/>
    <w:rsid w:val="00803529"/>
    <w:rsid w:val="008041F6"/>
    <w:rsid w:val="00804940"/>
    <w:rsid w:val="00805399"/>
    <w:rsid w:val="00805F52"/>
    <w:rsid w:val="00806DB6"/>
    <w:rsid w:val="0080756B"/>
    <w:rsid w:val="0081030F"/>
    <w:rsid w:val="00811218"/>
    <w:rsid w:val="00812218"/>
    <w:rsid w:val="00812D2B"/>
    <w:rsid w:val="00812F4A"/>
    <w:rsid w:val="0081364A"/>
    <w:rsid w:val="0081557D"/>
    <w:rsid w:val="008158DA"/>
    <w:rsid w:val="00815EA5"/>
    <w:rsid w:val="00816B2E"/>
    <w:rsid w:val="008171E2"/>
    <w:rsid w:val="0082065E"/>
    <w:rsid w:val="0082087D"/>
    <w:rsid w:val="00820AB7"/>
    <w:rsid w:val="008218B9"/>
    <w:rsid w:val="00821AF4"/>
    <w:rsid w:val="008223EE"/>
    <w:rsid w:val="00822479"/>
    <w:rsid w:val="00822B8A"/>
    <w:rsid w:val="00823180"/>
    <w:rsid w:val="00824896"/>
    <w:rsid w:val="008248E7"/>
    <w:rsid w:val="00824DB3"/>
    <w:rsid w:val="008252AC"/>
    <w:rsid w:val="008256C5"/>
    <w:rsid w:val="00825ECB"/>
    <w:rsid w:val="00826564"/>
    <w:rsid w:val="00826928"/>
    <w:rsid w:val="008277AD"/>
    <w:rsid w:val="00827CDA"/>
    <w:rsid w:val="00830240"/>
    <w:rsid w:val="008308DF"/>
    <w:rsid w:val="00830CE5"/>
    <w:rsid w:val="00831CE8"/>
    <w:rsid w:val="00832A44"/>
    <w:rsid w:val="00832B48"/>
    <w:rsid w:val="008331C8"/>
    <w:rsid w:val="008332DA"/>
    <w:rsid w:val="008336E1"/>
    <w:rsid w:val="0083411A"/>
    <w:rsid w:val="00835312"/>
    <w:rsid w:val="008355CB"/>
    <w:rsid w:val="008356D3"/>
    <w:rsid w:val="00835771"/>
    <w:rsid w:val="008359AB"/>
    <w:rsid w:val="00835F78"/>
    <w:rsid w:val="008377BC"/>
    <w:rsid w:val="00837E7B"/>
    <w:rsid w:val="00840EF6"/>
    <w:rsid w:val="00841039"/>
    <w:rsid w:val="0084132A"/>
    <w:rsid w:val="00841674"/>
    <w:rsid w:val="00841B44"/>
    <w:rsid w:val="00841C89"/>
    <w:rsid w:val="00841F1F"/>
    <w:rsid w:val="008424DF"/>
    <w:rsid w:val="0084291D"/>
    <w:rsid w:val="00842933"/>
    <w:rsid w:val="00843510"/>
    <w:rsid w:val="00843669"/>
    <w:rsid w:val="008439D0"/>
    <w:rsid w:val="00843A47"/>
    <w:rsid w:val="00845978"/>
    <w:rsid w:val="00845B1F"/>
    <w:rsid w:val="00847F95"/>
    <w:rsid w:val="0085019A"/>
    <w:rsid w:val="00850358"/>
    <w:rsid w:val="00850996"/>
    <w:rsid w:val="00851985"/>
    <w:rsid w:val="008526FB"/>
    <w:rsid w:val="00853F24"/>
    <w:rsid w:val="00854617"/>
    <w:rsid w:val="00855144"/>
    <w:rsid w:val="00855FFB"/>
    <w:rsid w:val="008564B9"/>
    <w:rsid w:val="00857805"/>
    <w:rsid w:val="0086082C"/>
    <w:rsid w:val="00860B19"/>
    <w:rsid w:val="00862C6B"/>
    <w:rsid w:val="00863557"/>
    <w:rsid w:val="00863BA0"/>
    <w:rsid w:val="008641EE"/>
    <w:rsid w:val="0086484F"/>
    <w:rsid w:val="00864ADC"/>
    <w:rsid w:val="00864E05"/>
    <w:rsid w:val="00866419"/>
    <w:rsid w:val="00867DF7"/>
    <w:rsid w:val="00870A83"/>
    <w:rsid w:val="00871392"/>
    <w:rsid w:val="008716B3"/>
    <w:rsid w:val="00871A8D"/>
    <w:rsid w:val="008732A0"/>
    <w:rsid w:val="00873E51"/>
    <w:rsid w:val="00874C79"/>
    <w:rsid w:val="008750A9"/>
    <w:rsid w:val="008750BC"/>
    <w:rsid w:val="00875D01"/>
    <w:rsid w:val="00876035"/>
    <w:rsid w:val="0087652F"/>
    <w:rsid w:val="00876BAF"/>
    <w:rsid w:val="008770AF"/>
    <w:rsid w:val="00880153"/>
    <w:rsid w:val="00880F97"/>
    <w:rsid w:val="0088133A"/>
    <w:rsid w:val="00881E95"/>
    <w:rsid w:val="0088227B"/>
    <w:rsid w:val="00882C85"/>
    <w:rsid w:val="00883662"/>
    <w:rsid w:val="0088398D"/>
    <w:rsid w:val="008859BC"/>
    <w:rsid w:val="008861E0"/>
    <w:rsid w:val="00886662"/>
    <w:rsid w:val="008866BC"/>
    <w:rsid w:val="008868FD"/>
    <w:rsid w:val="008910EC"/>
    <w:rsid w:val="0089285E"/>
    <w:rsid w:val="00892A16"/>
    <w:rsid w:val="00892CAE"/>
    <w:rsid w:val="00894308"/>
    <w:rsid w:val="0089436C"/>
    <w:rsid w:val="00894512"/>
    <w:rsid w:val="0089579C"/>
    <w:rsid w:val="008A0178"/>
    <w:rsid w:val="008A0C1B"/>
    <w:rsid w:val="008A11F3"/>
    <w:rsid w:val="008A1345"/>
    <w:rsid w:val="008A25E4"/>
    <w:rsid w:val="008A301D"/>
    <w:rsid w:val="008A3277"/>
    <w:rsid w:val="008A37F0"/>
    <w:rsid w:val="008A3F98"/>
    <w:rsid w:val="008A434F"/>
    <w:rsid w:val="008A46F3"/>
    <w:rsid w:val="008A5942"/>
    <w:rsid w:val="008A5B79"/>
    <w:rsid w:val="008A6535"/>
    <w:rsid w:val="008B01AD"/>
    <w:rsid w:val="008B0632"/>
    <w:rsid w:val="008B0BAA"/>
    <w:rsid w:val="008B1604"/>
    <w:rsid w:val="008B1936"/>
    <w:rsid w:val="008B2A36"/>
    <w:rsid w:val="008B30E1"/>
    <w:rsid w:val="008B4236"/>
    <w:rsid w:val="008B4601"/>
    <w:rsid w:val="008B4CBB"/>
    <w:rsid w:val="008B56F4"/>
    <w:rsid w:val="008B5978"/>
    <w:rsid w:val="008B6022"/>
    <w:rsid w:val="008B74F9"/>
    <w:rsid w:val="008B7645"/>
    <w:rsid w:val="008B7C72"/>
    <w:rsid w:val="008C0FBE"/>
    <w:rsid w:val="008C103A"/>
    <w:rsid w:val="008C38D0"/>
    <w:rsid w:val="008C4554"/>
    <w:rsid w:val="008C4A44"/>
    <w:rsid w:val="008C63F9"/>
    <w:rsid w:val="008C6AE1"/>
    <w:rsid w:val="008D13A8"/>
    <w:rsid w:val="008D13F8"/>
    <w:rsid w:val="008D1CA2"/>
    <w:rsid w:val="008D31E8"/>
    <w:rsid w:val="008D365C"/>
    <w:rsid w:val="008D3CF5"/>
    <w:rsid w:val="008D3FBD"/>
    <w:rsid w:val="008D4715"/>
    <w:rsid w:val="008D570C"/>
    <w:rsid w:val="008D594B"/>
    <w:rsid w:val="008D6DB0"/>
    <w:rsid w:val="008D70B0"/>
    <w:rsid w:val="008D740F"/>
    <w:rsid w:val="008D7622"/>
    <w:rsid w:val="008E0720"/>
    <w:rsid w:val="008E0D48"/>
    <w:rsid w:val="008E169E"/>
    <w:rsid w:val="008E1C90"/>
    <w:rsid w:val="008E3B47"/>
    <w:rsid w:val="008E3E3F"/>
    <w:rsid w:val="008E4CB8"/>
    <w:rsid w:val="008E6112"/>
    <w:rsid w:val="008E67DF"/>
    <w:rsid w:val="008E6EA5"/>
    <w:rsid w:val="008E75BF"/>
    <w:rsid w:val="008E7B61"/>
    <w:rsid w:val="008F0957"/>
    <w:rsid w:val="008F0DC9"/>
    <w:rsid w:val="008F1E7E"/>
    <w:rsid w:val="008F2EC6"/>
    <w:rsid w:val="008F2F0D"/>
    <w:rsid w:val="008F38B0"/>
    <w:rsid w:val="008F446F"/>
    <w:rsid w:val="008F473C"/>
    <w:rsid w:val="008F4AD7"/>
    <w:rsid w:val="008F4B3B"/>
    <w:rsid w:val="008F4C59"/>
    <w:rsid w:val="008F6893"/>
    <w:rsid w:val="008F73DF"/>
    <w:rsid w:val="008F74B5"/>
    <w:rsid w:val="00900D9B"/>
    <w:rsid w:val="009018CC"/>
    <w:rsid w:val="009021A6"/>
    <w:rsid w:val="00902C82"/>
    <w:rsid w:val="009030BF"/>
    <w:rsid w:val="00903B52"/>
    <w:rsid w:val="00903BC9"/>
    <w:rsid w:val="009044F3"/>
    <w:rsid w:val="00904F65"/>
    <w:rsid w:val="00905D78"/>
    <w:rsid w:val="0091032F"/>
    <w:rsid w:val="00911610"/>
    <w:rsid w:val="00911E1D"/>
    <w:rsid w:val="00913385"/>
    <w:rsid w:val="009141BF"/>
    <w:rsid w:val="00914269"/>
    <w:rsid w:val="00914368"/>
    <w:rsid w:val="00914592"/>
    <w:rsid w:val="00915482"/>
    <w:rsid w:val="00917A49"/>
    <w:rsid w:val="00922215"/>
    <w:rsid w:val="00922975"/>
    <w:rsid w:val="00923356"/>
    <w:rsid w:val="00923A1E"/>
    <w:rsid w:val="00924CD6"/>
    <w:rsid w:val="00925104"/>
    <w:rsid w:val="00925DCC"/>
    <w:rsid w:val="00926715"/>
    <w:rsid w:val="00926D1D"/>
    <w:rsid w:val="009274AC"/>
    <w:rsid w:val="00931076"/>
    <w:rsid w:val="00931822"/>
    <w:rsid w:val="00931F0E"/>
    <w:rsid w:val="00932DC5"/>
    <w:rsid w:val="009345D9"/>
    <w:rsid w:val="009348B6"/>
    <w:rsid w:val="00934973"/>
    <w:rsid w:val="00934B15"/>
    <w:rsid w:val="00937271"/>
    <w:rsid w:val="00940A06"/>
    <w:rsid w:val="00940C87"/>
    <w:rsid w:val="00941398"/>
    <w:rsid w:val="009414AD"/>
    <w:rsid w:val="0094239B"/>
    <w:rsid w:val="00942B62"/>
    <w:rsid w:val="00943DA4"/>
    <w:rsid w:val="00944A1E"/>
    <w:rsid w:val="009459CD"/>
    <w:rsid w:val="0095091E"/>
    <w:rsid w:val="00950A17"/>
    <w:rsid w:val="00951AA3"/>
    <w:rsid w:val="00951F7F"/>
    <w:rsid w:val="00952160"/>
    <w:rsid w:val="00952776"/>
    <w:rsid w:val="0095323B"/>
    <w:rsid w:val="009537C4"/>
    <w:rsid w:val="00956A0C"/>
    <w:rsid w:val="00956BD9"/>
    <w:rsid w:val="00957390"/>
    <w:rsid w:val="009605D0"/>
    <w:rsid w:val="00960893"/>
    <w:rsid w:val="00961DDA"/>
    <w:rsid w:val="00962489"/>
    <w:rsid w:val="0096264F"/>
    <w:rsid w:val="00964EEF"/>
    <w:rsid w:val="00964FD1"/>
    <w:rsid w:val="0096575D"/>
    <w:rsid w:val="00966535"/>
    <w:rsid w:val="00967CD3"/>
    <w:rsid w:val="00970449"/>
    <w:rsid w:val="00970669"/>
    <w:rsid w:val="00970D36"/>
    <w:rsid w:val="009720BC"/>
    <w:rsid w:val="009736A7"/>
    <w:rsid w:val="00973C33"/>
    <w:rsid w:val="00973F30"/>
    <w:rsid w:val="00973FBA"/>
    <w:rsid w:val="00974FAF"/>
    <w:rsid w:val="009763A7"/>
    <w:rsid w:val="0097653B"/>
    <w:rsid w:val="0097671C"/>
    <w:rsid w:val="00977284"/>
    <w:rsid w:val="009778F9"/>
    <w:rsid w:val="00984BC5"/>
    <w:rsid w:val="00984E2E"/>
    <w:rsid w:val="00985D65"/>
    <w:rsid w:val="009864A1"/>
    <w:rsid w:val="009871A4"/>
    <w:rsid w:val="00990074"/>
    <w:rsid w:val="009900C6"/>
    <w:rsid w:val="00990C2C"/>
    <w:rsid w:val="0099162A"/>
    <w:rsid w:val="00991DC9"/>
    <w:rsid w:val="00992325"/>
    <w:rsid w:val="00992520"/>
    <w:rsid w:val="00992D99"/>
    <w:rsid w:val="00992E2B"/>
    <w:rsid w:val="0099347B"/>
    <w:rsid w:val="0099366D"/>
    <w:rsid w:val="009945A7"/>
    <w:rsid w:val="009952D4"/>
    <w:rsid w:val="009958BA"/>
    <w:rsid w:val="00995A8D"/>
    <w:rsid w:val="00997DEF"/>
    <w:rsid w:val="009A13D6"/>
    <w:rsid w:val="009A1FAC"/>
    <w:rsid w:val="009A2292"/>
    <w:rsid w:val="009A24D9"/>
    <w:rsid w:val="009A25D7"/>
    <w:rsid w:val="009A2880"/>
    <w:rsid w:val="009A2E8D"/>
    <w:rsid w:val="009A2F39"/>
    <w:rsid w:val="009A3692"/>
    <w:rsid w:val="009A37CF"/>
    <w:rsid w:val="009A4236"/>
    <w:rsid w:val="009A5013"/>
    <w:rsid w:val="009A5171"/>
    <w:rsid w:val="009A56D6"/>
    <w:rsid w:val="009A6BCA"/>
    <w:rsid w:val="009A6E12"/>
    <w:rsid w:val="009A7EDA"/>
    <w:rsid w:val="009B3540"/>
    <w:rsid w:val="009B3579"/>
    <w:rsid w:val="009B4038"/>
    <w:rsid w:val="009B520C"/>
    <w:rsid w:val="009B68FE"/>
    <w:rsid w:val="009B6A65"/>
    <w:rsid w:val="009B6E76"/>
    <w:rsid w:val="009C07CA"/>
    <w:rsid w:val="009C09AB"/>
    <w:rsid w:val="009C1FA2"/>
    <w:rsid w:val="009C20EE"/>
    <w:rsid w:val="009C2630"/>
    <w:rsid w:val="009C35CF"/>
    <w:rsid w:val="009C3967"/>
    <w:rsid w:val="009C51A7"/>
    <w:rsid w:val="009C55A4"/>
    <w:rsid w:val="009C5B6C"/>
    <w:rsid w:val="009C6DCB"/>
    <w:rsid w:val="009C7466"/>
    <w:rsid w:val="009C7C18"/>
    <w:rsid w:val="009D03CE"/>
    <w:rsid w:val="009D0836"/>
    <w:rsid w:val="009D0BBB"/>
    <w:rsid w:val="009D11F3"/>
    <w:rsid w:val="009D15E2"/>
    <w:rsid w:val="009D19B4"/>
    <w:rsid w:val="009D36BA"/>
    <w:rsid w:val="009D39E3"/>
    <w:rsid w:val="009D3B56"/>
    <w:rsid w:val="009D45BA"/>
    <w:rsid w:val="009D4992"/>
    <w:rsid w:val="009D4BF4"/>
    <w:rsid w:val="009D5A97"/>
    <w:rsid w:val="009D724F"/>
    <w:rsid w:val="009E1065"/>
    <w:rsid w:val="009E14E2"/>
    <w:rsid w:val="009E1844"/>
    <w:rsid w:val="009E1A4D"/>
    <w:rsid w:val="009E1BFC"/>
    <w:rsid w:val="009E259C"/>
    <w:rsid w:val="009E2E06"/>
    <w:rsid w:val="009E2E26"/>
    <w:rsid w:val="009E37CA"/>
    <w:rsid w:val="009E4140"/>
    <w:rsid w:val="009E510A"/>
    <w:rsid w:val="009E64A9"/>
    <w:rsid w:val="009E695D"/>
    <w:rsid w:val="009E708A"/>
    <w:rsid w:val="009E73A6"/>
    <w:rsid w:val="009F013B"/>
    <w:rsid w:val="009F0622"/>
    <w:rsid w:val="009F078C"/>
    <w:rsid w:val="009F0D1B"/>
    <w:rsid w:val="009F0D55"/>
    <w:rsid w:val="009F1C21"/>
    <w:rsid w:val="009F2D77"/>
    <w:rsid w:val="009F2E74"/>
    <w:rsid w:val="009F3363"/>
    <w:rsid w:val="009F39B9"/>
    <w:rsid w:val="009F3B0B"/>
    <w:rsid w:val="009F3CEF"/>
    <w:rsid w:val="009F465F"/>
    <w:rsid w:val="009F47CE"/>
    <w:rsid w:val="009F48A4"/>
    <w:rsid w:val="009F5BBD"/>
    <w:rsid w:val="009F6280"/>
    <w:rsid w:val="009F696D"/>
    <w:rsid w:val="009F6BC6"/>
    <w:rsid w:val="009F72E2"/>
    <w:rsid w:val="009F73B0"/>
    <w:rsid w:val="009F74EF"/>
    <w:rsid w:val="009F79A9"/>
    <w:rsid w:val="00A000A8"/>
    <w:rsid w:val="00A00576"/>
    <w:rsid w:val="00A005D5"/>
    <w:rsid w:val="00A01917"/>
    <w:rsid w:val="00A02739"/>
    <w:rsid w:val="00A02826"/>
    <w:rsid w:val="00A02C16"/>
    <w:rsid w:val="00A02EAD"/>
    <w:rsid w:val="00A02FBD"/>
    <w:rsid w:val="00A03341"/>
    <w:rsid w:val="00A033BD"/>
    <w:rsid w:val="00A04095"/>
    <w:rsid w:val="00A04517"/>
    <w:rsid w:val="00A04754"/>
    <w:rsid w:val="00A05FB9"/>
    <w:rsid w:val="00A062C3"/>
    <w:rsid w:val="00A06968"/>
    <w:rsid w:val="00A06E0D"/>
    <w:rsid w:val="00A105D2"/>
    <w:rsid w:val="00A1258F"/>
    <w:rsid w:val="00A134F4"/>
    <w:rsid w:val="00A13C73"/>
    <w:rsid w:val="00A15D5A"/>
    <w:rsid w:val="00A160EB"/>
    <w:rsid w:val="00A17328"/>
    <w:rsid w:val="00A17A28"/>
    <w:rsid w:val="00A17BA2"/>
    <w:rsid w:val="00A20974"/>
    <w:rsid w:val="00A20A13"/>
    <w:rsid w:val="00A2145E"/>
    <w:rsid w:val="00A229FA"/>
    <w:rsid w:val="00A22F5D"/>
    <w:rsid w:val="00A23A20"/>
    <w:rsid w:val="00A24443"/>
    <w:rsid w:val="00A2445A"/>
    <w:rsid w:val="00A24EF7"/>
    <w:rsid w:val="00A26606"/>
    <w:rsid w:val="00A268B9"/>
    <w:rsid w:val="00A2703A"/>
    <w:rsid w:val="00A2730B"/>
    <w:rsid w:val="00A276E6"/>
    <w:rsid w:val="00A27C56"/>
    <w:rsid w:val="00A30C2F"/>
    <w:rsid w:val="00A30E44"/>
    <w:rsid w:val="00A3158D"/>
    <w:rsid w:val="00A31D29"/>
    <w:rsid w:val="00A31EBA"/>
    <w:rsid w:val="00A33BE1"/>
    <w:rsid w:val="00A33DFF"/>
    <w:rsid w:val="00A3498A"/>
    <w:rsid w:val="00A35115"/>
    <w:rsid w:val="00A36D9A"/>
    <w:rsid w:val="00A373A3"/>
    <w:rsid w:val="00A37D1E"/>
    <w:rsid w:val="00A4048E"/>
    <w:rsid w:val="00A4065C"/>
    <w:rsid w:val="00A40A8D"/>
    <w:rsid w:val="00A40FF8"/>
    <w:rsid w:val="00A422BB"/>
    <w:rsid w:val="00A42E8A"/>
    <w:rsid w:val="00A43E27"/>
    <w:rsid w:val="00A44449"/>
    <w:rsid w:val="00A45107"/>
    <w:rsid w:val="00A451DC"/>
    <w:rsid w:val="00A465BD"/>
    <w:rsid w:val="00A46E8A"/>
    <w:rsid w:val="00A4735E"/>
    <w:rsid w:val="00A532A4"/>
    <w:rsid w:val="00A53BC1"/>
    <w:rsid w:val="00A541AB"/>
    <w:rsid w:val="00A544F4"/>
    <w:rsid w:val="00A55422"/>
    <w:rsid w:val="00A55449"/>
    <w:rsid w:val="00A554AB"/>
    <w:rsid w:val="00A55783"/>
    <w:rsid w:val="00A5653E"/>
    <w:rsid w:val="00A57062"/>
    <w:rsid w:val="00A5737B"/>
    <w:rsid w:val="00A579D3"/>
    <w:rsid w:val="00A57B29"/>
    <w:rsid w:val="00A604D0"/>
    <w:rsid w:val="00A61D3B"/>
    <w:rsid w:val="00A6234F"/>
    <w:rsid w:val="00A62AB6"/>
    <w:rsid w:val="00A645EF"/>
    <w:rsid w:val="00A65798"/>
    <w:rsid w:val="00A657BC"/>
    <w:rsid w:val="00A659BF"/>
    <w:rsid w:val="00A6645E"/>
    <w:rsid w:val="00A6669B"/>
    <w:rsid w:val="00A66ABD"/>
    <w:rsid w:val="00A66F15"/>
    <w:rsid w:val="00A67781"/>
    <w:rsid w:val="00A677F6"/>
    <w:rsid w:val="00A67851"/>
    <w:rsid w:val="00A70C9B"/>
    <w:rsid w:val="00A721AB"/>
    <w:rsid w:val="00A73035"/>
    <w:rsid w:val="00A74379"/>
    <w:rsid w:val="00A74BAE"/>
    <w:rsid w:val="00A75474"/>
    <w:rsid w:val="00A75E45"/>
    <w:rsid w:val="00A7601E"/>
    <w:rsid w:val="00A761F9"/>
    <w:rsid w:val="00A762EB"/>
    <w:rsid w:val="00A7662F"/>
    <w:rsid w:val="00A767A5"/>
    <w:rsid w:val="00A77BC9"/>
    <w:rsid w:val="00A822C9"/>
    <w:rsid w:val="00A834EA"/>
    <w:rsid w:val="00A84889"/>
    <w:rsid w:val="00A849CC"/>
    <w:rsid w:val="00A8533A"/>
    <w:rsid w:val="00A8652F"/>
    <w:rsid w:val="00A86ABF"/>
    <w:rsid w:val="00A87172"/>
    <w:rsid w:val="00A8718D"/>
    <w:rsid w:val="00A8761E"/>
    <w:rsid w:val="00A9006A"/>
    <w:rsid w:val="00A90972"/>
    <w:rsid w:val="00A91D20"/>
    <w:rsid w:val="00A91EAF"/>
    <w:rsid w:val="00A92B53"/>
    <w:rsid w:val="00A92B87"/>
    <w:rsid w:val="00A92D89"/>
    <w:rsid w:val="00A93108"/>
    <w:rsid w:val="00A931E6"/>
    <w:rsid w:val="00A93B4F"/>
    <w:rsid w:val="00A94C39"/>
    <w:rsid w:val="00A94FA6"/>
    <w:rsid w:val="00A9564B"/>
    <w:rsid w:val="00A95F42"/>
    <w:rsid w:val="00A97CDB"/>
    <w:rsid w:val="00AA0437"/>
    <w:rsid w:val="00AA0AD5"/>
    <w:rsid w:val="00AA0BAA"/>
    <w:rsid w:val="00AA103B"/>
    <w:rsid w:val="00AA142B"/>
    <w:rsid w:val="00AA16F8"/>
    <w:rsid w:val="00AA2362"/>
    <w:rsid w:val="00AA23AC"/>
    <w:rsid w:val="00AA2521"/>
    <w:rsid w:val="00AA2F51"/>
    <w:rsid w:val="00AA3033"/>
    <w:rsid w:val="00AA3753"/>
    <w:rsid w:val="00AA381F"/>
    <w:rsid w:val="00AA3AE1"/>
    <w:rsid w:val="00AA3C7B"/>
    <w:rsid w:val="00AA3E9F"/>
    <w:rsid w:val="00AA433B"/>
    <w:rsid w:val="00AA477E"/>
    <w:rsid w:val="00AA49A0"/>
    <w:rsid w:val="00AA5057"/>
    <w:rsid w:val="00AA54EB"/>
    <w:rsid w:val="00AA66B0"/>
    <w:rsid w:val="00AA6710"/>
    <w:rsid w:val="00AA6F35"/>
    <w:rsid w:val="00AB00D8"/>
    <w:rsid w:val="00AB0681"/>
    <w:rsid w:val="00AB129A"/>
    <w:rsid w:val="00AB188D"/>
    <w:rsid w:val="00AB1ACD"/>
    <w:rsid w:val="00AB2483"/>
    <w:rsid w:val="00AB303F"/>
    <w:rsid w:val="00AB3135"/>
    <w:rsid w:val="00AB4294"/>
    <w:rsid w:val="00AB42F5"/>
    <w:rsid w:val="00AB5312"/>
    <w:rsid w:val="00AB558B"/>
    <w:rsid w:val="00AB597F"/>
    <w:rsid w:val="00AB70E9"/>
    <w:rsid w:val="00AB7467"/>
    <w:rsid w:val="00AC15F9"/>
    <w:rsid w:val="00AC1893"/>
    <w:rsid w:val="00AC1FB4"/>
    <w:rsid w:val="00AC3225"/>
    <w:rsid w:val="00AC3A15"/>
    <w:rsid w:val="00AC3D21"/>
    <w:rsid w:val="00AC502B"/>
    <w:rsid w:val="00AC5DF5"/>
    <w:rsid w:val="00AC6AAA"/>
    <w:rsid w:val="00AC78CE"/>
    <w:rsid w:val="00AC7EF9"/>
    <w:rsid w:val="00AD0428"/>
    <w:rsid w:val="00AD0FA9"/>
    <w:rsid w:val="00AD20D2"/>
    <w:rsid w:val="00AD228E"/>
    <w:rsid w:val="00AD337A"/>
    <w:rsid w:val="00AD34A5"/>
    <w:rsid w:val="00AD4F24"/>
    <w:rsid w:val="00AD520B"/>
    <w:rsid w:val="00AD53B7"/>
    <w:rsid w:val="00AD6040"/>
    <w:rsid w:val="00AD680B"/>
    <w:rsid w:val="00AD6D80"/>
    <w:rsid w:val="00AD728B"/>
    <w:rsid w:val="00AD79B1"/>
    <w:rsid w:val="00AD7BD7"/>
    <w:rsid w:val="00AD7ECA"/>
    <w:rsid w:val="00AE0089"/>
    <w:rsid w:val="00AE0D35"/>
    <w:rsid w:val="00AE2083"/>
    <w:rsid w:val="00AE33C8"/>
    <w:rsid w:val="00AE3BA8"/>
    <w:rsid w:val="00AE3BCC"/>
    <w:rsid w:val="00AE4267"/>
    <w:rsid w:val="00AE4773"/>
    <w:rsid w:val="00AE4E71"/>
    <w:rsid w:val="00AE58C6"/>
    <w:rsid w:val="00AE5920"/>
    <w:rsid w:val="00AE5F1A"/>
    <w:rsid w:val="00AE63CE"/>
    <w:rsid w:val="00AE710C"/>
    <w:rsid w:val="00AF06C5"/>
    <w:rsid w:val="00AF14FB"/>
    <w:rsid w:val="00AF1B4B"/>
    <w:rsid w:val="00AF1DF3"/>
    <w:rsid w:val="00AF2318"/>
    <w:rsid w:val="00AF2C44"/>
    <w:rsid w:val="00AF3115"/>
    <w:rsid w:val="00AF369D"/>
    <w:rsid w:val="00AF3D9B"/>
    <w:rsid w:val="00AF3F1D"/>
    <w:rsid w:val="00AF4D26"/>
    <w:rsid w:val="00AF569A"/>
    <w:rsid w:val="00AF64C9"/>
    <w:rsid w:val="00AF64D8"/>
    <w:rsid w:val="00AF6939"/>
    <w:rsid w:val="00AF6FB3"/>
    <w:rsid w:val="00AF70DC"/>
    <w:rsid w:val="00AF71DD"/>
    <w:rsid w:val="00B001E6"/>
    <w:rsid w:val="00B01277"/>
    <w:rsid w:val="00B018C0"/>
    <w:rsid w:val="00B01DEF"/>
    <w:rsid w:val="00B0225B"/>
    <w:rsid w:val="00B02838"/>
    <w:rsid w:val="00B03A2E"/>
    <w:rsid w:val="00B05F30"/>
    <w:rsid w:val="00B07128"/>
    <w:rsid w:val="00B077E3"/>
    <w:rsid w:val="00B07A9F"/>
    <w:rsid w:val="00B07E61"/>
    <w:rsid w:val="00B10AEE"/>
    <w:rsid w:val="00B136BE"/>
    <w:rsid w:val="00B13BE3"/>
    <w:rsid w:val="00B13EB2"/>
    <w:rsid w:val="00B149B7"/>
    <w:rsid w:val="00B20F86"/>
    <w:rsid w:val="00B21045"/>
    <w:rsid w:val="00B21303"/>
    <w:rsid w:val="00B21D54"/>
    <w:rsid w:val="00B21E34"/>
    <w:rsid w:val="00B22261"/>
    <w:rsid w:val="00B223AB"/>
    <w:rsid w:val="00B22AC7"/>
    <w:rsid w:val="00B23165"/>
    <w:rsid w:val="00B231E2"/>
    <w:rsid w:val="00B239A1"/>
    <w:rsid w:val="00B23E31"/>
    <w:rsid w:val="00B268BD"/>
    <w:rsid w:val="00B268EF"/>
    <w:rsid w:val="00B275DF"/>
    <w:rsid w:val="00B27A17"/>
    <w:rsid w:val="00B27BFF"/>
    <w:rsid w:val="00B30454"/>
    <w:rsid w:val="00B3060F"/>
    <w:rsid w:val="00B32363"/>
    <w:rsid w:val="00B33424"/>
    <w:rsid w:val="00B33955"/>
    <w:rsid w:val="00B340AE"/>
    <w:rsid w:val="00B3664A"/>
    <w:rsid w:val="00B40C50"/>
    <w:rsid w:val="00B41D3B"/>
    <w:rsid w:val="00B425C3"/>
    <w:rsid w:val="00B4268C"/>
    <w:rsid w:val="00B42CCA"/>
    <w:rsid w:val="00B42E00"/>
    <w:rsid w:val="00B43000"/>
    <w:rsid w:val="00B430DE"/>
    <w:rsid w:val="00B435B4"/>
    <w:rsid w:val="00B43D67"/>
    <w:rsid w:val="00B440AD"/>
    <w:rsid w:val="00B44379"/>
    <w:rsid w:val="00B45C86"/>
    <w:rsid w:val="00B47173"/>
    <w:rsid w:val="00B474A7"/>
    <w:rsid w:val="00B4759D"/>
    <w:rsid w:val="00B479BB"/>
    <w:rsid w:val="00B50BDD"/>
    <w:rsid w:val="00B51934"/>
    <w:rsid w:val="00B5193E"/>
    <w:rsid w:val="00B5368A"/>
    <w:rsid w:val="00B53E7E"/>
    <w:rsid w:val="00B541A1"/>
    <w:rsid w:val="00B5677E"/>
    <w:rsid w:val="00B56FC2"/>
    <w:rsid w:val="00B57CFA"/>
    <w:rsid w:val="00B61B3E"/>
    <w:rsid w:val="00B62B18"/>
    <w:rsid w:val="00B630CC"/>
    <w:rsid w:val="00B6342E"/>
    <w:rsid w:val="00B6373B"/>
    <w:rsid w:val="00B648C0"/>
    <w:rsid w:val="00B64F2C"/>
    <w:rsid w:val="00B65DF6"/>
    <w:rsid w:val="00B65FE9"/>
    <w:rsid w:val="00B70E50"/>
    <w:rsid w:val="00B7113F"/>
    <w:rsid w:val="00B71EB5"/>
    <w:rsid w:val="00B72DA7"/>
    <w:rsid w:val="00B73151"/>
    <w:rsid w:val="00B741F1"/>
    <w:rsid w:val="00B74CC5"/>
    <w:rsid w:val="00B74F31"/>
    <w:rsid w:val="00B75241"/>
    <w:rsid w:val="00B75695"/>
    <w:rsid w:val="00B76512"/>
    <w:rsid w:val="00B776E4"/>
    <w:rsid w:val="00B777FF"/>
    <w:rsid w:val="00B77E4E"/>
    <w:rsid w:val="00B80F14"/>
    <w:rsid w:val="00B84E45"/>
    <w:rsid w:val="00B863DC"/>
    <w:rsid w:val="00B867AB"/>
    <w:rsid w:val="00B8766B"/>
    <w:rsid w:val="00B91D7D"/>
    <w:rsid w:val="00B92DF2"/>
    <w:rsid w:val="00B93ACE"/>
    <w:rsid w:val="00B93C35"/>
    <w:rsid w:val="00B93EDD"/>
    <w:rsid w:val="00B94E17"/>
    <w:rsid w:val="00B9536A"/>
    <w:rsid w:val="00B9567B"/>
    <w:rsid w:val="00B96BA9"/>
    <w:rsid w:val="00B96D43"/>
    <w:rsid w:val="00BA0215"/>
    <w:rsid w:val="00BA08AA"/>
    <w:rsid w:val="00BA2119"/>
    <w:rsid w:val="00BA2BCF"/>
    <w:rsid w:val="00BA2DE8"/>
    <w:rsid w:val="00BA3696"/>
    <w:rsid w:val="00BA39FB"/>
    <w:rsid w:val="00BA4319"/>
    <w:rsid w:val="00BA4FD7"/>
    <w:rsid w:val="00BA552F"/>
    <w:rsid w:val="00BA562E"/>
    <w:rsid w:val="00BA5B14"/>
    <w:rsid w:val="00BA602C"/>
    <w:rsid w:val="00BA6C30"/>
    <w:rsid w:val="00BA73B6"/>
    <w:rsid w:val="00BA7E27"/>
    <w:rsid w:val="00BB018E"/>
    <w:rsid w:val="00BB0EE0"/>
    <w:rsid w:val="00BB2603"/>
    <w:rsid w:val="00BB38DB"/>
    <w:rsid w:val="00BB4F57"/>
    <w:rsid w:val="00BB4FCD"/>
    <w:rsid w:val="00BB527B"/>
    <w:rsid w:val="00BB653A"/>
    <w:rsid w:val="00BB6D6A"/>
    <w:rsid w:val="00BB7824"/>
    <w:rsid w:val="00BC0259"/>
    <w:rsid w:val="00BC04E9"/>
    <w:rsid w:val="00BC0684"/>
    <w:rsid w:val="00BC0860"/>
    <w:rsid w:val="00BC1BA3"/>
    <w:rsid w:val="00BC2852"/>
    <w:rsid w:val="00BC589E"/>
    <w:rsid w:val="00BC6732"/>
    <w:rsid w:val="00BC6E65"/>
    <w:rsid w:val="00BC709B"/>
    <w:rsid w:val="00BD02F6"/>
    <w:rsid w:val="00BD062B"/>
    <w:rsid w:val="00BD071E"/>
    <w:rsid w:val="00BD088B"/>
    <w:rsid w:val="00BD13C3"/>
    <w:rsid w:val="00BD13EA"/>
    <w:rsid w:val="00BD2EC1"/>
    <w:rsid w:val="00BD46C5"/>
    <w:rsid w:val="00BD6A87"/>
    <w:rsid w:val="00BD6DEC"/>
    <w:rsid w:val="00BD6F49"/>
    <w:rsid w:val="00BD7874"/>
    <w:rsid w:val="00BD7DE1"/>
    <w:rsid w:val="00BD7EFF"/>
    <w:rsid w:val="00BE06FD"/>
    <w:rsid w:val="00BE0C5E"/>
    <w:rsid w:val="00BE0CE7"/>
    <w:rsid w:val="00BE1504"/>
    <w:rsid w:val="00BE17EF"/>
    <w:rsid w:val="00BE196F"/>
    <w:rsid w:val="00BE1C40"/>
    <w:rsid w:val="00BE1D2B"/>
    <w:rsid w:val="00BE1DCF"/>
    <w:rsid w:val="00BE2426"/>
    <w:rsid w:val="00BE257E"/>
    <w:rsid w:val="00BE2C0D"/>
    <w:rsid w:val="00BE33EA"/>
    <w:rsid w:val="00BE3808"/>
    <w:rsid w:val="00BE3E8B"/>
    <w:rsid w:val="00BE409F"/>
    <w:rsid w:val="00BE50AE"/>
    <w:rsid w:val="00BE55D4"/>
    <w:rsid w:val="00BE5D49"/>
    <w:rsid w:val="00BE6CE9"/>
    <w:rsid w:val="00BE6F10"/>
    <w:rsid w:val="00BF0218"/>
    <w:rsid w:val="00BF0B6A"/>
    <w:rsid w:val="00BF0C6F"/>
    <w:rsid w:val="00BF0CD2"/>
    <w:rsid w:val="00BF22D9"/>
    <w:rsid w:val="00BF2424"/>
    <w:rsid w:val="00BF42FE"/>
    <w:rsid w:val="00BF5D49"/>
    <w:rsid w:val="00BF68CB"/>
    <w:rsid w:val="00C00222"/>
    <w:rsid w:val="00C0053E"/>
    <w:rsid w:val="00C00877"/>
    <w:rsid w:val="00C01F02"/>
    <w:rsid w:val="00C01F60"/>
    <w:rsid w:val="00C0221F"/>
    <w:rsid w:val="00C026B4"/>
    <w:rsid w:val="00C0330B"/>
    <w:rsid w:val="00C035B3"/>
    <w:rsid w:val="00C035BF"/>
    <w:rsid w:val="00C03B1E"/>
    <w:rsid w:val="00C03B88"/>
    <w:rsid w:val="00C041EC"/>
    <w:rsid w:val="00C04534"/>
    <w:rsid w:val="00C04D78"/>
    <w:rsid w:val="00C04FD9"/>
    <w:rsid w:val="00C050A2"/>
    <w:rsid w:val="00C05937"/>
    <w:rsid w:val="00C062E9"/>
    <w:rsid w:val="00C0632C"/>
    <w:rsid w:val="00C06776"/>
    <w:rsid w:val="00C067B9"/>
    <w:rsid w:val="00C06F15"/>
    <w:rsid w:val="00C075ED"/>
    <w:rsid w:val="00C07B28"/>
    <w:rsid w:val="00C07B64"/>
    <w:rsid w:val="00C10D8D"/>
    <w:rsid w:val="00C10E44"/>
    <w:rsid w:val="00C132F1"/>
    <w:rsid w:val="00C13721"/>
    <w:rsid w:val="00C1388E"/>
    <w:rsid w:val="00C13EDE"/>
    <w:rsid w:val="00C1471D"/>
    <w:rsid w:val="00C14C06"/>
    <w:rsid w:val="00C14FE4"/>
    <w:rsid w:val="00C154E0"/>
    <w:rsid w:val="00C15859"/>
    <w:rsid w:val="00C15D3C"/>
    <w:rsid w:val="00C15EB0"/>
    <w:rsid w:val="00C16740"/>
    <w:rsid w:val="00C21040"/>
    <w:rsid w:val="00C211FF"/>
    <w:rsid w:val="00C21485"/>
    <w:rsid w:val="00C22364"/>
    <w:rsid w:val="00C225AA"/>
    <w:rsid w:val="00C24FA7"/>
    <w:rsid w:val="00C25058"/>
    <w:rsid w:val="00C268F8"/>
    <w:rsid w:val="00C26AD5"/>
    <w:rsid w:val="00C26C12"/>
    <w:rsid w:val="00C26FAE"/>
    <w:rsid w:val="00C2715E"/>
    <w:rsid w:val="00C277AB"/>
    <w:rsid w:val="00C27CA9"/>
    <w:rsid w:val="00C3066D"/>
    <w:rsid w:val="00C32971"/>
    <w:rsid w:val="00C3512B"/>
    <w:rsid w:val="00C36829"/>
    <w:rsid w:val="00C3703D"/>
    <w:rsid w:val="00C377A9"/>
    <w:rsid w:val="00C403E1"/>
    <w:rsid w:val="00C41649"/>
    <w:rsid w:val="00C41784"/>
    <w:rsid w:val="00C41A9E"/>
    <w:rsid w:val="00C42F4C"/>
    <w:rsid w:val="00C43129"/>
    <w:rsid w:val="00C43220"/>
    <w:rsid w:val="00C43440"/>
    <w:rsid w:val="00C43EF0"/>
    <w:rsid w:val="00C45324"/>
    <w:rsid w:val="00C46907"/>
    <w:rsid w:val="00C47A97"/>
    <w:rsid w:val="00C47C04"/>
    <w:rsid w:val="00C509BB"/>
    <w:rsid w:val="00C5118E"/>
    <w:rsid w:val="00C51BD6"/>
    <w:rsid w:val="00C51FD8"/>
    <w:rsid w:val="00C52416"/>
    <w:rsid w:val="00C52915"/>
    <w:rsid w:val="00C52AC6"/>
    <w:rsid w:val="00C543F4"/>
    <w:rsid w:val="00C547A7"/>
    <w:rsid w:val="00C566FE"/>
    <w:rsid w:val="00C60BCA"/>
    <w:rsid w:val="00C60F4E"/>
    <w:rsid w:val="00C6291C"/>
    <w:rsid w:val="00C633CB"/>
    <w:rsid w:val="00C637F5"/>
    <w:rsid w:val="00C63B27"/>
    <w:rsid w:val="00C64D84"/>
    <w:rsid w:val="00C66006"/>
    <w:rsid w:val="00C664CD"/>
    <w:rsid w:val="00C702C3"/>
    <w:rsid w:val="00C70B7C"/>
    <w:rsid w:val="00C736B7"/>
    <w:rsid w:val="00C76C67"/>
    <w:rsid w:val="00C774F5"/>
    <w:rsid w:val="00C77DA0"/>
    <w:rsid w:val="00C80206"/>
    <w:rsid w:val="00C80E53"/>
    <w:rsid w:val="00C80EB0"/>
    <w:rsid w:val="00C81292"/>
    <w:rsid w:val="00C81D27"/>
    <w:rsid w:val="00C81D4A"/>
    <w:rsid w:val="00C8267A"/>
    <w:rsid w:val="00C82AF1"/>
    <w:rsid w:val="00C841F8"/>
    <w:rsid w:val="00C84F21"/>
    <w:rsid w:val="00C87484"/>
    <w:rsid w:val="00C8762C"/>
    <w:rsid w:val="00C9048B"/>
    <w:rsid w:val="00C9232D"/>
    <w:rsid w:val="00C927C7"/>
    <w:rsid w:val="00C93AA5"/>
    <w:rsid w:val="00C94B4A"/>
    <w:rsid w:val="00C94E73"/>
    <w:rsid w:val="00C964B0"/>
    <w:rsid w:val="00C96A6A"/>
    <w:rsid w:val="00C96ACF"/>
    <w:rsid w:val="00C96CBB"/>
    <w:rsid w:val="00CA00F9"/>
    <w:rsid w:val="00CA034C"/>
    <w:rsid w:val="00CA2152"/>
    <w:rsid w:val="00CA2961"/>
    <w:rsid w:val="00CA360F"/>
    <w:rsid w:val="00CA38EF"/>
    <w:rsid w:val="00CA5AF7"/>
    <w:rsid w:val="00CA5B47"/>
    <w:rsid w:val="00CA6089"/>
    <w:rsid w:val="00CA6224"/>
    <w:rsid w:val="00CA661B"/>
    <w:rsid w:val="00CA7329"/>
    <w:rsid w:val="00CA7A25"/>
    <w:rsid w:val="00CA7E75"/>
    <w:rsid w:val="00CB101E"/>
    <w:rsid w:val="00CB1DC9"/>
    <w:rsid w:val="00CB3D30"/>
    <w:rsid w:val="00CB4301"/>
    <w:rsid w:val="00CB4D43"/>
    <w:rsid w:val="00CB4F0F"/>
    <w:rsid w:val="00CB50D7"/>
    <w:rsid w:val="00CB62C8"/>
    <w:rsid w:val="00CB711E"/>
    <w:rsid w:val="00CB7177"/>
    <w:rsid w:val="00CB7882"/>
    <w:rsid w:val="00CB7CED"/>
    <w:rsid w:val="00CB7DCE"/>
    <w:rsid w:val="00CC0199"/>
    <w:rsid w:val="00CC070F"/>
    <w:rsid w:val="00CC1998"/>
    <w:rsid w:val="00CC1F44"/>
    <w:rsid w:val="00CC4946"/>
    <w:rsid w:val="00CC5502"/>
    <w:rsid w:val="00CC5DAD"/>
    <w:rsid w:val="00CC64A1"/>
    <w:rsid w:val="00CC768E"/>
    <w:rsid w:val="00CC7C96"/>
    <w:rsid w:val="00CD01E0"/>
    <w:rsid w:val="00CD030C"/>
    <w:rsid w:val="00CD3A5D"/>
    <w:rsid w:val="00CD3E33"/>
    <w:rsid w:val="00CD4175"/>
    <w:rsid w:val="00CD540A"/>
    <w:rsid w:val="00CD61AC"/>
    <w:rsid w:val="00CD627D"/>
    <w:rsid w:val="00CD67C7"/>
    <w:rsid w:val="00CD69B6"/>
    <w:rsid w:val="00CD7378"/>
    <w:rsid w:val="00CD7811"/>
    <w:rsid w:val="00CE009F"/>
    <w:rsid w:val="00CE0430"/>
    <w:rsid w:val="00CE1BFB"/>
    <w:rsid w:val="00CE1C73"/>
    <w:rsid w:val="00CE2670"/>
    <w:rsid w:val="00CE2F64"/>
    <w:rsid w:val="00CE4CF2"/>
    <w:rsid w:val="00CE50E5"/>
    <w:rsid w:val="00CE55C6"/>
    <w:rsid w:val="00CE5FE1"/>
    <w:rsid w:val="00CE7AE7"/>
    <w:rsid w:val="00CF0D68"/>
    <w:rsid w:val="00CF1483"/>
    <w:rsid w:val="00CF227B"/>
    <w:rsid w:val="00CF2B43"/>
    <w:rsid w:val="00CF3B11"/>
    <w:rsid w:val="00CF416E"/>
    <w:rsid w:val="00CF53C6"/>
    <w:rsid w:val="00CF68C1"/>
    <w:rsid w:val="00CF6D4A"/>
    <w:rsid w:val="00CF6F57"/>
    <w:rsid w:val="00CF71DA"/>
    <w:rsid w:val="00D01384"/>
    <w:rsid w:val="00D0176E"/>
    <w:rsid w:val="00D01E8B"/>
    <w:rsid w:val="00D02E86"/>
    <w:rsid w:val="00D03140"/>
    <w:rsid w:val="00D04EB0"/>
    <w:rsid w:val="00D053CA"/>
    <w:rsid w:val="00D064D7"/>
    <w:rsid w:val="00D069DA"/>
    <w:rsid w:val="00D07224"/>
    <w:rsid w:val="00D078FE"/>
    <w:rsid w:val="00D10807"/>
    <w:rsid w:val="00D10E01"/>
    <w:rsid w:val="00D10FD2"/>
    <w:rsid w:val="00D1100E"/>
    <w:rsid w:val="00D11032"/>
    <w:rsid w:val="00D11783"/>
    <w:rsid w:val="00D11EAA"/>
    <w:rsid w:val="00D121D0"/>
    <w:rsid w:val="00D12EB9"/>
    <w:rsid w:val="00D1382D"/>
    <w:rsid w:val="00D14712"/>
    <w:rsid w:val="00D16091"/>
    <w:rsid w:val="00D16BEA"/>
    <w:rsid w:val="00D17630"/>
    <w:rsid w:val="00D176D7"/>
    <w:rsid w:val="00D17BDC"/>
    <w:rsid w:val="00D2030A"/>
    <w:rsid w:val="00D20DED"/>
    <w:rsid w:val="00D2187A"/>
    <w:rsid w:val="00D22341"/>
    <w:rsid w:val="00D22AC3"/>
    <w:rsid w:val="00D22B1E"/>
    <w:rsid w:val="00D22ED5"/>
    <w:rsid w:val="00D22F9D"/>
    <w:rsid w:val="00D23785"/>
    <w:rsid w:val="00D242CC"/>
    <w:rsid w:val="00D26BF0"/>
    <w:rsid w:val="00D270A4"/>
    <w:rsid w:val="00D27640"/>
    <w:rsid w:val="00D3173D"/>
    <w:rsid w:val="00D31FE9"/>
    <w:rsid w:val="00D32563"/>
    <w:rsid w:val="00D3341B"/>
    <w:rsid w:val="00D34E1B"/>
    <w:rsid w:val="00D35302"/>
    <w:rsid w:val="00D3681F"/>
    <w:rsid w:val="00D3710C"/>
    <w:rsid w:val="00D376BA"/>
    <w:rsid w:val="00D4039D"/>
    <w:rsid w:val="00D42027"/>
    <w:rsid w:val="00D42A46"/>
    <w:rsid w:val="00D42D26"/>
    <w:rsid w:val="00D434A0"/>
    <w:rsid w:val="00D43660"/>
    <w:rsid w:val="00D440D8"/>
    <w:rsid w:val="00D4484A"/>
    <w:rsid w:val="00D454BD"/>
    <w:rsid w:val="00D45634"/>
    <w:rsid w:val="00D464B8"/>
    <w:rsid w:val="00D46BD2"/>
    <w:rsid w:val="00D47098"/>
    <w:rsid w:val="00D4716D"/>
    <w:rsid w:val="00D47BE3"/>
    <w:rsid w:val="00D50BCC"/>
    <w:rsid w:val="00D5244C"/>
    <w:rsid w:val="00D540B3"/>
    <w:rsid w:val="00D5568A"/>
    <w:rsid w:val="00D55B08"/>
    <w:rsid w:val="00D564A8"/>
    <w:rsid w:val="00D56D5A"/>
    <w:rsid w:val="00D60912"/>
    <w:rsid w:val="00D60DE8"/>
    <w:rsid w:val="00D616BC"/>
    <w:rsid w:val="00D624B8"/>
    <w:rsid w:val="00D62EAB"/>
    <w:rsid w:val="00D6323F"/>
    <w:rsid w:val="00D63289"/>
    <w:rsid w:val="00D633DF"/>
    <w:rsid w:val="00D63D73"/>
    <w:rsid w:val="00D6429E"/>
    <w:rsid w:val="00D64452"/>
    <w:rsid w:val="00D662D3"/>
    <w:rsid w:val="00D66641"/>
    <w:rsid w:val="00D66C58"/>
    <w:rsid w:val="00D66E1E"/>
    <w:rsid w:val="00D67203"/>
    <w:rsid w:val="00D675A9"/>
    <w:rsid w:val="00D67E0D"/>
    <w:rsid w:val="00D7013A"/>
    <w:rsid w:val="00D704E8"/>
    <w:rsid w:val="00D70696"/>
    <w:rsid w:val="00D70C10"/>
    <w:rsid w:val="00D71194"/>
    <w:rsid w:val="00D71632"/>
    <w:rsid w:val="00D716FA"/>
    <w:rsid w:val="00D71909"/>
    <w:rsid w:val="00D71E80"/>
    <w:rsid w:val="00D722A0"/>
    <w:rsid w:val="00D731BF"/>
    <w:rsid w:val="00D733B6"/>
    <w:rsid w:val="00D73974"/>
    <w:rsid w:val="00D740A9"/>
    <w:rsid w:val="00D7535C"/>
    <w:rsid w:val="00D75722"/>
    <w:rsid w:val="00D80CF5"/>
    <w:rsid w:val="00D81950"/>
    <w:rsid w:val="00D819F4"/>
    <w:rsid w:val="00D82857"/>
    <w:rsid w:val="00D82A6A"/>
    <w:rsid w:val="00D82EE7"/>
    <w:rsid w:val="00D831A3"/>
    <w:rsid w:val="00D833C0"/>
    <w:rsid w:val="00D83D80"/>
    <w:rsid w:val="00D83E48"/>
    <w:rsid w:val="00D83EF3"/>
    <w:rsid w:val="00D840AA"/>
    <w:rsid w:val="00D847E4"/>
    <w:rsid w:val="00D849EF"/>
    <w:rsid w:val="00D84CAA"/>
    <w:rsid w:val="00D85434"/>
    <w:rsid w:val="00D85DE5"/>
    <w:rsid w:val="00D86847"/>
    <w:rsid w:val="00D92192"/>
    <w:rsid w:val="00D9266F"/>
    <w:rsid w:val="00D9267C"/>
    <w:rsid w:val="00D93A99"/>
    <w:rsid w:val="00D941B1"/>
    <w:rsid w:val="00D94B46"/>
    <w:rsid w:val="00D959DE"/>
    <w:rsid w:val="00D96227"/>
    <w:rsid w:val="00D977B8"/>
    <w:rsid w:val="00D97E57"/>
    <w:rsid w:val="00DA0925"/>
    <w:rsid w:val="00DA1C2D"/>
    <w:rsid w:val="00DA3D3F"/>
    <w:rsid w:val="00DA44B7"/>
    <w:rsid w:val="00DA472B"/>
    <w:rsid w:val="00DA5B16"/>
    <w:rsid w:val="00DA5BBA"/>
    <w:rsid w:val="00DA613F"/>
    <w:rsid w:val="00DA6DC1"/>
    <w:rsid w:val="00DA6FC1"/>
    <w:rsid w:val="00DA730D"/>
    <w:rsid w:val="00DA7E25"/>
    <w:rsid w:val="00DB06E6"/>
    <w:rsid w:val="00DB079F"/>
    <w:rsid w:val="00DB0C22"/>
    <w:rsid w:val="00DB110C"/>
    <w:rsid w:val="00DB1390"/>
    <w:rsid w:val="00DB1D51"/>
    <w:rsid w:val="00DB26D2"/>
    <w:rsid w:val="00DB346C"/>
    <w:rsid w:val="00DB353D"/>
    <w:rsid w:val="00DB3890"/>
    <w:rsid w:val="00DB42C0"/>
    <w:rsid w:val="00DB4C68"/>
    <w:rsid w:val="00DB67C9"/>
    <w:rsid w:val="00DB7A8F"/>
    <w:rsid w:val="00DB7BB7"/>
    <w:rsid w:val="00DB7D55"/>
    <w:rsid w:val="00DC0A94"/>
    <w:rsid w:val="00DC0C58"/>
    <w:rsid w:val="00DC0C95"/>
    <w:rsid w:val="00DC13FB"/>
    <w:rsid w:val="00DC153D"/>
    <w:rsid w:val="00DC158C"/>
    <w:rsid w:val="00DC1842"/>
    <w:rsid w:val="00DC1AFF"/>
    <w:rsid w:val="00DC1B42"/>
    <w:rsid w:val="00DC1C19"/>
    <w:rsid w:val="00DC1C88"/>
    <w:rsid w:val="00DC1DBA"/>
    <w:rsid w:val="00DC2040"/>
    <w:rsid w:val="00DC22BD"/>
    <w:rsid w:val="00DC2ED8"/>
    <w:rsid w:val="00DC3F33"/>
    <w:rsid w:val="00DC408A"/>
    <w:rsid w:val="00DC4F0B"/>
    <w:rsid w:val="00DC51E4"/>
    <w:rsid w:val="00DC5AF3"/>
    <w:rsid w:val="00DC5F5F"/>
    <w:rsid w:val="00DC607B"/>
    <w:rsid w:val="00DC6125"/>
    <w:rsid w:val="00DC712E"/>
    <w:rsid w:val="00DC7228"/>
    <w:rsid w:val="00DC757B"/>
    <w:rsid w:val="00DD0A92"/>
    <w:rsid w:val="00DD0EDF"/>
    <w:rsid w:val="00DD13BD"/>
    <w:rsid w:val="00DD1A46"/>
    <w:rsid w:val="00DD2212"/>
    <w:rsid w:val="00DD2279"/>
    <w:rsid w:val="00DD2AFB"/>
    <w:rsid w:val="00DD2CA7"/>
    <w:rsid w:val="00DD3462"/>
    <w:rsid w:val="00DD441D"/>
    <w:rsid w:val="00DD5013"/>
    <w:rsid w:val="00DD5885"/>
    <w:rsid w:val="00DD59B5"/>
    <w:rsid w:val="00DD606C"/>
    <w:rsid w:val="00DD6580"/>
    <w:rsid w:val="00DD79AF"/>
    <w:rsid w:val="00DD7B1B"/>
    <w:rsid w:val="00DD7CDA"/>
    <w:rsid w:val="00DE1F5F"/>
    <w:rsid w:val="00DE313B"/>
    <w:rsid w:val="00DE3812"/>
    <w:rsid w:val="00DE3872"/>
    <w:rsid w:val="00DE3EA8"/>
    <w:rsid w:val="00DE54CD"/>
    <w:rsid w:val="00DE59B1"/>
    <w:rsid w:val="00DE64AB"/>
    <w:rsid w:val="00DE6E45"/>
    <w:rsid w:val="00DE6FC3"/>
    <w:rsid w:val="00DE75F9"/>
    <w:rsid w:val="00DF06C8"/>
    <w:rsid w:val="00DF14B3"/>
    <w:rsid w:val="00DF21B5"/>
    <w:rsid w:val="00DF2224"/>
    <w:rsid w:val="00DF5308"/>
    <w:rsid w:val="00DF574E"/>
    <w:rsid w:val="00DF616A"/>
    <w:rsid w:val="00DF63C6"/>
    <w:rsid w:val="00E00E61"/>
    <w:rsid w:val="00E0148B"/>
    <w:rsid w:val="00E01D7F"/>
    <w:rsid w:val="00E023DC"/>
    <w:rsid w:val="00E03CD4"/>
    <w:rsid w:val="00E03D56"/>
    <w:rsid w:val="00E040A7"/>
    <w:rsid w:val="00E0430D"/>
    <w:rsid w:val="00E05C03"/>
    <w:rsid w:val="00E06973"/>
    <w:rsid w:val="00E075D3"/>
    <w:rsid w:val="00E07C44"/>
    <w:rsid w:val="00E100BD"/>
    <w:rsid w:val="00E1178E"/>
    <w:rsid w:val="00E11A75"/>
    <w:rsid w:val="00E121E5"/>
    <w:rsid w:val="00E1246D"/>
    <w:rsid w:val="00E13028"/>
    <w:rsid w:val="00E1322A"/>
    <w:rsid w:val="00E141EE"/>
    <w:rsid w:val="00E14469"/>
    <w:rsid w:val="00E147D2"/>
    <w:rsid w:val="00E14A53"/>
    <w:rsid w:val="00E14DF5"/>
    <w:rsid w:val="00E159FF"/>
    <w:rsid w:val="00E17C72"/>
    <w:rsid w:val="00E17D67"/>
    <w:rsid w:val="00E21FC6"/>
    <w:rsid w:val="00E22649"/>
    <w:rsid w:val="00E22E2A"/>
    <w:rsid w:val="00E2567B"/>
    <w:rsid w:val="00E268CC"/>
    <w:rsid w:val="00E270F8"/>
    <w:rsid w:val="00E27E9E"/>
    <w:rsid w:val="00E31312"/>
    <w:rsid w:val="00E3148B"/>
    <w:rsid w:val="00E31C94"/>
    <w:rsid w:val="00E32ECF"/>
    <w:rsid w:val="00E33074"/>
    <w:rsid w:val="00E33D54"/>
    <w:rsid w:val="00E351D2"/>
    <w:rsid w:val="00E3579D"/>
    <w:rsid w:val="00E36210"/>
    <w:rsid w:val="00E3711D"/>
    <w:rsid w:val="00E41742"/>
    <w:rsid w:val="00E41FA7"/>
    <w:rsid w:val="00E4255A"/>
    <w:rsid w:val="00E427E3"/>
    <w:rsid w:val="00E428C8"/>
    <w:rsid w:val="00E431A9"/>
    <w:rsid w:val="00E43E87"/>
    <w:rsid w:val="00E45776"/>
    <w:rsid w:val="00E46800"/>
    <w:rsid w:val="00E471D2"/>
    <w:rsid w:val="00E50B28"/>
    <w:rsid w:val="00E50E61"/>
    <w:rsid w:val="00E517F8"/>
    <w:rsid w:val="00E52DAB"/>
    <w:rsid w:val="00E52EFB"/>
    <w:rsid w:val="00E52F79"/>
    <w:rsid w:val="00E5337D"/>
    <w:rsid w:val="00E53A81"/>
    <w:rsid w:val="00E53C87"/>
    <w:rsid w:val="00E5420F"/>
    <w:rsid w:val="00E556DF"/>
    <w:rsid w:val="00E5697E"/>
    <w:rsid w:val="00E60D3A"/>
    <w:rsid w:val="00E61E15"/>
    <w:rsid w:val="00E623EC"/>
    <w:rsid w:val="00E62566"/>
    <w:rsid w:val="00E62A0A"/>
    <w:rsid w:val="00E62D8E"/>
    <w:rsid w:val="00E644C5"/>
    <w:rsid w:val="00E64D0C"/>
    <w:rsid w:val="00E64DB2"/>
    <w:rsid w:val="00E65252"/>
    <w:rsid w:val="00E6584A"/>
    <w:rsid w:val="00E669E2"/>
    <w:rsid w:val="00E6717A"/>
    <w:rsid w:val="00E67A35"/>
    <w:rsid w:val="00E67ED9"/>
    <w:rsid w:val="00E70DD4"/>
    <w:rsid w:val="00E72D7C"/>
    <w:rsid w:val="00E73FFF"/>
    <w:rsid w:val="00E74E3C"/>
    <w:rsid w:val="00E7594B"/>
    <w:rsid w:val="00E76135"/>
    <w:rsid w:val="00E77C0E"/>
    <w:rsid w:val="00E80C0A"/>
    <w:rsid w:val="00E80C9B"/>
    <w:rsid w:val="00E82A4A"/>
    <w:rsid w:val="00E82F4F"/>
    <w:rsid w:val="00E8424E"/>
    <w:rsid w:val="00E85E68"/>
    <w:rsid w:val="00E864DF"/>
    <w:rsid w:val="00E86A93"/>
    <w:rsid w:val="00E909E0"/>
    <w:rsid w:val="00E90C76"/>
    <w:rsid w:val="00E90F67"/>
    <w:rsid w:val="00E92723"/>
    <w:rsid w:val="00E94195"/>
    <w:rsid w:val="00E94B47"/>
    <w:rsid w:val="00E95FCF"/>
    <w:rsid w:val="00E969A8"/>
    <w:rsid w:val="00E96BDC"/>
    <w:rsid w:val="00E96F82"/>
    <w:rsid w:val="00E97299"/>
    <w:rsid w:val="00E9780B"/>
    <w:rsid w:val="00EA1823"/>
    <w:rsid w:val="00EA2744"/>
    <w:rsid w:val="00EA2B5D"/>
    <w:rsid w:val="00EA33EA"/>
    <w:rsid w:val="00EA38B2"/>
    <w:rsid w:val="00EA4398"/>
    <w:rsid w:val="00EA48B7"/>
    <w:rsid w:val="00EA5EBA"/>
    <w:rsid w:val="00EA5F0B"/>
    <w:rsid w:val="00EA62D8"/>
    <w:rsid w:val="00EA638C"/>
    <w:rsid w:val="00EA6FEE"/>
    <w:rsid w:val="00EA7CD1"/>
    <w:rsid w:val="00EB1095"/>
    <w:rsid w:val="00EB11AD"/>
    <w:rsid w:val="00EB1590"/>
    <w:rsid w:val="00EB199A"/>
    <w:rsid w:val="00EB1CB1"/>
    <w:rsid w:val="00EB2AD0"/>
    <w:rsid w:val="00EB2C55"/>
    <w:rsid w:val="00EB2CC3"/>
    <w:rsid w:val="00EB2E0E"/>
    <w:rsid w:val="00EB4329"/>
    <w:rsid w:val="00EB6735"/>
    <w:rsid w:val="00EB6DA3"/>
    <w:rsid w:val="00EB7E19"/>
    <w:rsid w:val="00EC04A9"/>
    <w:rsid w:val="00EC0FC2"/>
    <w:rsid w:val="00EC119F"/>
    <w:rsid w:val="00EC16DF"/>
    <w:rsid w:val="00EC1B73"/>
    <w:rsid w:val="00EC239F"/>
    <w:rsid w:val="00EC2844"/>
    <w:rsid w:val="00EC3CA6"/>
    <w:rsid w:val="00EC3CDB"/>
    <w:rsid w:val="00EC3D77"/>
    <w:rsid w:val="00EC5500"/>
    <w:rsid w:val="00EC5E59"/>
    <w:rsid w:val="00EC65B7"/>
    <w:rsid w:val="00EC6BD3"/>
    <w:rsid w:val="00EC74D8"/>
    <w:rsid w:val="00EC759E"/>
    <w:rsid w:val="00EC7946"/>
    <w:rsid w:val="00ED02DE"/>
    <w:rsid w:val="00ED078D"/>
    <w:rsid w:val="00ED0A69"/>
    <w:rsid w:val="00ED18F8"/>
    <w:rsid w:val="00ED25B8"/>
    <w:rsid w:val="00ED3447"/>
    <w:rsid w:val="00ED3F71"/>
    <w:rsid w:val="00ED4293"/>
    <w:rsid w:val="00ED4FB6"/>
    <w:rsid w:val="00ED5457"/>
    <w:rsid w:val="00ED6CB7"/>
    <w:rsid w:val="00ED712D"/>
    <w:rsid w:val="00ED7354"/>
    <w:rsid w:val="00EE2904"/>
    <w:rsid w:val="00EE33FD"/>
    <w:rsid w:val="00EE3467"/>
    <w:rsid w:val="00EE34A5"/>
    <w:rsid w:val="00EE3A1D"/>
    <w:rsid w:val="00EE406B"/>
    <w:rsid w:val="00EE415F"/>
    <w:rsid w:val="00EE425D"/>
    <w:rsid w:val="00EE4721"/>
    <w:rsid w:val="00EE4BC5"/>
    <w:rsid w:val="00EE54C2"/>
    <w:rsid w:val="00EE56BF"/>
    <w:rsid w:val="00EE6746"/>
    <w:rsid w:val="00EE6EDA"/>
    <w:rsid w:val="00EE778E"/>
    <w:rsid w:val="00EF0593"/>
    <w:rsid w:val="00EF0708"/>
    <w:rsid w:val="00EF208A"/>
    <w:rsid w:val="00EF47FA"/>
    <w:rsid w:val="00EF5199"/>
    <w:rsid w:val="00EF5FF7"/>
    <w:rsid w:val="00EF634C"/>
    <w:rsid w:val="00EF6719"/>
    <w:rsid w:val="00EF6A64"/>
    <w:rsid w:val="00EF6C6C"/>
    <w:rsid w:val="00F00871"/>
    <w:rsid w:val="00F00C32"/>
    <w:rsid w:val="00F011D3"/>
    <w:rsid w:val="00F012E6"/>
    <w:rsid w:val="00F04E84"/>
    <w:rsid w:val="00F056FC"/>
    <w:rsid w:val="00F0632F"/>
    <w:rsid w:val="00F068ED"/>
    <w:rsid w:val="00F069AE"/>
    <w:rsid w:val="00F10450"/>
    <w:rsid w:val="00F10476"/>
    <w:rsid w:val="00F1074F"/>
    <w:rsid w:val="00F10893"/>
    <w:rsid w:val="00F10EAA"/>
    <w:rsid w:val="00F12F53"/>
    <w:rsid w:val="00F135D8"/>
    <w:rsid w:val="00F13ECC"/>
    <w:rsid w:val="00F14B6A"/>
    <w:rsid w:val="00F14E1D"/>
    <w:rsid w:val="00F1530D"/>
    <w:rsid w:val="00F15634"/>
    <w:rsid w:val="00F15CFD"/>
    <w:rsid w:val="00F16653"/>
    <w:rsid w:val="00F16B26"/>
    <w:rsid w:val="00F1703B"/>
    <w:rsid w:val="00F17221"/>
    <w:rsid w:val="00F175C1"/>
    <w:rsid w:val="00F200F4"/>
    <w:rsid w:val="00F212E0"/>
    <w:rsid w:val="00F21B96"/>
    <w:rsid w:val="00F21C84"/>
    <w:rsid w:val="00F25A9D"/>
    <w:rsid w:val="00F2663B"/>
    <w:rsid w:val="00F27360"/>
    <w:rsid w:val="00F31299"/>
    <w:rsid w:val="00F323BA"/>
    <w:rsid w:val="00F324DD"/>
    <w:rsid w:val="00F33200"/>
    <w:rsid w:val="00F3534A"/>
    <w:rsid w:val="00F35B46"/>
    <w:rsid w:val="00F35BFB"/>
    <w:rsid w:val="00F3641E"/>
    <w:rsid w:val="00F36665"/>
    <w:rsid w:val="00F369B6"/>
    <w:rsid w:val="00F36ACC"/>
    <w:rsid w:val="00F36C01"/>
    <w:rsid w:val="00F36CEC"/>
    <w:rsid w:val="00F37419"/>
    <w:rsid w:val="00F37C55"/>
    <w:rsid w:val="00F37CE5"/>
    <w:rsid w:val="00F37D17"/>
    <w:rsid w:val="00F40E36"/>
    <w:rsid w:val="00F40FB3"/>
    <w:rsid w:val="00F41E61"/>
    <w:rsid w:val="00F427A2"/>
    <w:rsid w:val="00F44334"/>
    <w:rsid w:val="00F45826"/>
    <w:rsid w:val="00F46DD6"/>
    <w:rsid w:val="00F472A5"/>
    <w:rsid w:val="00F501BB"/>
    <w:rsid w:val="00F51609"/>
    <w:rsid w:val="00F51C34"/>
    <w:rsid w:val="00F52166"/>
    <w:rsid w:val="00F53323"/>
    <w:rsid w:val="00F54F8F"/>
    <w:rsid w:val="00F5515B"/>
    <w:rsid w:val="00F556FC"/>
    <w:rsid w:val="00F55ACE"/>
    <w:rsid w:val="00F55C25"/>
    <w:rsid w:val="00F56D5F"/>
    <w:rsid w:val="00F57268"/>
    <w:rsid w:val="00F606A2"/>
    <w:rsid w:val="00F60D11"/>
    <w:rsid w:val="00F612CA"/>
    <w:rsid w:val="00F626F1"/>
    <w:rsid w:val="00F64799"/>
    <w:rsid w:val="00F657FF"/>
    <w:rsid w:val="00F66A13"/>
    <w:rsid w:val="00F66E61"/>
    <w:rsid w:val="00F71299"/>
    <w:rsid w:val="00F71923"/>
    <w:rsid w:val="00F71A8A"/>
    <w:rsid w:val="00F71AF7"/>
    <w:rsid w:val="00F7350C"/>
    <w:rsid w:val="00F73727"/>
    <w:rsid w:val="00F74847"/>
    <w:rsid w:val="00F75173"/>
    <w:rsid w:val="00F75424"/>
    <w:rsid w:val="00F766A7"/>
    <w:rsid w:val="00F76B05"/>
    <w:rsid w:val="00F77146"/>
    <w:rsid w:val="00F77D3B"/>
    <w:rsid w:val="00F81006"/>
    <w:rsid w:val="00F81E56"/>
    <w:rsid w:val="00F85325"/>
    <w:rsid w:val="00F857CC"/>
    <w:rsid w:val="00F86C20"/>
    <w:rsid w:val="00F87A8C"/>
    <w:rsid w:val="00F87AF8"/>
    <w:rsid w:val="00F87E39"/>
    <w:rsid w:val="00F90D51"/>
    <w:rsid w:val="00F915B9"/>
    <w:rsid w:val="00F924FD"/>
    <w:rsid w:val="00F92974"/>
    <w:rsid w:val="00F92C4E"/>
    <w:rsid w:val="00F93282"/>
    <w:rsid w:val="00F93E2A"/>
    <w:rsid w:val="00F9419A"/>
    <w:rsid w:val="00F94675"/>
    <w:rsid w:val="00F94B89"/>
    <w:rsid w:val="00F94F98"/>
    <w:rsid w:val="00F95B3C"/>
    <w:rsid w:val="00F95EF3"/>
    <w:rsid w:val="00F9675F"/>
    <w:rsid w:val="00F96C2C"/>
    <w:rsid w:val="00F972F1"/>
    <w:rsid w:val="00F973EA"/>
    <w:rsid w:val="00F97636"/>
    <w:rsid w:val="00FA03AC"/>
    <w:rsid w:val="00FA133F"/>
    <w:rsid w:val="00FA1D4A"/>
    <w:rsid w:val="00FA4601"/>
    <w:rsid w:val="00FA4A44"/>
    <w:rsid w:val="00FA5125"/>
    <w:rsid w:val="00FA5831"/>
    <w:rsid w:val="00FA5CBD"/>
    <w:rsid w:val="00FA60AD"/>
    <w:rsid w:val="00FA6BF8"/>
    <w:rsid w:val="00FA719F"/>
    <w:rsid w:val="00FA76F8"/>
    <w:rsid w:val="00FA7717"/>
    <w:rsid w:val="00FB25C5"/>
    <w:rsid w:val="00FB2919"/>
    <w:rsid w:val="00FB2C1F"/>
    <w:rsid w:val="00FB67B3"/>
    <w:rsid w:val="00FC05B6"/>
    <w:rsid w:val="00FC114B"/>
    <w:rsid w:val="00FC18A1"/>
    <w:rsid w:val="00FC3589"/>
    <w:rsid w:val="00FC40E1"/>
    <w:rsid w:val="00FC489E"/>
    <w:rsid w:val="00FC5C32"/>
    <w:rsid w:val="00FC5DD8"/>
    <w:rsid w:val="00FD078A"/>
    <w:rsid w:val="00FD0F12"/>
    <w:rsid w:val="00FD1825"/>
    <w:rsid w:val="00FD1D77"/>
    <w:rsid w:val="00FD22B1"/>
    <w:rsid w:val="00FD2F7C"/>
    <w:rsid w:val="00FD33F1"/>
    <w:rsid w:val="00FD3566"/>
    <w:rsid w:val="00FD3AA9"/>
    <w:rsid w:val="00FD4222"/>
    <w:rsid w:val="00FD489F"/>
    <w:rsid w:val="00FD6FEE"/>
    <w:rsid w:val="00FD7480"/>
    <w:rsid w:val="00FD76CB"/>
    <w:rsid w:val="00FE024A"/>
    <w:rsid w:val="00FE08F5"/>
    <w:rsid w:val="00FE1359"/>
    <w:rsid w:val="00FE1E48"/>
    <w:rsid w:val="00FE3841"/>
    <w:rsid w:val="00FE5321"/>
    <w:rsid w:val="00FE5397"/>
    <w:rsid w:val="00FE67F1"/>
    <w:rsid w:val="00FE6E85"/>
    <w:rsid w:val="00FF03C2"/>
    <w:rsid w:val="00FF070A"/>
    <w:rsid w:val="00FF07FC"/>
    <w:rsid w:val="00FF14F3"/>
    <w:rsid w:val="00FF2DA0"/>
    <w:rsid w:val="00FF4AE8"/>
    <w:rsid w:val="00FF4F08"/>
    <w:rsid w:val="00FF6088"/>
    <w:rsid w:val="00FF6565"/>
    <w:rsid w:val="00FF6747"/>
    <w:rsid w:val="00FF6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styleId="PlaceholderText">
    <w:name w:val="Placeholder Text"/>
    <w:basedOn w:val="DefaultParagraphFont"/>
    <w:uiPriority w:val="99"/>
    <w:semiHidden/>
    <w:rsid w:val="00A00576"/>
    <w:rPr>
      <w:color w:val="808080"/>
    </w:rPr>
  </w:style>
  <w:style w:type="paragraph" w:styleId="NormalWeb">
    <w:name w:val="Normal (Web)"/>
    <w:basedOn w:val="Normal"/>
    <w:uiPriority w:val="99"/>
    <w:unhideWhenUsed/>
    <w:rsid w:val="00247FE7"/>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rsid w:val="00D731B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731BF"/>
    <w:rPr>
      <w:szCs w:val="24"/>
    </w:rPr>
  </w:style>
  <w:style w:type="character" w:customStyle="1" w:styleId="CommentSubjectChar">
    <w:name w:val="Comment Subject Char"/>
    <w:basedOn w:val="CommentTextChar"/>
    <w:link w:val="CommentSubject"/>
    <w:rsid w:val="00D731BF"/>
    <w:rPr>
      <w:b/>
      <w:bCs/>
      <w:szCs w:val="24"/>
    </w:rPr>
  </w:style>
  <w:style w:type="paragraph" w:styleId="Bibliography">
    <w:name w:val="Bibliography"/>
    <w:basedOn w:val="Normal"/>
    <w:next w:val="Normal"/>
    <w:uiPriority w:val="37"/>
    <w:unhideWhenUsed/>
    <w:rsid w:val="001213C0"/>
    <w:pPr>
      <w:spacing w:after="240"/>
      <w:ind w:left="720" w:hanging="720"/>
    </w:pPr>
  </w:style>
  <w:style w:type="character" w:styleId="EndnoteReference">
    <w:name w:val="endnote reference"/>
    <w:basedOn w:val="DefaultParagraphFont"/>
    <w:rsid w:val="00EC65B7"/>
    <w:rPr>
      <w:vertAlign w:val="superscript"/>
    </w:rPr>
  </w:style>
  <w:style w:type="paragraph" w:styleId="Revision">
    <w:name w:val="Revision"/>
    <w:hidden/>
    <w:uiPriority w:val="99"/>
    <w:semiHidden/>
    <w:rsid w:val="007511EE"/>
    <w:rPr>
      <w:sz w:val="24"/>
      <w:szCs w:val="24"/>
    </w:rPr>
  </w:style>
  <w:style w:type="paragraph" w:customStyle="1" w:styleId="Default">
    <w:name w:val="Default"/>
    <w:rsid w:val="002A1693"/>
    <w:pPr>
      <w:autoSpaceDE w:val="0"/>
      <w:autoSpaceDN w:val="0"/>
      <w:adjustRightInd w:val="0"/>
    </w:pPr>
    <w:rPr>
      <w:rFonts w:ascii="Goudy Old Style" w:hAnsi="Goudy Old Style" w:cs="Goudy Old Style"/>
      <w:color w:val="000000"/>
      <w:sz w:val="24"/>
      <w:szCs w:val="24"/>
    </w:rPr>
  </w:style>
  <w:style w:type="paragraph" w:customStyle="1" w:styleId="Copyrightheading">
    <w:name w:val="Copyright heading"/>
    <w:basedOn w:val="TOC1"/>
    <w:link w:val="CopyrightheadingChar"/>
    <w:qFormat/>
    <w:rsid w:val="00DC51E4"/>
    <w:pPr>
      <w:spacing w:line="300" w:lineRule="exact"/>
    </w:pPr>
    <w:rPr>
      <w:sz w:val="22"/>
    </w:rPr>
  </w:style>
  <w:style w:type="character" w:customStyle="1" w:styleId="CopyrightheadingChar">
    <w:name w:val="Copyright heading Char"/>
    <w:basedOn w:val="TOC1Char"/>
    <w:link w:val="Copyrightheading"/>
    <w:rsid w:val="00DC51E4"/>
    <w:rPr>
      <w:rFonts w:ascii="Arial" w:hAnsi="Arial"/>
      <w:b/>
      <w:sz w:val="22"/>
      <w:szCs w:val="26"/>
      <w:lang w:eastAsia="en-US"/>
    </w:rPr>
  </w:style>
  <w:style w:type="paragraph" w:customStyle="1" w:styleId="Copyrightsubtitle">
    <w:name w:val="Copyright subtitle"/>
    <w:basedOn w:val="BodyText"/>
    <w:rsid w:val="00DC51E4"/>
    <w:rPr>
      <w:rFonts w:ascii="Arial" w:hAnsi="Arial"/>
      <w:b/>
      <w:sz w:val="22"/>
      <w:szCs w:val="25"/>
    </w:rPr>
  </w:style>
  <w:style w:type="paragraph" w:customStyle="1" w:styleId="Copyrightbodytext">
    <w:name w:val="Copyright bodytext"/>
    <w:basedOn w:val="BodyText"/>
    <w:link w:val="CopyrightbodytextChar"/>
    <w:qFormat/>
    <w:rsid w:val="00DC51E4"/>
    <w:pPr>
      <w:spacing w:before="60"/>
    </w:pPr>
  </w:style>
  <w:style w:type="character" w:customStyle="1" w:styleId="CopyrightbodytextChar">
    <w:name w:val="Copyright bodytext Char"/>
    <w:basedOn w:val="BodyTextChar"/>
    <w:link w:val="Copyrightbodytext"/>
    <w:rsid w:val="00DC51E4"/>
    <w:rPr>
      <w:sz w:val="24"/>
    </w:rPr>
  </w:style>
  <w:style w:type="character" w:styleId="Hyperlink">
    <w:name w:val="Hyperlink"/>
    <w:basedOn w:val="DefaultParagraphFont"/>
    <w:rsid w:val="000B3F4C"/>
    <w:rPr>
      <w:color w:val="78A22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styleId="PlaceholderText">
    <w:name w:val="Placeholder Text"/>
    <w:basedOn w:val="DefaultParagraphFont"/>
    <w:uiPriority w:val="99"/>
    <w:semiHidden/>
    <w:rsid w:val="00A00576"/>
    <w:rPr>
      <w:color w:val="808080"/>
    </w:rPr>
  </w:style>
  <w:style w:type="paragraph" w:styleId="NormalWeb">
    <w:name w:val="Normal (Web)"/>
    <w:basedOn w:val="Normal"/>
    <w:uiPriority w:val="99"/>
    <w:unhideWhenUsed/>
    <w:rsid w:val="00247FE7"/>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rsid w:val="00D731B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731BF"/>
    <w:rPr>
      <w:szCs w:val="24"/>
    </w:rPr>
  </w:style>
  <w:style w:type="character" w:customStyle="1" w:styleId="CommentSubjectChar">
    <w:name w:val="Comment Subject Char"/>
    <w:basedOn w:val="CommentTextChar"/>
    <w:link w:val="CommentSubject"/>
    <w:rsid w:val="00D731BF"/>
    <w:rPr>
      <w:b/>
      <w:bCs/>
      <w:szCs w:val="24"/>
    </w:rPr>
  </w:style>
  <w:style w:type="paragraph" w:styleId="Bibliography">
    <w:name w:val="Bibliography"/>
    <w:basedOn w:val="Normal"/>
    <w:next w:val="Normal"/>
    <w:uiPriority w:val="37"/>
    <w:unhideWhenUsed/>
    <w:rsid w:val="001213C0"/>
    <w:pPr>
      <w:spacing w:after="240"/>
      <w:ind w:left="720" w:hanging="720"/>
    </w:pPr>
  </w:style>
  <w:style w:type="character" w:styleId="EndnoteReference">
    <w:name w:val="endnote reference"/>
    <w:basedOn w:val="DefaultParagraphFont"/>
    <w:rsid w:val="00EC65B7"/>
    <w:rPr>
      <w:vertAlign w:val="superscript"/>
    </w:rPr>
  </w:style>
  <w:style w:type="paragraph" w:styleId="Revision">
    <w:name w:val="Revision"/>
    <w:hidden/>
    <w:uiPriority w:val="99"/>
    <w:semiHidden/>
    <w:rsid w:val="007511EE"/>
    <w:rPr>
      <w:sz w:val="24"/>
      <w:szCs w:val="24"/>
    </w:rPr>
  </w:style>
  <w:style w:type="paragraph" w:customStyle="1" w:styleId="Default">
    <w:name w:val="Default"/>
    <w:rsid w:val="002A1693"/>
    <w:pPr>
      <w:autoSpaceDE w:val="0"/>
      <w:autoSpaceDN w:val="0"/>
      <w:adjustRightInd w:val="0"/>
    </w:pPr>
    <w:rPr>
      <w:rFonts w:ascii="Goudy Old Style" w:hAnsi="Goudy Old Style" w:cs="Goudy Old Style"/>
      <w:color w:val="000000"/>
      <w:sz w:val="24"/>
      <w:szCs w:val="24"/>
    </w:rPr>
  </w:style>
  <w:style w:type="paragraph" w:customStyle="1" w:styleId="Copyrightheading">
    <w:name w:val="Copyright heading"/>
    <w:basedOn w:val="TOC1"/>
    <w:link w:val="CopyrightheadingChar"/>
    <w:qFormat/>
    <w:rsid w:val="00DC51E4"/>
    <w:pPr>
      <w:spacing w:line="300" w:lineRule="exact"/>
    </w:pPr>
    <w:rPr>
      <w:sz w:val="22"/>
    </w:rPr>
  </w:style>
  <w:style w:type="character" w:customStyle="1" w:styleId="CopyrightheadingChar">
    <w:name w:val="Copyright heading Char"/>
    <w:basedOn w:val="TOC1Char"/>
    <w:link w:val="Copyrightheading"/>
    <w:rsid w:val="00DC51E4"/>
    <w:rPr>
      <w:rFonts w:ascii="Arial" w:hAnsi="Arial"/>
      <w:b/>
      <w:sz w:val="22"/>
      <w:szCs w:val="26"/>
      <w:lang w:eastAsia="en-US"/>
    </w:rPr>
  </w:style>
  <w:style w:type="paragraph" w:customStyle="1" w:styleId="Copyrightsubtitle">
    <w:name w:val="Copyright subtitle"/>
    <w:basedOn w:val="BodyText"/>
    <w:rsid w:val="00DC51E4"/>
    <w:rPr>
      <w:rFonts w:ascii="Arial" w:hAnsi="Arial"/>
      <w:b/>
      <w:sz w:val="22"/>
      <w:szCs w:val="25"/>
    </w:rPr>
  </w:style>
  <w:style w:type="paragraph" w:customStyle="1" w:styleId="Copyrightbodytext">
    <w:name w:val="Copyright bodytext"/>
    <w:basedOn w:val="BodyText"/>
    <w:link w:val="CopyrightbodytextChar"/>
    <w:qFormat/>
    <w:rsid w:val="00DC51E4"/>
    <w:pPr>
      <w:spacing w:before="60"/>
    </w:pPr>
  </w:style>
  <w:style w:type="character" w:customStyle="1" w:styleId="CopyrightbodytextChar">
    <w:name w:val="Copyright bodytext Char"/>
    <w:basedOn w:val="BodyTextChar"/>
    <w:link w:val="Copyrightbodytext"/>
    <w:rsid w:val="00DC51E4"/>
    <w:rPr>
      <w:sz w:val="24"/>
    </w:rPr>
  </w:style>
  <w:style w:type="character" w:styleId="Hyperlink">
    <w:name w:val="Hyperlink"/>
    <w:basedOn w:val="DefaultParagraphFont"/>
    <w:rsid w:val="000B3F4C"/>
    <w:rPr>
      <w:color w:val="78A22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7223">
      <w:bodyDiv w:val="1"/>
      <w:marLeft w:val="0"/>
      <w:marRight w:val="0"/>
      <w:marTop w:val="0"/>
      <w:marBottom w:val="0"/>
      <w:divBdr>
        <w:top w:val="none" w:sz="0" w:space="0" w:color="auto"/>
        <w:left w:val="none" w:sz="0" w:space="0" w:color="auto"/>
        <w:bottom w:val="none" w:sz="0" w:space="0" w:color="auto"/>
        <w:right w:val="none" w:sz="0" w:space="0" w:color="auto"/>
      </w:divBdr>
    </w:div>
    <w:div w:id="203561835">
      <w:bodyDiv w:val="1"/>
      <w:marLeft w:val="0"/>
      <w:marRight w:val="0"/>
      <w:marTop w:val="0"/>
      <w:marBottom w:val="0"/>
      <w:divBdr>
        <w:top w:val="none" w:sz="0" w:space="0" w:color="auto"/>
        <w:left w:val="none" w:sz="0" w:space="0" w:color="auto"/>
        <w:bottom w:val="none" w:sz="0" w:space="0" w:color="auto"/>
        <w:right w:val="none" w:sz="0" w:space="0" w:color="auto"/>
      </w:divBdr>
    </w:div>
    <w:div w:id="261038378">
      <w:bodyDiv w:val="1"/>
      <w:marLeft w:val="0"/>
      <w:marRight w:val="0"/>
      <w:marTop w:val="0"/>
      <w:marBottom w:val="0"/>
      <w:divBdr>
        <w:top w:val="none" w:sz="0" w:space="0" w:color="auto"/>
        <w:left w:val="none" w:sz="0" w:space="0" w:color="auto"/>
        <w:bottom w:val="none" w:sz="0" w:space="0" w:color="auto"/>
        <w:right w:val="none" w:sz="0" w:space="0" w:color="auto"/>
      </w:divBdr>
    </w:div>
    <w:div w:id="298539916">
      <w:bodyDiv w:val="1"/>
      <w:marLeft w:val="0"/>
      <w:marRight w:val="0"/>
      <w:marTop w:val="0"/>
      <w:marBottom w:val="0"/>
      <w:divBdr>
        <w:top w:val="none" w:sz="0" w:space="0" w:color="auto"/>
        <w:left w:val="none" w:sz="0" w:space="0" w:color="auto"/>
        <w:bottom w:val="none" w:sz="0" w:space="0" w:color="auto"/>
        <w:right w:val="none" w:sz="0" w:space="0" w:color="auto"/>
      </w:divBdr>
    </w:div>
    <w:div w:id="565797305">
      <w:bodyDiv w:val="1"/>
      <w:marLeft w:val="0"/>
      <w:marRight w:val="0"/>
      <w:marTop w:val="0"/>
      <w:marBottom w:val="0"/>
      <w:divBdr>
        <w:top w:val="none" w:sz="0" w:space="0" w:color="auto"/>
        <w:left w:val="none" w:sz="0" w:space="0" w:color="auto"/>
        <w:bottom w:val="none" w:sz="0" w:space="0" w:color="auto"/>
        <w:right w:val="none" w:sz="0" w:space="0" w:color="auto"/>
      </w:divBdr>
    </w:div>
    <w:div w:id="725376388">
      <w:bodyDiv w:val="1"/>
      <w:marLeft w:val="0"/>
      <w:marRight w:val="0"/>
      <w:marTop w:val="0"/>
      <w:marBottom w:val="0"/>
      <w:divBdr>
        <w:top w:val="none" w:sz="0" w:space="0" w:color="auto"/>
        <w:left w:val="none" w:sz="0" w:space="0" w:color="auto"/>
        <w:bottom w:val="none" w:sz="0" w:space="0" w:color="auto"/>
        <w:right w:val="none" w:sz="0" w:space="0" w:color="auto"/>
      </w:divBdr>
    </w:div>
    <w:div w:id="729227899">
      <w:bodyDiv w:val="1"/>
      <w:marLeft w:val="0"/>
      <w:marRight w:val="0"/>
      <w:marTop w:val="0"/>
      <w:marBottom w:val="0"/>
      <w:divBdr>
        <w:top w:val="none" w:sz="0" w:space="0" w:color="auto"/>
        <w:left w:val="none" w:sz="0" w:space="0" w:color="auto"/>
        <w:bottom w:val="none" w:sz="0" w:space="0" w:color="auto"/>
        <w:right w:val="none" w:sz="0" w:space="0" w:color="auto"/>
      </w:divBdr>
    </w:div>
    <w:div w:id="860628134">
      <w:bodyDiv w:val="1"/>
      <w:marLeft w:val="0"/>
      <w:marRight w:val="0"/>
      <w:marTop w:val="0"/>
      <w:marBottom w:val="0"/>
      <w:divBdr>
        <w:top w:val="none" w:sz="0" w:space="0" w:color="auto"/>
        <w:left w:val="none" w:sz="0" w:space="0" w:color="auto"/>
        <w:bottom w:val="none" w:sz="0" w:space="0" w:color="auto"/>
        <w:right w:val="none" w:sz="0" w:space="0" w:color="auto"/>
      </w:divBdr>
    </w:div>
    <w:div w:id="906263156">
      <w:bodyDiv w:val="1"/>
      <w:marLeft w:val="0"/>
      <w:marRight w:val="0"/>
      <w:marTop w:val="0"/>
      <w:marBottom w:val="0"/>
      <w:divBdr>
        <w:top w:val="none" w:sz="0" w:space="0" w:color="auto"/>
        <w:left w:val="none" w:sz="0" w:space="0" w:color="auto"/>
        <w:bottom w:val="none" w:sz="0" w:space="0" w:color="auto"/>
        <w:right w:val="none" w:sz="0" w:space="0" w:color="auto"/>
      </w:divBdr>
    </w:div>
    <w:div w:id="949049893">
      <w:bodyDiv w:val="1"/>
      <w:marLeft w:val="0"/>
      <w:marRight w:val="0"/>
      <w:marTop w:val="0"/>
      <w:marBottom w:val="0"/>
      <w:divBdr>
        <w:top w:val="none" w:sz="0" w:space="0" w:color="auto"/>
        <w:left w:val="none" w:sz="0" w:space="0" w:color="auto"/>
        <w:bottom w:val="none" w:sz="0" w:space="0" w:color="auto"/>
        <w:right w:val="none" w:sz="0" w:space="0" w:color="auto"/>
      </w:divBdr>
    </w:div>
    <w:div w:id="1018970972">
      <w:bodyDiv w:val="1"/>
      <w:marLeft w:val="0"/>
      <w:marRight w:val="0"/>
      <w:marTop w:val="0"/>
      <w:marBottom w:val="0"/>
      <w:divBdr>
        <w:top w:val="none" w:sz="0" w:space="0" w:color="auto"/>
        <w:left w:val="none" w:sz="0" w:space="0" w:color="auto"/>
        <w:bottom w:val="none" w:sz="0" w:space="0" w:color="auto"/>
        <w:right w:val="none" w:sz="0" w:space="0" w:color="auto"/>
      </w:divBdr>
    </w:div>
    <w:div w:id="1031303734">
      <w:bodyDiv w:val="1"/>
      <w:marLeft w:val="0"/>
      <w:marRight w:val="0"/>
      <w:marTop w:val="0"/>
      <w:marBottom w:val="0"/>
      <w:divBdr>
        <w:top w:val="none" w:sz="0" w:space="0" w:color="auto"/>
        <w:left w:val="none" w:sz="0" w:space="0" w:color="auto"/>
        <w:bottom w:val="none" w:sz="0" w:space="0" w:color="auto"/>
        <w:right w:val="none" w:sz="0" w:space="0" w:color="auto"/>
      </w:divBdr>
    </w:div>
    <w:div w:id="1371301520">
      <w:bodyDiv w:val="1"/>
      <w:marLeft w:val="0"/>
      <w:marRight w:val="0"/>
      <w:marTop w:val="0"/>
      <w:marBottom w:val="0"/>
      <w:divBdr>
        <w:top w:val="none" w:sz="0" w:space="0" w:color="auto"/>
        <w:left w:val="none" w:sz="0" w:space="0" w:color="auto"/>
        <w:bottom w:val="none" w:sz="0" w:space="0" w:color="auto"/>
        <w:right w:val="none" w:sz="0" w:space="0" w:color="auto"/>
      </w:divBdr>
    </w:div>
    <w:div w:id="1634287189">
      <w:bodyDiv w:val="1"/>
      <w:marLeft w:val="0"/>
      <w:marRight w:val="0"/>
      <w:marTop w:val="0"/>
      <w:marBottom w:val="0"/>
      <w:divBdr>
        <w:top w:val="none" w:sz="0" w:space="0" w:color="auto"/>
        <w:left w:val="none" w:sz="0" w:space="0" w:color="auto"/>
        <w:bottom w:val="none" w:sz="0" w:space="0" w:color="auto"/>
        <w:right w:val="none" w:sz="0" w:space="0" w:color="auto"/>
      </w:divBdr>
    </w:div>
    <w:div w:id="1676418064">
      <w:bodyDiv w:val="1"/>
      <w:marLeft w:val="0"/>
      <w:marRight w:val="0"/>
      <w:marTop w:val="0"/>
      <w:marBottom w:val="0"/>
      <w:divBdr>
        <w:top w:val="none" w:sz="0" w:space="0" w:color="auto"/>
        <w:left w:val="none" w:sz="0" w:space="0" w:color="auto"/>
        <w:bottom w:val="none" w:sz="0" w:space="0" w:color="auto"/>
        <w:right w:val="none" w:sz="0" w:space="0" w:color="auto"/>
      </w:divBdr>
    </w:div>
    <w:div w:id="186470409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0382462">
      <w:bodyDiv w:val="1"/>
      <w:marLeft w:val="0"/>
      <w:marRight w:val="0"/>
      <w:marTop w:val="0"/>
      <w:marBottom w:val="0"/>
      <w:divBdr>
        <w:top w:val="none" w:sz="0" w:space="0" w:color="auto"/>
        <w:left w:val="none" w:sz="0" w:space="0" w:color="auto"/>
        <w:bottom w:val="none" w:sz="0" w:space="0" w:color="auto"/>
        <w:right w:val="none" w:sz="0" w:space="0" w:color="auto"/>
      </w:divBdr>
    </w:div>
    <w:div w:id="1968199687">
      <w:bodyDiv w:val="1"/>
      <w:marLeft w:val="0"/>
      <w:marRight w:val="0"/>
      <w:marTop w:val="0"/>
      <w:marBottom w:val="0"/>
      <w:divBdr>
        <w:top w:val="none" w:sz="0" w:space="0" w:color="auto"/>
        <w:left w:val="none" w:sz="0" w:space="0" w:color="auto"/>
        <w:bottom w:val="none" w:sz="0" w:space="0" w:color="auto"/>
        <w:right w:val="none" w:sz="0" w:space="0" w:color="auto"/>
      </w:divBdr>
    </w:div>
    <w:div w:id="20203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anhonour.gov.au/coat-arms/index.cfm" TargetMode="Externa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ato.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sanhonour.gov.au"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Deterministic utility</c:v>
          </c:tx>
          <c:spPr>
            <a:ln>
              <a:solidFill>
                <a:srgbClr val="78A22F"/>
              </a:solidFill>
            </a:ln>
          </c:spPr>
          <c:marker>
            <c:symbol val="none"/>
          </c:marker>
          <c:cat>
            <c:numRef>
              <c:f>[baseline_results.csv]baseline_results!$AI$23:$AI$28</c:f>
              <c:numCache>
                <c:formatCode>General</c:formatCode>
                <c:ptCount val="6"/>
                <c:pt idx="0">
                  <c:v>0</c:v>
                </c:pt>
                <c:pt idx="1">
                  <c:v>10</c:v>
                </c:pt>
                <c:pt idx="2">
                  <c:v>20</c:v>
                </c:pt>
                <c:pt idx="3">
                  <c:v>30</c:v>
                </c:pt>
                <c:pt idx="4">
                  <c:v>40</c:v>
                </c:pt>
                <c:pt idx="5">
                  <c:v>50</c:v>
                </c:pt>
              </c:numCache>
            </c:numRef>
          </c:cat>
          <c:val>
            <c:numRef>
              <c:f>[baseline_results.csv]baseline_results!$H$182:$H$187</c:f>
              <c:numCache>
                <c:formatCode>General</c:formatCode>
                <c:ptCount val="6"/>
                <c:pt idx="0">
                  <c:v>0</c:v>
                </c:pt>
                <c:pt idx="1">
                  <c:v>6.1895336590000003</c:v>
                </c:pt>
                <c:pt idx="2">
                  <c:v>9.4167924702000008</c:v>
                </c:pt>
                <c:pt idx="3">
                  <c:v>11.029746105999999</c:v>
                </c:pt>
                <c:pt idx="4">
                  <c:v>11.47968801</c:v>
                </c:pt>
                <c:pt idx="5">
                  <c:v>10.744738595999999</c:v>
                </c:pt>
              </c:numCache>
            </c:numRef>
          </c:val>
          <c:smooth val="0"/>
        </c:ser>
        <c:dLbls>
          <c:showLegendKey val="0"/>
          <c:showVal val="0"/>
          <c:showCatName val="0"/>
          <c:showSerName val="0"/>
          <c:showPercent val="0"/>
          <c:showBubbleSize val="0"/>
        </c:dLbls>
        <c:marker val="1"/>
        <c:smooth val="0"/>
        <c:axId val="192322944"/>
        <c:axId val="204932608"/>
      </c:lineChart>
      <c:catAx>
        <c:axId val="192322944"/>
        <c:scaling>
          <c:orientation val="minMax"/>
        </c:scaling>
        <c:delete val="0"/>
        <c:axPos val="b"/>
        <c:title>
          <c:tx>
            <c:rich>
              <a:bodyPr/>
              <a:lstStyle/>
              <a:p>
                <a:pPr>
                  <a:defRPr/>
                </a:pPr>
                <a:r>
                  <a:rPr lang="en-US"/>
                  <a:t>Hours</a:t>
                </a:r>
              </a:p>
            </c:rich>
          </c:tx>
          <c:overlay val="0"/>
        </c:title>
        <c:numFmt formatCode="General" sourceLinked="1"/>
        <c:majorTickMark val="out"/>
        <c:minorTickMark val="none"/>
        <c:tickLblPos val="nextTo"/>
        <c:spPr>
          <a:ln>
            <a:solidFill>
              <a:srgbClr val="BFBFBF"/>
            </a:solidFill>
          </a:ln>
        </c:spPr>
        <c:crossAx val="204932608"/>
        <c:crosses val="autoZero"/>
        <c:auto val="1"/>
        <c:lblAlgn val="ctr"/>
        <c:lblOffset val="100"/>
        <c:noMultiLvlLbl val="0"/>
      </c:catAx>
      <c:valAx>
        <c:axId val="204932608"/>
        <c:scaling>
          <c:orientation val="minMax"/>
          <c:max val="16"/>
        </c:scaling>
        <c:delete val="0"/>
        <c:axPos val="l"/>
        <c:numFmt formatCode="General" sourceLinked="1"/>
        <c:majorTickMark val="out"/>
        <c:minorTickMark val="none"/>
        <c:tickLblPos val="nextTo"/>
        <c:spPr>
          <a:ln>
            <a:solidFill>
              <a:srgbClr val="BFBFBF"/>
            </a:solidFill>
          </a:ln>
        </c:spPr>
        <c:crossAx val="192322944"/>
        <c:crosses val="autoZero"/>
        <c:crossBetween val="midCat"/>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Deterministic utility</c:v>
          </c:tx>
          <c:spPr>
            <a:ln>
              <a:solidFill>
                <a:srgbClr val="78A22F"/>
              </a:solidFill>
            </a:ln>
          </c:spPr>
          <c:marker>
            <c:symbol val="none"/>
          </c:marker>
          <c:cat>
            <c:numRef>
              <c:f>baseline_results!$AI$23:$AI$28</c:f>
              <c:numCache>
                <c:formatCode>General</c:formatCode>
                <c:ptCount val="6"/>
                <c:pt idx="0">
                  <c:v>0</c:v>
                </c:pt>
                <c:pt idx="1">
                  <c:v>10</c:v>
                </c:pt>
                <c:pt idx="2">
                  <c:v>20</c:v>
                </c:pt>
                <c:pt idx="3">
                  <c:v>30</c:v>
                </c:pt>
                <c:pt idx="4">
                  <c:v>40</c:v>
                </c:pt>
                <c:pt idx="5">
                  <c:v>50</c:v>
                </c:pt>
              </c:numCache>
            </c:numRef>
          </c:cat>
          <c:val>
            <c:numRef>
              <c:f>baseline_results!$H$182:$H$187</c:f>
              <c:numCache>
                <c:formatCode>General</c:formatCode>
                <c:ptCount val="6"/>
                <c:pt idx="0">
                  <c:v>0</c:v>
                </c:pt>
                <c:pt idx="1">
                  <c:v>6.1895336590000003</c:v>
                </c:pt>
                <c:pt idx="2">
                  <c:v>9.4167924702000008</c:v>
                </c:pt>
                <c:pt idx="3">
                  <c:v>11.029746105999999</c:v>
                </c:pt>
                <c:pt idx="4">
                  <c:v>11.47968801</c:v>
                </c:pt>
                <c:pt idx="5">
                  <c:v>10.744738595999999</c:v>
                </c:pt>
              </c:numCache>
            </c:numRef>
          </c:val>
          <c:smooth val="0"/>
        </c:ser>
        <c:ser>
          <c:idx val="1"/>
          <c:order val="1"/>
          <c:tx>
            <c:v>Total utility</c:v>
          </c:tx>
          <c:spPr>
            <a:ln>
              <a:solidFill>
                <a:srgbClr val="275A9A"/>
              </a:solidFill>
            </a:ln>
          </c:spPr>
          <c:marker>
            <c:symbol val="none"/>
          </c:marker>
          <c:cat>
            <c:numRef>
              <c:f>baseline_results!$AI$23:$AI$28</c:f>
              <c:numCache>
                <c:formatCode>General</c:formatCode>
                <c:ptCount val="6"/>
                <c:pt idx="0">
                  <c:v>0</c:v>
                </c:pt>
                <c:pt idx="1">
                  <c:v>10</c:v>
                </c:pt>
                <c:pt idx="2">
                  <c:v>20</c:v>
                </c:pt>
                <c:pt idx="3">
                  <c:v>30</c:v>
                </c:pt>
                <c:pt idx="4">
                  <c:v>40</c:v>
                </c:pt>
                <c:pt idx="5">
                  <c:v>50</c:v>
                </c:pt>
              </c:numCache>
            </c:numRef>
          </c:cat>
          <c:val>
            <c:numRef>
              <c:f>baseline_results!$Z$182:$Z$187</c:f>
              <c:numCache>
                <c:formatCode>General</c:formatCode>
                <c:ptCount val="6"/>
                <c:pt idx="0">
                  <c:v>0.32357803610000002</c:v>
                </c:pt>
                <c:pt idx="1">
                  <c:v>5.3094962479000003</c:v>
                </c:pt>
                <c:pt idx="2">
                  <c:v>11.039549994</c:v>
                </c:pt>
                <c:pt idx="3">
                  <c:v>11.190518459</c:v>
                </c:pt>
                <c:pt idx="4">
                  <c:v>11.707195839000001</c:v>
                </c:pt>
                <c:pt idx="5">
                  <c:v>11.863001236000001</c:v>
                </c:pt>
              </c:numCache>
            </c:numRef>
          </c:val>
          <c:smooth val="0"/>
        </c:ser>
        <c:dLbls>
          <c:showLegendKey val="0"/>
          <c:showVal val="0"/>
          <c:showCatName val="0"/>
          <c:showSerName val="0"/>
          <c:showPercent val="0"/>
          <c:showBubbleSize val="0"/>
        </c:dLbls>
        <c:marker val="1"/>
        <c:smooth val="0"/>
        <c:axId val="328914816"/>
        <c:axId val="330231808"/>
      </c:lineChart>
      <c:catAx>
        <c:axId val="328914816"/>
        <c:scaling>
          <c:orientation val="minMax"/>
        </c:scaling>
        <c:delete val="0"/>
        <c:axPos val="b"/>
        <c:title>
          <c:tx>
            <c:rich>
              <a:bodyPr/>
              <a:lstStyle/>
              <a:p>
                <a:pPr>
                  <a:defRPr/>
                </a:pPr>
                <a:r>
                  <a:rPr lang="en-US"/>
                  <a:t>Hours</a:t>
                </a:r>
              </a:p>
            </c:rich>
          </c:tx>
          <c:overlay val="0"/>
        </c:title>
        <c:numFmt formatCode="General" sourceLinked="1"/>
        <c:majorTickMark val="out"/>
        <c:minorTickMark val="none"/>
        <c:tickLblPos val="nextTo"/>
        <c:spPr>
          <a:ln>
            <a:solidFill>
              <a:srgbClr val="BFBFBF"/>
            </a:solidFill>
          </a:ln>
        </c:spPr>
        <c:crossAx val="330231808"/>
        <c:crosses val="autoZero"/>
        <c:auto val="1"/>
        <c:lblAlgn val="ctr"/>
        <c:lblOffset val="100"/>
        <c:noMultiLvlLbl val="0"/>
      </c:catAx>
      <c:valAx>
        <c:axId val="330231808"/>
        <c:scaling>
          <c:orientation val="minMax"/>
          <c:max val="16"/>
        </c:scaling>
        <c:delete val="0"/>
        <c:axPos val="l"/>
        <c:numFmt formatCode="General" sourceLinked="1"/>
        <c:majorTickMark val="out"/>
        <c:minorTickMark val="none"/>
        <c:tickLblPos val="nextTo"/>
        <c:spPr>
          <a:ln>
            <a:solidFill>
              <a:srgbClr val="BFBFBF"/>
            </a:solidFill>
          </a:ln>
        </c:spPr>
        <c:crossAx val="328914816"/>
        <c:crosses val="autoZero"/>
        <c:crossBetween val="midCat"/>
      </c:valAx>
      <c:spPr>
        <a:noFill/>
        <a:ln>
          <a:noFill/>
        </a:ln>
      </c:spPr>
    </c:plotArea>
    <c:legend>
      <c:legendPos val="b"/>
      <c:overlay val="0"/>
    </c:legend>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Benchmark run</c:v>
          </c:tx>
          <c:spPr>
            <a:ln>
              <a:solidFill>
                <a:srgbClr val="78A22F"/>
              </a:solidFill>
            </a:ln>
          </c:spPr>
          <c:marker>
            <c:symbol val="none"/>
          </c:marker>
          <c:cat>
            <c:numRef>
              <c:f>baseline_results!$AI$23:$AI$28</c:f>
              <c:numCache>
                <c:formatCode>General</c:formatCode>
                <c:ptCount val="6"/>
                <c:pt idx="0">
                  <c:v>0</c:v>
                </c:pt>
                <c:pt idx="1">
                  <c:v>10</c:v>
                </c:pt>
                <c:pt idx="2">
                  <c:v>20</c:v>
                </c:pt>
                <c:pt idx="3">
                  <c:v>30</c:v>
                </c:pt>
                <c:pt idx="4">
                  <c:v>40</c:v>
                </c:pt>
                <c:pt idx="5">
                  <c:v>50</c:v>
                </c:pt>
              </c:numCache>
            </c:numRef>
          </c:cat>
          <c:val>
            <c:numRef>
              <c:f>baseline_results!$H$182:$H$187</c:f>
              <c:numCache>
                <c:formatCode>General</c:formatCode>
                <c:ptCount val="6"/>
                <c:pt idx="0">
                  <c:v>0</c:v>
                </c:pt>
                <c:pt idx="1">
                  <c:v>6.1895336590000003</c:v>
                </c:pt>
                <c:pt idx="2">
                  <c:v>9.4167924702000008</c:v>
                </c:pt>
                <c:pt idx="3">
                  <c:v>11.029746105999999</c:v>
                </c:pt>
                <c:pt idx="4">
                  <c:v>11.47968801</c:v>
                </c:pt>
                <c:pt idx="5">
                  <c:v>10.744738595999999</c:v>
                </c:pt>
              </c:numCache>
            </c:numRef>
          </c:val>
          <c:smooth val="0"/>
        </c:ser>
        <c:ser>
          <c:idx val="1"/>
          <c:order val="1"/>
          <c:tx>
            <c:v>Reform run</c:v>
          </c:tx>
          <c:spPr>
            <a:ln>
              <a:solidFill>
                <a:srgbClr val="265A9A"/>
              </a:solidFill>
            </a:ln>
          </c:spPr>
          <c:marker>
            <c:symbol val="none"/>
          </c:marker>
          <c:cat>
            <c:numRef>
              <c:f>baseline_results!$AI$23:$AI$28</c:f>
              <c:numCache>
                <c:formatCode>General</c:formatCode>
                <c:ptCount val="6"/>
                <c:pt idx="0">
                  <c:v>0</c:v>
                </c:pt>
                <c:pt idx="1">
                  <c:v>10</c:v>
                </c:pt>
                <c:pt idx="2">
                  <c:v>20</c:v>
                </c:pt>
                <c:pt idx="3">
                  <c:v>30</c:v>
                </c:pt>
                <c:pt idx="4">
                  <c:v>40</c:v>
                </c:pt>
                <c:pt idx="5">
                  <c:v>50</c:v>
                </c:pt>
              </c:numCache>
            </c:numRef>
          </c:cat>
          <c:val>
            <c:numRef>
              <c:f>[2]baseline_results_reform!$H$182:$H$187</c:f>
              <c:numCache>
                <c:formatCode>General</c:formatCode>
                <c:ptCount val="6"/>
                <c:pt idx="0">
                  <c:v>0</c:v>
                </c:pt>
                <c:pt idx="1">
                  <c:v>6.1407465413000004</c:v>
                </c:pt>
                <c:pt idx="2">
                  <c:v>9.1144906957000007</c:v>
                </c:pt>
                <c:pt idx="3">
                  <c:v>10.544703181999999</c:v>
                </c:pt>
                <c:pt idx="4">
                  <c:v>10.785581474000001</c:v>
                </c:pt>
                <c:pt idx="5">
                  <c:v>9.8625342612000004</c:v>
                </c:pt>
              </c:numCache>
            </c:numRef>
          </c:val>
          <c:smooth val="0"/>
        </c:ser>
        <c:dLbls>
          <c:showLegendKey val="0"/>
          <c:showVal val="0"/>
          <c:showCatName val="0"/>
          <c:showSerName val="0"/>
          <c:showPercent val="0"/>
          <c:showBubbleSize val="0"/>
        </c:dLbls>
        <c:marker val="1"/>
        <c:smooth val="0"/>
        <c:axId val="60192640"/>
        <c:axId val="60219392"/>
      </c:lineChart>
      <c:catAx>
        <c:axId val="60192640"/>
        <c:scaling>
          <c:orientation val="minMax"/>
        </c:scaling>
        <c:delete val="0"/>
        <c:axPos val="b"/>
        <c:title>
          <c:tx>
            <c:rich>
              <a:bodyPr/>
              <a:lstStyle/>
              <a:p>
                <a:pPr>
                  <a:defRPr/>
                </a:pPr>
                <a:r>
                  <a:rPr lang="en-US"/>
                  <a:t>Hours</a:t>
                </a:r>
              </a:p>
            </c:rich>
          </c:tx>
          <c:overlay val="0"/>
        </c:title>
        <c:numFmt formatCode="General" sourceLinked="1"/>
        <c:majorTickMark val="out"/>
        <c:minorTickMark val="none"/>
        <c:tickLblPos val="nextTo"/>
        <c:spPr>
          <a:ln>
            <a:solidFill>
              <a:srgbClr val="BFBFBF"/>
            </a:solidFill>
          </a:ln>
        </c:spPr>
        <c:crossAx val="60219392"/>
        <c:crosses val="autoZero"/>
        <c:auto val="1"/>
        <c:lblAlgn val="ctr"/>
        <c:lblOffset val="100"/>
        <c:noMultiLvlLbl val="0"/>
      </c:catAx>
      <c:valAx>
        <c:axId val="60219392"/>
        <c:scaling>
          <c:orientation val="minMax"/>
          <c:max val="16"/>
        </c:scaling>
        <c:delete val="0"/>
        <c:axPos val="l"/>
        <c:numFmt formatCode="General" sourceLinked="1"/>
        <c:majorTickMark val="out"/>
        <c:minorTickMark val="none"/>
        <c:tickLblPos val="nextTo"/>
        <c:spPr>
          <a:ln>
            <a:solidFill>
              <a:srgbClr val="BFBFBF"/>
            </a:solidFill>
          </a:ln>
        </c:spPr>
        <c:crossAx val="60192640"/>
        <c:crosses val="autoZero"/>
        <c:crossBetween val="midCat"/>
      </c:valAx>
      <c:spPr>
        <a:noFill/>
        <a:ln>
          <a:noFill/>
        </a:ln>
      </c:spPr>
    </c:plotArea>
    <c:legend>
      <c:legendPos val="b"/>
      <c:overlay val="0"/>
    </c:legend>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Deterministic utility</c:v>
          </c:tx>
          <c:spPr>
            <a:ln>
              <a:solidFill>
                <a:srgbClr val="78A22F"/>
              </a:solidFill>
            </a:ln>
          </c:spPr>
          <c:marker>
            <c:symbol val="none"/>
          </c:marker>
          <c:cat>
            <c:numRef>
              <c:f>baseline_results_reform!$J$182:$J$187</c:f>
              <c:numCache>
                <c:formatCode>General</c:formatCode>
                <c:ptCount val="6"/>
                <c:pt idx="0">
                  <c:v>0</c:v>
                </c:pt>
                <c:pt idx="1">
                  <c:v>10</c:v>
                </c:pt>
                <c:pt idx="2">
                  <c:v>20</c:v>
                </c:pt>
                <c:pt idx="3">
                  <c:v>30</c:v>
                </c:pt>
                <c:pt idx="4">
                  <c:v>40</c:v>
                </c:pt>
                <c:pt idx="5">
                  <c:v>50</c:v>
                </c:pt>
              </c:numCache>
            </c:numRef>
          </c:cat>
          <c:val>
            <c:numRef>
              <c:f>baseline_results_reform!$H$182:$H$187</c:f>
              <c:numCache>
                <c:formatCode>General</c:formatCode>
                <c:ptCount val="6"/>
                <c:pt idx="0">
                  <c:v>0</c:v>
                </c:pt>
                <c:pt idx="1">
                  <c:v>6.1407465413000004</c:v>
                </c:pt>
                <c:pt idx="2">
                  <c:v>9.1144906957000007</c:v>
                </c:pt>
                <c:pt idx="3">
                  <c:v>10.544703181999999</c:v>
                </c:pt>
                <c:pt idx="4">
                  <c:v>10.785581474000001</c:v>
                </c:pt>
                <c:pt idx="5">
                  <c:v>9.8625342612000004</c:v>
                </c:pt>
              </c:numCache>
            </c:numRef>
          </c:val>
          <c:smooth val="0"/>
        </c:ser>
        <c:ser>
          <c:idx val="1"/>
          <c:order val="1"/>
          <c:tx>
            <c:v>Total utility</c:v>
          </c:tx>
          <c:spPr>
            <a:ln>
              <a:solidFill>
                <a:srgbClr val="265A9A"/>
              </a:solidFill>
            </a:ln>
          </c:spPr>
          <c:marker>
            <c:symbol val="none"/>
          </c:marker>
          <c:cat>
            <c:numRef>
              <c:f>baseline_results_reform!$J$182:$J$187</c:f>
              <c:numCache>
                <c:formatCode>General</c:formatCode>
                <c:ptCount val="6"/>
                <c:pt idx="0">
                  <c:v>0</c:v>
                </c:pt>
                <c:pt idx="1">
                  <c:v>10</c:v>
                </c:pt>
                <c:pt idx="2">
                  <c:v>20</c:v>
                </c:pt>
                <c:pt idx="3">
                  <c:v>30</c:v>
                </c:pt>
                <c:pt idx="4">
                  <c:v>40</c:v>
                </c:pt>
                <c:pt idx="5">
                  <c:v>50</c:v>
                </c:pt>
              </c:numCache>
            </c:numRef>
          </c:cat>
          <c:val>
            <c:numRef>
              <c:f>baseline_results_reform!$AD$182:$AD$187</c:f>
              <c:numCache>
                <c:formatCode>General</c:formatCode>
                <c:ptCount val="6"/>
                <c:pt idx="0">
                  <c:v>0.32357803610000002</c:v>
                </c:pt>
                <c:pt idx="1">
                  <c:v>5.2607091302000004</c:v>
                </c:pt>
                <c:pt idx="2">
                  <c:v>10.737248219</c:v>
                </c:pt>
                <c:pt idx="3">
                  <c:v>10.705475536</c:v>
                </c:pt>
                <c:pt idx="4">
                  <c:v>11.013089302999999</c:v>
                </c:pt>
                <c:pt idx="5">
                  <c:v>10.980796901</c:v>
                </c:pt>
              </c:numCache>
            </c:numRef>
          </c:val>
          <c:smooth val="0"/>
        </c:ser>
        <c:dLbls>
          <c:showLegendKey val="0"/>
          <c:showVal val="0"/>
          <c:showCatName val="0"/>
          <c:showSerName val="0"/>
          <c:showPercent val="0"/>
          <c:showBubbleSize val="0"/>
        </c:dLbls>
        <c:marker val="1"/>
        <c:smooth val="0"/>
        <c:axId val="75432320"/>
        <c:axId val="75433856"/>
      </c:lineChart>
      <c:catAx>
        <c:axId val="75432320"/>
        <c:scaling>
          <c:orientation val="minMax"/>
        </c:scaling>
        <c:delete val="0"/>
        <c:axPos val="b"/>
        <c:numFmt formatCode="General" sourceLinked="1"/>
        <c:majorTickMark val="out"/>
        <c:minorTickMark val="none"/>
        <c:tickLblPos val="nextTo"/>
        <c:spPr>
          <a:ln>
            <a:solidFill>
              <a:srgbClr val="BFBFBF"/>
            </a:solidFill>
          </a:ln>
        </c:spPr>
        <c:crossAx val="75433856"/>
        <c:crosses val="autoZero"/>
        <c:auto val="1"/>
        <c:lblAlgn val="ctr"/>
        <c:lblOffset val="100"/>
        <c:noMultiLvlLbl val="0"/>
      </c:catAx>
      <c:valAx>
        <c:axId val="75433856"/>
        <c:scaling>
          <c:orientation val="minMax"/>
          <c:max val="16"/>
        </c:scaling>
        <c:delete val="0"/>
        <c:axPos val="l"/>
        <c:numFmt formatCode="General" sourceLinked="1"/>
        <c:majorTickMark val="out"/>
        <c:minorTickMark val="none"/>
        <c:tickLblPos val="nextTo"/>
        <c:spPr>
          <a:ln>
            <a:solidFill>
              <a:srgbClr val="BFBFBF"/>
            </a:solidFill>
          </a:ln>
        </c:spPr>
        <c:crossAx val="75432320"/>
        <c:crosses val="autoZero"/>
        <c:crossBetween val="midCat"/>
      </c:valAx>
      <c:spPr>
        <a:noFill/>
        <a:ln>
          <a:noFill/>
        </a:ln>
      </c:spPr>
    </c:plotArea>
    <c:legend>
      <c:legendPos val="b"/>
      <c:overlay val="0"/>
    </c:legend>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6585256371321"/>
          <c:y val="4.8506944444444443E-2"/>
          <c:w val="0.87158899915824062"/>
          <c:h val="0.78141215277777776"/>
        </c:manualLayout>
      </c:layout>
      <c:barChart>
        <c:barDir val="col"/>
        <c:grouping val="clustered"/>
        <c:varyColors val="0"/>
        <c:ser>
          <c:idx val="0"/>
          <c:order val="0"/>
          <c:tx>
            <c:v>Primary earner</c:v>
          </c:tx>
          <c:spPr>
            <a:solidFill>
              <a:srgbClr val="78A22F"/>
            </a:solidFill>
            <a:ln>
              <a:solidFill>
                <a:srgbClr val="78A22F"/>
              </a:solidFill>
            </a:ln>
          </c:spPr>
          <c:invertIfNegative val="0"/>
          <c:cat>
            <c:strRef>
              <c:f>Sheet1!$C$6:$C$16</c:f>
              <c:strCache>
                <c:ptCount val="11"/>
                <c:pt idx="0">
                  <c:v>0</c:v>
                </c:pt>
                <c:pt idx="1">
                  <c:v>&lt;5</c:v>
                </c:pt>
                <c:pt idx="2">
                  <c:v>5-10</c:v>
                </c:pt>
                <c:pt idx="3">
                  <c:v>10-15</c:v>
                </c:pt>
                <c:pt idx="4">
                  <c:v>15-20</c:v>
                </c:pt>
                <c:pt idx="5">
                  <c:v>20-25</c:v>
                </c:pt>
                <c:pt idx="6">
                  <c:v>25-30</c:v>
                </c:pt>
                <c:pt idx="7">
                  <c:v>30-35</c:v>
                </c:pt>
                <c:pt idx="8">
                  <c:v>35-40</c:v>
                </c:pt>
                <c:pt idx="9">
                  <c:v>40-45</c:v>
                </c:pt>
                <c:pt idx="10">
                  <c:v>45-50</c:v>
                </c:pt>
              </c:strCache>
            </c:strRef>
          </c:cat>
          <c:val>
            <c:numRef>
              <c:f>Sheet1!$F$6:$F$16</c:f>
              <c:numCache>
                <c:formatCode>General</c:formatCode>
                <c:ptCount val="11"/>
                <c:pt idx="0">
                  <c:v>22.805826707438253</c:v>
                </c:pt>
                <c:pt idx="1">
                  <c:v>0.7582961012512266</c:v>
                </c:pt>
                <c:pt idx="2">
                  <c:v>0.81516446528301745</c:v>
                </c:pt>
                <c:pt idx="3">
                  <c:v>1.5244969478679073</c:v>
                </c:pt>
                <c:pt idx="4">
                  <c:v>0.86496136841878335</c:v>
                </c:pt>
                <c:pt idx="5">
                  <c:v>3.6542079334074016</c:v>
                </c:pt>
                <c:pt idx="6">
                  <c:v>0.75637862599017591</c:v>
                </c:pt>
                <c:pt idx="7">
                  <c:v>3.3840344001970779</c:v>
                </c:pt>
                <c:pt idx="8">
                  <c:v>15.755111209345801</c:v>
                </c:pt>
                <c:pt idx="9">
                  <c:v>17.258084638891098</c:v>
                </c:pt>
                <c:pt idx="10">
                  <c:v>32.423437601909242</c:v>
                </c:pt>
              </c:numCache>
            </c:numRef>
          </c:val>
        </c:ser>
        <c:ser>
          <c:idx val="1"/>
          <c:order val="1"/>
          <c:tx>
            <c:v>Secondary earner</c:v>
          </c:tx>
          <c:spPr>
            <a:solidFill>
              <a:srgbClr val="265A9A"/>
            </a:solidFill>
            <a:ln>
              <a:solidFill>
                <a:srgbClr val="265A9A"/>
              </a:solidFill>
            </a:ln>
          </c:spPr>
          <c:invertIfNegative val="0"/>
          <c:cat>
            <c:strRef>
              <c:f>Sheet1!$C$6:$C$16</c:f>
              <c:strCache>
                <c:ptCount val="11"/>
                <c:pt idx="0">
                  <c:v>0</c:v>
                </c:pt>
                <c:pt idx="1">
                  <c:v>&lt;5</c:v>
                </c:pt>
                <c:pt idx="2">
                  <c:v>5-10</c:v>
                </c:pt>
                <c:pt idx="3">
                  <c:v>10-15</c:v>
                </c:pt>
                <c:pt idx="4">
                  <c:v>15-20</c:v>
                </c:pt>
                <c:pt idx="5">
                  <c:v>20-25</c:v>
                </c:pt>
                <c:pt idx="6">
                  <c:v>25-30</c:v>
                </c:pt>
                <c:pt idx="7">
                  <c:v>30-35</c:v>
                </c:pt>
                <c:pt idx="8">
                  <c:v>35-40</c:v>
                </c:pt>
                <c:pt idx="9">
                  <c:v>40-45</c:v>
                </c:pt>
                <c:pt idx="10">
                  <c:v>45-50</c:v>
                </c:pt>
              </c:strCache>
            </c:strRef>
          </c:cat>
          <c:val>
            <c:numRef>
              <c:f>Sheet1!$G$6:$G$16</c:f>
              <c:numCache>
                <c:formatCode>General</c:formatCode>
                <c:ptCount val="11"/>
                <c:pt idx="0">
                  <c:v>43.305286890831177</c:v>
                </c:pt>
                <c:pt idx="1">
                  <c:v>1.4113824495644967</c:v>
                </c:pt>
                <c:pt idx="2">
                  <c:v>1.8984030797600007</c:v>
                </c:pt>
                <c:pt idx="3">
                  <c:v>5.2192996147341439</c:v>
                </c:pt>
                <c:pt idx="4">
                  <c:v>2.3726679971369404</c:v>
                </c:pt>
                <c:pt idx="5">
                  <c:v>8.4126339345461147</c:v>
                </c:pt>
                <c:pt idx="6">
                  <c:v>1.7454091965270431</c:v>
                </c:pt>
                <c:pt idx="7">
                  <c:v>5.0290237017812647</c:v>
                </c:pt>
                <c:pt idx="8">
                  <c:v>10.461262084898019</c:v>
                </c:pt>
                <c:pt idx="9">
                  <c:v>9.2285481470417672</c:v>
                </c:pt>
                <c:pt idx="10">
                  <c:v>10.916082903179026</c:v>
                </c:pt>
              </c:numCache>
            </c:numRef>
          </c:val>
        </c:ser>
        <c:dLbls>
          <c:showLegendKey val="0"/>
          <c:showVal val="0"/>
          <c:showCatName val="0"/>
          <c:showSerName val="0"/>
          <c:showPercent val="0"/>
          <c:showBubbleSize val="0"/>
        </c:dLbls>
        <c:gapWidth val="150"/>
        <c:axId val="75461760"/>
        <c:axId val="75463680"/>
      </c:barChart>
      <c:catAx>
        <c:axId val="75461760"/>
        <c:scaling>
          <c:orientation val="minMax"/>
        </c:scaling>
        <c:delete val="0"/>
        <c:axPos val="b"/>
        <c:title>
          <c:tx>
            <c:rich>
              <a:bodyPr/>
              <a:lstStyle/>
              <a:p>
                <a:pPr>
                  <a:defRPr/>
                </a:pPr>
                <a:r>
                  <a:rPr lang="en-US"/>
                  <a:t>Weekly labour supply (hours)</a:t>
                </a:r>
              </a:p>
            </c:rich>
          </c:tx>
          <c:layout>
            <c:manualLayout>
              <c:xMode val="edge"/>
              <c:yMode val="edge"/>
              <c:x val="0.35075042554483815"/>
              <c:y val="0.90653586714009149"/>
            </c:manualLayout>
          </c:layout>
          <c:overlay val="0"/>
        </c:title>
        <c:majorTickMark val="none"/>
        <c:minorTickMark val="none"/>
        <c:tickLblPos val="nextTo"/>
        <c:spPr>
          <a:ln>
            <a:solidFill>
              <a:srgbClr val="BFBFBF"/>
            </a:solidFill>
          </a:ln>
        </c:spPr>
        <c:crossAx val="75463680"/>
        <c:crosses val="autoZero"/>
        <c:auto val="1"/>
        <c:lblAlgn val="ctr"/>
        <c:lblOffset val="100"/>
        <c:noMultiLvlLbl val="0"/>
      </c:catAx>
      <c:valAx>
        <c:axId val="75463680"/>
        <c:scaling>
          <c:orientation val="minMax"/>
        </c:scaling>
        <c:delete val="0"/>
        <c:axPos val="l"/>
        <c:majorGridlines>
          <c:spPr>
            <a:ln>
              <a:noFill/>
            </a:ln>
          </c:spPr>
        </c:majorGridlines>
        <c:title>
          <c:tx>
            <c:rich>
              <a:bodyPr rot="-5400000" vert="horz"/>
              <a:lstStyle/>
              <a:p>
                <a:pPr>
                  <a:defRPr/>
                </a:pPr>
                <a:r>
                  <a:rPr lang="en-US"/>
                  <a:t>Per cent of coupled</a:t>
                </a:r>
                <a:r>
                  <a:rPr lang="en-US" baseline="0"/>
                  <a:t> income units</a:t>
                </a:r>
                <a:endParaRPr lang="en-US"/>
              </a:p>
            </c:rich>
          </c:tx>
          <c:layout>
            <c:manualLayout>
              <c:xMode val="edge"/>
              <c:yMode val="edge"/>
              <c:x val="1.0949620600866631E-2"/>
              <c:y val="0.10575106998064053"/>
            </c:manualLayout>
          </c:layout>
          <c:overlay val="0"/>
        </c:title>
        <c:numFmt formatCode="General" sourceLinked="1"/>
        <c:majorTickMark val="out"/>
        <c:minorTickMark val="none"/>
        <c:tickLblPos val="nextTo"/>
        <c:spPr>
          <a:ln>
            <a:solidFill>
              <a:srgbClr val="BFBFBF"/>
            </a:solidFill>
          </a:ln>
        </c:spPr>
        <c:crossAx val="75461760"/>
        <c:crosses val="autoZero"/>
        <c:crossBetween val="between"/>
      </c:valAx>
      <c:spPr>
        <a:noFill/>
        <a:ln>
          <a:noFill/>
        </a:ln>
      </c:spPr>
    </c:plotArea>
    <c:legend>
      <c:legendPos val="b"/>
      <c:layout>
        <c:manualLayout>
          <c:xMode val="edge"/>
          <c:yMode val="edge"/>
          <c:x val="0.32107580253534362"/>
          <c:y val="3.4511281459167105E-2"/>
          <c:w val="0.43781166666666665"/>
          <c:h val="7.0332986111111107E-2"/>
        </c:manualLayout>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0.74891</cdr:x>
      <cdr:y>0.20034</cdr:y>
    </cdr:from>
    <cdr:to>
      <cdr:x>0.82401</cdr:x>
      <cdr:y>0.32735</cdr:y>
    </cdr:to>
    <cdr:sp macro="" textlink="">
      <cdr:nvSpPr>
        <cdr:cNvPr id="2" name="Oval 1"/>
        <cdr:cNvSpPr/>
      </cdr:nvSpPr>
      <cdr:spPr>
        <a:xfrm xmlns:a="http://schemas.openxmlformats.org/drawingml/2006/main">
          <a:off x="4043687" y="576914"/>
          <a:ext cx="405495" cy="365754"/>
        </a:xfrm>
        <a:prstGeom xmlns:a="http://schemas.openxmlformats.org/drawingml/2006/main" prst="ellipse">
          <a:avLst/>
        </a:prstGeom>
        <a:noFill xmlns:a="http://schemas.openxmlformats.org/drawingml/2006/main"/>
        <a:ln xmlns:a="http://schemas.openxmlformats.org/drawingml/2006/main">
          <a:solidFill>
            <a:srgbClr val="78A22F"/>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2.xml><?xml version="1.0" encoding="utf-8"?>
<c:userShapes xmlns:c="http://schemas.openxmlformats.org/drawingml/2006/chart">
  <cdr:relSizeAnchor xmlns:cdr="http://schemas.openxmlformats.org/drawingml/2006/chartDrawing">
    <cdr:from>
      <cdr:x>0.74234</cdr:x>
      <cdr:y>0.18503</cdr:y>
    </cdr:from>
    <cdr:to>
      <cdr:x>0.81744</cdr:x>
      <cdr:y>0.31204</cdr:y>
    </cdr:to>
    <cdr:sp macro="" textlink="">
      <cdr:nvSpPr>
        <cdr:cNvPr id="2" name="Oval 1"/>
        <cdr:cNvSpPr/>
      </cdr:nvSpPr>
      <cdr:spPr>
        <a:xfrm xmlns:a="http://schemas.openxmlformats.org/drawingml/2006/main">
          <a:off x="4008204" y="532833"/>
          <a:ext cx="405496" cy="365754"/>
        </a:xfrm>
        <a:prstGeom xmlns:a="http://schemas.openxmlformats.org/drawingml/2006/main" prst="ellipse">
          <a:avLst/>
        </a:prstGeom>
        <a:noFill xmlns:a="http://schemas.openxmlformats.org/drawingml/2006/main"/>
        <a:ln xmlns:a="http://schemas.openxmlformats.org/drawingml/2006/main">
          <a:solidFill>
            <a:schemeClr val="accent3"/>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0.90427</cdr:x>
      <cdr:y>0.15515</cdr:y>
    </cdr:from>
    <cdr:to>
      <cdr:x>0.97937</cdr:x>
      <cdr:y>0.28216</cdr:y>
    </cdr:to>
    <cdr:sp macro="" textlink="">
      <cdr:nvSpPr>
        <cdr:cNvPr id="3" name="Oval 2"/>
        <cdr:cNvSpPr/>
      </cdr:nvSpPr>
      <cdr:spPr>
        <a:xfrm xmlns:a="http://schemas.openxmlformats.org/drawingml/2006/main">
          <a:off x="4882496" y="446782"/>
          <a:ext cx="405496" cy="365754"/>
        </a:xfrm>
        <a:prstGeom xmlns:a="http://schemas.openxmlformats.org/drawingml/2006/main" prst="ellipse">
          <a:avLst/>
        </a:prstGeom>
        <a:noFill xmlns:a="http://schemas.openxmlformats.org/drawingml/2006/main"/>
        <a:ln xmlns:a="http://schemas.openxmlformats.org/drawingml/2006/main">
          <a:solidFill>
            <a:srgbClr val="265A9A"/>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3.xml><?xml version="1.0" encoding="utf-8"?>
<c:userShapes xmlns:c="http://schemas.openxmlformats.org/drawingml/2006/chart">
  <cdr:relSizeAnchor xmlns:cdr="http://schemas.openxmlformats.org/drawingml/2006/chartDrawing">
    <cdr:from>
      <cdr:x>0.75026</cdr:x>
      <cdr:y>0.21839</cdr:y>
    </cdr:from>
    <cdr:to>
      <cdr:x>0.82536</cdr:x>
      <cdr:y>0.3454</cdr:y>
    </cdr:to>
    <cdr:sp macro="" textlink="">
      <cdr:nvSpPr>
        <cdr:cNvPr id="2" name="Oval 1"/>
        <cdr:cNvSpPr/>
      </cdr:nvSpPr>
      <cdr:spPr>
        <a:xfrm xmlns:a="http://schemas.openxmlformats.org/drawingml/2006/main">
          <a:off x="4050979" y="628896"/>
          <a:ext cx="405496" cy="365754"/>
        </a:xfrm>
        <a:prstGeom xmlns:a="http://schemas.openxmlformats.org/drawingml/2006/main" prst="ellipse">
          <a:avLst/>
        </a:prstGeom>
        <a:noFill xmlns:a="http://schemas.openxmlformats.org/drawingml/2006/main"/>
        <a:ln xmlns:a="http://schemas.openxmlformats.org/drawingml/2006/main">
          <a:solidFill>
            <a:srgbClr val="265A9A"/>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957E-185A-4BC7-A9CC-8711476C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23</Pages>
  <Words>6149</Words>
  <Characters>34501</Characters>
  <Application>Microsoft Office Word</Application>
  <DocSecurity>0</DocSecurity>
  <Lines>802</Lines>
  <Paragraphs>427</Paragraphs>
  <ScaleCrop>false</ScaleCrop>
  <HeadingPairs>
    <vt:vector size="2" baseType="variant">
      <vt:variant>
        <vt:lpstr>Title</vt:lpstr>
      </vt:variant>
      <vt:variant>
        <vt:i4>1</vt:i4>
      </vt:variant>
    </vt:vector>
  </HeadingPairs>
  <TitlesOfParts>
    <vt:vector size="1" baseType="lpstr">
      <vt:lpstr>CAPITA-B: A Behavioural Microsimulation Model</vt:lpstr>
    </vt:vector>
  </TitlesOfParts>
  <Company>Productivity Commission</Company>
  <LinksUpToDate>false</LinksUpToDate>
  <CharactersWithSpaces>40223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CAPITA-B: A Behavioural Microsimulation Model</dc:title>
  <dc:subject>CAPITA-B documentation</dc:subject>
  <dc:creator>Productivity Commission</dc:creator>
  <dc:description>1.</dc:description>
  <cp:lastModifiedBy>Michelle Cross</cp:lastModifiedBy>
  <cp:revision>2</cp:revision>
  <cp:lastPrinted>2016-02-03T22:06:00Z</cp:lastPrinted>
  <dcterms:created xsi:type="dcterms:W3CDTF">2016-02-16T22:52:00Z</dcterms:created>
  <dcterms:modified xsi:type="dcterms:W3CDTF">2016-02-16T22:52:00Z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id="CPCGu8ft"/&gt;&lt;style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