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C32" w:rsidRDefault="00320C32" w:rsidP="00320C32">
      <w:pPr>
        <w:pStyle w:val="Heading1"/>
        <w:rPr>
          <w:sz w:val="12"/>
          <w:szCs w:val="12"/>
        </w:rPr>
      </w:pPr>
      <w:bookmarkStart w:id="0" w:name="ChapterTitle"/>
      <w:r w:rsidRPr="00320C32">
        <w:rPr>
          <w:color w:val="FFFFFF" w:themeColor="background1"/>
          <w:sz w:val="12"/>
          <w:szCs w:val="12"/>
        </w:rPr>
        <w:t>Cover: On productivity: concepts and measurement, Productivity Commission Staff Research note</w:t>
      </w:r>
      <w:bookmarkStart w:id="1" w:name="_GoBack"/>
      <w:bookmarkEnd w:id="1"/>
    </w:p>
    <w:p w:rsidR="00AB2F41" w:rsidRPr="00320C32" w:rsidRDefault="00320C32" w:rsidP="00320C32">
      <w:pPr>
        <w:pStyle w:val="BodyText"/>
      </w:pPr>
      <w:r>
        <w:rPr>
          <w:noProof/>
        </w:rPr>
        <w:drawing>
          <wp:anchor distT="0" distB="0" distL="114300" distR="114300" simplePos="0" relativeHeight="251658240" behindDoc="0" locked="0" layoutInCell="1" allowOverlap="1">
            <wp:simplePos x="831273" y="724395"/>
            <wp:positionH relativeFrom="page">
              <wp:align>center</wp:align>
            </wp:positionH>
            <wp:positionV relativeFrom="page">
              <wp:align>center</wp:align>
            </wp:positionV>
            <wp:extent cx="7560000" cy="10692000"/>
            <wp:effectExtent l="0" t="0" r="3175" b="0"/>
            <wp:wrapNone/>
            <wp:docPr id="1" name="Picture 1" descr="Cover of this publ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productivity-concepts-srn.png"/>
                    <pic:cNvPicPr/>
                  </pic:nvPicPr>
                  <pic:blipFill>
                    <a:blip r:embed="rId9">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r w:rsidR="00AB2F41" w:rsidRPr="00320C32">
        <w:br w:type="page"/>
      </w:r>
    </w:p>
    <w:p w:rsidR="00AB2F41" w:rsidRDefault="00AB2F41" w:rsidP="00AB2F41">
      <w:pPr>
        <w:pStyle w:val="Copyrightheading"/>
      </w:pPr>
      <w:r w:rsidRPr="008C305F">
        <w:lastRenderedPageBreak/>
        <w:fldChar w:fldCharType="begin"/>
      </w:r>
      <w:r w:rsidRPr="008C305F">
        <w:instrText>SYMBOL 227 \f "Symbol"</w:instrText>
      </w:r>
      <w:r w:rsidRPr="008C305F">
        <w:fldChar w:fldCharType="end"/>
      </w:r>
      <w:r w:rsidRPr="008C305F">
        <w:t xml:space="preserve"> Commonwealth of Australia </w:t>
      </w:r>
      <w:r>
        <w:t>2015</w:t>
      </w:r>
    </w:p>
    <w:p w:rsidR="00AB2F41" w:rsidRPr="007809B8" w:rsidRDefault="00AB2F41" w:rsidP="00AB2F41">
      <w:pPr>
        <w:pStyle w:val="BodyText"/>
        <w:tabs>
          <w:tab w:val="left" w:pos="851"/>
        </w:tabs>
        <w:spacing w:before="200" w:after="120"/>
        <w:jc w:val="left"/>
        <w:rPr>
          <w:b/>
        </w:rPr>
      </w:pPr>
      <w:bookmarkStart w:id="2" w:name="ISSN"/>
      <w:bookmarkEnd w:id="2"/>
      <w:r>
        <w:rPr>
          <w:b/>
        </w:rPr>
        <w:t>ISBN</w:t>
      </w:r>
      <w:r>
        <w:rPr>
          <w:b/>
        </w:rPr>
        <w:tab/>
      </w:r>
      <w:r w:rsidRPr="00D5704C">
        <w:rPr>
          <w:b/>
        </w:rPr>
        <w:t>978-1-74037-535-1</w:t>
      </w:r>
    </w:p>
    <w:p w:rsidR="00AB2F41" w:rsidRDefault="00AB2F41" w:rsidP="00AB2F41">
      <w:pPr>
        <w:pStyle w:val="BodyText"/>
        <w:spacing w:after="120"/>
      </w:pPr>
      <w:r w:rsidRPr="00862D8F">
        <w:rPr>
          <w:noProof/>
          <w:sz w:val="22"/>
          <w:szCs w:val="22"/>
        </w:rPr>
        <w:drawing>
          <wp:inline distT="0" distB="0" distL="0" distR="0" wp14:anchorId="0CF27857" wp14:editId="4CFF4FD6">
            <wp:extent cx="843280" cy="295043"/>
            <wp:effectExtent l="0" t="0" r="0" b="0"/>
            <wp:docPr id="2" name="Picture 2" descr="CC BY licen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By logo"/>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843280" cy="295043"/>
                    </a:xfrm>
                    <a:prstGeom prst="rect">
                      <a:avLst/>
                    </a:prstGeom>
                    <a:noFill/>
                    <a:ln>
                      <a:noFill/>
                    </a:ln>
                  </pic:spPr>
                </pic:pic>
              </a:graphicData>
            </a:graphic>
          </wp:inline>
        </w:drawing>
      </w:r>
    </w:p>
    <w:p w:rsidR="00AB2F41" w:rsidRPr="008A3857" w:rsidRDefault="00AB2F41" w:rsidP="00AB2F41">
      <w:pPr>
        <w:pStyle w:val="Copyrightbodytext"/>
      </w:pPr>
      <w:r w:rsidRPr="008A3857">
        <w:t xml:space="preserve">Except for the Commonwealth Coat of Arms and content supplied by third parties, this copyright work is licensed under a Creative Commons Attribution 3.0 Australia licence. To view a copy of this licence, visit </w:t>
      </w:r>
      <w:r w:rsidRPr="00805FD7">
        <w:t>http://creativecommons.org/licenses/by/3.0/au</w:t>
      </w:r>
      <w:r w:rsidRPr="008A3857">
        <w:rPr>
          <w:szCs w:val="24"/>
        </w:rPr>
        <w:t>.</w:t>
      </w:r>
      <w:r w:rsidRPr="008A3857">
        <w:t xml:space="preserve"> In essence, you are free to copy, communicate and adapt the work, as long as you attribute the work to the Productivity Commission (but not in any way that suggests the Commission </w:t>
      </w:r>
      <w:proofErr w:type="gramStart"/>
      <w:r w:rsidRPr="008A3857">
        <w:t>endorses</w:t>
      </w:r>
      <w:proofErr w:type="gramEnd"/>
      <w:r w:rsidRPr="008A3857">
        <w:t xml:space="preserve"> you or your use) and abide by the other licence terms.</w:t>
      </w:r>
    </w:p>
    <w:p w:rsidR="00AB2F41" w:rsidRPr="008A3857" w:rsidRDefault="00AB2F41" w:rsidP="00AB2F41">
      <w:pPr>
        <w:pStyle w:val="Copyrightsubtitle"/>
      </w:pPr>
      <w:r w:rsidRPr="008A3857">
        <w:t>Use of the Commonwealth Coat of Arms</w:t>
      </w:r>
    </w:p>
    <w:p w:rsidR="00AB2F41" w:rsidRPr="008A3857" w:rsidRDefault="00AB2F41" w:rsidP="00AB2F41">
      <w:pPr>
        <w:pStyle w:val="Copyrightbodytext"/>
      </w:pPr>
      <w:r w:rsidRPr="008A3857">
        <w:t>For terms of use of the Coat of Arms visit the ‘</w:t>
      </w:r>
      <w:hyperlink r:id="rId11" w:history="1">
        <w:r w:rsidRPr="00805FD7">
          <w:t>It’s an Honour</w:t>
        </w:r>
      </w:hyperlink>
      <w:r w:rsidRPr="008A3857">
        <w:t>’ website</w:t>
      </w:r>
      <w:r w:rsidRPr="00BA0B81">
        <w:t xml:space="preserve">: </w:t>
      </w:r>
      <w:r w:rsidRPr="00805FD7">
        <w:t>http://www.itsanhonour.gov.au</w:t>
      </w:r>
    </w:p>
    <w:p w:rsidR="00AB2F41" w:rsidRPr="008A3857" w:rsidRDefault="00AB2F41" w:rsidP="00AB2F41">
      <w:pPr>
        <w:pStyle w:val="Copyrightsubtitle"/>
      </w:pPr>
      <w:r w:rsidRPr="008A3857">
        <w:t>Third party copyright</w:t>
      </w:r>
    </w:p>
    <w:p w:rsidR="00AB2F41" w:rsidRPr="008A3857" w:rsidRDefault="00AB2F41" w:rsidP="00AB2F41">
      <w:pPr>
        <w:pStyle w:val="Copyrightbodytext"/>
      </w:pPr>
      <w:r w:rsidRPr="008A3857">
        <w:t>Wherever a third party holds copyright in this material, the copyright remains with that party. Their permission may be required to use the material, please contact them directly.</w:t>
      </w:r>
    </w:p>
    <w:p w:rsidR="00AB2F41" w:rsidRPr="008A3857" w:rsidRDefault="00AB2F41" w:rsidP="00AB2F41">
      <w:pPr>
        <w:pStyle w:val="Copyrightsubtitle"/>
      </w:pPr>
      <w:r w:rsidRPr="008A3857">
        <w:t>Attribution</w:t>
      </w:r>
    </w:p>
    <w:p w:rsidR="00AB2F41" w:rsidRPr="008A3857" w:rsidRDefault="00AB2F41" w:rsidP="00AB2F41">
      <w:pPr>
        <w:pStyle w:val="Copyrightbodytext"/>
      </w:pPr>
      <w:r w:rsidRPr="008A3857">
        <w:t xml:space="preserve">This work should be attributed as follows, </w:t>
      </w:r>
      <w:r w:rsidRPr="008E242D">
        <w:rPr>
          <w:i/>
        </w:rPr>
        <w:t xml:space="preserve">Source: Productivity Commission, </w:t>
      </w:r>
      <w:proofErr w:type="gramStart"/>
      <w:r w:rsidRPr="00D5704C">
        <w:rPr>
          <w:i/>
        </w:rPr>
        <w:t>On</w:t>
      </w:r>
      <w:proofErr w:type="gramEnd"/>
      <w:r w:rsidRPr="00D5704C">
        <w:rPr>
          <w:i/>
        </w:rPr>
        <w:t xml:space="preserve"> productivity: concepts and measurement</w:t>
      </w:r>
      <w:r w:rsidRPr="008A3857">
        <w:t>.</w:t>
      </w:r>
    </w:p>
    <w:p w:rsidR="00AB2F41" w:rsidRPr="008A3857" w:rsidRDefault="00AB2F41" w:rsidP="00AB2F41">
      <w:pPr>
        <w:pStyle w:val="Copyrightbodytext"/>
        <w:spacing w:before="120"/>
      </w:pPr>
      <w:r w:rsidRPr="008A3857">
        <w:t xml:space="preserve">If you have adapted, modified or transformed this work in anyway, please use the following, </w:t>
      </w:r>
      <w:r w:rsidRPr="008E242D">
        <w:rPr>
          <w:i/>
        </w:rPr>
        <w:t>Source: based on Productivity Commission</w:t>
      </w:r>
      <w:r>
        <w:rPr>
          <w:i/>
        </w:rPr>
        <w:t xml:space="preserve"> </w:t>
      </w:r>
      <w:r w:rsidRPr="008E242D">
        <w:rPr>
          <w:i/>
        </w:rPr>
        <w:t xml:space="preserve">data, </w:t>
      </w:r>
      <w:proofErr w:type="gramStart"/>
      <w:r w:rsidRPr="00D5704C">
        <w:rPr>
          <w:i/>
        </w:rPr>
        <w:t>On</w:t>
      </w:r>
      <w:proofErr w:type="gramEnd"/>
      <w:r w:rsidRPr="00D5704C">
        <w:rPr>
          <w:i/>
        </w:rPr>
        <w:t xml:space="preserve"> productivity: concepts and measurement</w:t>
      </w:r>
      <w:r w:rsidRPr="008A3857">
        <w:t>.</w:t>
      </w:r>
    </w:p>
    <w:p w:rsidR="00AB2F41" w:rsidRPr="008A3857" w:rsidRDefault="00AB2F41" w:rsidP="00AB2F41">
      <w:pPr>
        <w:pStyle w:val="Copyrightsubtitle"/>
      </w:pPr>
      <w:r w:rsidRPr="008A3857">
        <w:t xml:space="preserve">An appropriate </w:t>
      </w:r>
      <w:r>
        <w:t>reference</w:t>
      </w:r>
      <w:r w:rsidRPr="008A3857">
        <w:t xml:space="preserve"> for this publication is:</w:t>
      </w:r>
    </w:p>
    <w:p w:rsidR="00AB2F41" w:rsidRPr="008A3857" w:rsidRDefault="00AB2F41" w:rsidP="00AB2F41">
      <w:pPr>
        <w:pStyle w:val="Copyrightbodytext"/>
      </w:pPr>
      <w:r>
        <w:t xml:space="preserve">Gordon, J., Zhao, S. and Gretton, P. 2015, </w:t>
      </w:r>
      <w:proofErr w:type="gramStart"/>
      <w:r w:rsidRPr="00D5704C">
        <w:rPr>
          <w:i/>
        </w:rPr>
        <w:t>On</w:t>
      </w:r>
      <w:proofErr w:type="gramEnd"/>
      <w:r w:rsidRPr="00D5704C">
        <w:rPr>
          <w:i/>
        </w:rPr>
        <w:t xml:space="preserve"> productivity: concepts and measurement</w:t>
      </w:r>
      <w:r>
        <w:t>, Productivity Commission Staff Research Note, Canberra, February.</w:t>
      </w:r>
    </w:p>
    <w:p w:rsidR="00AB2F41" w:rsidRPr="008A3857" w:rsidRDefault="00AB2F41" w:rsidP="00AB2F41">
      <w:pPr>
        <w:pStyle w:val="Copyrightsubtitle"/>
      </w:pPr>
      <w:bookmarkStart w:id="3" w:name="JEL"/>
      <w:bookmarkEnd w:id="3"/>
      <w:r w:rsidRPr="008A3857">
        <w:t>Publications enquiries</w:t>
      </w:r>
    </w:p>
    <w:p w:rsidR="00AB2F41" w:rsidRDefault="00AB2F41" w:rsidP="00AB2F41">
      <w:pPr>
        <w:pStyle w:val="Copyrightbodytext"/>
      </w:pPr>
      <w:r w:rsidRPr="008A3857">
        <w:t xml:space="preserve">Media and Publications, </w:t>
      </w:r>
      <w:r>
        <w:rPr>
          <w:szCs w:val="24"/>
        </w:rPr>
        <w:t>phone:</w:t>
      </w:r>
      <w:r w:rsidRPr="00BB5DCF">
        <w:rPr>
          <w:szCs w:val="24"/>
        </w:rPr>
        <w:t xml:space="preserve"> (03) 9653 2244 or email: maps@pc.gov.au</w:t>
      </w:r>
    </w:p>
    <w:p w:rsidR="00AB2F41" w:rsidRDefault="00AB2F41" w:rsidP="00AB2F41">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AB2F41" w:rsidTr="00920C1E">
        <w:tc>
          <w:tcPr>
            <w:tcW w:w="8771" w:type="dxa"/>
            <w:tcBorders>
              <w:top w:val="single" w:sz="6" w:space="0" w:color="78A22F"/>
              <w:left w:val="nil"/>
              <w:bottom w:val="nil"/>
              <w:right w:val="nil"/>
            </w:tcBorders>
            <w:shd w:val="clear" w:color="auto" w:fill="F2F2F2" w:themeFill="background1" w:themeFillShade="F2"/>
          </w:tcPr>
          <w:p w:rsidR="00AB2F41" w:rsidRPr="008A3857" w:rsidRDefault="00AB2F41" w:rsidP="00920C1E">
            <w:pPr>
              <w:pStyle w:val="BoxTitle"/>
              <w:rPr>
                <w:sz w:val="22"/>
                <w:szCs w:val="22"/>
              </w:rPr>
            </w:pPr>
            <w:r w:rsidRPr="008A3857">
              <w:rPr>
                <w:sz w:val="22"/>
                <w:szCs w:val="22"/>
              </w:rPr>
              <w:t>The Productivity Commission</w:t>
            </w:r>
          </w:p>
        </w:tc>
      </w:tr>
      <w:tr w:rsidR="00AB2F41" w:rsidTr="00920C1E">
        <w:trPr>
          <w:cantSplit/>
        </w:trPr>
        <w:tc>
          <w:tcPr>
            <w:tcW w:w="8771" w:type="dxa"/>
            <w:tcBorders>
              <w:top w:val="nil"/>
              <w:left w:val="nil"/>
              <w:bottom w:val="nil"/>
              <w:right w:val="nil"/>
            </w:tcBorders>
            <w:shd w:val="clear" w:color="auto" w:fill="F2F2F2" w:themeFill="background1" w:themeFillShade="F2"/>
          </w:tcPr>
          <w:p w:rsidR="00AB2F41" w:rsidRDefault="00AB2F41" w:rsidP="00920C1E">
            <w:pPr>
              <w:pStyle w:val="Box"/>
            </w:pPr>
            <w:r w:rsidRPr="00BB5DCF">
              <w:t>The Productivity Commission is the Australian Government’s independent research and advisory body on a range of economic, social and environmental issues affecting the welfare of Australians. Its role, expressed most simply, is to help governments make better policies, in the long term interest of the Australian community.</w:t>
            </w:r>
          </w:p>
          <w:p w:rsidR="00AB2F41" w:rsidRDefault="00AB2F41" w:rsidP="00920C1E">
            <w:pPr>
              <w:pStyle w:val="Box"/>
            </w:pPr>
            <w:r w:rsidRPr="00BB5DCF">
              <w:t>The Commission’s independence is underpinned by an Act of Parliament. Its processes and outputs are open to public scrutiny and are driven by concern for the wellbeing of the community as a whole.</w:t>
            </w:r>
          </w:p>
          <w:p w:rsidR="00AB2F41" w:rsidRDefault="00AB2F41" w:rsidP="00920C1E">
            <w:pPr>
              <w:pStyle w:val="Box"/>
            </w:pPr>
            <w:r w:rsidRPr="00BB5DCF">
              <w:rPr>
                <w:szCs w:val="24"/>
              </w:rPr>
              <w:t xml:space="preserve">Further information on the Productivity Commission can be obtained from the </w:t>
            </w:r>
            <w:hyperlink r:id="rId12" w:history="1">
              <w:r w:rsidRPr="00F55557">
                <w:rPr>
                  <w:rStyle w:val="Hyperlink"/>
                  <w:color w:val="auto"/>
                  <w:szCs w:val="24"/>
                </w:rPr>
                <w:t>Commission’s website</w:t>
              </w:r>
            </w:hyperlink>
            <w:r w:rsidRPr="00BB5DCF">
              <w:rPr>
                <w:szCs w:val="24"/>
              </w:rPr>
              <w:t xml:space="preserve"> (</w:t>
            </w:r>
            <w:r w:rsidRPr="00805FD7">
              <w:t>www.pc.gov.au</w:t>
            </w:r>
            <w:r w:rsidRPr="00BB5DCF">
              <w:rPr>
                <w:szCs w:val="24"/>
              </w:rPr>
              <w:t>)</w:t>
            </w:r>
            <w:r>
              <w:rPr>
                <w:szCs w:val="24"/>
              </w:rPr>
              <w:t>.</w:t>
            </w:r>
          </w:p>
        </w:tc>
      </w:tr>
      <w:tr w:rsidR="00AB2F41" w:rsidTr="00920C1E">
        <w:trPr>
          <w:cantSplit/>
        </w:trPr>
        <w:tc>
          <w:tcPr>
            <w:tcW w:w="8771" w:type="dxa"/>
            <w:tcBorders>
              <w:top w:val="nil"/>
              <w:left w:val="nil"/>
              <w:bottom w:val="single" w:sz="6" w:space="0" w:color="78A22F"/>
              <w:right w:val="nil"/>
            </w:tcBorders>
            <w:shd w:val="clear" w:color="auto" w:fill="F2F2F2" w:themeFill="background1" w:themeFillShade="F2"/>
          </w:tcPr>
          <w:p w:rsidR="00AB2F41" w:rsidRDefault="00AB2F41" w:rsidP="00920C1E">
            <w:pPr>
              <w:pStyle w:val="Box"/>
              <w:spacing w:before="0" w:line="120" w:lineRule="exact"/>
            </w:pPr>
          </w:p>
        </w:tc>
      </w:tr>
    </w:tbl>
    <w:p w:rsidR="00AB2F41" w:rsidRDefault="00AB2F41" w:rsidP="00AB2F41">
      <w:pPr>
        <w:pStyle w:val="BodyText"/>
        <w:rPr>
          <w:rFonts w:ascii="Arial" w:hAnsi="Arial" w:cs="Arial"/>
          <w:i/>
        </w:rPr>
      </w:pPr>
      <w:bookmarkStart w:id="4" w:name="cov"/>
      <w:bookmarkStart w:id="5" w:name="Glossary"/>
      <w:bookmarkEnd w:id="4"/>
      <w:bookmarkEnd w:id="5"/>
    </w:p>
    <w:p w:rsidR="002B67FE" w:rsidRDefault="002B67FE" w:rsidP="00EA7A96">
      <w:pPr>
        <w:pStyle w:val="Heading1nochapterno"/>
        <w:sectPr w:rsidR="002B67FE" w:rsidSect="00AB2F41">
          <w:pgSz w:w="11907" w:h="16840" w:code="9"/>
          <w:pgMar w:top="1134" w:right="1304" w:bottom="1134" w:left="1814" w:header="1701" w:footer="397" w:gutter="0"/>
          <w:pgNumType w:start="1" w:chapSep="period"/>
          <w:cols w:space="720"/>
          <w:titlePg/>
          <w:docGrid w:linePitch="326"/>
        </w:sectPr>
      </w:pPr>
    </w:p>
    <w:p w:rsidR="0055317B" w:rsidRDefault="007522F6" w:rsidP="00EA7A96">
      <w:pPr>
        <w:pStyle w:val="Heading1nochapterno"/>
      </w:pPr>
      <w:r>
        <w:lastRenderedPageBreak/>
        <w:t>On productivity: concepts and measurement</w:t>
      </w:r>
      <w:bookmarkEnd w:id="0"/>
    </w:p>
    <w:p w:rsidR="006928EB" w:rsidRDefault="00A53637" w:rsidP="006928EB">
      <w:pPr>
        <w:pStyle w:val="BodyText"/>
      </w:pPr>
      <w:bookmarkStart w:id="6" w:name="begin"/>
      <w:bookmarkEnd w:id="6"/>
      <w:r>
        <w:t xml:space="preserve">Productivity growth is frequently lauded by the business community, media commentators and politicians as </w:t>
      </w:r>
      <w:r w:rsidR="00B330BB">
        <w:t>the solution to improving living standards</w:t>
      </w:r>
      <w:r>
        <w:t xml:space="preserve">, yet </w:t>
      </w:r>
      <w:r w:rsidR="00B330BB">
        <w:t xml:space="preserve">there is little agreement on what </w:t>
      </w:r>
      <w:r>
        <w:t xml:space="preserve">productivity </w:t>
      </w:r>
      <w:r w:rsidR="00B330BB">
        <w:t>actually is</w:t>
      </w:r>
      <w:r w:rsidR="008F265E">
        <w:t>. To some</w:t>
      </w:r>
      <w:r w:rsidR="00675322">
        <w:t xml:space="preserve"> people</w:t>
      </w:r>
      <w:r w:rsidR="008F265E">
        <w:t xml:space="preserve"> productivity </w:t>
      </w:r>
      <w:r>
        <w:t xml:space="preserve">growth </w:t>
      </w:r>
      <w:r w:rsidR="006D0599">
        <w:t>comes from</w:t>
      </w:r>
      <w:r w:rsidR="00C2479A">
        <w:t xml:space="preserve"> </w:t>
      </w:r>
      <w:r w:rsidR="008F265E">
        <w:t>working harder</w:t>
      </w:r>
      <w:r w:rsidR="00AE453C">
        <w:t xml:space="preserve"> and longer (unpaid) hours</w:t>
      </w:r>
      <w:r w:rsidR="008F265E">
        <w:t xml:space="preserve">, to others it is </w:t>
      </w:r>
      <w:r w:rsidR="00675322">
        <w:t>the</w:t>
      </w:r>
      <w:r w:rsidR="006E3697">
        <w:t xml:space="preserve"> </w:t>
      </w:r>
      <w:r w:rsidR="00802D6B">
        <w:t xml:space="preserve">return </w:t>
      </w:r>
      <w:r w:rsidR="006E3697">
        <w:t>from</w:t>
      </w:r>
      <w:r w:rsidR="008F265E">
        <w:t xml:space="preserve"> investing more in capital </w:t>
      </w:r>
      <w:r w:rsidR="00B203D5">
        <w:t>(</w:t>
      </w:r>
      <w:r w:rsidR="00C2479A">
        <w:t xml:space="preserve">such as </w:t>
      </w:r>
      <w:r w:rsidR="008F265E">
        <w:t>infrastructure</w:t>
      </w:r>
      <w:r w:rsidR="00B203D5">
        <w:t xml:space="preserve"> and education </w:t>
      </w:r>
      <w:r w:rsidR="00C2479A">
        <w:t>investment</w:t>
      </w:r>
      <w:r w:rsidR="00B203D5">
        <w:t xml:space="preserve">). </w:t>
      </w:r>
      <w:r w:rsidR="0030249A">
        <w:t xml:space="preserve">Productivity </w:t>
      </w:r>
      <w:r w:rsidR="00675322">
        <w:t>has</w:t>
      </w:r>
      <w:r w:rsidR="0030249A">
        <w:t xml:space="preserve"> also be</w:t>
      </w:r>
      <w:r w:rsidR="006928EB">
        <w:t>en</w:t>
      </w:r>
      <w:r w:rsidR="0030249A">
        <w:t xml:space="preserve"> equated to</w:t>
      </w:r>
      <w:r w:rsidR="008F265E">
        <w:t xml:space="preserve"> </w:t>
      </w:r>
      <w:r w:rsidR="0030249A">
        <w:t>‘</w:t>
      </w:r>
      <w:r w:rsidR="008F265E">
        <w:t>working smarter</w:t>
      </w:r>
      <w:r w:rsidR="0030249A">
        <w:t>’, but exactly what this implies is rarely defined</w:t>
      </w:r>
      <w:r w:rsidR="008F265E">
        <w:t xml:space="preserve">. </w:t>
      </w:r>
    </w:p>
    <w:p w:rsidR="001A79ED" w:rsidRDefault="001A79ED" w:rsidP="00460ED7">
      <w:pPr>
        <w:pStyle w:val="BodyText"/>
        <w:spacing w:before="200"/>
      </w:pPr>
      <w:r>
        <w:t>To economists, productivity is the efficiency with which firms</w:t>
      </w:r>
      <w:r w:rsidR="00B834CA">
        <w:t>,</w:t>
      </w:r>
      <w:r>
        <w:t xml:space="preserve"> organisations, industry</w:t>
      </w:r>
      <w:r w:rsidR="006D0599">
        <w:t>,</w:t>
      </w:r>
      <w:r>
        <w:t xml:space="preserve"> and </w:t>
      </w:r>
      <w:r w:rsidR="00FC0EB9">
        <w:t xml:space="preserve">the </w:t>
      </w:r>
      <w:r>
        <w:t xml:space="preserve">economy as a whole, </w:t>
      </w:r>
      <w:r w:rsidR="00B834CA">
        <w:t xml:space="preserve">convert </w:t>
      </w:r>
      <w:r>
        <w:t>inputs (labour, capital, and raw materials) into output. Productivity grow</w:t>
      </w:r>
      <w:r w:rsidR="002637A0">
        <w:t xml:space="preserve">s when </w:t>
      </w:r>
      <w:r w:rsidR="008F3B7D">
        <w:t>output grows faster</w:t>
      </w:r>
      <w:r>
        <w:t xml:space="preserve"> than inputs, which </w:t>
      </w:r>
      <w:r w:rsidR="008F3B7D">
        <w:t>makes</w:t>
      </w:r>
      <w:r>
        <w:t xml:space="preserve"> the existing inputs more productively efficient. Productivity </w:t>
      </w:r>
      <w:r w:rsidR="00B834CA">
        <w:t>does not reflect</w:t>
      </w:r>
      <w:r w:rsidR="008F3B7D">
        <w:t xml:space="preserve"> how much we value the</w:t>
      </w:r>
      <w:r>
        <w:t xml:space="preserve"> outputs — </w:t>
      </w:r>
      <w:proofErr w:type="gramStart"/>
      <w:r>
        <w:t xml:space="preserve">it </w:t>
      </w:r>
      <w:r w:rsidR="00B834CA">
        <w:t xml:space="preserve"> only</w:t>
      </w:r>
      <w:proofErr w:type="gramEnd"/>
      <w:r w:rsidR="00B834CA">
        <w:t xml:space="preserve"> measures</w:t>
      </w:r>
      <w:r>
        <w:t xml:space="preserve"> how efficiently we use our resources to produce them.</w:t>
      </w:r>
      <w:r w:rsidR="008F3B7D">
        <w:t xml:space="preserve"> Putting </w:t>
      </w:r>
      <w:r w:rsidR="002637A0">
        <w:t xml:space="preserve">aside the </w:t>
      </w:r>
      <w:r w:rsidR="008F3B7D">
        <w:t xml:space="preserve">problem </w:t>
      </w:r>
      <w:proofErr w:type="gramStart"/>
      <w:r w:rsidR="008F3B7D">
        <w:t>of</w:t>
      </w:r>
      <w:r w:rsidR="002637A0">
        <w:t xml:space="preserve"> </w:t>
      </w:r>
      <w:r w:rsidR="00ED2A8B">
        <w:t xml:space="preserve"> ensuring</w:t>
      </w:r>
      <w:proofErr w:type="gramEnd"/>
      <w:r w:rsidR="002637A0">
        <w:t xml:space="preserve"> we</w:t>
      </w:r>
      <w:r w:rsidR="008F3B7D">
        <w:t xml:space="preserve"> produc</w:t>
      </w:r>
      <w:r w:rsidR="002637A0">
        <w:t>e</w:t>
      </w:r>
      <w:r w:rsidR="008F3B7D">
        <w:t xml:space="preserve"> what people </w:t>
      </w:r>
      <w:r w:rsidR="00ED2A8B">
        <w:t xml:space="preserve"> </w:t>
      </w:r>
      <w:r w:rsidR="002637A0">
        <w:t>want to consume</w:t>
      </w:r>
      <w:r w:rsidR="00A4283F">
        <w:t>,</w:t>
      </w:r>
      <w:r w:rsidR="008F3B7D">
        <w:rPr>
          <w:rStyle w:val="FootnoteReference"/>
        </w:rPr>
        <w:footnoteReference w:id="1"/>
      </w:r>
      <w:r w:rsidR="008F3B7D">
        <w:t xml:space="preserve"> </w:t>
      </w:r>
      <w:r w:rsidR="00B330BB">
        <w:t xml:space="preserve">productivity </w:t>
      </w:r>
      <w:r w:rsidR="00ED2A8B">
        <w:t>growth</w:t>
      </w:r>
      <w:r w:rsidR="008D7DBD">
        <w:t xml:space="preserve"> </w:t>
      </w:r>
      <w:r w:rsidR="00ED2A8B">
        <w:t xml:space="preserve"> </w:t>
      </w:r>
      <w:r w:rsidR="008D7DBD">
        <w:t>is</w:t>
      </w:r>
      <w:r w:rsidR="00ED2A8B">
        <w:t xml:space="preserve"> </w:t>
      </w:r>
      <w:r w:rsidR="00B330BB">
        <w:t xml:space="preserve">a good way </w:t>
      </w:r>
      <w:r w:rsidR="00ED2A8B">
        <w:t xml:space="preserve">of improving </w:t>
      </w:r>
      <w:r w:rsidR="00B330BB">
        <w:t>living standards</w:t>
      </w:r>
      <w:r w:rsidR="008F3B7D">
        <w:t>. B</w:t>
      </w:r>
      <w:r w:rsidR="00B330BB">
        <w:t xml:space="preserve">ut </w:t>
      </w:r>
      <w:r w:rsidR="008F3B7D">
        <w:t xml:space="preserve">how </w:t>
      </w:r>
      <w:r w:rsidR="006D0599">
        <w:t>can firms and the economy more generally produce</w:t>
      </w:r>
      <w:r w:rsidR="00AE453C">
        <w:t xml:space="preserve"> </w:t>
      </w:r>
      <w:r w:rsidR="008F3B7D">
        <w:t>more with less</w:t>
      </w:r>
      <w:r w:rsidR="009C1F45">
        <w:t>?</w:t>
      </w:r>
      <w:r w:rsidR="008F3B7D">
        <w:t xml:space="preserve"> </w:t>
      </w:r>
      <w:r w:rsidR="009C1F45">
        <w:t xml:space="preserve">Moreover, </w:t>
      </w:r>
      <w:r w:rsidR="008F3B7D">
        <w:t>are the</w:t>
      </w:r>
      <w:r w:rsidR="00B330BB">
        <w:t xml:space="preserve"> productivity </w:t>
      </w:r>
      <w:r w:rsidR="00ED2A8B">
        <w:t>statistics — which</w:t>
      </w:r>
      <w:r w:rsidR="008F3B7D">
        <w:t xml:space="preserve"> have told a fairly gloomy tale </w:t>
      </w:r>
      <w:r w:rsidR="00B07017">
        <w:t xml:space="preserve">in recent years </w:t>
      </w:r>
      <w:r w:rsidR="008F3B7D">
        <w:t>(figure</w:t>
      </w:r>
      <w:r w:rsidR="00E45F0D">
        <w:t> </w:t>
      </w:r>
      <w:r w:rsidR="008F3B7D">
        <w:t>1)</w:t>
      </w:r>
      <w:r w:rsidR="00ED2A8B">
        <w:t xml:space="preserve"> —</w:t>
      </w:r>
      <w:r w:rsidR="008F3B7D">
        <w:t xml:space="preserve"> </w:t>
      </w:r>
      <w:r w:rsidR="00B330BB">
        <w:t>a good guide to how well we are doing on this front?</w:t>
      </w:r>
      <w:r w:rsidR="008D7DBD">
        <w:rPr>
          <w:rStyle w:val="FootnoteReference"/>
        </w:rPr>
        <w:footnoteReference w:id="2"/>
      </w:r>
      <w:r w:rsidR="008F3B7D">
        <w:t xml:space="preserve"> </w:t>
      </w:r>
      <w:r w:rsidR="009C1F45">
        <w:t>This note aims to shed light on these two issues.</w:t>
      </w:r>
    </w:p>
    <w:p w:rsidR="007C7792" w:rsidRDefault="007C7792" w:rsidP="006F6D37">
      <w:pPr>
        <w:pStyle w:val="Heading2"/>
      </w:pPr>
      <w:r>
        <w:t>What drives productivity growth?</w:t>
      </w:r>
    </w:p>
    <w:p w:rsidR="007C7792" w:rsidRDefault="007C7792" w:rsidP="007C7792">
      <w:pPr>
        <w:pStyle w:val="BodyText"/>
        <w:spacing w:before="200"/>
      </w:pPr>
      <w:r>
        <w:t>Productivity growth comes from:</w:t>
      </w:r>
    </w:p>
    <w:p w:rsidR="007C7792" w:rsidRDefault="007C7792" w:rsidP="007C7792">
      <w:pPr>
        <w:pStyle w:val="ListBullet"/>
      </w:pPr>
      <w:r>
        <w:t>growth in the productive potential of an economy, that is, the maximum level of output that can be produced given available labour, capital, resource endowments and current technologies; and</w:t>
      </w:r>
    </w:p>
    <w:p w:rsidR="007C7792" w:rsidRDefault="007C7792" w:rsidP="007C7792">
      <w:pPr>
        <w:pStyle w:val="ListBullet"/>
      </w:pPr>
      <w:proofErr w:type="gramStart"/>
      <w:r>
        <w:t>how</w:t>
      </w:r>
      <w:proofErr w:type="gramEnd"/>
      <w:r>
        <w:t xml:space="preserve"> quickly the economy is moving to this potential (box 1). </w:t>
      </w:r>
    </w:p>
    <w:p w:rsidR="00B46985" w:rsidRDefault="00B46985" w:rsidP="00B46985">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B46985" w:rsidTr="00B46985">
        <w:tc>
          <w:tcPr>
            <w:tcW w:w="8771" w:type="dxa"/>
            <w:tcBorders>
              <w:top w:val="single" w:sz="6" w:space="0" w:color="78A22F"/>
              <w:left w:val="nil"/>
              <w:bottom w:val="nil"/>
              <w:right w:val="nil"/>
            </w:tcBorders>
            <w:shd w:val="clear" w:color="auto" w:fill="auto"/>
          </w:tcPr>
          <w:p w:rsidR="00B46985" w:rsidRDefault="00B46985" w:rsidP="00B46985">
            <w:pPr>
              <w:pStyle w:val="FigureTitle"/>
            </w:pPr>
            <w:r w:rsidRPr="00784A05">
              <w:rPr>
                <w:b w:val="0"/>
              </w:rPr>
              <w:t xml:space="preserve">Figure </w:t>
            </w:r>
            <w:r>
              <w:rPr>
                <w:b w:val="0"/>
              </w:rPr>
              <w:t>1</w:t>
            </w:r>
            <w:r>
              <w:tab/>
              <w:t>Trends in productivity growth</w:t>
            </w:r>
          </w:p>
          <w:p w:rsidR="00B46985" w:rsidRPr="00176D3F" w:rsidRDefault="00B46985" w:rsidP="00B46985">
            <w:pPr>
              <w:pStyle w:val="Subtitle"/>
            </w:pPr>
            <w:r>
              <w:t>1973-74 to 201</w:t>
            </w:r>
            <w:r w:rsidR="00585F17">
              <w:t>3</w:t>
            </w:r>
            <w:r>
              <w:t>-1</w:t>
            </w:r>
            <w:r w:rsidR="00585F17">
              <w:t>4</w:t>
            </w:r>
          </w:p>
        </w:tc>
      </w:tr>
      <w:tr w:rsidR="00B46985" w:rsidTr="00B46985">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8064A2" w:themeColor="accent4"/>
                <w:bottom w:val="single" w:sz="6" w:space="0" w:color="8064A2" w:themeColor="accent4"/>
              </w:tblBorders>
              <w:tblLayout w:type="fixed"/>
              <w:tblCellMar>
                <w:top w:w="28" w:type="dxa"/>
                <w:left w:w="0" w:type="dxa"/>
                <w:right w:w="0" w:type="dxa"/>
              </w:tblCellMar>
              <w:tblLook w:val="0000" w:firstRow="0" w:lastRow="0" w:firstColumn="0" w:lastColumn="0" w:noHBand="0" w:noVBand="0"/>
            </w:tblPr>
            <w:tblGrid>
              <w:gridCol w:w="8504"/>
            </w:tblGrid>
            <w:tr w:rsidR="00B46985" w:rsidTr="00B46985">
              <w:trPr>
                <w:jc w:val="center"/>
              </w:trPr>
              <w:tc>
                <w:tcPr>
                  <w:tcW w:w="5000" w:type="pct"/>
                  <w:tcBorders>
                    <w:top w:val="nil"/>
                    <w:bottom w:val="nil"/>
                  </w:tcBorders>
                </w:tcPr>
                <w:p w:rsidR="00B46985" w:rsidRDefault="004A4C6A" w:rsidP="00460ED7">
                  <w:pPr>
                    <w:pStyle w:val="Figure"/>
                    <w:spacing w:before="60" w:after="60"/>
                  </w:pPr>
                  <w:r>
                    <w:rPr>
                      <w:noProof/>
                    </w:rPr>
                    <w:drawing>
                      <wp:inline distT="0" distB="0" distL="0" distR="0" wp14:anchorId="7D25A8F4" wp14:editId="28CFA249">
                        <wp:extent cx="5391150" cy="2876550"/>
                        <wp:effectExtent l="0" t="0" r="0" b="0"/>
                        <wp:docPr id="6" name="Picture 6" descr="Trends in producti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91150" cy="2876550"/>
                                </a:xfrm>
                                <a:prstGeom prst="rect">
                                  <a:avLst/>
                                </a:prstGeom>
                                <a:noFill/>
                                <a:ln>
                                  <a:noFill/>
                                </a:ln>
                              </pic:spPr>
                            </pic:pic>
                          </a:graphicData>
                        </a:graphic>
                      </wp:inline>
                    </w:drawing>
                  </w:r>
                </w:p>
              </w:tc>
            </w:tr>
          </w:tbl>
          <w:p w:rsidR="00B46985" w:rsidRDefault="00B46985" w:rsidP="00460ED7">
            <w:pPr>
              <w:pStyle w:val="Figure"/>
              <w:spacing w:before="60" w:after="60"/>
            </w:pPr>
          </w:p>
        </w:tc>
      </w:tr>
      <w:tr w:rsidR="00B46985" w:rsidRPr="00460ED7" w:rsidTr="00B46985">
        <w:tc>
          <w:tcPr>
            <w:tcW w:w="8771" w:type="dxa"/>
            <w:tcBorders>
              <w:top w:val="nil"/>
              <w:left w:val="nil"/>
              <w:bottom w:val="nil"/>
              <w:right w:val="nil"/>
            </w:tcBorders>
            <w:shd w:val="clear" w:color="auto" w:fill="auto"/>
          </w:tcPr>
          <w:p w:rsidR="00B46985" w:rsidRPr="00460ED7" w:rsidRDefault="00585F17" w:rsidP="00570FFE">
            <w:pPr>
              <w:pStyle w:val="Source"/>
            </w:pPr>
            <w:r w:rsidRPr="00460ED7">
              <w:rPr>
                <w:i/>
              </w:rPr>
              <w:t>Sources:</w:t>
            </w:r>
            <w:r w:rsidRPr="00460ED7">
              <w:t xml:space="preserve"> ABS (</w:t>
            </w:r>
            <w:r w:rsidRPr="00460ED7">
              <w:rPr>
                <w:i/>
              </w:rPr>
              <w:t>Estimates of Industry Multifactor Productivity, 2013-14</w:t>
            </w:r>
            <w:r w:rsidRPr="00460ED7">
              <w:t>, Cat. no. 5260.0.55.002, December 2014); Commission estimates.</w:t>
            </w:r>
          </w:p>
        </w:tc>
      </w:tr>
      <w:tr w:rsidR="00B46985" w:rsidTr="00B46985">
        <w:tc>
          <w:tcPr>
            <w:tcW w:w="8771" w:type="dxa"/>
            <w:tcBorders>
              <w:top w:val="nil"/>
              <w:left w:val="nil"/>
              <w:bottom w:val="single" w:sz="6" w:space="0" w:color="78A22F"/>
              <w:right w:val="nil"/>
            </w:tcBorders>
            <w:shd w:val="clear" w:color="auto" w:fill="auto"/>
          </w:tcPr>
          <w:p w:rsidR="00B46985" w:rsidRDefault="00B46985" w:rsidP="00B46985">
            <w:pPr>
              <w:pStyle w:val="Figurespace"/>
            </w:pPr>
          </w:p>
        </w:tc>
      </w:tr>
      <w:tr w:rsidR="00B46985" w:rsidRPr="000863A5" w:rsidTr="00B46985">
        <w:tc>
          <w:tcPr>
            <w:tcW w:w="8771" w:type="dxa"/>
            <w:tcBorders>
              <w:top w:val="single" w:sz="6" w:space="0" w:color="78A22F"/>
              <w:left w:val="nil"/>
              <w:bottom w:val="nil"/>
              <w:right w:val="nil"/>
            </w:tcBorders>
          </w:tcPr>
          <w:p w:rsidR="00B46985" w:rsidRPr="00626D32" w:rsidRDefault="00B46985" w:rsidP="00B46985">
            <w:pPr>
              <w:pStyle w:val="BoxSpaceBelow"/>
            </w:pPr>
          </w:p>
        </w:tc>
      </w:tr>
    </w:tbl>
    <w:p w:rsidR="009C1F45" w:rsidRDefault="0073530B" w:rsidP="00B46985">
      <w:pPr>
        <w:pStyle w:val="BodyText"/>
      </w:pPr>
      <w:r>
        <w:t xml:space="preserve">Economies that </w:t>
      </w:r>
      <w:r w:rsidR="00767DD4">
        <w:t>are</w:t>
      </w:r>
      <w:r>
        <w:t xml:space="preserve"> well be</w:t>
      </w:r>
      <w:r w:rsidR="00767DD4">
        <w:t>low</w:t>
      </w:r>
      <w:r>
        <w:t xml:space="preserve"> their </w:t>
      </w:r>
      <w:r w:rsidR="00D90D58">
        <w:t xml:space="preserve">productive </w:t>
      </w:r>
      <w:r>
        <w:t>potential can experience rapid productivity growth as they catch-up</w:t>
      </w:r>
      <w:r w:rsidR="008E27D2">
        <w:t xml:space="preserve"> to their potential</w:t>
      </w:r>
      <w:r>
        <w:t xml:space="preserve">. </w:t>
      </w:r>
      <w:r w:rsidR="00144CCE">
        <w:t xml:space="preserve">The rapid growth of the </w:t>
      </w:r>
      <w:r w:rsidR="00AE453C">
        <w:t>Asian ‘tiger</w:t>
      </w:r>
      <w:r w:rsidR="00144CCE">
        <w:t>’</w:t>
      </w:r>
      <w:r w:rsidR="00AE453C">
        <w:t xml:space="preserve"> economies of Japan, South Korea, </w:t>
      </w:r>
      <w:r w:rsidR="007522F6">
        <w:t xml:space="preserve">Taiwan, </w:t>
      </w:r>
      <w:r w:rsidR="00AE453C">
        <w:t>and Singapore</w:t>
      </w:r>
      <w:r w:rsidR="00144CCE">
        <w:t xml:space="preserve"> illustrates how fast economies can grow once </w:t>
      </w:r>
      <w:r w:rsidR="00685266">
        <w:t xml:space="preserve">they were exposed to international competition after </w:t>
      </w:r>
      <w:r w:rsidR="00144CCE">
        <w:t xml:space="preserve">barriers </w:t>
      </w:r>
      <w:r w:rsidR="00AE453C">
        <w:t xml:space="preserve">to </w:t>
      </w:r>
      <w:r w:rsidR="007E7165">
        <w:t xml:space="preserve">trade and efficient investment </w:t>
      </w:r>
      <w:r w:rsidR="00144CCE">
        <w:t>are removed.</w:t>
      </w:r>
      <w:r w:rsidR="00C10CBA">
        <w:rPr>
          <w:rStyle w:val="FootnoteReference"/>
        </w:rPr>
        <w:footnoteReference w:id="3"/>
      </w:r>
      <w:r w:rsidR="00144CCE">
        <w:t xml:space="preserve"> </w:t>
      </w:r>
      <w:r w:rsidR="009C1F45">
        <w:t xml:space="preserve">Australia’s rapid productivity growth in the 1990s was in large part a product of competition and trade reforms that </w:t>
      </w:r>
      <w:r w:rsidR="00D90D58">
        <w:t xml:space="preserve">created incentives for </w:t>
      </w:r>
      <w:r w:rsidR="009C1F45">
        <w:t>firms to reach their potential.</w:t>
      </w:r>
    </w:p>
    <w:p w:rsidR="00144CCE" w:rsidRDefault="00767DD4" w:rsidP="00B46985">
      <w:pPr>
        <w:pStyle w:val="BodyText"/>
      </w:pPr>
      <w:r>
        <w:t>E</w:t>
      </w:r>
      <w:r w:rsidR="0073530B">
        <w:t>conom</w:t>
      </w:r>
      <w:r>
        <w:t>ies that are close to their productive potential</w:t>
      </w:r>
      <w:r w:rsidR="0073530B">
        <w:t xml:space="preserve"> </w:t>
      </w:r>
      <w:r w:rsidR="00144CCE">
        <w:t xml:space="preserve">have to </w:t>
      </w:r>
      <w:r>
        <w:t>rely</w:t>
      </w:r>
      <w:r w:rsidR="0073530B">
        <w:t xml:space="preserve"> </w:t>
      </w:r>
      <w:r w:rsidR="00AE453C">
        <w:t xml:space="preserve">mainly </w:t>
      </w:r>
      <w:r w:rsidR="0073530B">
        <w:t xml:space="preserve">on </w:t>
      </w:r>
      <w:proofErr w:type="spellStart"/>
      <w:r w:rsidR="00144CCE">
        <w:t>on-going</w:t>
      </w:r>
      <w:proofErr w:type="spellEnd"/>
      <w:r w:rsidR="00144CCE">
        <w:t xml:space="preserve"> </w:t>
      </w:r>
      <w:r w:rsidR="0073530B">
        <w:t xml:space="preserve">technological and organisational change — </w:t>
      </w:r>
      <w:r w:rsidR="00570FFE">
        <w:t xml:space="preserve">producing </w:t>
      </w:r>
      <w:r w:rsidR="0073530B">
        <w:t xml:space="preserve">new and </w:t>
      </w:r>
      <w:r w:rsidR="00570FFE">
        <w:t xml:space="preserve">improved products or more efficiently organising production </w:t>
      </w:r>
      <w:r>
        <w:t>— to drive growth in productivity</w:t>
      </w:r>
      <w:r w:rsidR="0073530B">
        <w:t>.</w:t>
      </w:r>
      <w:r>
        <w:t xml:space="preserve"> </w:t>
      </w:r>
      <w:r w:rsidR="00144CCE">
        <w:t>This is why</w:t>
      </w:r>
      <w:r w:rsidR="00D90D58">
        <w:t>,</w:t>
      </w:r>
      <w:r w:rsidR="00144CCE">
        <w:t xml:space="preserve"> as the Asian tigers caught up to the developed economies</w:t>
      </w:r>
      <w:r w:rsidR="00D90D58">
        <w:t>,</w:t>
      </w:r>
      <w:r w:rsidR="00144CCE">
        <w:t xml:space="preserve"> their </w:t>
      </w:r>
      <w:r w:rsidR="008D7DBD">
        <w:t>economic</w:t>
      </w:r>
      <w:r w:rsidR="00D90D58">
        <w:t xml:space="preserve"> </w:t>
      </w:r>
      <w:r w:rsidR="00144CCE">
        <w:t xml:space="preserve">growth slowed. The challenge for </w:t>
      </w:r>
      <w:r w:rsidR="009C1F45">
        <w:t xml:space="preserve">Australia, along with other </w:t>
      </w:r>
      <w:r w:rsidR="00144CCE">
        <w:t>developed economies</w:t>
      </w:r>
      <w:r w:rsidR="009C1F45">
        <w:t xml:space="preserve">, </w:t>
      </w:r>
      <w:r w:rsidR="00144CCE">
        <w:t xml:space="preserve">is to push out the </w:t>
      </w:r>
      <w:r w:rsidR="00D90D58">
        <w:t xml:space="preserve">productivity </w:t>
      </w:r>
      <w:r w:rsidR="00144CCE">
        <w:t xml:space="preserve">frontier, </w:t>
      </w:r>
      <w:r w:rsidR="009C1F45">
        <w:t>and to resist falling behind</w:t>
      </w:r>
      <w:r w:rsidR="00144CCE">
        <w:t xml:space="preserve"> </w:t>
      </w:r>
      <w:r w:rsidR="009C1F45">
        <w:t>th</w:t>
      </w:r>
      <w:r w:rsidR="008D7DBD">
        <w:t>eir</w:t>
      </w:r>
      <w:r w:rsidR="009C1F45">
        <w:t xml:space="preserve"> potential</w:t>
      </w:r>
      <w:r w:rsidR="00144CCE">
        <w:t>.</w:t>
      </w:r>
    </w:p>
    <w:p w:rsidR="0073530B" w:rsidRDefault="00767DD4" w:rsidP="00B46985">
      <w:pPr>
        <w:pStyle w:val="BodyText"/>
      </w:pPr>
      <w:r>
        <w:t xml:space="preserve">Microeconomic reform </w:t>
      </w:r>
      <w:r w:rsidR="00C10CBA">
        <w:t>plays an</w:t>
      </w:r>
      <w:r w:rsidR="0034244D">
        <w:t xml:space="preserve"> important </w:t>
      </w:r>
      <w:r w:rsidR="00C10CBA">
        <w:t>role when</w:t>
      </w:r>
      <w:r w:rsidR="0034244D">
        <w:t xml:space="preserve"> it removes barriers to firms realising their </w:t>
      </w:r>
      <w:r w:rsidR="00F84510">
        <w:t xml:space="preserve">productive </w:t>
      </w:r>
      <w:r w:rsidR="0034244D">
        <w:t xml:space="preserve">potential. </w:t>
      </w:r>
      <w:r w:rsidR="00C10CBA">
        <w:t>Competition reform</w:t>
      </w:r>
      <w:r w:rsidR="0034244D">
        <w:t xml:space="preserve"> can contribute to firm</w:t>
      </w:r>
      <w:r w:rsidR="00E45F0D">
        <w:t>-</w:t>
      </w:r>
      <w:r w:rsidR="0034244D">
        <w:t xml:space="preserve">level </w:t>
      </w:r>
      <w:r w:rsidR="00C10CBA">
        <w:t>innovation (</w:t>
      </w:r>
      <w:r w:rsidR="0034244D">
        <w:t>technological and organisational change</w:t>
      </w:r>
      <w:r w:rsidR="00C10CBA">
        <w:t>)</w:t>
      </w:r>
      <w:r w:rsidR="00C44CE4">
        <w:t xml:space="preserve"> through improving the incentives for change</w:t>
      </w:r>
      <w:r w:rsidR="00C10CBA">
        <w:t>. While government can support innovation</w:t>
      </w:r>
      <w:r w:rsidR="00C44CE4">
        <w:t xml:space="preserve"> by creating a</w:t>
      </w:r>
      <w:r w:rsidR="00C10CBA">
        <w:t>n</w:t>
      </w:r>
      <w:r w:rsidR="00C44CE4">
        <w:t xml:space="preserve"> environment for</w:t>
      </w:r>
      <w:r w:rsidR="0034244D">
        <w:t xml:space="preserve"> </w:t>
      </w:r>
      <w:r w:rsidR="00C10CBA">
        <w:t xml:space="preserve">efficient </w:t>
      </w:r>
      <w:r w:rsidR="0034244D">
        <w:t>investment in education, infrastructure</w:t>
      </w:r>
      <w:r w:rsidR="003B100B">
        <w:t>,</w:t>
      </w:r>
      <w:r w:rsidR="0034244D">
        <w:t xml:space="preserve"> and research and development (R&amp;D)</w:t>
      </w:r>
      <w:r w:rsidR="00C44CE4">
        <w:t>,</w:t>
      </w:r>
      <w:r w:rsidR="0034244D">
        <w:t xml:space="preserve"> a </w:t>
      </w:r>
      <w:r w:rsidR="0034244D">
        <w:lastRenderedPageBreak/>
        <w:t xml:space="preserve">productivity </w:t>
      </w:r>
      <w:r w:rsidR="004D5A33">
        <w:t>growth</w:t>
      </w:r>
      <w:r w:rsidR="00D90D58">
        <w:t xml:space="preserve"> </w:t>
      </w:r>
      <w:r w:rsidR="0034244D">
        <w:t xml:space="preserve">agenda must </w:t>
      </w:r>
      <w:r w:rsidR="00685266">
        <w:t xml:space="preserve">include </w:t>
      </w:r>
      <w:r w:rsidR="0034244D">
        <w:t xml:space="preserve">what </w:t>
      </w:r>
      <w:r w:rsidR="00B73F39">
        <w:t xml:space="preserve">drives both </w:t>
      </w:r>
      <w:r w:rsidR="00E45F0D">
        <w:t>firm-</w:t>
      </w:r>
      <w:r w:rsidR="0034244D">
        <w:t xml:space="preserve">level productivity </w:t>
      </w:r>
      <w:r w:rsidR="00685266">
        <w:t xml:space="preserve">and </w:t>
      </w:r>
      <w:r w:rsidR="0034244D">
        <w:t>productivity at the level of the economy.</w:t>
      </w:r>
    </w:p>
    <w:p w:rsidR="00460ED7" w:rsidRDefault="00460ED7">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460ED7" w:rsidTr="008E2A3C">
        <w:tc>
          <w:tcPr>
            <w:tcW w:w="8771" w:type="dxa"/>
            <w:tcBorders>
              <w:top w:val="single" w:sz="6" w:space="0" w:color="78A22F"/>
              <w:left w:val="nil"/>
              <w:bottom w:val="nil"/>
              <w:right w:val="nil"/>
            </w:tcBorders>
            <w:shd w:val="clear" w:color="auto" w:fill="F2F2F2"/>
          </w:tcPr>
          <w:p w:rsidR="00460ED7" w:rsidRDefault="00460ED7" w:rsidP="00460ED7">
            <w:pPr>
              <w:pStyle w:val="BoxTitle"/>
            </w:pPr>
            <w:r>
              <w:rPr>
                <w:b w:val="0"/>
              </w:rPr>
              <w:t>Box 1</w:t>
            </w:r>
            <w:r>
              <w:tab/>
              <w:t xml:space="preserve">Two sources of growth in productivity </w:t>
            </w:r>
          </w:p>
        </w:tc>
      </w:tr>
      <w:tr w:rsidR="00460ED7" w:rsidTr="008E2A3C">
        <w:trPr>
          <w:cantSplit/>
        </w:trPr>
        <w:tc>
          <w:tcPr>
            <w:tcW w:w="8771" w:type="dxa"/>
            <w:tcBorders>
              <w:top w:val="nil"/>
              <w:left w:val="nil"/>
              <w:bottom w:val="nil"/>
              <w:right w:val="nil"/>
            </w:tcBorders>
            <w:shd w:val="clear" w:color="auto" w:fill="F2F2F2"/>
          </w:tcPr>
          <w:p w:rsidR="00460ED7" w:rsidRDefault="00460ED7" w:rsidP="008E2A3C">
            <w:pPr>
              <w:pStyle w:val="Box"/>
            </w:pPr>
            <w:r>
              <w:t>There are two ways in which productivity can grow. The first is where the economy is not operating at full productive efficiency (represented by point A in figure A, which is inside the production possibility frontier (PPF)). Productivity rises if the economy moves from A inside the frontier to B which is on the frontier. This improves welfare as the population can move to a higher consumption (indifference) curve. For example, the 1990 National Competition Policy reforms drove large parts of the utilities sector closer to their PPF, resulting in an estimated 2.5 per cent rise in real gross domestic product (PC 2005</w:t>
            </w:r>
            <w:r w:rsidR="004A4C6A">
              <w:t>)</w:t>
            </w:r>
            <w:r>
              <w:t xml:space="preserve">. </w:t>
            </w:r>
          </w:p>
          <w:p w:rsidR="00460ED7" w:rsidRDefault="00460ED7" w:rsidP="008E2A3C">
            <w:pPr>
              <w:pStyle w:val="Box"/>
            </w:pPr>
            <w:r>
              <w:t xml:space="preserve">It is important to note that not all combinations of output that maximise production are preferred (that is, efficient from an allocative perspective). Assuming a closed economy, so consumption equals production, moving from A to C, while more productively efficient, would lower welfare as people would prefer to consume relatively more of good Y than good X than is produced at point C. </w:t>
            </w:r>
          </w:p>
          <w:p w:rsidR="00460ED7" w:rsidRDefault="00460ED7" w:rsidP="008E2A3C">
            <w:pPr>
              <w:pStyle w:val="Box"/>
            </w:pPr>
            <w:r>
              <w:t xml:space="preserve">The second way that productivity can grow is through a rise in potential (and actual) production (an outward shift in the PPF). For example, the growth in information and communication technology in the 1990s contributed to growth in GDP not just because of additional investment, but because this investment promoted a faster growth in output (PC 2004). Technological progress increased the potential output that could be produced using the current level of resources, and adoption of the new technologies enabled output and hence consumption to increase (from B to D in figure B). </w:t>
            </w:r>
          </w:p>
          <w:p w:rsidR="00460ED7" w:rsidRDefault="004A4C6A" w:rsidP="008E2A3C">
            <w:pPr>
              <w:pStyle w:val="Box"/>
              <w:jc w:val="center"/>
            </w:pPr>
            <w:r>
              <w:rPr>
                <w:noProof/>
              </w:rPr>
              <w:drawing>
                <wp:inline distT="0" distB="0" distL="0" distR="0" wp14:anchorId="409197EC" wp14:editId="2C7E0490">
                  <wp:extent cx="2095500" cy="2105025"/>
                  <wp:effectExtent l="0" t="0" r="0" b="0"/>
                  <wp:docPr id="224" name="Picture 224" descr="Two sources of growth in producti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95500" cy="2105025"/>
                          </a:xfrm>
                          <a:prstGeom prst="rect">
                            <a:avLst/>
                          </a:prstGeom>
                          <a:noFill/>
                          <a:ln>
                            <a:noFill/>
                          </a:ln>
                        </pic:spPr>
                      </pic:pic>
                    </a:graphicData>
                  </a:graphic>
                </wp:inline>
              </w:drawing>
            </w:r>
            <w:r w:rsidR="00460ED7">
              <w:tab/>
            </w:r>
            <w:r>
              <w:rPr>
                <w:noProof/>
              </w:rPr>
              <w:drawing>
                <wp:inline distT="0" distB="0" distL="0" distR="0" wp14:anchorId="7981DB41" wp14:editId="05C54FBE">
                  <wp:extent cx="2085975" cy="2133600"/>
                  <wp:effectExtent l="0" t="0" r="0" b="0"/>
                  <wp:docPr id="225" name="Picture 225" descr="Two sources of growth in producti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85975" cy="2133600"/>
                          </a:xfrm>
                          <a:prstGeom prst="rect">
                            <a:avLst/>
                          </a:prstGeom>
                          <a:noFill/>
                          <a:ln>
                            <a:noFill/>
                          </a:ln>
                        </pic:spPr>
                      </pic:pic>
                    </a:graphicData>
                  </a:graphic>
                </wp:inline>
              </w:drawing>
            </w:r>
          </w:p>
        </w:tc>
      </w:tr>
      <w:tr w:rsidR="00460ED7" w:rsidTr="008E2A3C">
        <w:trPr>
          <w:cantSplit/>
        </w:trPr>
        <w:tc>
          <w:tcPr>
            <w:tcW w:w="8771" w:type="dxa"/>
            <w:tcBorders>
              <w:top w:val="nil"/>
              <w:left w:val="nil"/>
              <w:bottom w:val="single" w:sz="6" w:space="0" w:color="78A22F"/>
              <w:right w:val="nil"/>
            </w:tcBorders>
            <w:shd w:val="clear" w:color="auto" w:fill="F2F2F2"/>
          </w:tcPr>
          <w:p w:rsidR="00460ED7" w:rsidRDefault="00460ED7">
            <w:pPr>
              <w:pStyle w:val="Box"/>
              <w:spacing w:before="0" w:line="120" w:lineRule="exact"/>
            </w:pPr>
          </w:p>
        </w:tc>
      </w:tr>
      <w:tr w:rsidR="00460ED7" w:rsidRPr="000863A5" w:rsidTr="008E2A3C">
        <w:tc>
          <w:tcPr>
            <w:tcW w:w="8771" w:type="dxa"/>
            <w:tcBorders>
              <w:top w:val="single" w:sz="6" w:space="0" w:color="78A22F"/>
              <w:left w:val="nil"/>
              <w:bottom w:val="nil"/>
              <w:right w:val="nil"/>
            </w:tcBorders>
          </w:tcPr>
          <w:p w:rsidR="00460ED7" w:rsidRPr="00626D32" w:rsidRDefault="00460ED7" w:rsidP="008E2A3C">
            <w:pPr>
              <w:pStyle w:val="BoxSpaceBelow"/>
            </w:pPr>
          </w:p>
        </w:tc>
      </w:tr>
    </w:tbl>
    <w:p w:rsidR="00FF3448" w:rsidRPr="00FF3448" w:rsidRDefault="005655A3" w:rsidP="006F6D37">
      <w:pPr>
        <w:pStyle w:val="Heading2"/>
      </w:pPr>
      <w:r>
        <w:t>P</w:t>
      </w:r>
      <w:r w:rsidR="00161764">
        <w:t>roductivity at the firm level</w:t>
      </w:r>
    </w:p>
    <w:p w:rsidR="00C90702" w:rsidRDefault="00282416" w:rsidP="00C90702">
      <w:pPr>
        <w:pStyle w:val="BodyText"/>
      </w:pPr>
      <w:r>
        <w:t xml:space="preserve">The generation and application of </w:t>
      </w:r>
      <w:r w:rsidR="00C90702" w:rsidRPr="00DD086E">
        <w:t>technological and organisational knowledge</w:t>
      </w:r>
      <w:r>
        <w:t xml:space="preserve"> (innovation) are the main drivers of firm</w:t>
      </w:r>
      <w:r w:rsidR="00E45F0D">
        <w:t>-</w:t>
      </w:r>
      <w:r>
        <w:t>level productivity growth</w:t>
      </w:r>
      <w:r w:rsidR="00C90702">
        <w:rPr>
          <w:i/>
        </w:rPr>
        <w:t xml:space="preserve">. </w:t>
      </w:r>
      <w:r w:rsidR="00C90702" w:rsidRPr="00A55640">
        <w:t>These</w:t>
      </w:r>
      <w:r w:rsidR="00C90702">
        <w:t xml:space="preserve"> determinants are broader than </w:t>
      </w:r>
      <w:r w:rsidR="00C90702" w:rsidRPr="002400E6">
        <w:t>technology</w:t>
      </w:r>
      <w:r w:rsidR="00C90702" w:rsidRPr="00CE2103">
        <w:t xml:space="preserve"> in an engineering sense</w:t>
      </w:r>
      <w:r w:rsidR="00C90702">
        <w:t>. The choice of production technology</w:t>
      </w:r>
      <w:r w:rsidR="00517992">
        <w:t xml:space="preserve"> and how production </w:t>
      </w:r>
      <w:r w:rsidR="004D5A33">
        <w:t xml:space="preserve">is </w:t>
      </w:r>
      <w:r w:rsidR="00517992">
        <w:t>organised</w:t>
      </w:r>
      <w:r w:rsidR="00C90702">
        <w:t xml:space="preserve">, which </w:t>
      </w:r>
      <w:r w:rsidR="00517992">
        <w:t>are</w:t>
      </w:r>
      <w:r w:rsidR="00C90702">
        <w:t xml:space="preserve"> management decision</w:t>
      </w:r>
      <w:r w:rsidR="00517992">
        <w:t>s</w:t>
      </w:r>
      <w:r w:rsidR="00C90702">
        <w:t xml:space="preserve">, </w:t>
      </w:r>
      <w:r w:rsidR="00517992">
        <w:t>play a</w:t>
      </w:r>
      <w:r w:rsidR="00C90702">
        <w:t xml:space="preserve"> crucial</w:t>
      </w:r>
      <w:r w:rsidR="00517992">
        <w:t xml:space="preserve"> role in productivity performance</w:t>
      </w:r>
      <w:r w:rsidR="00C90702">
        <w:t xml:space="preserve">. </w:t>
      </w:r>
    </w:p>
    <w:p w:rsidR="00BD45BB" w:rsidRPr="00282EBE" w:rsidRDefault="00D67F77" w:rsidP="00BD45BB">
      <w:pPr>
        <w:pStyle w:val="BodyText"/>
      </w:pPr>
      <w:r>
        <w:lastRenderedPageBreak/>
        <w:t>F</w:t>
      </w:r>
      <w:r w:rsidR="00D76761">
        <w:t xml:space="preserve">irms </w:t>
      </w:r>
      <w:r>
        <w:t xml:space="preserve">can </w:t>
      </w:r>
      <w:r w:rsidR="00BD45BB">
        <w:t xml:space="preserve">improve </w:t>
      </w:r>
      <w:r w:rsidR="00D76761">
        <w:t xml:space="preserve">their </w:t>
      </w:r>
      <w:r w:rsidR="00D76761" w:rsidRPr="00A96CB0">
        <w:rPr>
          <w:i/>
        </w:rPr>
        <w:t>productive efficiency</w:t>
      </w:r>
      <w:r>
        <w:rPr>
          <w:i/>
        </w:rPr>
        <w:t xml:space="preserve"> </w:t>
      </w:r>
      <w:r w:rsidRPr="002F6E99">
        <w:t>in three ways</w:t>
      </w:r>
      <w:r w:rsidR="00C44CE4" w:rsidRPr="00D67F77">
        <w:t>:</w:t>
      </w:r>
      <w:r w:rsidR="00BD45BB" w:rsidRPr="00362B22">
        <w:t xml:space="preserve"> </w:t>
      </w:r>
    </w:p>
    <w:p w:rsidR="00BD45BB" w:rsidRDefault="00C44CE4" w:rsidP="00BD45BB">
      <w:pPr>
        <w:pStyle w:val="ListBullet"/>
      </w:pPr>
      <w:r>
        <w:rPr>
          <w:b/>
          <w:i/>
        </w:rPr>
        <w:t>I</w:t>
      </w:r>
      <w:r w:rsidR="002411CF">
        <w:rPr>
          <w:b/>
          <w:i/>
        </w:rPr>
        <w:t xml:space="preserve">mprovements in </w:t>
      </w:r>
      <w:r w:rsidR="00BD45BB" w:rsidRPr="00BD45BB">
        <w:rPr>
          <w:b/>
          <w:i/>
        </w:rPr>
        <w:t>technical efficiency</w:t>
      </w:r>
      <w:r w:rsidR="00BD45BB">
        <w:t xml:space="preserve"> —</w:t>
      </w:r>
      <w:r w:rsidR="000A2753">
        <w:t xml:space="preserve"> </w:t>
      </w:r>
      <w:r w:rsidR="00BD45BB">
        <w:t>increase</w:t>
      </w:r>
      <w:r w:rsidR="000A2753">
        <w:t>s in</w:t>
      </w:r>
      <w:r w:rsidR="00BD45BB">
        <w:t xml:space="preserve"> output</w:t>
      </w:r>
      <w:r w:rsidR="000A2753">
        <w:t xml:space="preserve"> can be achieved</w:t>
      </w:r>
      <w:r w:rsidR="00BD45BB">
        <w:t xml:space="preserve">, at a given level of input, from more efficient use of the existing technologies. </w:t>
      </w:r>
      <w:r w:rsidR="006D0599">
        <w:t xml:space="preserve">This is what working smarter </w:t>
      </w:r>
      <w:proofErr w:type="gramStart"/>
      <w:r w:rsidR="006D0599">
        <w:t>is</w:t>
      </w:r>
      <w:proofErr w:type="gramEnd"/>
      <w:r w:rsidR="006D0599">
        <w:t xml:space="preserve"> all about — </w:t>
      </w:r>
      <w:r w:rsidR="00517992">
        <w:t>using resources more efficiently</w:t>
      </w:r>
      <w:r w:rsidR="006D0599">
        <w:t xml:space="preserve">. </w:t>
      </w:r>
      <w:r w:rsidR="00BD45BB">
        <w:t xml:space="preserve">An improvement in technical efficiency is about </w:t>
      </w:r>
      <w:r w:rsidR="00BD45BB" w:rsidRPr="00A96CB0">
        <w:t>moving towards</w:t>
      </w:r>
      <w:r w:rsidR="000A2753">
        <w:t xml:space="preserve"> the production possibility frontier</w:t>
      </w:r>
      <w:r w:rsidR="00BD45BB">
        <w:t xml:space="preserve"> </w:t>
      </w:r>
      <w:r w:rsidR="006D0599">
        <w:t xml:space="preserve">(PPF) </w:t>
      </w:r>
      <w:r w:rsidR="00BD45BB">
        <w:t>(that is</w:t>
      </w:r>
      <w:r w:rsidR="004D5A33">
        <w:t>,</w:t>
      </w:r>
      <w:r w:rsidR="00BD45BB">
        <w:t xml:space="preserve"> the</w:t>
      </w:r>
      <w:r w:rsidR="00D76761">
        <w:t xml:space="preserve"> movement from A to B in </w:t>
      </w:r>
      <w:r w:rsidR="00F53F85">
        <w:t>b</w:t>
      </w:r>
      <w:r w:rsidR="00D76761">
        <w:t>ox</w:t>
      </w:r>
      <w:r w:rsidR="00175E26">
        <w:t> </w:t>
      </w:r>
      <w:r w:rsidR="0034244D">
        <w:t>1</w:t>
      </w:r>
      <w:r w:rsidR="00BD45BB">
        <w:t xml:space="preserve">). </w:t>
      </w:r>
    </w:p>
    <w:p w:rsidR="00BD45BB" w:rsidRDefault="00C44CE4" w:rsidP="00BD45BB">
      <w:pPr>
        <w:pStyle w:val="ListBullet"/>
      </w:pPr>
      <w:r>
        <w:rPr>
          <w:b/>
          <w:i/>
        </w:rPr>
        <w:t>T</w:t>
      </w:r>
      <w:r w:rsidR="00BD45BB" w:rsidRPr="00BD45BB">
        <w:rPr>
          <w:b/>
          <w:i/>
        </w:rPr>
        <w:t>echnological progress</w:t>
      </w:r>
      <w:r w:rsidR="002411CF">
        <w:rPr>
          <w:b/>
          <w:i/>
        </w:rPr>
        <w:t xml:space="preserve"> and organisational change</w:t>
      </w:r>
      <w:r w:rsidR="000A2753">
        <w:t xml:space="preserve"> —</w:t>
      </w:r>
      <w:r w:rsidR="00BD45BB">
        <w:t xml:space="preserve"> </w:t>
      </w:r>
      <w:r w:rsidR="000A2753">
        <w:t xml:space="preserve">as </w:t>
      </w:r>
      <w:r w:rsidR="006D0599">
        <w:t xml:space="preserve">firms </w:t>
      </w:r>
      <w:r w:rsidR="000A2753">
        <w:t xml:space="preserve">adopt </w:t>
      </w:r>
      <w:r w:rsidR="00BD45BB">
        <w:t xml:space="preserve">technologies </w:t>
      </w:r>
      <w:r w:rsidR="002411CF">
        <w:t>or organisation</w:t>
      </w:r>
      <w:r w:rsidR="00F84510">
        <w:t>al structures</w:t>
      </w:r>
      <w:r w:rsidR="00F7490E">
        <w:t xml:space="preserve"> that are</w:t>
      </w:r>
      <w:r w:rsidR="002411CF">
        <w:t xml:space="preserve"> </w:t>
      </w:r>
      <w:r w:rsidR="00BD45BB">
        <w:t>n</w:t>
      </w:r>
      <w:r w:rsidR="000A2753">
        <w:t xml:space="preserve">ew to the </w:t>
      </w:r>
      <w:r w:rsidR="006D0599">
        <w:t>firm</w:t>
      </w:r>
      <w:r w:rsidR="00F7490E">
        <w:t>,</w:t>
      </w:r>
      <w:r w:rsidR="006D0599">
        <w:t xml:space="preserve"> </w:t>
      </w:r>
      <w:r w:rsidR="000A2753">
        <w:t>or develop</w:t>
      </w:r>
      <w:r w:rsidR="00BD45BB">
        <w:t xml:space="preserve"> </w:t>
      </w:r>
      <w:r w:rsidR="006D0599">
        <w:t xml:space="preserve">and apply </w:t>
      </w:r>
      <w:r w:rsidR="00BD45BB">
        <w:t>new technologies</w:t>
      </w:r>
      <w:r w:rsidR="00F7490E">
        <w:t xml:space="preserve"> or </w:t>
      </w:r>
      <w:proofErr w:type="gramStart"/>
      <w:r w:rsidR="00F7490E">
        <w:t>approaches,</w:t>
      </w:r>
      <w:proofErr w:type="gramEnd"/>
      <w:r w:rsidR="00BD45BB">
        <w:t xml:space="preserve"> </w:t>
      </w:r>
      <w:r w:rsidR="000A2753">
        <w:t>they can expand output by more than any additional inputs that might be required</w:t>
      </w:r>
      <w:r w:rsidR="00BD45BB">
        <w:t xml:space="preserve">. This is about an </w:t>
      </w:r>
      <w:r w:rsidR="00BD45BB" w:rsidRPr="00A96CB0">
        <w:t>outward shift</w:t>
      </w:r>
      <w:r w:rsidR="00BD45BB">
        <w:t xml:space="preserve"> of </w:t>
      </w:r>
      <w:r w:rsidR="006D0599">
        <w:t>PPF</w:t>
      </w:r>
      <w:r w:rsidR="000A2753">
        <w:t xml:space="preserve"> —</w:t>
      </w:r>
      <w:r w:rsidR="00BD45BB">
        <w:t xml:space="preserve"> a change in maximum capability </w:t>
      </w:r>
      <w:r>
        <w:t xml:space="preserve">afforded by </w:t>
      </w:r>
      <w:r w:rsidR="00D62388">
        <w:t>technological change</w:t>
      </w:r>
      <w:r w:rsidR="00362B22">
        <w:t xml:space="preserve"> </w:t>
      </w:r>
      <w:r w:rsidR="00BD45BB">
        <w:t xml:space="preserve">that enables the firm to produce </w:t>
      </w:r>
      <w:r w:rsidR="00D76761">
        <w:t xml:space="preserve">more </w:t>
      </w:r>
      <w:r w:rsidR="00BD45BB">
        <w:t>output with less inputs. (This is re</w:t>
      </w:r>
      <w:r w:rsidR="000A2753">
        <w:t xml:space="preserve">presented by the movement from B to </w:t>
      </w:r>
      <w:r w:rsidR="00E21959">
        <w:t>D</w:t>
      </w:r>
      <w:r w:rsidR="00D76761">
        <w:t xml:space="preserve"> in </w:t>
      </w:r>
      <w:r w:rsidR="00F53F85">
        <w:t>b</w:t>
      </w:r>
      <w:r w:rsidR="00D76761">
        <w:t>ox</w:t>
      </w:r>
      <w:r w:rsidR="00175E26">
        <w:t> </w:t>
      </w:r>
      <w:r w:rsidR="0034244D">
        <w:t>1</w:t>
      </w:r>
      <w:r w:rsidR="00BD45BB">
        <w:t>).</w:t>
      </w:r>
      <w:r w:rsidR="007522F6">
        <w:t xml:space="preserve"> Technological progress can be embodied in capital and in labour, or disembodied (box 2).</w:t>
      </w:r>
    </w:p>
    <w:p w:rsidR="00BD45BB" w:rsidRDefault="00FD6BAD" w:rsidP="00741797">
      <w:pPr>
        <w:pStyle w:val="ListBullet"/>
      </w:pPr>
      <w:r>
        <w:rPr>
          <w:b/>
          <w:i/>
        </w:rPr>
        <w:t>I</w:t>
      </w:r>
      <w:r w:rsidR="00BD45BB" w:rsidRPr="00BD45BB">
        <w:rPr>
          <w:b/>
          <w:i/>
        </w:rPr>
        <w:t>ncreasing returns to scale</w:t>
      </w:r>
      <w:r w:rsidR="00BD45BB">
        <w:t xml:space="preserve"> </w:t>
      </w:r>
      <w:r w:rsidR="000A2753">
        <w:t xml:space="preserve">— as the size of the </w:t>
      </w:r>
      <w:r w:rsidR="006D0599">
        <w:t xml:space="preserve">firm </w:t>
      </w:r>
      <w:r w:rsidR="000A2753">
        <w:t>expands</w:t>
      </w:r>
      <w:r w:rsidR="00282EBE">
        <w:t>,</w:t>
      </w:r>
      <w:r w:rsidR="000A2753">
        <w:t xml:space="preserve"> its unit cost of production can fall </w:t>
      </w:r>
      <w:r w:rsidR="00BD45BB">
        <w:t>(</w:t>
      </w:r>
      <w:proofErr w:type="spellStart"/>
      <w:r w:rsidR="00BD45BB">
        <w:t>Diewert</w:t>
      </w:r>
      <w:proofErr w:type="spellEnd"/>
      <w:r w:rsidR="00BD45BB">
        <w:t xml:space="preserve"> and </w:t>
      </w:r>
      <w:r w:rsidR="00E45F0D">
        <w:t>Fox </w:t>
      </w:r>
      <w:r w:rsidR="00BD45BB">
        <w:t xml:space="preserve">2008). </w:t>
      </w:r>
      <w:r w:rsidR="006D0599">
        <w:t xml:space="preserve">This comes about </w:t>
      </w:r>
      <w:r w:rsidR="008252D2">
        <w:t>as m</w:t>
      </w:r>
      <w:r w:rsidR="006D0599">
        <w:t xml:space="preserve">ost technology has </w:t>
      </w:r>
      <w:r w:rsidR="00282416">
        <w:t xml:space="preserve">a </w:t>
      </w:r>
      <w:r w:rsidR="006D0599">
        <w:t xml:space="preserve">minimum efficient scale and many have falling average costs as volume </w:t>
      </w:r>
      <w:r w:rsidR="004D5A33">
        <w:t xml:space="preserve">increases </w:t>
      </w:r>
      <w:r w:rsidR="006D0599">
        <w:t xml:space="preserve">up to </w:t>
      </w:r>
      <w:r w:rsidR="005C3758">
        <w:t>some limit.</w:t>
      </w:r>
      <w:r w:rsidR="00BD45BB">
        <w:t xml:space="preserve"> </w:t>
      </w:r>
      <w:r w:rsidR="00741797">
        <w:t>A</w:t>
      </w:r>
      <w:r w:rsidR="00BD45BB">
        <w:t xml:space="preserve">n increase in </w:t>
      </w:r>
      <w:r w:rsidR="00282416">
        <w:t xml:space="preserve">market size </w:t>
      </w:r>
      <w:r w:rsidR="005C3758">
        <w:t xml:space="preserve">can increase utilisation rates and </w:t>
      </w:r>
      <w:r w:rsidR="00BD45BB">
        <w:t xml:space="preserve">may </w:t>
      </w:r>
      <w:r w:rsidR="00741797">
        <w:t xml:space="preserve">also </w:t>
      </w:r>
      <w:r w:rsidR="00BD45BB">
        <w:t xml:space="preserve">allow </w:t>
      </w:r>
      <w:r w:rsidR="00C44CE4">
        <w:t xml:space="preserve">a </w:t>
      </w:r>
      <w:r w:rsidR="00BD45BB">
        <w:t xml:space="preserve">firm to move to a different technology </w:t>
      </w:r>
      <w:r w:rsidR="00C44CE4">
        <w:t xml:space="preserve">or organisation </w:t>
      </w:r>
      <w:r w:rsidR="00BD45BB">
        <w:t>that has a lower unit cost of production</w:t>
      </w:r>
      <w:r w:rsidR="00FE1ADC">
        <w:t xml:space="preserve"> (Sheng et al.</w:t>
      </w:r>
      <w:r w:rsidR="004A329A">
        <w:t> </w:t>
      </w:r>
      <w:r w:rsidR="00FE1ADC">
        <w:t>2014)</w:t>
      </w:r>
      <w:r w:rsidR="00BD45BB">
        <w:t xml:space="preserve">. </w:t>
      </w:r>
    </w:p>
    <w:p w:rsidR="00460ED7" w:rsidRDefault="00460ED7" w:rsidP="00460ED7">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460ED7" w:rsidTr="0071597B">
        <w:trPr>
          <w:tblHeader/>
        </w:trPr>
        <w:tc>
          <w:tcPr>
            <w:tcW w:w="8771" w:type="dxa"/>
            <w:tcBorders>
              <w:top w:val="single" w:sz="6" w:space="0" w:color="78A22F"/>
              <w:left w:val="nil"/>
              <w:bottom w:val="nil"/>
              <w:right w:val="nil"/>
            </w:tcBorders>
            <w:shd w:val="clear" w:color="auto" w:fill="F2F2F2"/>
          </w:tcPr>
          <w:p w:rsidR="00460ED7" w:rsidRDefault="00460ED7" w:rsidP="008E2A3C">
            <w:pPr>
              <w:pStyle w:val="BoxTitle"/>
            </w:pPr>
            <w:r>
              <w:rPr>
                <w:b w:val="0"/>
              </w:rPr>
              <w:t xml:space="preserve">Box </w:t>
            </w:r>
            <w:r w:rsidR="00FC0EB9">
              <w:rPr>
                <w:b w:val="0"/>
                <w:noProof/>
              </w:rPr>
              <w:t>2</w:t>
            </w:r>
            <w:r>
              <w:tab/>
              <w:t>Types of technological progress</w:t>
            </w:r>
          </w:p>
        </w:tc>
      </w:tr>
      <w:tr w:rsidR="00460ED7" w:rsidTr="008E2A3C">
        <w:trPr>
          <w:cantSplit/>
        </w:trPr>
        <w:tc>
          <w:tcPr>
            <w:tcW w:w="8771" w:type="dxa"/>
            <w:tcBorders>
              <w:top w:val="nil"/>
              <w:left w:val="nil"/>
              <w:bottom w:val="nil"/>
              <w:right w:val="nil"/>
            </w:tcBorders>
            <w:shd w:val="clear" w:color="auto" w:fill="F2F2F2"/>
          </w:tcPr>
          <w:p w:rsidR="00460ED7" w:rsidRPr="00FF3448" w:rsidRDefault="00460ED7" w:rsidP="008E2A3C">
            <w:pPr>
              <w:pStyle w:val="Box"/>
            </w:pPr>
            <w:r>
              <w:t>There are three main types of inputs to technological and organisational change.</w:t>
            </w:r>
          </w:p>
          <w:p w:rsidR="00460ED7" w:rsidRPr="005624DC" w:rsidRDefault="00460ED7" w:rsidP="008E2A3C">
            <w:pPr>
              <w:pStyle w:val="BoxListBullet"/>
            </w:pPr>
            <w:r>
              <w:t>A</w:t>
            </w:r>
            <w:r w:rsidRPr="005624DC">
              <w:t>dvanc</w:t>
            </w:r>
            <w:r>
              <w:t xml:space="preserve">es </w:t>
            </w:r>
            <w:r w:rsidRPr="005624DC">
              <w:t>in scientific knowledge acquired and accumulated through research and development</w:t>
            </w:r>
            <w:r>
              <w:t>,</w:t>
            </w:r>
            <w:r w:rsidRPr="005624DC">
              <w:t xml:space="preserve"> </w:t>
            </w:r>
            <w:r>
              <w:t>discovery by doing, and observing others,</w:t>
            </w:r>
            <w:r w:rsidRPr="005624DC">
              <w:t xml:space="preserve"> enables producers to </w:t>
            </w:r>
            <w:r>
              <w:t>manage</w:t>
            </w:r>
            <w:r w:rsidRPr="005624DC">
              <w:t xml:space="preserve"> production </w:t>
            </w:r>
            <w:r>
              <w:t xml:space="preserve">more </w:t>
            </w:r>
            <w:r w:rsidRPr="005624DC">
              <w:t xml:space="preserve">efficiently (such as </w:t>
            </w:r>
            <w:r>
              <w:t>superior management practices and system design</w:t>
            </w:r>
            <w:r w:rsidRPr="005624DC">
              <w:t>). This type of knowledge is sometim</w:t>
            </w:r>
            <w:r>
              <w:t xml:space="preserve">es referred to as </w:t>
            </w:r>
            <w:r w:rsidRPr="00271C81">
              <w:rPr>
                <w:i/>
              </w:rPr>
              <w:t>disembodied technology</w:t>
            </w:r>
            <w:r>
              <w:rPr>
                <w:i/>
              </w:rPr>
              <w:t>.</w:t>
            </w:r>
          </w:p>
          <w:p w:rsidR="00460ED7" w:rsidRPr="005624DC" w:rsidRDefault="00460ED7" w:rsidP="008E2A3C">
            <w:pPr>
              <w:pStyle w:val="BoxListBullet"/>
            </w:pPr>
            <w:r>
              <w:t>I</w:t>
            </w:r>
            <w:r w:rsidRPr="005624DC">
              <w:t>mprov</w:t>
            </w:r>
            <w:r>
              <w:t>ed</w:t>
            </w:r>
            <w:r w:rsidRPr="005624DC">
              <w:t xml:space="preserve"> technology </w:t>
            </w:r>
            <w:r>
              <w:t xml:space="preserve">that is </w:t>
            </w:r>
            <w:r w:rsidRPr="005624DC">
              <w:t xml:space="preserve">intrinsic to capital inputs (such as more powerful machinery, faster computers, and safer and more energy efficient offices), </w:t>
            </w:r>
            <w:r>
              <w:t xml:space="preserve">enhances the efficiency of new capital investment. It is </w:t>
            </w:r>
            <w:r w:rsidRPr="005624DC">
              <w:t>often referr</w:t>
            </w:r>
            <w:r>
              <w:t xml:space="preserve">ed to as </w:t>
            </w:r>
            <w:r w:rsidRPr="00271C81">
              <w:rPr>
                <w:i/>
              </w:rPr>
              <w:t>capital embodied technology</w:t>
            </w:r>
            <w:r>
              <w:rPr>
                <w:i/>
              </w:rPr>
              <w:t>.</w:t>
            </w:r>
          </w:p>
          <w:p w:rsidR="00460ED7" w:rsidRDefault="00460ED7" w:rsidP="008E2A3C">
            <w:pPr>
              <w:pStyle w:val="BoxListBullet"/>
            </w:pPr>
            <w:r>
              <w:t xml:space="preserve">Enhanced individual capabilities </w:t>
            </w:r>
            <w:r w:rsidRPr="005624DC">
              <w:t xml:space="preserve">to </w:t>
            </w:r>
            <w:r>
              <w:t>acquire</w:t>
            </w:r>
            <w:r w:rsidRPr="005624DC">
              <w:t xml:space="preserve"> and apply </w:t>
            </w:r>
            <w:r>
              <w:t xml:space="preserve">technological, organisational, and market </w:t>
            </w:r>
            <w:r w:rsidRPr="005624DC">
              <w:t>knowledge</w:t>
            </w:r>
            <w:r>
              <w:t>,</w:t>
            </w:r>
            <w:r w:rsidRPr="005624DC">
              <w:t xml:space="preserve"> </w:t>
            </w:r>
            <w:r>
              <w:t>can be applied to</w:t>
            </w:r>
            <w:r w:rsidRPr="005624DC">
              <w:t xml:space="preserve"> business decisions and production processes </w:t>
            </w:r>
            <w:r>
              <w:t>to improve</w:t>
            </w:r>
            <w:r w:rsidRPr="005624DC">
              <w:t xml:space="preserve"> business outcomes</w:t>
            </w:r>
            <w:r>
              <w:t xml:space="preserve">. These knowledge-based capabilities form part of </w:t>
            </w:r>
            <w:r w:rsidRPr="00271C81">
              <w:rPr>
                <w:i/>
              </w:rPr>
              <w:t>human capital</w:t>
            </w:r>
            <w:r>
              <w:t xml:space="preserve"> (the other main parts being health and other attributes that enhance humans’ productive capability)</w:t>
            </w:r>
            <w:r>
              <w:rPr>
                <w:i/>
              </w:rPr>
              <w:t>.</w:t>
            </w:r>
          </w:p>
        </w:tc>
      </w:tr>
      <w:tr w:rsidR="00460ED7" w:rsidTr="008E2A3C">
        <w:trPr>
          <w:cantSplit/>
        </w:trPr>
        <w:tc>
          <w:tcPr>
            <w:tcW w:w="8771" w:type="dxa"/>
            <w:tcBorders>
              <w:top w:val="nil"/>
              <w:left w:val="nil"/>
              <w:bottom w:val="single" w:sz="6" w:space="0" w:color="78A22F"/>
              <w:right w:val="nil"/>
            </w:tcBorders>
            <w:shd w:val="clear" w:color="auto" w:fill="F2F2F2"/>
          </w:tcPr>
          <w:p w:rsidR="00460ED7" w:rsidRDefault="00460ED7" w:rsidP="008E2A3C">
            <w:pPr>
              <w:pStyle w:val="Box"/>
              <w:spacing w:before="0" w:line="120" w:lineRule="exact"/>
            </w:pPr>
          </w:p>
        </w:tc>
      </w:tr>
      <w:tr w:rsidR="00460ED7" w:rsidRPr="000863A5" w:rsidTr="008E2A3C">
        <w:tc>
          <w:tcPr>
            <w:tcW w:w="8771" w:type="dxa"/>
            <w:tcBorders>
              <w:top w:val="single" w:sz="6" w:space="0" w:color="78A22F"/>
              <w:left w:val="nil"/>
              <w:bottom w:val="nil"/>
              <w:right w:val="nil"/>
            </w:tcBorders>
          </w:tcPr>
          <w:p w:rsidR="00460ED7" w:rsidRPr="00626D32" w:rsidRDefault="00460ED7" w:rsidP="008E2A3C">
            <w:pPr>
              <w:pStyle w:val="BoxSpaceBelow"/>
            </w:pPr>
          </w:p>
        </w:tc>
      </w:tr>
    </w:tbl>
    <w:p w:rsidR="007522F6" w:rsidRDefault="007522F6" w:rsidP="007522F6">
      <w:pPr>
        <w:pStyle w:val="BodyText"/>
      </w:pPr>
      <w:r>
        <w:t>The magic</w:t>
      </w:r>
      <w:r w:rsidR="004D5A33">
        <w:t xml:space="preserve"> of </w:t>
      </w:r>
      <w:r>
        <w:t xml:space="preserve">productivity enhancing technological and organisational change is that </w:t>
      </w:r>
      <w:r w:rsidR="004D5A33">
        <w:t xml:space="preserve">although </w:t>
      </w:r>
      <w:r w:rsidR="00D62388">
        <w:t>it</w:t>
      </w:r>
      <w:r w:rsidR="004D5A33">
        <w:t xml:space="preserve"> </w:t>
      </w:r>
      <w:r>
        <w:t>take</w:t>
      </w:r>
      <w:r w:rsidR="004D5A33">
        <w:t>s</w:t>
      </w:r>
      <w:r>
        <w:t xml:space="preserve"> effort — time and money are necessary</w:t>
      </w:r>
      <w:r w:rsidR="00D62388">
        <w:t xml:space="preserve"> to achieve change —the pay-off</w:t>
      </w:r>
      <w:r>
        <w:t xml:space="preserve"> exceeds </w:t>
      </w:r>
      <w:r w:rsidR="00BC2E89">
        <w:t xml:space="preserve">the </w:t>
      </w:r>
      <w:r>
        <w:t>cost (box 3).</w:t>
      </w:r>
    </w:p>
    <w:p w:rsidR="00144CCE" w:rsidRDefault="00144CCE" w:rsidP="00144CCE">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144CCE" w:rsidTr="00AE453C">
        <w:tc>
          <w:tcPr>
            <w:tcW w:w="8771" w:type="dxa"/>
            <w:tcBorders>
              <w:top w:val="single" w:sz="6" w:space="0" w:color="78A22F"/>
              <w:left w:val="nil"/>
              <w:bottom w:val="nil"/>
              <w:right w:val="nil"/>
            </w:tcBorders>
            <w:shd w:val="clear" w:color="auto" w:fill="F2F2F2"/>
          </w:tcPr>
          <w:p w:rsidR="00144CCE" w:rsidRDefault="00144CCE" w:rsidP="005C3758">
            <w:pPr>
              <w:pStyle w:val="BoxTitle"/>
            </w:pPr>
            <w:r>
              <w:rPr>
                <w:b w:val="0"/>
              </w:rPr>
              <w:t xml:space="preserve">Box </w:t>
            </w:r>
            <w:r w:rsidR="00FC0EB9">
              <w:rPr>
                <w:b w:val="0"/>
                <w:noProof/>
              </w:rPr>
              <w:t>3</w:t>
            </w:r>
            <w:r w:rsidR="003B100B">
              <w:tab/>
              <w:t>S</w:t>
            </w:r>
            <w:r>
              <w:t xml:space="preserve">ources of </w:t>
            </w:r>
            <w:r w:rsidR="003B100B">
              <w:t>growth in productive efficiency</w:t>
            </w:r>
          </w:p>
        </w:tc>
      </w:tr>
      <w:tr w:rsidR="00144CCE" w:rsidTr="00AE453C">
        <w:trPr>
          <w:cantSplit/>
        </w:trPr>
        <w:tc>
          <w:tcPr>
            <w:tcW w:w="8771" w:type="dxa"/>
            <w:tcBorders>
              <w:top w:val="nil"/>
              <w:left w:val="nil"/>
              <w:bottom w:val="nil"/>
              <w:right w:val="nil"/>
            </w:tcBorders>
            <w:shd w:val="clear" w:color="auto" w:fill="F2F2F2"/>
          </w:tcPr>
          <w:p w:rsidR="00144CCE" w:rsidRDefault="00144CCE" w:rsidP="00AE453C">
            <w:pPr>
              <w:pStyle w:val="Box"/>
            </w:pPr>
            <w:r>
              <w:t xml:space="preserve">The </w:t>
            </w:r>
            <w:r w:rsidR="001F5677">
              <w:t xml:space="preserve">application of knowledge </w:t>
            </w:r>
            <w:r>
              <w:t>is at the heart of productivity growth</w:t>
            </w:r>
            <w:r w:rsidR="001F5677">
              <w:t>.</w:t>
            </w:r>
          </w:p>
          <w:p w:rsidR="00144CCE" w:rsidRDefault="001F5677" w:rsidP="00AA2310">
            <w:pPr>
              <w:pStyle w:val="BoxListBullet"/>
              <w:spacing w:before="80"/>
            </w:pPr>
            <w:r>
              <w:t>K</w:t>
            </w:r>
            <w:r w:rsidR="00144CCE">
              <w:t xml:space="preserve">nowledge </w:t>
            </w:r>
            <w:r>
              <w:t xml:space="preserve">is </w:t>
            </w:r>
            <w:r w:rsidR="00144CCE">
              <w:t xml:space="preserve">non-rival in consumption, </w:t>
            </w:r>
            <w:r>
              <w:t xml:space="preserve">so </w:t>
            </w:r>
            <w:r w:rsidR="00144CCE">
              <w:t>once generated it can be used by others at no or relati</w:t>
            </w:r>
            <w:r w:rsidR="00FD6CB5">
              <w:t>vely little cost (</w:t>
            </w:r>
            <w:proofErr w:type="spellStart"/>
            <w:r w:rsidR="00E45F0D">
              <w:t>Dowrick</w:t>
            </w:r>
            <w:proofErr w:type="spellEnd"/>
            <w:r w:rsidR="00E45F0D">
              <w:t> </w:t>
            </w:r>
            <w:r w:rsidR="00FD6CB5">
              <w:t xml:space="preserve">2004). </w:t>
            </w:r>
            <w:r w:rsidR="00FD6CB5" w:rsidRPr="00C07973">
              <w:t xml:space="preserve">The </w:t>
            </w:r>
            <w:r w:rsidR="00FD6CB5">
              <w:t>contribution</w:t>
            </w:r>
            <w:r w:rsidR="00FD6CB5" w:rsidRPr="00C07973">
              <w:t xml:space="preserve"> of knowledge (or ideas) and </w:t>
            </w:r>
            <w:r w:rsidR="00FD6CB5">
              <w:t>human capital to economic growth</w:t>
            </w:r>
            <w:r w:rsidR="00FD6CB5" w:rsidRPr="00C07973">
              <w:t xml:space="preserve"> sparked the development o</w:t>
            </w:r>
            <w:r w:rsidR="00FD6CB5">
              <w:t xml:space="preserve">f </w:t>
            </w:r>
            <w:r w:rsidR="00913EAE">
              <w:t>’</w:t>
            </w:r>
            <w:r w:rsidR="00FD6CB5">
              <w:t>endogenous growth models</w:t>
            </w:r>
            <w:r w:rsidR="00913EAE">
              <w:t xml:space="preserve">‘, </w:t>
            </w:r>
            <w:r w:rsidR="00460ED7">
              <w:t>which explain a ‘</w:t>
            </w:r>
            <w:r w:rsidR="00FD6CB5">
              <w:t>virtuous’ cycle of investment in R&amp;D</w:t>
            </w:r>
            <w:r w:rsidR="00144CCE">
              <w:t xml:space="preserve"> </w:t>
            </w:r>
            <w:r w:rsidR="00330FEB">
              <w:t>and growth</w:t>
            </w:r>
            <w:r w:rsidR="00913EAE">
              <w:t>,</w:t>
            </w:r>
            <w:r w:rsidR="00330FEB">
              <w:t xml:space="preserve"> which in turn funds R&amp;D </w:t>
            </w:r>
            <w:r>
              <w:t xml:space="preserve">(for example, </w:t>
            </w:r>
            <w:proofErr w:type="spellStart"/>
            <w:r w:rsidR="00E45F0D">
              <w:t>Romer</w:t>
            </w:r>
            <w:proofErr w:type="spellEnd"/>
            <w:r w:rsidR="00E45F0D">
              <w:t> </w:t>
            </w:r>
            <w:r>
              <w:t>1986; 1990)</w:t>
            </w:r>
            <w:r w:rsidR="00175E26">
              <w:t>.</w:t>
            </w:r>
          </w:p>
          <w:p w:rsidR="00144CCE" w:rsidRDefault="00175E26" w:rsidP="00AA2310">
            <w:pPr>
              <w:pStyle w:val="BoxListBullet"/>
              <w:spacing w:before="80"/>
            </w:pPr>
            <w:r>
              <w:t>K</w:t>
            </w:r>
            <w:r w:rsidR="00144CCE">
              <w:t xml:space="preserve">nowledge </w:t>
            </w:r>
            <w:r>
              <w:t xml:space="preserve">can be </w:t>
            </w:r>
            <w:r w:rsidR="00144CCE">
              <w:t>serendipitous</w:t>
            </w:r>
            <w:r w:rsidR="003B100B">
              <w:t xml:space="preserve">, </w:t>
            </w:r>
            <w:r w:rsidR="00144CCE">
              <w:t>with ideas seeming to come from nowhere, or acquired at low cost through learning by doing (</w:t>
            </w:r>
            <w:r w:rsidR="00E45F0D">
              <w:t>Arrow </w:t>
            </w:r>
            <w:r w:rsidR="00144CCE">
              <w:t>1962)</w:t>
            </w:r>
            <w:r>
              <w:t>.</w:t>
            </w:r>
          </w:p>
          <w:p w:rsidR="00144CCE" w:rsidRDefault="00330FEB" w:rsidP="00AA2310">
            <w:pPr>
              <w:pStyle w:val="BoxListBullet"/>
              <w:spacing w:before="80"/>
            </w:pPr>
            <w:r>
              <w:t>K</w:t>
            </w:r>
            <w:r w:rsidR="00144CCE">
              <w:t xml:space="preserve">nowledge embodied in labour </w:t>
            </w:r>
            <w:r>
              <w:t xml:space="preserve">is complementary to </w:t>
            </w:r>
            <w:r w:rsidR="00144CCE">
              <w:t>that embodied in capital.</w:t>
            </w:r>
            <w:r w:rsidR="00FD6CB5">
              <w:t xml:space="preserve"> </w:t>
            </w:r>
            <w:r w:rsidR="00FD6CB5" w:rsidRPr="00C07973">
              <w:t>Lucas (1988)</w:t>
            </w:r>
            <w:r w:rsidR="00FD6CB5">
              <w:t xml:space="preserve"> </w:t>
            </w:r>
            <w:r>
              <w:t xml:space="preserve">captured this </w:t>
            </w:r>
            <w:r w:rsidR="00FD6CB5">
              <w:t>‘complementarity’ between</w:t>
            </w:r>
            <w:r w:rsidR="00FD6CB5" w:rsidRPr="00C07973">
              <w:t xml:space="preserve"> investment in knowledge and human capital </w:t>
            </w:r>
            <w:r>
              <w:t>in his endogenous growth model</w:t>
            </w:r>
            <w:r w:rsidR="00FD6CB5" w:rsidRPr="00C07973">
              <w:t xml:space="preserve">. </w:t>
            </w:r>
          </w:p>
          <w:p w:rsidR="00144CCE" w:rsidRDefault="00144CCE" w:rsidP="00AE453C">
            <w:pPr>
              <w:pStyle w:val="Box"/>
            </w:pPr>
            <w:r>
              <w:t xml:space="preserve">How cost-effectively investments in </w:t>
            </w:r>
            <w:r w:rsidR="00175E26">
              <w:t xml:space="preserve">education, </w:t>
            </w:r>
            <w:r>
              <w:t>R&amp;D</w:t>
            </w:r>
            <w:r w:rsidR="00175E26">
              <w:t>,</w:t>
            </w:r>
            <w:r>
              <w:t xml:space="preserve"> and creative activity are translated into new knowledge and ideas, and in turn into technological or organisational innovations, is critical to productivity growth. Both the speed of </w:t>
            </w:r>
            <w:r w:rsidR="00175E26">
              <w:t xml:space="preserve">the </w:t>
            </w:r>
            <w:r w:rsidRPr="00FF3448">
              <w:t>innovation</w:t>
            </w:r>
            <w:r>
              <w:t xml:space="preserve"> process (whether </w:t>
            </w:r>
            <w:r w:rsidRPr="00FF3448">
              <w:t>producing new or improved goods and services</w:t>
            </w:r>
            <w:r>
              <w:t>,</w:t>
            </w:r>
            <w:r w:rsidRPr="00FF3448">
              <w:t xml:space="preserve"> introducing improvements in </w:t>
            </w:r>
            <w:r>
              <w:t xml:space="preserve">production processes, </w:t>
            </w:r>
            <w:r w:rsidRPr="00FF3448">
              <w:t>adopting organisational and managerial changes</w:t>
            </w:r>
            <w:r>
              <w:t xml:space="preserve">, or adjusting to market demands) and the magnitude of complementarities </w:t>
            </w:r>
            <w:r w:rsidR="00175E26">
              <w:t xml:space="preserve">between human capital formation and capital investment </w:t>
            </w:r>
            <w:r w:rsidRPr="00FF3448">
              <w:t>play a critical role</w:t>
            </w:r>
            <w:r w:rsidR="00175E26">
              <w:t>.</w:t>
            </w:r>
          </w:p>
        </w:tc>
      </w:tr>
      <w:tr w:rsidR="00144CCE" w:rsidTr="00AE453C">
        <w:trPr>
          <w:cantSplit/>
        </w:trPr>
        <w:tc>
          <w:tcPr>
            <w:tcW w:w="8771" w:type="dxa"/>
            <w:tcBorders>
              <w:top w:val="nil"/>
              <w:left w:val="nil"/>
              <w:bottom w:val="single" w:sz="6" w:space="0" w:color="78A22F"/>
              <w:right w:val="nil"/>
            </w:tcBorders>
            <w:shd w:val="clear" w:color="auto" w:fill="F2F2F2"/>
          </w:tcPr>
          <w:p w:rsidR="00144CCE" w:rsidRDefault="00144CCE" w:rsidP="00AE453C">
            <w:pPr>
              <w:pStyle w:val="Box"/>
              <w:spacing w:before="0" w:line="120" w:lineRule="exact"/>
            </w:pPr>
          </w:p>
        </w:tc>
      </w:tr>
      <w:tr w:rsidR="00144CCE" w:rsidRPr="000863A5" w:rsidTr="00AE453C">
        <w:tc>
          <w:tcPr>
            <w:tcW w:w="8771" w:type="dxa"/>
            <w:tcBorders>
              <w:top w:val="single" w:sz="6" w:space="0" w:color="78A22F"/>
              <w:left w:val="nil"/>
              <w:bottom w:val="nil"/>
              <w:right w:val="nil"/>
            </w:tcBorders>
          </w:tcPr>
          <w:p w:rsidR="00144CCE" w:rsidRPr="00626D32" w:rsidRDefault="00144CCE" w:rsidP="00AE453C">
            <w:pPr>
              <w:pStyle w:val="BoxSpaceBelow"/>
            </w:pPr>
          </w:p>
        </w:tc>
      </w:tr>
    </w:tbl>
    <w:p w:rsidR="006316F4" w:rsidRPr="003B100B" w:rsidRDefault="006316F4" w:rsidP="00460ED7">
      <w:pPr>
        <w:pStyle w:val="BodyText"/>
        <w:spacing w:before="200"/>
      </w:pPr>
      <w:r>
        <w:t>To the extent that the market is not constrained by regulation or other factors, firms will tend to maximise productive efficiency in order to maximise their profits. That is, given the size of the market, the cost of different inputs, and available technologies</w:t>
      </w:r>
      <w:r w:rsidR="00492834">
        <w:t>,</w:t>
      </w:r>
      <w:r>
        <w:t xml:space="preserve"> </w:t>
      </w:r>
      <w:r w:rsidR="00AD263D">
        <w:t xml:space="preserve">the firm </w:t>
      </w:r>
      <w:r>
        <w:t xml:space="preserve">could not produce more outputs given the inputs available. </w:t>
      </w:r>
      <w:r w:rsidRPr="003B100B">
        <w:t>Competition reinforces the profit incentive to minimise the cost of production, but even a monopolist driven by profits will aim to be productively efficient.</w:t>
      </w:r>
      <w:r w:rsidR="005C3758">
        <w:rPr>
          <w:rStyle w:val="FootnoteReference"/>
        </w:rPr>
        <w:footnoteReference w:id="4"/>
      </w:r>
      <w:r w:rsidRPr="003B100B">
        <w:t xml:space="preserve"> Competition plays a</w:t>
      </w:r>
      <w:r w:rsidR="00175E26">
        <w:t>n even</w:t>
      </w:r>
      <w:r w:rsidRPr="003B100B">
        <w:t xml:space="preserve"> more important role in productivity at the level of the economy through a process </w:t>
      </w:r>
      <w:r w:rsidR="00175E26">
        <w:t xml:space="preserve">of firm entry and exit (or growth and contraction) </w:t>
      </w:r>
      <w:r w:rsidRPr="003B100B">
        <w:t xml:space="preserve">that has been called </w:t>
      </w:r>
      <w:r w:rsidRPr="003B100B">
        <w:rPr>
          <w:i/>
        </w:rPr>
        <w:t>competitive dynamics</w:t>
      </w:r>
      <w:r w:rsidRPr="003B100B">
        <w:t>.</w:t>
      </w:r>
    </w:p>
    <w:p w:rsidR="006316F4" w:rsidRDefault="006316F4" w:rsidP="006F6D37">
      <w:pPr>
        <w:pStyle w:val="Heading2"/>
      </w:pPr>
      <w:r>
        <w:t>Productivity at the national level</w:t>
      </w:r>
    </w:p>
    <w:p w:rsidR="00144CCE" w:rsidRPr="0071597B" w:rsidRDefault="006316F4" w:rsidP="00460ED7">
      <w:pPr>
        <w:pStyle w:val="BodyText"/>
        <w:spacing w:before="200"/>
        <w:rPr>
          <w:spacing w:val="-2"/>
        </w:rPr>
      </w:pPr>
      <w:r w:rsidRPr="0071597B">
        <w:rPr>
          <w:spacing w:val="-2"/>
        </w:rPr>
        <w:t xml:space="preserve">Improvements in firm level productivity translate directly into national economic growth, but productivity growth in the </w:t>
      </w:r>
      <w:r w:rsidR="00175E26" w:rsidRPr="0071597B">
        <w:rPr>
          <w:spacing w:val="-2"/>
        </w:rPr>
        <w:t>economy</w:t>
      </w:r>
      <w:r w:rsidRPr="0071597B">
        <w:rPr>
          <w:spacing w:val="-2"/>
        </w:rPr>
        <w:t xml:space="preserve"> can exceed that of the </w:t>
      </w:r>
      <w:r w:rsidR="00492834" w:rsidRPr="0071597B">
        <w:rPr>
          <w:spacing w:val="-2"/>
        </w:rPr>
        <w:t xml:space="preserve">individual </w:t>
      </w:r>
      <w:r w:rsidRPr="0071597B">
        <w:rPr>
          <w:spacing w:val="-2"/>
        </w:rPr>
        <w:t>firms.</w:t>
      </w:r>
      <w:r w:rsidR="006331A4" w:rsidRPr="0071597B">
        <w:rPr>
          <w:spacing w:val="-2"/>
        </w:rPr>
        <w:t xml:space="preserve"> This is because competition favours firms that are more productive, and so these firms</w:t>
      </w:r>
      <w:r w:rsidR="007F5C6C" w:rsidRPr="0071597B">
        <w:rPr>
          <w:spacing w:val="-2"/>
        </w:rPr>
        <w:t>’</w:t>
      </w:r>
      <w:r w:rsidR="006331A4" w:rsidRPr="0071597B">
        <w:rPr>
          <w:spacing w:val="-2"/>
        </w:rPr>
        <w:t xml:space="preserve"> market share expands, while that of less productive </w:t>
      </w:r>
      <w:proofErr w:type="gramStart"/>
      <w:r w:rsidR="006331A4" w:rsidRPr="0071597B">
        <w:rPr>
          <w:spacing w:val="-2"/>
        </w:rPr>
        <w:t>firms</w:t>
      </w:r>
      <w:proofErr w:type="gramEnd"/>
      <w:r w:rsidR="006331A4" w:rsidRPr="0071597B">
        <w:rPr>
          <w:spacing w:val="-2"/>
        </w:rPr>
        <w:t xml:space="preserve"> contract</w:t>
      </w:r>
      <w:r w:rsidR="00307E17" w:rsidRPr="0071597B">
        <w:rPr>
          <w:spacing w:val="-2"/>
        </w:rPr>
        <w:t>s</w:t>
      </w:r>
      <w:r w:rsidR="006331A4" w:rsidRPr="0071597B">
        <w:rPr>
          <w:spacing w:val="-2"/>
        </w:rPr>
        <w:t xml:space="preserve">. </w:t>
      </w:r>
      <w:r w:rsidR="00175E26" w:rsidRPr="0071597B">
        <w:rPr>
          <w:spacing w:val="-2"/>
        </w:rPr>
        <w:t>I</w:t>
      </w:r>
      <w:r w:rsidR="006331A4" w:rsidRPr="0071597B">
        <w:rPr>
          <w:spacing w:val="-2"/>
        </w:rPr>
        <w:t>n the process</w:t>
      </w:r>
      <w:r w:rsidR="00913EAE" w:rsidRPr="0071597B">
        <w:rPr>
          <w:spacing w:val="-2"/>
        </w:rPr>
        <w:t>,</w:t>
      </w:r>
      <w:r w:rsidR="006331A4" w:rsidRPr="0071597B">
        <w:rPr>
          <w:spacing w:val="-2"/>
        </w:rPr>
        <w:t xml:space="preserve"> the average level of productivity is increased</w:t>
      </w:r>
      <w:r w:rsidR="00E23FFF" w:rsidRPr="0071597B">
        <w:rPr>
          <w:spacing w:val="-2"/>
        </w:rPr>
        <w:t xml:space="preserve"> (box 4</w:t>
      </w:r>
      <w:r w:rsidR="00175E26" w:rsidRPr="0071597B">
        <w:rPr>
          <w:spacing w:val="-2"/>
        </w:rPr>
        <w:t>)</w:t>
      </w:r>
      <w:r w:rsidR="005C3758" w:rsidRPr="0071597B">
        <w:rPr>
          <w:spacing w:val="-2"/>
        </w:rPr>
        <w:t xml:space="preserve">. </w:t>
      </w:r>
      <w:r w:rsidR="006331A4" w:rsidRPr="0071597B">
        <w:rPr>
          <w:spacing w:val="-2"/>
        </w:rPr>
        <w:t>This process of competitive dynamic</w:t>
      </w:r>
      <w:r w:rsidR="00175E26" w:rsidRPr="0071597B">
        <w:rPr>
          <w:spacing w:val="-2"/>
        </w:rPr>
        <w:t>s</w:t>
      </w:r>
      <w:r w:rsidR="006331A4" w:rsidRPr="0071597B">
        <w:rPr>
          <w:spacing w:val="-2"/>
        </w:rPr>
        <w:t xml:space="preserve"> is important for keeping the economy close to its production possibility frontier.</w:t>
      </w:r>
      <w:r w:rsidR="00D82F9F" w:rsidRPr="0071597B">
        <w:rPr>
          <w:rStyle w:val="FootnoteReference"/>
          <w:spacing w:val="-2"/>
        </w:rPr>
        <w:footnoteReference w:id="5"/>
      </w:r>
      <w:r w:rsidR="006331A4" w:rsidRPr="0071597B">
        <w:rPr>
          <w:spacing w:val="-2"/>
        </w:rPr>
        <w:t xml:space="preserve"> Policies and market behaviour that undermine competition </w:t>
      </w:r>
      <w:r w:rsidR="00AD263D" w:rsidRPr="0071597B">
        <w:rPr>
          <w:spacing w:val="-2"/>
        </w:rPr>
        <w:t xml:space="preserve">may cause </w:t>
      </w:r>
      <w:r w:rsidR="006331A4" w:rsidRPr="0071597B">
        <w:rPr>
          <w:spacing w:val="-2"/>
        </w:rPr>
        <w:t>the economy to slip below it</w:t>
      </w:r>
      <w:r w:rsidR="00330FEB" w:rsidRPr="0071597B">
        <w:rPr>
          <w:spacing w:val="-2"/>
        </w:rPr>
        <w:t>s</w:t>
      </w:r>
      <w:r w:rsidR="006331A4" w:rsidRPr="0071597B">
        <w:rPr>
          <w:spacing w:val="-2"/>
        </w:rPr>
        <w:t xml:space="preserve"> potential.</w:t>
      </w:r>
    </w:p>
    <w:p w:rsidR="00AA2310" w:rsidRDefault="00AA2310">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5223"/>
        <w:gridCol w:w="3548"/>
      </w:tblGrid>
      <w:tr w:rsidR="00AA2310" w:rsidTr="008E2A3C">
        <w:tc>
          <w:tcPr>
            <w:tcW w:w="8771" w:type="dxa"/>
            <w:gridSpan w:val="2"/>
            <w:tcBorders>
              <w:top w:val="single" w:sz="6" w:space="0" w:color="78A22F"/>
              <w:left w:val="nil"/>
              <w:bottom w:val="nil"/>
              <w:right w:val="nil"/>
            </w:tcBorders>
            <w:shd w:val="clear" w:color="auto" w:fill="F2F2F2"/>
          </w:tcPr>
          <w:p w:rsidR="00AA2310" w:rsidRDefault="00AA2310" w:rsidP="00AA2310">
            <w:pPr>
              <w:pStyle w:val="BoxTitle"/>
            </w:pPr>
            <w:r>
              <w:rPr>
                <w:b w:val="0"/>
              </w:rPr>
              <w:t>Box 4</w:t>
            </w:r>
            <w:r>
              <w:tab/>
            </w:r>
            <w:r>
              <w:rPr>
                <w:noProof/>
              </w:rPr>
              <w:t xml:space="preserve">Multiple mechanisms for industry productivity growth: </w:t>
            </w:r>
            <w:r>
              <w:rPr>
                <w:noProof/>
              </w:rPr>
              <w:br/>
              <w:t>a hypothetical example</w:t>
            </w:r>
          </w:p>
        </w:tc>
      </w:tr>
      <w:tr w:rsidR="00AA2310" w:rsidTr="00AA2310">
        <w:trPr>
          <w:cantSplit/>
        </w:trPr>
        <w:tc>
          <w:tcPr>
            <w:tcW w:w="5223" w:type="dxa"/>
            <w:tcBorders>
              <w:top w:val="nil"/>
              <w:left w:val="nil"/>
              <w:bottom w:val="nil"/>
              <w:right w:val="nil"/>
            </w:tcBorders>
            <w:shd w:val="clear" w:color="auto" w:fill="F2F2F2"/>
          </w:tcPr>
          <w:p w:rsidR="00AA2310" w:rsidRDefault="00AA2310" w:rsidP="008E2A3C">
            <w:pPr>
              <w:pStyle w:val="Box"/>
              <w:jc w:val="left"/>
            </w:pPr>
            <w:r>
              <w:t xml:space="preserve">An industry initially comprises 10 businesses with productivity levels ranging from </w:t>
            </w:r>
            <w:r w:rsidRPr="005B58BD">
              <w:t>60 to 10</w:t>
            </w:r>
            <w:r>
              <w:t xml:space="preserve">0. The </w:t>
            </w:r>
            <w:r w:rsidRPr="005B58BD">
              <w:t xml:space="preserve">organisations are </w:t>
            </w:r>
            <w:r>
              <w:t xml:space="preserve">initially </w:t>
            </w:r>
            <w:r w:rsidRPr="005B58BD">
              <w:t xml:space="preserve">assumed to be the same size. </w:t>
            </w:r>
            <w:r>
              <w:t>Average productivity is 80.</w:t>
            </w:r>
          </w:p>
          <w:p w:rsidR="00AA2310" w:rsidRDefault="00AA2310" w:rsidP="008E2A3C">
            <w:pPr>
              <w:pStyle w:val="Box"/>
              <w:jc w:val="left"/>
            </w:pPr>
            <w:r>
              <w:t>A</w:t>
            </w:r>
            <w:r w:rsidRPr="005B58BD">
              <w:t>verage industry</w:t>
            </w:r>
            <w:r>
              <w:t xml:space="preserve"> productivity will improve (all else equal) in the following situations</w:t>
            </w:r>
            <w:r w:rsidRPr="005B58BD">
              <w:t>:</w:t>
            </w:r>
          </w:p>
          <w:p w:rsidR="00AA2310" w:rsidRDefault="00AA2310" w:rsidP="00EA7A96">
            <w:pPr>
              <w:pStyle w:val="BoxListBullet"/>
              <w:spacing w:before="480"/>
              <w:jc w:val="left"/>
            </w:pPr>
            <w:r>
              <w:t xml:space="preserve">Case </w:t>
            </w:r>
            <w:proofErr w:type="gramStart"/>
            <w:r>
              <w:t>A</w:t>
            </w:r>
            <w:proofErr w:type="gramEnd"/>
            <w:r>
              <w:t xml:space="preserve"> — </w:t>
            </w:r>
            <w:r w:rsidRPr="00A8341E">
              <w:t xml:space="preserve">a productivity improvement (for example, technological advance) by the leading </w:t>
            </w:r>
            <w:r>
              <w:t>business raises average productivity to 81.</w:t>
            </w:r>
          </w:p>
          <w:p w:rsidR="00AA2310" w:rsidRDefault="00AA2310" w:rsidP="00EA7A96">
            <w:pPr>
              <w:pStyle w:val="BoxListBullet"/>
              <w:spacing w:before="1680"/>
              <w:jc w:val="left"/>
            </w:pPr>
            <w:r>
              <w:t xml:space="preserve">Case B — the exit of the </w:t>
            </w:r>
            <w:r w:rsidRPr="00A8341E">
              <w:t xml:space="preserve">least-productive </w:t>
            </w:r>
            <w:r>
              <w:t>business raises average productivity of the industry (now 9 businesses) to 82.2.</w:t>
            </w:r>
          </w:p>
          <w:p w:rsidR="00AA2310" w:rsidRDefault="00AA2310" w:rsidP="00EA7A96">
            <w:pPr>
              <w:pStyle w:val="BoxListBullet"/>
              <w:spacing w:before="1080"/>
              <w:jc w:val="left"/>
            </w:pPr>
            <w:r>
              <w:t xml:space="preserve">Case C — a </w:t>
            </w:r>
            <w:r w:rsidRPr="00A8341E">
              <w:t xml:space="preserve">productivity improvement (for example, the diffusion of an existing technology) </w:t>
            </w:r>
            <w:r>
              <w:t>for a</w:t>
            </w:r>
            <w:r w:rsidRPr="00A8341E">
              <w:t xml:space="preserve"> follower organisatio</w:t>
            </w:r>
            <w:r>
              <w:t>n that raised its productivity level from 70 to 80, increasing industry productivity to 81.</w:t>
            </w:r>
            <w:r w:rsidRPr="00A8341E">
              <w:t xml:space="preserve"> </w:t>
            </w:r>
          </w:p>
          <w:p w:rsidR="00AA2310" w:rsidRDefault="00AA2310" w:rsidP="00EA7A96">
            <w:pPr>
              <w:pStyle w:val="BoxListBullet"/>
              <w:spacing w:before="960"/>
              <w:jc w:val="left"/>
              <w:rPr>
                <w:noProof/>
              </w:rPr>
            </w:pPr>
            <w:r>
              <w:t xml:space="preserve">Case D — the </w:t>
            </w:r>
            <w:r w:rsidRPr="00A8341E">
              <w:t>leading organisation (</w:t>
            </w:r>
            <w:r>
              <w:t>productivity 100</w:t>
            </w:r>
            <w:r w:rsidRPr="00A8341E">
              <w:t>) capture</w:t>
            </w:r>
            <w:r>
              <w:t>s</w:t>
            </w:r>
            <w:r w:rsidRPr="00A8341E">
              <w:t xml:space="preserve"> </w:t>
            </w:r>
            <w:r>
              <w:t xml:space="preserve">half the </w:t>
            </w:r>
            <w:r w:rsidRPr="00A8341E">
              <w:t xml:space="preserve">market share </w:t>
            </w:r>
            <w:r>
              <w:t>of</w:t>
            </w:r>
            <w:r w:rsidRPr="00A8341E">
              <w:t xml:space="preserve"> </w:t>
            </w:r>
            <w:r>
              <w:t>the least-productive organisation (productivity 60), raising average productivity to 82</w:t>
            </w:r>
            <w:r w:rsidRPr="00A8341E">
              <w:t>.</w:t>
            </w:r>
          </w:p>
        </w:tc>
        <w:tc>
          <w:tcPr>
            <w:tcW w:w="3548" w:type="dxa"/>
            <w:tcBorders>
              <w:top w:val="nil"/>
              <w:left w:val="nil"/>
              <w:bottom w:val="nil"/>
              <w:right w:val="nil"/>
            </w:tcBorders>
            <w:shd w:val="clear" w:color="auto" w:fill="F2F2F2"/>
          </w:tcPr>
          <w:p w:rsidR="00AA2310" w:rsidRDefault="00EA7A96" w:rsidP="00EA7A96">
            <w:pPr>
              <w:pStyle w:val="Box"/>
              <w:spacing w:before="60"/>
              <w:jc w:val="left"/>
              <w:rPr>
                <w:noProof/>
              </w:rPr>
            </w:pPr>
            <w:r>
              <w:rPr>
                <w:noProof/>
              </w:rPr>
              <w:drawing>
                <wp:inline distT="0" distB="0" distL="0" distR="0" wp14:anchorId="7D90DA8D" wp14:editId="391D4BB5">
                  <wp:extent cx="1959610" cy="6958965"/>
                  <wp:effectExtent l="0" t="0" r="2540" b="0"/>
                  <wp:docPr id="230" name="Picture 230" descr="Box 4 figure: details on the graphs can be found within the box text with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59610" cy="6958965"/>
                          </a:xfrm>
                          <a:prstGeom prst="rect">
                            <a:avLst/>
                          </a:prstGeom>
                          <a:noFill/>
                          <a:ln>
                            <a:noFill/>
                          </a:ln>
                        </pic:spPr>
                      </pic:pic>
                    </a:graphicData>
                  </a:graphic>
                </wp:inline>
              </w:drawing>
            </w:r>
          </w:p>
        </w:tc>
      </w:tr>
      <w:tr w:rsidR="00AA2310" w:rsidTr="008E2A3C">
        <w:trPr>
          <w:cantSplit/>
        </w:trPr>
        <w:tc>
          <w:tcPr>
            <w:tcW w:w="8771" w:type="dxa"/>
            <w:gridSpan w:val="2"/>
            <w:tcBorders>
              <w:top w:val="nil"/>
              <w:left w:val="nil"/>
              <w:bottom w:val="nil"/>
              <w:right w:val="nil"/>
            </w:tcBorders>
            <w:shd w:val="clear" w:color="auto" w:fill="F2F2F2"/>
          </w:tcPr>
          <w:p w:rsidR="00AA2310" w:rsidRDefault="00AA2310" w:rsidP="00230EFD">
            <w:pPr>
              <w:pStyle w:val="BoxSource"/>
              <w:spacing w:before="0"/>
            </w:pPr>
            <w:r>
              <w:rPr>
                <w:i/>
              </w:rPr>
              <w:t xml:space="preserve">Source: </w:t>
            </w:r>
            <w:r w:rsidRPr="00AA2310">
              <w:rPr>
                <w:noProof/>
              </w:rPr>
              <w:t>Adapted from PC (2009)</w:t>
            </w:r>
          </w:p>
        </w:tc>
      </w:tr>
      <w:tr w:rsidR="00AA2310" w:rsidTr="008E2A3C">
        <w:trPr>
          <w:cantSplit/>
        </w:trPr>
        <w:tc>
          <w:tcPr>
            <w:tcW w:w="8771" w:type="dxa"/>
            <w:gridSpan w:val="2"/>
            <w:tcBorders>
              <w:top w:val="nil"/>
              <w:left w:val="nil"/>
              <w:bottom w:val="single" w:sz="6" w:space="0" w:color="78A22F"/>
              <w:right w:val="nil"/>
            </w:tcBorders>
            <w:shd w:val="clear" w:color="auto" w:fill="F2F2F2"/>
          </w:tcPr>
          <w:p w:rsidR="00AA2310" w:rsidRDefault="00AA2310">
            <w:pPr>
              <w:pStyle w:val="Box"/>
              <w:spacing w:before="0" w:line="120" w:lineRule="exact"/>
            </w:pPr>
          </w:p>
        </w:tc>
      </w:tr>
      <w:tr w:rsidR="00AA2310" w:rsidRPr="000863A5" w:rsidTr="008E2A3C">
        <w:tc>
          <w:tcPr>
            <w:tcW w:w="8771" w:type="dxa"/>
            <w:gridSpan w:val="2"/>
            <w:tcBorders>
              <w:top w:val="single" w:sz="6" w:space="0" w:color="78A22F"/>
              <w:left w:val="nil"/>
              <w:bottom w:val="nil"/>
              <w:right w:val="nil"/>
            </w:tcBorders>
          </w:tcPr>
          <w:p w:rsidR="00AA2310" w:rsidRPr="00626D32" w:rsidRDefault="00AA2310" w:rsidP="008E2A3C">
            <w:pPr>
              <w:pStyle w:val="BoxSpaceBelow"/>
            </w:pPr>
          </w:p>
        </w:tc>
      </w:tr>
    </w:tbl>
    <w:p w:rsidR="00AA2310" w:rsidRDefault="00AA2310" w:rsidP="00AA2310">
      <w:pPr>
        <w:pStyle w:val="BodyText"/>
      </w:pPr>
      <w:r>
        <w:lastRenderedPageBreak/>
        <w:t xml:space="preserve">Competitive dynamics differ from the process of </w:t>
      </w:r>
      <w:r>
        <w:rPr>
          <w:i/>
        </w:rPr>
        <w:t>c</w:t>
      </w:r>
      <w:r w:rsidRPr="00F9340E">
        <w:rPr>
          <w:i/>
        </w:rPr>
        <w:t>reative destruction</w:t>
      </w:r>
      <w:r>
        <w:rPr>
          <w:i/>
        </w:rPr>
        <w:t>,</w:t>
      </w:r>
      <w:r w:rsidRPr="00B46985">
        <w:t xml:space="preserve"> </w:t>
      </w:r>
      <w:r>
        <w:t>a term coined by Schumpeter (1934) to describe how new, higher quality products and processes drive out old products and processes. Innovations by successful firms tend to eliminate the returns from previous product improvements (by competing firms or indeed th</w:t>
      </w:r>
      <w:r w:rsidR="00570FFE">
        <w:t>eir own previous improvements). Competitive dynamics</w:t>
      </w:r>
      <w:r>
        <w:t xml:space="preserve"> is an important driver of growth at the level of the </w:t>
      </w:r>
      <w:proofErr w:type="gramStart"/>
      <w:r>
        <w:t>economy,</w:t>
      </w:r>
      <w:proofErr w:type="gramEnd"/>
      <w:r>
        <w:t xml:space="preserve"> however the role of competition as a driver of creative destruction is not straightforward (</w:t>
      </w:r>
      <w:proofErr w:type="spellStart"/>
      <w:r>
        <w:t>Aghion</w:t>
      </w:r>
      <w:proofErr w:type="spellEnd"/>
      <w:r>
        <w:t xml:space="preserve"> and Griffith 2008). The effect of competition on the rate of </w:t>
      </w:r>
      <w:r w:rsidRPr="00A96CB0">
        <w:rPr>
          <w:i/>
        </w:rPr>
        <w:t>innovation</w:t>
      </w:r>
      <w:r>
        <w:t xml:space="preserve"> in an industry is heavily influenced by the structure of the industry, the dynamic nature of the business environment, and the appetite firms have for risk, which all influence the rewards to a firm of moving first. </w:t>
      </w:r>
    </w:p>
    <w:p w:rsidR="00AA2310" w:rsidRDefault="00AA2310" w:rsidP="00AA2310">
      <w:pPr>
        <w:pStyle w:val="BodyText"/>
      </w:pPr>
      <w:r>
        <w:t xml:space="preserve">There is also potential for </w:t>
      </w:r>
      <w:proofErr w:type="spellStart"/>
      <w:r w:rsidRPr="00B46985">
        <w:rPr>
          <w:i/>
        </w:rPr>
        <w:t>spillovers</w:t>
      </w:r>
      <w:proofErr w:type="spellEnd"/>
      <w:r>
        <w:t xml:space="preserve"> between firms that mean productivity improvements can be contagious. That is, the things that firms do benefit other firms as well, through the same kinds of mechanisms that improve productivity within firms (box 3), including:</w:t>
      </w:r>
    </w:p>
    <w:p w:rsidR="00AA2310" w:rsidRDefault="00AA2310" w:rsidP="00AA2310">
      <w:pPr>
        <w:pStyle w:val="ListBullet"/>
      </w:pPr>
      <w:r>
        <w:t>sharing of knowledge, as it only needs to be produced once and can be used many times;</w:t>
      </w:r>
    </w:p>
    <w:p w:rsidR="00AA2310" w:rsidRDefault="00AA2310" w:rsidP="00AA2310">
      <w:pPr>
        <w:pStyle w:val="ListBullet"/>
      </w:pPr>
      <w:r>
        <w:t>workers learning by doing and transferring technology and creating complementarities when they move to new firms;</w:t>
      </w:r>
      <w:r>
        <w:rPr>
          <w:rStyle w:val="FootnoteReference"/>
        </w:rPr>
        <w:footnoteReference w:id="6"/>
      </w:r>
      <w:r>
        <w:t xml:space="preserve"> and </w:t>
      </w:r>
    </w:p>
    <w:p w:rsidR="00AA2310" w:rsidRDefault="00AA2310" w:rsidP="00AA2310">
      <w:pPr>
        <w:pStyle w:val="ListBullet"/>
      </w:pPr>
      <w:proofErr w:type="gramStart"/>
      <w:r>
        <w:t>economies</w:t>
      </w:r>
      <w:proofErr w:type="gramEnd"/>
      <w:r>
        <w:t xml:space="preserve"> of scale and scope associated with greater utilisation of infrastructure, and growth in market size that allows firms to adopt more productively efficient technologies. </w:t>
      </w:r>
    </w:p>
    <w:p w:rsidR="00AA2310" w:rsidRDefault="00AA2310" w:rsidP="00AA2310">
      <w:pPr>
        <w:pStyle w:val="BodyText"/>
      </w:pPr>
      <w:r>
        <w:t xml:space="preserve">Proponents of proactive industry policies (such as government support for innovation hubs and clusters) often cite the importance of </w:t>
      </w:r>
      <w:proofErr w:type="spellStart"/>
      <w:r>
        <w:t>spillovers</w:t>
      </w:r>
      <w:proofErr w:type="spellEnd"/>
      <w:r>
        <w:t xml:space="preserve"> as a source of productivity growth.</w:t>
      </w:r>
      <w:r>
        <w:rPr>
          <w:rStyle w:val="FootnoteReference"/>
        </w:rPr>
        <w:footnoteReference w:id="7"/>
      </w:r>
      <w:r>
        <w:t xml:space="preserve"> While in theory positive </w:t>
      </w:r>
      <w:proofErr w:type="spellStart"/>
      <w:r>
        <w:t>spillovers</w:t>
      </w:r>
      <w:proofErr w:type="spellEnd"/>
      <w:r>
        <w:t xml:space="preserve"> are sources of productivity growth, proposals for public expenditure need careful scrutiny to ensure that: </w:t>
      </w:r>
    </w:p>
    <w:p w:rsidR="00AA2310" w:rsidRDefault="00AA2310" w:rsidP="00AA2310">
      <w:pPr>
        <w:pStyle w:val="ListBullet"/>
      </w:pPr>
      <w:proofErr w:type="spellStart"/>
      <w:r>
        <w:t>spillovers</w:t>
      </w:r>
      <w:proofErr w:type="spellEnd"/>
      <w:r>
        <w:t xml:space="preserve"> are indeed generated </w:t>
      </w:r>
    </w:p>
    <w:p w:rsidR="00AA2310" w:rsidRDefault="00AA2310" w:rsidP="00AA2310">
      <w:pPr>
        <w:pStyle w:val="ListBullet"/>
      </w:pPr>
      <w:r>
        <w:t xml:space="preserve">they are from activity that otherwise would not have </w:t>
      </w:r>
      <w:r w:rsidR="00D62388">
        <w:t>occurred</w:t>
      </w:r>
      <w:r>
        <w:t xml:space="preserve"> (</w:t>
      </w:r>
      <w:proofErr w:type="spellStart"/>
      <w:r>
        <w:t>additionality</w:t>
      </w:r>
      <w:proofErr w:type="spellEnd"/>
      <w:r>
        <w:t>)</w:t>
      </w:r>
    </w:p>
    <w:p w:rsidR="00AA2310" w:rsidRDefault="00AA2310" w:rsidP="00AA2310">
      <w:pPr>
        <w:pStyle w:val="ListBullet"/>
      </w:pPr>
      <w:proofErr w:type="gramStart"/>
      <w:r>
        <w:t>the</w:t>
      </w:r>
      <w:proofErr w:type="gramEnd"/>
      <w:r>
        <w:t xml:space="preserve"> benefits exceed the public cost, including the deadweight losses associated with raising government revenue.</w:t>
      </w:r>
    </w:p>
    <w:p w:rsidR="00E23FFF" w:rsidRDefault="00E23FFF" w:rsidP="006F6D37">
      <w:pPr>
        <w:pStyle w:val="Heading2"/>
        <w:ind w:left="0" w:firstLine="0"/>
      </w:pPr>
      <w:r>
        <w:t>Output grows with input growth as well as productivity growth</w:t>
      </w:r>
    </w:p>
    <w:p w:rsidR="00E23FFF" w:rsidRDefault="00E23FFF" w:rsidP="00E23FFF">
      <w:pPr>
        <w:pStyle w:val="BodyText"/>
      </w:pPr>
      <w:r>
        <w:t xml:space="preserve">Figure 2 summarises the drivers of output growth, which depends on growth in inputs (second column) as well as improvements in productivity (third column). The fundamental processes that determine the resources available for production (the first column) are: </w:t>
      </w:r>
    </w:p>
    <w:p w:rsidR="00E23FFF" w:rsidRDefault="00E23FFF" w:rsidP="00E23FFF">
      <w:pPr>
        <w:pStyle w:val="ListBullet"/>
      </w:pPr>
      <w:r>
        <w:lastRenderedPageBreak/>
        <w:t>population dynamics, which determines the working age population and, along with participation, the supply of labour;</w:t>
      </w:r>
    </w:p>
    <w:p w:rsidR="00E23FFF" w:rsidRDefault="00E23FFF" w:rsidP="00E23FFF">
      <w:pPr>
        <w:pStyle w:val="ListBullet"/>
      </w:pPr>
      <w:r>
        <w:t>saving and investment, which determines the stock of capital including the stock of human capital and knowledge;</w:t>
      </w:r>
    </w:p>
    <w:p w:rsidR="00E23FFF" w:rsidRDefault="00E23FFF" w:rsidP="00E23FFF">
      <w:pPr>
        <w:pStyle w:val="ListBullet"/>
      </w:pPr>
      <w:r>
        <w:t>natural environmental change, which along with investment made in the natural environment, determines the level of environmental services; and</w:t>
      </w:r>
    </w:p>
    <w:p w:rsidR="00E23FFF" w:rsidRDefault="00E23FFF" w:rsidP="00E23FFF">
      <w:pPr>
        <w:pStyle w:val="ListBullet"/>
      </w:pPr>
      <w:proofErr w:type="gramStart"/>
      <w:r>
        <w:t>social</w:t>
      </w:r>
      <w:proofErr w:type="gramEnd"/>
      <w:r>
        <w:t xml:space="preserve"> change, which determines the evolution of institutions</w:t>
      </w:r>
      <w:r w:rsidR="007E35F3">
        <w:t xml:space="preserve"> and </w:t>
      </w:r>
      <w:r>
        <w:t>rules</w:t>
      </w:r>
      <w:r w:rsidR="007E35F3">
        <w:t>,</w:t>
      </w:r>
      <w:r>
        <w:t xml:space="preserve"> and how they are applied, which shapes the business environment in which firms operate.</w:t>
      </w:r>
    </w:p>
    <w:p w:rsidR="00FE1F1F" w:rsidRDefault="00FE1F1F" w:rsidP="00FE1F1F">
      <w:pPr>
        <w:pStyle w:val="BodyText"/>
      </w:pPr>
      <w:r>
        <w:t xml:space="preserve">While growth in </w:t>
      </w:r>
      <w:r w:rsidR="00CD4EF4">
        <w:t xml:space="preserve">physical </w:t>
      </w:r>
      <w:r>
        <w:t xml:space="preserve">inputs </w:t>
      </w:r>
      <w:r w:rsidR="00486F6C">
        <w:t xml:space="preserve">is expected to </w:t>
      </w:r>
      <w:r>
        <w:t xml:space="preserve">increase output, a doubling of inputs </w:t>
      </w:r>
      <w:r w:rsidR="00486F6C">
        <w:t xml:space="preserve">may give </w:t>
      </w:r>
      <w:r w:rsidR="006D3C77">
        <w:t>a</w:t>
      </w:r>
      <w:r>
        <w:t xml:space="preserve"> doubling of output. To get more than double the output requires productivity growth. As discussed above, this comes from pushing out the production frontier through: </w:t>
      </w:r>
    </w:p>
    <w:p w:rsidR="00FE1F1F" w:rsidRDefault="00FE1F1F" w:rsidP="00FE1F1F">
      <w:pPr>
        <w:pStyle w:val="ListBullet"/>
      </w:pPr>
      <w:r>
        <w:t>innovation — new and better products and production processes through technological progress and organisational change</w:t>
      </w:r>
      <w:r w:rsidR="00605F01">
        <w:t>;</w:t>
      </w:r>
    </w:p>
    <w:p w:rsidR="00FE1F1F" w:rsidRDefault="00CD4EF4" w:rsidP="00FE1F1F">
      <w:pPr>
        <w:pStyle w:val="ListBullet"/>
      </w:pPr>
      <w:r>
        <w:t>complementary investment</w:t>
      </w:r>
      <w:r w:rsidR="00FE1F1F">
        <w:t xml:space="preserve"> — harnessing the complementarities between capital and labour and knowledge, and promoting </w:t>
      </w:r>
      <w:proofErr w:type="spellStart"/>
      <w:r w:rsidR="00FE1F1F">
        <w:t>spillovers</w:t>
      </w:r>
      <w:proofErr w:type="spellEnd"/>
      <w:r w:rsidR="00FE1F1F">
        <w:t xml:space="preserve"> between firms and </w:t>
      </w:r>
      <w:r>
        <w:t xml:space="preserve">between </w:t>
      </w:r>
      <w:r w:rsidR="00FE1F1F">
        <w:t>industries</w:t>
      </w:r>
      <w:r w:rsidR="00605F01">
        <w:t>; and</w:t>
      </w:r>
      <w:r w:rsidR="00FE1F1F">
        <w:t xml:space="preserve"> </w:t>
      </w:r>
    </w:p>
    <w:p w:rsidR="00FE1F1F" w:rsidRDefault="00FE1F1F" w:rsidP="00FE1F1F">
      <w:pPr>
        <w:pStyle w:val="ListBullet"/>
      </w:pPr>
      <w:proofErr w:type="gramStart"/>
      <w:r>
        <w:t>market</w:t>
      </w:r>
      <w:proofErr w:type="gramEnd"/>
      <w:r>
        <w:t xml:space="preserve"> growth — enabling higher utilisation of fixed capital and adoption of more efficient technologies.</w:t>
      </w:r>
    </w:p>
    <w:p w:rsidR="00FE1F1F" w:rsidRDefault="00FE1F1F" w:rsidP="00FE1F1F">
      <w:pPr>
        <w:pStyle w:val="BodyText"/>
      </w:pPr>
      <w:r>
        <w:t xml:space="preserve">It also comes from competitive dynamics that </w:t>
      </w:r>
      <w:r w:rsidR="00CD4EF4">
        <w:t xml:space="preserve">give firms an incentive to be technically efficient </w:t>
      </w:r>
      <w:r w:rsidR="006D3C77">
        <w:t xml:space="preserve">and </w:t>
      </w:r>
      <w:r>
        <w:t xml:space="preserve">helps to keep the economy at the frontier of its potential. </w:t>
      </w:r>
    </w:p>
    <w:p w:rsidR="00FE1F1F" w:rsidRDefault="00FE1F1F" w:rsidP="00FE1F1F">
      <w:pPr>
        <w:pStyle w:val="BodyText"/>
      </w:pPr>
      <w:r>
        <w:t xml:space="preserve">While we can measure </w:t>
      </w:r>
      <w:r w:rsidR="00605F01">
        <w:t xml:space="preserve">productivity as </w:t>
      </w:r>
      <w:r>
        <w:t>the change in output that is not explained by a change in inputs</w:t>
      </w:r>
      <w:r w:rsidR="006D3C77">
        <w:t>,</w:t>
      </w:r>
      <w:r>
        <w:t xml:space="preserve"> it is much harder to determine the contribution that </w:t>
      </w:r>
      <w:r w:rsidR="00605F01">
        <w:t xml:space="preserve">each of </w:t>
      </w:r>
      <w:r>
        <w:t xml:space="preserve">these sources of productivity improvement </w:t>
      </w:r>
      <w:r w:rsidR="00CA7AFA">
        <w:t>make</w:t>
      </w:r>
      <w:r>
        <w:t>.</w:t>
      </w:r>
      <w:r w:rsidR="005E6E61">
        <w:rPr>
          <w:rStyle w:val="FootnoteReference"/>
        </w:rPr>
        <w:footnoteReference w:id="8"/>
      </w:r>
      <w:r>
        <w:t xml:space="preserve"> At a firm level, examination of changes in production processes, investments in capital and labour</w:t>
      </w:r>
      <w:r w:rsidR="00605F01">
        <w:t>,</w:t>
      </w:r>
      <w:r>
        <w:t xml:space="preserve"> and changes in scale can shed light on the sources of productivity growth for the firm, but at the level of the economy this is much more difficult. This poses a major challenge for policy makers facing pressures </w:t>
      </w:r>
      <w:r w:rsidR="006D3C77">
        <w:t>to commit taxpayer’s money to</w:t>
      </w:r>
      <w:r>
        <w:t xml:space="preserve"> infrastructure, R&amp;D, innovation precincts and a host of other </w:t>
      </w:r>
      <w:r w:rsidR="006D3C77">
        <w:t>expenditures that are supposedly ‘productivity enhancing’</w:t>
      </w:r>
      <w:r>
        <w:t xml:space="preserve">. </w:t>
      </w:r>
      <w:r w:rsidR="00CA7AFA">
        <w:t>M</w:t>
      </w:r>
      <w:r>
        <w:t xml:space="preserve">easuring productivity is an important part of developing an evidence base that will </w:t>
      </w:r>
      <w:r w:rsidR="006D3C77">
        <w:t>improve</w:t>
      </w:r>
      <w:r>
        <w:t xml:space="preserve"> understand</w:t>
      </w:r>
      <w:r w:rsidR="006D3C77">
        <w:t>ing of</w:t>
      </w:r>
      <w:r>
        <w:t xml:space="preserve"> when these different sources </w:t>
      </w:r>
      <w:r w:rsidR="00CA7AFA">
        <w:t xml:space="preserve">contribute </w:t>
      </w:r>
      <w:r w:rsidR="006D3C77">
        <w:t>to</w:t>
      </w:r>
      <w:r>
        <w:t xml:space="preserve"> productivity growth, and whether government policy, beyond promoting the process of competitive dynamics, can make a difference.</w:t>
      </w:r>
    </w:p>
    <w:p w:rsidR="00AA2310" w:rsidRDefault="00AA2310" w:rsidP="008E2A3C">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AA2310" w:rsidTr="008E2A3C">
        <w:tc>
          <w:tcPr>
            <w:tcW w:w="8771" w:type="dxa"/>
            <w:tcBorders>
              <w:top w:val="single" w:sz="6" w:space="0" w:color="78A22F"/>
              <w:left w:val="nil"/>
              <w:bottom w:val="nil"/>
              <w:right w:val="nil"/>
            </w:tcBorders>
            <w:shd w:val="clear" w:color="auto" w:fill="auto"/>
          </w:tcPr>
          <w:p w:rsidR="00AA2310" w:rsidRPr="00176D3F" w:rsidRDefault="00AA2310" w:rsidP="00670A87">
            <w:pPr>
              <w:pStyle w:val="FigureTitle"/>
            </w:pPr>
            <w:r w:rsidRPr="00784A05">
              <w:rPr>
                <w:b w:val="0"/>
              </w:rPr>
              <w:t xml:space="preserve">Figure </w:t>
            </w:r>
            <w:r w:rsidR="00670A87">
              <w:rPr>
                <w:b w:val="0"/>
              </w:rPr>
              <w:t>2</w:t>
            </w:r>
            <w:r>
              <w:tab/>
              <w:t>Sources of output growth and productivity growth</w:t>
            </w:r>
          </w:p>
        </w:tc>
      </w:tr>
      <w:tr w:rsidR="00AA2310" w:rsidTr="008E2A3C">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8064A2" w:themeColor="accent4"/>
                <w:bottom w:val="single" w:sz="6" w:space="0" w:color="8064A2" w:themeColor="accent4"/>
              </w:tblBorders>
              <w:tblLayout w:type="fixed"/>
              <w:tblCellMar>
                <w:top w:w="28" w:type="dxa"/>
                <w:left w:w="0" w:type="dxa"/>
                <w:right w:w="0" w:type="dxa"/>
              </w:tblCellMar>
              <w:tblLook w:val="0000" w:firstRow="0" w:lastRow="0" w:firstColumn="0" w:lastColumn="0" w:noHBand="0" w:noVBand="0"/>
            </w:tblPr>
            <w:tblGrid>
              <w:gridCol w:w="8504"/>
            </w:tblGrid>
            <w:tr w:rsidR="00AA2310" w:rsidTr="008E2A3C">
              <w:trPr>
                <w:jc w:val="center"/>
              </w:trPr>
              <w:tc>
                <w:tcPr>
                  <w:tcW w:w="5000" w:type="pct"/>
                  <w:tcBorders>
                    <w:top w:val="nil"/>
                    <w:bottom w:val="nil"/>
                  </w:tcBorders>
                </w:tcPr>
                <w:p w:rsidR="00AA2310" w:rsidRDefault="004A4C6A" w:rsidP="008E2A3C">
                  <w:pPr>
                    <w:pStyle w:val="Figure"/>
                    <w:spacing w:before="60" w:after="60"/>
                  </w:pPr>
                  <w:r>
                    <w:rPr>
                      <w:noProof/>
                    </w:rPr>
                    <w:drawing>
                      <wp:inline distT="0" distB="0" distL="0" distR="0" wp14:anchorId="33EE3B97" wp14:editId="5570EBB7">
                        <wp:extent cx="5410200" cy="3695700"/>
                        <wp:effectExtent l="0" t="0" r="0" b="0"/>
                        <wp:docPr id="226" name="Picture 226" descr="Sources of output growth and productivity grow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10200" cy="3695700"/>
                                </a:xfrm>
                                <a:prstGeom prst="rect">
                                  <a:avLst/>
                                </a:prstGeom>
                                <a:noFill/>
                                <a:ln>
                                  <a:noFill/>
                                </a:ln>
                              </pic:spPr>
                            </pic:pic>
                          </a:graphicData>
                        </a:graphic>
                      </wp:inline>
                    </w:drawing>
                  </w:r>
                </w:p>
              </w:tc>
            </w:tr>
          </w:tbl>
          <w:p w:rsidR="00AA2310" w:rsidRDefault="00AA2310" w:rsidP="008E2A3C">
            <w:pPr>
              <w:pStyle w:val="Figure"/>
            </w:pPr>
          </w:p>
        </w:tc>
      </w:tr>
      <w:tr w:rsidR="00AA2310" w:rsidTr="008E2A3C">
        <w:tc>
          <w:tcPr>
            <w:tcW w:w="8771" w:type="dxa"/>
            <w:tcBorders>
              <w:top w:val="nil"/>
              <w:left w:val="nil"/>
              <w:bottom w:val="single" w:sz="6" w:space="0" w:color="78A22F"/>
              <w:right w:val="nil"/>
            </w:tcBorders>
            <w:shd w:val="clear" w:color="auto" w:fill="auto"/>
          </w:tcPr>
          <w:p w:rsidR="00AA2310" w:rsidRDefault="00AA2310" w:rsidP="008E2A3C">
            <w:pPr>
              <w:pStyle w:val="Figurespace"/>
            </w:pPr>
          </w:p>
        </w:tc>
      </w:tr>
      <w:tr w:rsidR="00AA2310" w:rsidRPr="000863A5" w:rsidTr="008E2A3C">
        <w:tc>
          <w:tcPr>
            <w:tcW w:w="8771" w:type="dxa"/>
            <w:tcBorders>
              <w:top w:val="single" w:sz="6" w:space="0" w:color="78A22F"/>
              <w:left w:val="nil"/>
              <w:bottom w:val="nil"/>
              <w:right w:val="nil"/>
            </w:tcBorders>
          </w:tcPr>
          <w:p w:rsidR="00AA2310" w:rsidRPr="00626D32" w:rsidRDefault="00AA2310" w:rsidP="008E2A3C">
            <w:pPr>
              <w:pStyle w:val="BoxSpaceBelow"/>
            </w:pPr>
          </w:p>
        </w:tc>
      </w:tr>
    </w:tbl>
    <w:p w:rsidR="00B33A19" w:rsidRPr="001C4CD6" w:rsidRDefault="00604152" w:rsidP="00B46985">
      <w:pPr>
        <w:pStyle w:val="Heading2"/>
      </w:pPr>
      <w:r>
        <w:t>Measuring</w:t>
      </w:r>
      <w:r w:rsidR="000C1872">
        <w:t xml:space="preserve"> </w:t>
      </w:r>
      <w:r w:rsidR="00B33A19">
        <w:t xml:space="preserve">productivity </w:t>
      </w:r>
      <w:r>
        <w:t>growth</w:t>
      </w:r>
    </w:p>
    <w:p w:rsidR="00FC5770" w:rsidRDefault="00B33A19" w:rsidP="00B33A19">
      <w:pPr>
        <w:pStyle w:val="BodyText"/>
        <w:spacing w:before="200"/>
      </w:pPr>
      <w:r>
        <w:t>Measured productivity is the ratio of a measure of total outputs to a measure of inputs used in p</w:t>
      </w:r>
      <w:r w:rsidR="00FD6CB5">
        <w:t>roduction of goods and services</w:t>
      </w:r>
      <w:r>
        <w:t xml:space="preserve">. </w:t>
      </w:r>
      <w:r w:rsidR="006D3C77">
        <w:t>P</w:t>
      </w:r>
      <w:r>
        <w:t>roductivity growth is estimated by subtracting the growth in inputs from the growth in output</w:t>
      </w:r>
      <w:r w:rsidR="003F22B8">
        <w:t xml:space="preserve"> — it is the residual</w:t>
      </w:r>
      <w:r>
        <w:t xml:space="preserve">. </w:t>
      </w:r>
    </w:p>
    <w:p w:rsidR="00FC5770" w:rsidRDefault="00FC5770" w:rsidP="00B33A19">
      <w:pPr>
        <w:pStyle w:val="BodyText"/>
        <w:spacing w:before="200"/>
      </w:pPr>
      <w:r>
        <w:t>There are a number of way</w:t>
      </w:r>
      <w:r w:rsidR="00E23FFF">
        <w:t>s to measure productivity (box 5</w:t>
      </w:r>
      <w:r>
        <w:t>).</w:t>
      </w:r>
      <w:r w:rsidDel="004F5FC9">
        <w:t xml:space="preserve"> </w:t>
      </w:r>
      <w:r>
        <w:t>I</w:t>
      </w:r>
      <w:r w:rsidR="003F22B8">
        <w:t>n Australia, the most common productivity measures used are</w:t>
      </w:r>
      <w:r>
        <w:t>:</w:t>
      </w:r>
      <w:r w:rsidR="003F22B8">
        <w:t xml:space="preserve"> </w:t>
      </w:r>
    </w:p>
    <w:p w:rsidR="00FC5770" w:rsidRDefault="004F5FC9" w:rsidP="00360FDA">
      <w:pPr>
        <w:pStyle w:val="ListBullet"/>
      </w:pPr>
      <w:r>
        <w:t>multifactor productivity (</w:t>
      </w:r>
      <w:r w:rsidR="003F22B8">
        <w:t>MFP</w:t>
      </w:r>
      <w:r>
        <w:t>), which measures the growth in value added output per unit of labour and capital input used</w:t>
      </w:r>
      <w:r w:rsidR="00FC5770">
        <w:t>;</w:t>
      </w:r>
      <w:r w:rsidR="003F22B8">
        <w:t xml:space="preserve"> and </w:t>
      </w:r>
    </w:p>
    <w:p w:rsidR="00B33A19" w:rsidRDefault="003F22B8" w:rsidP="00360FDA">
      <w:pPr>
        <w:pStyle w:val="ListBullet"/>
      </w:pPr>
      <w:proofErr w:type="gramStart"/>
      <w:r>
        <w:t>labour</w:t>
      </w:r>
      <w:proofErr w:type="gramEnd"/>
      <w:r>
        <w:t xml:space="preserve"> productivity</w:t>
      </w:r>
      <w:r w:rsidR="00001687">
        <w:t xml:space="preserve"> (LP)</w:t>
      </w:r>
      <w:r w:rsidR="004F5FC9">
        <w:t>, which measures the growth in value added output per unit of labour used</w:t>
      </w:r>
      <w:r w:rsidR="00FC5770">
        <w:t xml:space="preserve">. </w:t>
      </w:r>
    </w:p>
    <w:p w:rsidR="00B33A19" w:rsidRDefault="00B33A19" w:rsidP="00B33A19">
      <w:pPr>
        <w:pStyle w:val="BodyText"/>
        <w:spacing w:before="200"/>
      </w:pPr>
      <w:r>
        <w:t>Measures of productivity, and particularly MFP, have been described as estimates of what we d</w:t>
      </w:r>
      <w:r w:rsidR="009E4570">
        <w:t>o no</w:t>
      </w:r>
      <w:r>
        <w:t>t know about the economy (</w:t>
      </w:r>
      <w:r w:rsidR="004F5FC9">
        <w:t xml:space="preserve">Solow </w:t>
      </w:r>
      <w:r w:rsidR="009E4570">
        <w:t>1957</w:t>
      </w:r>
      <w:r w:rsidR="00570FFE">
        <w:t xml:space="preserve">; </w:t>
      </w:r>
      <w:proofErr w:type="spellStart"/>
      <w:r w:rsidR="00570FFE">
        <w:t>Abramovitz</w:t>
      </w:r>
      <w:proofErr w:type="spellEnd"/>
      <w:r w:rsidR="00570FFE">
        <w:t xml:space="preserve"> 1956</w:t>
      </w:r>
      <w:r w:rsidR="009E4570">
        <w:t>)</w:t>
      </w:r>
      <w:r w:rsidR="003A564F">
        <w:t>.</w:t>
      </w:r>
      <w:r>
        <w:t xml:space="preserve"> </w:t>
      </w:r>
      <w:r w:rsidR="003A564F">
        <w:t>U</w:t>
      </w:r>
      <w:r w:rsidR="003F22B8">
        <w:t>npacking</w:t>
      </w:r>
      <w:r>
        <w:t xml:space="preserve"> </w:t>
      </w:r>
      <w:r w:rsidR="000C1872">
        <w:t>the unexplained</w:t>
      </w:r>
      <w:r>
        <w:t xml:space="preserve"> change in output</w:t>
      </w:r>
      <w:r w:rsidR="003A564F">
        <w:t>,</w:t>
      </w:r>
      <w:r>
        <w:t xml:space="preserve"> </w:t>
      </w:r>
      <w:r w:rsidR="00CD4EF4">
        <w:t>to the extent that we can</w:t>
      </w:r>
      <w:r w:rsidR="009E4570">
        <w:t>,</w:t>
      </w:r>
      <w:r w:rsidR="00CD4EF4">
        <w:t xml:space="preserve"> can add considerable insight into</w:t>
      </w:r>
      <w:r>
        <w:t xml:space="preserve"> what is </w:t>
      </w:r>
      <w:r w:rsidR="00646586">
        <w:t>happening</w:t>
      </w:r>
      <w:r>
        <w:t xml:space="preserve"> in the real economy. It is for this reason that the Commission continues to analyse </w:t>
      </w:r>
      <w:proofErr w:type="gramStart"/>
      <w:r>
        <w:t xml:space="preserve">productivity </w:t>
      </w:r>
      <w:r w:rsidR="00646586">
        <w:t xml:space="preserve"> trends</w:t>
      </w:r>
      <w:proofErr w:type="gramEnd"/>
      <w:r w:rsidR="00646586">
        <w:t xml:space="preserve"> </w:t>
      </w:r>
      <w:r>
        <w:t xml:space="preserve">for different sectors in the economy, and produces the annual </w:t>
      </w:r>
      <w:r w:rsidR="00646586" w:rsidRPr="002F6E99">
        <w:rPr>
          <w:i/>
        </w:rPr>
        <w:t xml:space="preserve">PC </w:t>
      </w:r>
      <w:r w:rsidRPr="002F6E99">
        <w:rPr>
          <w:i/>
        </w:rPr>
        <w:t>Productivity Update</w:t>
      </w:r>
      <w:r>
        <w:t xml:space="preserve">. This analysis has shed light on some major sources of real </w:t>
      </w:r>
      <w:r>
        <w:lastRenderedPageBreak/>
        <w:t>change in the economy</w:t>
      </w:r>
      <w:r w:rsidR="002521F8">
        <w:t xml:space="preserve"> — </w:t>
      </w:r>
      <w:r w:rsidR="009E4570">
        <w:t xml:space="preserve">both </w:t>
      </w:r>
      <w:r w:rsidR="002521F8">
        <w:t>good and bad</w:t>
      </w:r>
      <w:r>
        <w:t xml:space="preserve">. It has also shed light on some major measurement </w:t>
      </w:r>
      <w:r w:rsidR="00CD4EF4">
        <w:t>issues</w:t>
      </w:r>
      <w:r w:rsidR="00646586">
        <w:t>, which mean</w:t>
      </w:r>
      <w:r w:rsidR="00CD4EF4">
        <w:t xml:space="preserve"> that MFP and </w:t>
      </w:r>
      <w:r w:rsidR="00001687">
        <w:t>LP</w:t>
      </w:r>
      <w:r w:rsidR="00CD4EF4">
        <w:t xml:space="preserve"> </w:t>
      </w:r>
      <w:r w:rsidR="009E4570">
        <w:t xml:space="preserve">estimates </w:t>
      </w:r>
      <w:r w:rsidR="00CD4EF4">
        <w:t xml:space="preserve">can at times </w:t>
      </w:r>
      <w:r w:rsidR="00D36931">
        <w:t xml:space="preserve">conceal </w:t>
      </w:r>
      <w:r w:rsidR="009E4570">
        <w:t>important information about an industry and its growth. For effective analysis</w:t>
      </w:r>
      <w:r w:rsidR="008B1ED7">
        <w:t>,</w:t>
      </w:r>
      <w:r w:rsidR="009E4570">
        <w:t xml:space="preserve"> productivity estimates need to be unpacked to provide a fuller understanding of an industry’s productivity performance</w:t>
      </w:r>
      <w:r>
        <w:t xml:space="preserve">. </w:t>
      </w:r>
    </w:p>
    <w:p w:rsidR="00B33A19" w:rsidRDefault="00B33A19" w:rsidP="00B46985">
      <w:pPr>
        <w:pStyle w:val="BodyText"/>
        <w:spacing w:before="200"/>
      </w:pPr>
      <w:r>
        <w:t xml:space="preserve">The rest of this note focuses on productivity measurement, how well it captures the </w:t>
      </w:r>
      <w:r w:rsidR="007462E0">
        <w:t>concept of productivity</w:t>
      </w:r>
      <w:r>
        <w:t xml:space="preserve">, </w:t>
      </w:r>
      <w:r w:rsidR="003A564F">
        <w:t xml:space="preserve">and </w:t>
      </w:r>
      <w:r>
        <w:t xml:space="preserve">inherent measurement </w:t>
      </w:r>
      <w:r w:rsidR="007462E0">
        <w:t>issues</w:t>
      </w:r>
      <w:r w:rsidR="003A564F">
        <w:t xml:space="preserve"> </w:t>
      </w:r>
      <w:proofErr w:type="gramStart"/>
      <w:r w:rsidR="003A564F">
        <w:t>that users</w:t>
      </w:r>
      <w:proofErr w:type="gramEnd"/>
      <w:r w:rsidR="003A564F">
        <w:t xml:space="preserve"> of productivity estimates need to be aware of</w:t>
      </w:r>
      <w:r>
        <w:t>.</w:t>
      </w:r>
    </w:p>
    <w:p w:rsidR="00604152" w:rsidRDefault="00604152" w:rsidP="00B46985">
      <w:pPr>
        <w:pStyle w:val="Heading3"/>
      </w:pPr>
      <w:r>
        <w:t>Measuring the volume of inputs and outputs</w:t>
      </w:r>
    </w:p>
    <w:p w:rsidR="00AE7EED" w:rsidRDefault="003F22B8" w:rsidP="00B0030E">
      <w:pPr>
        <w:pStyle w:val="BodyText"/>
      </w:pPr>
      <w:r>
        <w:t xml:space="preserve">To measure productivity at the level of the economy </w:t>
      </w:r>
      <w:r w:rsidR="00C05C32">
        <w:t>and</w:t>
      </w:r>
      <w:r>
        <w:t xml:space="preserve"> industry requires e</w:t>
      </w:r>
      <w:r w:rsidR="00604152">
        <w:t>stimat</w:t>
      </w:r>
      <w:r w:rsidR="00B33A19">
        <w:t xml:space="preserve">ing </w:t>
      </w:r>
      <w:r>
        <w:t xml:space="preserve">the volume of output and the volume of one or more inputs. </w:t>
      </w:r>
      <w:r w:rsidR="00AE7EED">
        <w:t xml:space="preserve">This </w:t>
      </w:r>
      <w:r w:rsidR="007F5C6C">
        <w:t>involves</w:t>
      </w:r>
      <w:r w:rsidR="00AE7EED">
        <w:t xml:space="preserve"> several steps</w:t>
      </w:r>
      <w:r w:rsidR="009E4570">
        <w:t>.</w:t>
      </w:r>
    </w:p>
    <w:p w:rsidR="00AE7EED" w:rsidRDefault="003F22B8" w:rsidP="00B46985">
      <w:pPr>
        <w:pStyle w:val="ListBullet"/>
      </w:pPr>
      <w:r>
        <w:t>As data on output and most inputs is mainly available in terms of sales revenue</w:t>
      </w:r>
      <w:r w:rsidR="00646586">
        <w:t>, the</w:t>
      </w:r>
      <w:r>
        <w:t xml:space="preserve"> data</w:t>
      </w:r>
      <w:r w:rsidR="00646586">
        <w:t xml:space="preserve"> </w:t>
      </w:r>
      <w:r>
        <w:t xml:space="preserve">has to be converted from value data to volume data. </w:t>
      </w:r>
      <w:r w:rsidR="00AE7EED">
        <w:t xml:space="preserve">The influence of </w:t>
      </w:r>
      <w:r w:rsidR="00C05C32">
        <w:t xml:space="preserve">changes in </w:t>
      </w:r>
      <w:r w:rsidR="00AE7EED">
        <w:t>price is usually removed through deflating by an appropriate price index.</w:t>
      </w:r>
      <w:r w:rsidR="00AE7EED" w:rsidRPr="00F72386">
        <w:rPr>
          <w:rStyle w:val="FootnoteReference"/>
        </w:rPr>
        <w:footnoteReference w:id="9"/>
      </w:r>
      <w:r w:rsidR="00AE7EED">
        <w:t xml:space="preserve"> </w:t>
      </w:r>
      <w:r w:rsidR="008146CB">
        <w:t xml:space="preserve">MFP </w:t>
      </w:r>
      <w:r w:rsidR="00C05C32">
        <w:t xml:space="preserve">and LP </w:t>
      </w:r>
      <w:r w:rsidR="008B1ED7">
        <w:t>calculate</w:t>
      </w:r>
      <w:r w:rsidR="00C05C32">
        <w:t xml:space="preserve"> industry </w:t>
      </w:r>
      <w:r w:rsidR="008146CB">
        <w:t xml:space="preserve">output as </w:t>
      </w:r>
      <w:r w:rsidR="00C05C32">
        <w:t xml:space="preserve">real </w:t>
      </w:r>
      <w:r w:rsidR="008146CB">
        <w:t xml:space="preserve">value added (gross </w:t>
      </w:r>
      <w:r w:rsidR="00C05C32">
        <w:t>production</w:t>
      </w:r>
      <w:r w:rsidR="008146CB">
        <w:t xml:space="preserve"> less the value of intermediate inputs) deflated by </w:t>
      </w:r>
      <w:r w:rsidR="008B1ED7">
        <w:t>the</w:t>
      </w:r>
      <w:r w:rsidR="00C05C32">
        <w:t xml:space="preserve"> relevant</w:t>
      </w:r>
      <w:r w:rsidR="008146CB">
        <w:t xml:space="preserve"> price index. </w:t>
      </w:r>
      <w:r w:rsidR="008B1ED7">
        <w:t xml:space="preserve">The volume of output for the economy is the sum of industry outputs. At </w:t>
      </w:r>
      <w:r w:rsidR="00D36931">
        <w:t xml:space="preserve">the </w:t>
      </w:r>
      <w:r w:rsidR="007E6DEA">
        <w:t xml:space="preserve">economy </w:t>
      </w:r>
      <w:r w:rsidR="003A564F">
        <w:t>level, t</w:t>
      </w:r>
      <w:r w:rsidR="00C05C32">
        <w:t xml:space="preserve">he ratio of </w:t>
      </w:r>
      <w:r w:rsidR="00691EE3">
        <w:t xml:space="preserve">nominal to </w:t>
      </w:r>
      <w:r w:rsidR="00C05C32">
        <w:t>real value added is called the GDP deflator.</w:t>
      </w:r>
      <w:r w:rsidR="008146CB">
        <w:t xml:space="preserve"> </w:t>
      </w:r>
    </w:p>
    <w:p w:rsidR="00AE7EED" w:rsidRDefault="00AE7EED" w:rsidP="00B46985">
      <w:pPr>
        <w:pStyle w:val="ListBullet"/>
      </w:pPr>
      <w:r>
        <w:t>As output and input quality can change over time, i</w:t>
      </w:r>
      <w:r w:rsidR="00045539">
        <w:t xml:space="preserve">mprovements in quality </w:t>
      </w:r>
      <w:r w:rsidR="007C0876">
        <w:t xml:space="preserve">should be quantified and </w:t>
      </w:r>
      <w:r w:rsidR="00045539">
        <w:t>treated as an increase in volume</w:t>
      </w:r>
      <w:r w:rsidR="007462E0">
        <w:t>.</w:t>
      </w:r>
      <w:r w:rsidR="00045539">
        <w:t xml:space="preserve"> </w:t>
      </w:r>
      <w:r>
        <w:t>In practice, statistical agencies are limited in the quality adjustments</w:t>
      </w:r>
      <w:r w:rsidR="00FC0EB9">
        <w:t xml:space="preserve"> they can make</w:t>
      </w:r>
      <w:r>
        <w:t xml:space="preserve">, </w:t>
      </w:r>
      <w:r w:rsidR="00FC0EB9">
        <w:t xml:space="preserve">and </w:t>
      </w:r>
      <w:r w:rsidR="00A947D1">
        <w:t>the extent to which these fully adjust for quality is uncertain. There are particular problems in some industries</w:t>
      </w:r>
      <w:r>
        <w:t xml:space="preserve">, such as </w:t>
      </w:r>
      <w:r w:rsidR="00C05C32">
        <w:t>information and communication technology (</w:t>
      </w:r>
      <w:r>
        <w:t>ICT</w:t>
      </w:r>
      <w:r w:rsidR="00C05C32">
        <w:t>)</w:t>
      </w:r>
      <w:r>
        <w:t xml:space="preserve"> and motor vehicles.</w:t>
      </w:r>
    </w:p>
    <w:p w:rsidR="00AE7EED" w:rsidRDefault="00AE7EED" w:rsidP="00B46985">
      <w:pPr>
        <w:pStyle w:val="ListBullet"/>
      </w:pPr>
      <w:r>
        <w:t>For</w:t>
      </w:r>
      <w:r w:rsidR="007462E0">
        <w:t xml:space="preserve"> partial measures of productivity, only a single measure of the relevant input is required</w:t>
      </w:r>
      <w:r w:rsidR="008B1ED7">
        <w:t xml:space="preserve">. For LP this is the hours of work. </w:t>
      </w:r>
      <w:r w:rsidR="00FC0EB9">
        <w:t>However, t</w:t>
      </w:r>
      <w:r w:rsidR="008B1ED7">
        <w:t>o calculate</w:t>
      </w:r>
      <w:r>
        <w:t xml:space="preserve"> MFP</w:t>
      </w:r>
      <w:r w:rsidR="00646586">
        <w:t>,</w:t>
      </w:r>
      <w:r>
        <w:t xml:space="preserve"> </w:t>
      </w:r>
      <w:r w:rsidR="00FC0EB9">
        <w:t xml:space="preserve">which is a total </w:t>
      </w:r>
      <w:proofErr w:type="gramStart"/>
      <w:r w:rsidR="00FC0EB9">
        <w:t>measure,</w:t>
      </w:r>
      <w:proofErr w:type="gramEnd"/>
      <w:r w:rsidR="00FC0EB9">
        <w:t xml:space="preserve"> </w:t>
      </w:r>
      <w:r>
        <w:t xml:space="preserve">inputs need to be combined </w:t>
      </w:r>
      <w:r w:rsidR="00001687">
        <w:t>in a total input measure</w:t>
      </w:r>
      <w:r w:rsidR="008146CB">
        <w:t xml:space="preserve">. For MFP, an index of </w:t>
      </w:r>
      <w:r w:rsidR="00C05C32">
        <w:t xml:space="preserve">changes in </w:t>
      </w:r>
      <w:r w:rsidR="008146CB">
        <w:t xml:space="preserve">the volume of </w:t>
      </w:r>
      <w:r w:rsidR="00C05C32">
        <w:t xml:space="preserve">value adding </w:t>
      </w:r>
      <w:r w:rsidR="008146CB">
        <w:t>inputs is calculated using the weighted sum of the indexes of capital and labour inputs, where the weigh</w:t>
      </w:r>
      <w:r w:rsidR="00AD263D">
        <w:t>t</w:t>
      </w:r>
      <w:r w:rsidR="008146CB">
        <w:t xml:space="preserve">s are given by the factor </w:t>
      </w:r>
      <w:r w:rsidR="007E6DEA">
        <w:t xml:space="preserve">income </w:t>
      </w:r>
      <w:r w:rsidR="008146CB">
        <w:t>shares.</w:t>
      </w:r>
      <w:r w:rsidR="008146CB" w:rsidRPr="00FF3448">
        <w:rPr>
          <w:vertAlign w:val="superscript"/>
        </w:rPr>
        <w:footnoteReference w:id="10"/>
      </w:r>
      <w:r w:rsidR="008146CB" w:rsidRPr="00FF3448">
        <w:t xml:space="preserve"> </w:t>
      </w:r>
    </w:p>
    <w:p w:rsidR="000C1872" w:rsidRDefault="000C1872">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0C1872" w:rsidTr="00B330BB">
        <w:tc>
          <w:tcPr>
            <w:tcW w:w="8771" w:type="dxa"/>
            <w:tcBorders>
              <w:top w:val="single" w:sz="6" w:space="0" w:color="78A22F"/>
              <w:left w:val="nil"/>
              <w:bottom w:val="nil"/>
              <w:right w:val="nil"/>
            </w:tcBorders>
            <w:shd w:val="clear" w:color="auto" w:fill="F2F2F2"/>
          </w:tcPr>
          <w:p w:rsidR="000C1872" w:rsidRDefault="000C1872" w:rsidP="00670A87">
            <w:pPr>
              <w:pStyle w:val="BoxTitle"/>
            </w:pPr>
            <w:r>
              <w:rPr>
                <w:b w:val="0"/>
              </w:rPr>
              <w:t xml:space="preserve">Box </w:t>
            </w:r>
            <w:r w:rsidR="00670A87">
              <w:rPr>
                <w:b w:val="0"/>
                <w:noProof/>
              </w:rPr>
              <w:t>5</w:t>
            </w:r>
            <w:r>
              <w:tab/>
            </w:r>
            <w:r w:rsidR="002521F8">
              <w:t xml:space="preserve">Growth </w:t>
            </w:r>
            <w:r w:rsidR="003F22B8">
              <w:t>accounting</w:t>
            </w:r>
            <w:r w:rsidR="00691EE3">
              <w:t xml:space="preserve"> and</w:t>
            </w:r>
            <w:r>
              <w:t xml:space="preserve"> productivity measures</w:t>
            </w:r>
            <w:r w:rsidR="00001687">
              <w:t xml:space="preserve"> </w:t>
            </w:r>
          </w:p>
        </w:tc>
      </w:tr>
      <w:tr w:rsidR="000C1872" w:rsidTr="00B330BB">
        <w:trPr>
          <w:cantSplit/>
        </w:trPr>
        <w:tc>
          <w:tcPr>
            <w:tcW w:w="8771" w:type="dxa"/>
            <w:tcBorders>
              <w:top w:val="nil"/>
              <w:left w:val="nil"/>
              <w:bottom w:val="nil"/>
              <w:right w:val="nil"/>
            </w:tcBorders>
            <w:shd w:val="clear" w:color="auto" w:fill="F2F2F2"/>
          </w:tcPr>
          <w:p w:rsidR="002521F8" w:rsidRDefault="002521F8" w:rsidP="003F22B8">
            <w:pPr>
              <w:pStyle w:val="Box"/>
            </w:pPr>
            <w:r>
              <w:t xml:space="preserve">Productivity measures are </w:t>
            </w:r>
            <w:r w:rsidR="007E6DEA">
              <w:t xml:space="preserve">derived from </w:t>
            </w:r>
            <w:r>
              <w:t xml:space="preserve">the </w:t>
            </w:r>
            <w:r w:rsidR="004A329A">
              <w:t>Swan-</w:t>
            </w:r>
            <w:r>
              <w:t xml:space="preserve">Solow growth model, where output growth was explained by input growth and a residual. </w:t>
            </w:r>
            <w:r w:rsidR="007E6DEA">
              <w:t xml:space="preserve">An example is </w:t>
            </w:r>
            <w:r w:rsidR="008463DE">
              <w:t>a Cobb-Douglas production function, where output (Y) is a function of capital (K) and labour (L) inputs</w:t>
            </w:r>
            <w:r w:rsidR="001A5D1E">
              <w:t xml:space="preserve">, and there </w:t>
            </w:r>
            <w:proofErr w:type="gramStart"/>
            <w:r w:rsidR="001A5D1E">
              <w:t>is constant returns</w:t>
            </w:r>
            <w:proofErr w:type="gramEnd"/>
            <w:r w:rsidR="001A5D1E">
              <w:t xml:space="preserve"> to scale</w:t>
            </w:r>
            <w:r w:rsidR="008463DE">
              <w:t xml:space="preserve">. Output growth (indicated by a dot over the variable) is a function of the growth in inputs. The residual can be interpreted as disembodied technological progress (A) and any measurement error in capital or labour inputs. </w:t>
            </w:r>
          </w:p>
          <w:p w:rsidR="008463DE" w:rsidRPr="008463DE" w:rsidRDefault="008463DE" w:rsidP="003F22B8">
            <w:pPr>
              <w:pStyle w:val="Box"/>
            </w:pPr>
            <m:oMathPara>
              <m:oMath>
                <m:r>
                  <w:rPr>
                    <w:rFonts w:ascii="Cambria Math" w:hAnsi="Cambria Math"/>
                  </w:rPr>
                  <m:t>Y=A</m:t>
                </m:r>
                <m:sSup>
                  <m:sSupPr>
                    <m:ctrlPr>
                      <w:rPr>
                        <w:rFonts w:ascii="Cambria Math" w:hAnsi="Cambria Math"/>
                        <w:i/>
                      </w:rPr>
                    </m:ctrlPr>
                  </m:sSupPr>
                  <m:e>
                    <m:r>
                      <w:rPr>
                        <w:rFonts w:ascii="Cambria Math" w:hAnsi="Cambria Math"/>
                      </w:rPr>
                      <m:t>K</m:t>
                    </m:r>
                  </m:e>
                  <m:sup>
                    <m:r>
                      <w:rPr>
                        <w:rFonts w:ascii="Cambria Math" w:hAnsi="Cambria Math"/>
                      </w:rPr>
                      <m:t>α</m:t>
                    </m:r>
                  </m:sup>
                </m:sSup>
                <m:sSup>
                  <m:sSupPr>
                    <m:ctrlPr>
                      <w:rPr>
                        <w:rFonts w:ascii="Cambria Math" w:hAnsi="Cambria Math"/>
                        <w:i/>
                      </w:rPr>
                    </m:ctrlPr>
                  </m:sSupPr>
                  <m:e>
                    <m:r>
                      <w:rPr>
                        <w:rFonts w:ascii="Cambria Math" w:hAnsi="Cambria Math"/>
                      </w:rPr>
                      <m:t>L</m:t>
                    </m:r>
                  </m:e>
                  <m:sup>
                    <m:r>
                      <w:rPr>
                        <w:rFonts w:ascii="Cambria Math" w:hAnsi="Cambria Math"/>
                      </w:rPr>
                      <m:t>(1-α)</m:t>
                    </m:r>
                  </m:sup>
                </m:sSup>
              </m:oMath>
            </m:oMathPara>
          </w:p>
          <w:p w:rsidR="008463DE" w:rsidRDefault="00F813CD" w:rsidP="003F22B8">
            <w:pPr>
              <w:pStyle w:val="Box"/>
            </w:pPr>
            <m:oMathPara>
              <m:oMath>
                <m:acc>
                  <m:accPr>
                    <m:chr m:val="̇"/>
                    <m:ctrlPr>
                      <w:rPr>
                        <w:rFonts w:ascii="Cambria Math" w:hAnsi="Cambria Math"/>
                        <w:i/>
                      </w:rPr>
                    </m:ctrlPr>
                  </m:accPr>
                  <m:e>
                    <m:r>
                      <w:rPr>
                        <w:rFonts w:ascii="Cambria Math" w:hAnsi="Cambria Math"/>
                      </w:rPr>
                      <m:t>Y</m:t>
                    </m:r>
                  </m:e>
                </m:acc>
                <m:r>
                  <w:rPr>
                    <w:rFonts w:ascii="Cambria Math" w:hAnsi="Cambria Math"/>
                  </w:rPr>
                  <m:t>=α</m:t>
                </m:r>
                <m:acc>
                  <m:accPr>
                    <m:chr m:val="̇"/>
                    <m:ctrlPr>
                      <w:rPr>
                        <w:rFonts w:ascii="Cambria Math" w:hAnsi="Cambria Math"/>
                        <w:i/>
                      </w:rPr>
                    </m:ctrlPr>
                  </m:accPr>
                  <m:e>
                    <m:r>
                      <w:rPr>
                        <w:rFonts w:ascii="Cambria Math" w:hAnsi="Cambria Math"/>
                      </w:rPr>
                      <m:t>K</m:t>
                    </m:r>
                  </m:e>
                </m:acc>
                <m:r>
                  <w:rPr>
                    <w:rFonts w:ascii="Cambria Math" w:hAnsi="Cambria Math"/>
                  </w:rPr>
                  <m:t>+</m:t>
                </m:r>
                <m:d>
                  <m:dPr>
                    <m:ctrlPr>
                      <w:rPr>
                        <w:rFonts w:ascii="Cambria Math" w:hAnsi="Cambria Math"/>
                        <w:i/>
                      </w:rPr>
                    </m:ctrlPr>
                  </m:dPr>
                  <m:e>
                    <m:r>
                      <w:rPr>
                        <w:rFonts w:ascii="Cambria Math" w:hAnsi="Cambria Math"/>
                      </w:rPr>
                      <m:t>1-α</m:t>
                    </m:r>
                  </m:e>
                </m:d>
                <m:acc>
                  <m:accPr>
                    <m:chr m:val="̇"/>
                    <m:ctrlPr>
                      <w:rPr>
                        <w:rFonts w:ascii="Cambria Math" w:hAnsi="Cambria Math"/>
                        <w:i/>
                      </w:rPr>
                    </m:ctrlPr>
                  </m:accPr>
                  <m:e>
                    <m:r>
                      <w:rPr>
                        <w:rFonts w:ascii="Cambria Math" w:hAnsi="Cambria Math"/>
                      </w:rPr>
                      <m:t>L</m:t>
                    </m:r>
                  </m:e>
                </m:acc>
                <m:r>
                  <w:rPr>
                    <w:rFonts w:ascii="Cambria Math" w:hAnsi="Cambria Math"/>
                  </w:rPr>
                  <m:t>+</m:t>
                </m:r>
                <m:acc>
                  <m:accPr>
                    <m:chr m:val="̇"/>
                    <m:ctrlPr>
                      <w:rPr>
                        <w:rFonts w:ascii="Cambria Math" w:hAnsi="Cambria Math"/>
                        <w:i/>
                      </w:rPr>
                    </m:ctrlPr>
                  </m:accPr>
                  <m:e>
                    <m:r>
                      <w:rPr>
                        <w:rFonts w:ascii="Cambria Math" w:hAnsi="Cambria Math"/>
                      </w:rPr>
                      <m:t>A</m:t>
                    </m:r>
                  </m:e>
                </m:acc>
              </m:oMath>
            </m:oMathPara>
          </w:p>
          <w:p w:rsidR="00D10B49" w:rsidRDefault="00691EE3" w:rsidP="00B330BB">
            <w:pPr>
              <w:pStyle w:val="Box"/>
            </w:pPr>
            <w:r>
              <w:t>Growth of m</w:t>
            </w:r>
            <w:r w:rsidR="008463DE">
              <w:t xml:space="preserve">ultifactor productivity (MFP) </w:t>
            </w:r>
            <w:r w:rsidR="00D10B49">
              <w:t xml:space="preserve">is calculated </w:t>
            </w:r>
            <w:proofErr w:type="gramStart"/>
            <w:r w:rsidR="00D10B49">
              <w:t xml:space="preserve">as </w:t>
            </w:r>
            <m:oMath>
              <m:acc>
                <m:accPr>
                  <m:chr m:val="̇"/>
                  <m:ctrlPr>
                    <w:rPr>
                      <w:rFonts w:ascii="Cambria Math" w:hAnsi="Cambria Math"/>
                      <w:i/>
                    </w:rPr>
                  </m:ctrlPr>
                </m:accPr>
                <m:e>
                  <w:proofErr w:type="gramEnd"/>
                  <m:r>
                    <w:rPr>
                      <w:rFonts w:ascii="Cambria Math" w:hAnsi="Cambria Math"/>
                    </w:rPr>
                    <m:t>A</m:t>
                  </m:r>
                </m:e>
              </m:acc>
            </m:oMath>
            <w:r w:rsidR="00161C36">
              <w:t xml:space="preserve"> </w:t>
            </w:r>
            <w:r w:rsidR="00D10B49">
              <w:t>. In this formulation</w:t>
            </w:r>
            <w:r w:rsidR="002E735C">
              <w:t>,</w:t>
            </w:r>
            <w:r w:rsidR="00D10B49">
              <w:t xml:space="preserve"> output is the value added by the capital and labour used in production. That is, it is the volume equivalent of the value of all final sales of the industry less the intermediate inputs used in production.</w:t>
            </w:r>
          </w:p>
          <w:p w:rsidR="00D10B49" w:rsidRDefault="00D10B49" w:rsidP="00B330BB">
            <w:pPr>
              <w:pStyle w:val="Box"/>
            </w:pPr>
            <w:r>
              <w:t>An alternative approach is to estimate total factor productivity</w:t>
            </w:r>
            <w:r w:rsidR="001A5D1E">
              <w:t xml:space="preserve"> (TFP)</w:t>
            </w:r>
            <w:r>
              <w:t>. This recognises that intermediate inputs (T) are used in production along with capital and labour. Hence</w:t>
            </w:r>
            <w:r w:rsidR="002E735C">
              <w:t>,</w:t>
            </w:r>
            <w:r>
              <w:t xml:space="preserve"> it uses a gross output measure</w:t>
            </w:r>
            <w:r w:rsidR="000A30B6">
              <w:t xml:space="preserve"> (G)</w:t>
            </w:r>
            <w:r>
              <w:t>, and includes intermediate inputs as a factor of production.</w:t>
            </w:r>
          </w:p>
          <w:p w:rsidR="00D10B49" w:rsidRPr="00360FDA" w:rsidRDefault="00D10B49" w:rsidP="00B330BB">
            <w:pPr>
              <w:pStyle w:val="Box"/>
            </w:pPr>
            <m:oMathPara>
              <m:oMath>
                <m:r>
                  <w:rPr>
                    <w:rFonts w:ascii="Cambria Math" w:hAnsi="Cambria Math"/>
                  </w:rPr>
                  <m:t>G=</m:t>
                </m:r>
                <m:d>
                  <m:dPr>
                    <m:ctrlPr>
                      <w:rPr>
                        <w:rFonts w:ascii="Cambria Math" w:hAnsi="Cambria Math"/>
                        <w:i/>
                      </w:rPr>
                    </m:ctrlPr>
                  </m:dPr>
                  <m:e>
                    <m:r>
                      <w:rPr>
                        <w:rFonts w:ascii="Cambria Math" w:hAnsi="Cambria Math"/>
                      </w:rPr>
                      <m:t>Y+T</m:t>
                    </m:r>
                  </m:e>
                </m:d>
                <m:r>
                  <w:rPr>
                    <w:rFonts w:ascii="Cambria Math" w:hAnsi="Cambria Math"/>
                  </w:rPr>
                  <m:t>=A</m:t>
                </m:r>
                <m:sSup>
                  <m:sSupPr>
                    <m:ctrlPr>
                      <w:rPr>
                        <w:rFonts w:ascii="Cambria Math" w:hAnsi="Cambria Math"/>
                        <w:i/>
                      </w:rPr>
                    </m:ctrlPr>
                  </m:sSupPr>
                  <m:e>
                    <m:r>
                      <w:rPr>
                        <w:rFonts w:ascii="Cambria Math" w:hAnsi="Cambria Math"/>
                      </w:rPr>
                      <m:t>K</m:t>
                    </m:r>
                  </m:e>
                  <m:sup>
                    <m:r>
                      <w:rPr>
                        <w:rFonts w:ascii="Cambria Math" w:hAnsi="Cambria Math"/>
                      </w:rPr>
                      <m:t>α</m:t>
                    </m:r>
                  </m:sup>
                </m:sSup>
                <m:sSup>
                  <m:sSupPr>
                    <m:ctrlPr>
                      <w:rPr>
                        <w:rFonts w:ascii="Cambria Math" w:hAnsi="Cambria Math"/>
                        <w:i/>
                      </w:rPr>
                    </m:ctrlPr>
                  </m:sSupPr>
                  <m:e>
                    <m:r>
                      <w:rPr>
                        <w:rFonts w:ascii="Cambria Math" w:hAnsi="Cambria Math"/>
                      </w:rPr>
                      <m:t>L</m:t>
                    </m:r>
                  </m:e>
                  <m:sup>
                    <m:r>
                      <w:rPr>
                        <w:rFonts w:ascii="Cambria Math" w:hAnsi="Cambria Math"/>
                      </w:rPr>
                      <m:t>β</m:t>
                    </m:r>
                  </m:sup>
                </m:sSup>
                <m:sSup>
                  <m:sSupPr>
                    <m:ctrlPr>
                      <w:rPr>
                        <w:rFonts w:ascii="Cambria Math" w:hAnsi="Cambria Math"/>
                        <w:i/>
                      </w:rPr>
                    </m:ctrlPr>
                  </m:sSupPr>
                  <m:e>
                    <m:r>
                      <w:rPr>
                        <w:rFonts w:ascii="Cambria Math" w:hAnsi="Cambria Math"/>
                      </w:rPr>
                      <m:t>T</m:t>
                    </m:r>
                  </m:e>
                  <m:sup>
                    <m:r>
                      <w:rPr>
                        <w:rFonts w:ascii="Cambria Math" w:hAnsi="Cambria Math"/>
                      </w:rPr>
                      <m:t>γ</m:t>
                    </m:r>
                  </m:sup>
                </m:sSup>
              </m:oMath>
            </m:oMathPara>
          </w:p>
          <w:p w:rsidR="00D10B49" w:rsidRPr="002E735C" w:rsidRDefault="00F813CD" w:rsidP="00B330BB">
            <w:pPr>
              <w:pStyle w:val="Box"/>
            </w:pPr>
            <m:oMathPara>
              <m:oMath>
                <m:acc>
                  <m:accPr>
                    <m:chr m:val="̇"/>
                    <m:ctrlPr>
                      <w:rPr>
                        <w:rFonts w:ascii="Cambria Math" w:hAnsi="Cambria Math"/>
                        <w:i/>
                      </w:rPr>
                    </m:ctrlPr>
                  </m:accPr>
                  <m:e>
                    <m:r>
                      <w:rPr>
                        <w:rFonts w:ascii="Cambria Math" w:hAnsi="Cambria Math"/>
                      </w:rPr>
                      <m:t>G</m:t>
                    </m:r>
                  </m:e>
                </m:acc>
                <m:r>
                  <w:rPr>
                    <w:rFonts w:ascii="Cambria Math" w:hAnsi="Cambria Math"/>
                  </w:rPr>
                  <m:t>= α</m:t>
                </m:r>
                <m:acc>
                  <m:accPr>
                    <m:chr m:val="̇"/>
                    <m:ctrlPr>
                      <w:rPr>
                        <w:rFonts w:ascii="Cambria Math" w:hAnsi="Cambria Math"/>
                        <w:i/>
                      </w:rPr>
                    </m:ctrlPr>
                  </m:accPr>
                  <m:e>
                    <m:r>
                      <w:rPr>
                        <w:rFonts w:ascii="Cambria Math" w:hAnsi="Cambria Math"/>
                      </w:rPr>
                      <m:t>K</m:t>
                    </m:r>
                  </m:e>
                </m:acc>
                <m:r>
                  <w:rPr>
                    <w:rFonts w:ascii="Cambria Math" w:hAnsi="Cambria Math"/>
                  </w:rPr>
                  <m:t>+ β</m:t>
                </m:r>
                <m:acc>
                  <m:accPr>
                    <m:chr m:val="̇"/>
                    <m:ctrlPr>
                      <w:rPr>
                        <w:rFonts w:ascii="Cambria Math" w:hAnsi="Cambria Math"/>
                        <w:i/>
                      </w:rPr>
                    </m:ctrlPr>
                  </m:accPr>
                  <m:e>
                    <m:r>
                      <w:rPr>
                        <w:rFonts w:ascii="Cambria Math" w:hAnsi="Cambria Math"/>
                      </w:rPr>
                      <m:t>L</m:t>
                    </m:r>
                  </m:e>
                </m:acc>
                <m:r>
                  <w:rPr>
                    <w:rFonts w:ascii="Cambria Math" w:hAnsi="Cambria Math"/>
                  </w:rPr>
                  <m:t>+ γ</m:t>
                </m:r>
                <m:acc>
                  <m:accPr>
                    <m:chr m:val="̇"/>
                    <m:ctrlPr>
                      <w:rPr>
                        <w:rFonts w:ascii="Cambria Math" w:hAnsi="Cambria Math"/>
                        <w:i/>
                      </w:rPr>
                    </m:ctrlPr>
                  </m:accPr>
                  <m:e>
                    <m:r>
                      <w:rPr>
                        <w:rFonts w:ascii="Cambria Math" w:hAnsi="Cambria Math"/>
                      </w:rPr>
                      <m:t>T</m:t>
                    </m:r>
                  </m:e>
                </m:acc>
                <m:r>
                  <w:rPr>
                    <w:rFonts w:ascii="Cambria Math" w:hAnsi="Cambria Math"/>
                  </w:rPr>
                  <m:t>+</m:t>
                </m:r>
                <m:acc>
                  <m:accPr>
                    <m:chr m:val="̇"/>
                    <m:ctrlPr>
                      <w:rPr>
                        <w:rFonts w:ascii="Cambria Math" w:hAnsi="Cambria Math"/>
                        <w:i/>
                      </w:rPr>
                    </m:ctrlPr>
                  </m:accPr>
                  <m:e>
                    <m:r>
                      <w:rPr>
                        <w:rFonts w:ascii="Cambria Math" w:hAnsi="Cambria Math"/>
                      </w:rPr>
                      <m:t>A</m:t>
                    </m:r>
                  </m:e>
                </m:acc>
              </m:oMath>
            </m:oMathPara>
          </w:p>
          <w:p w:rsidR="00D10B49" w:rsidRPr="00D10B49" w:rsidRDefault="00D10B49" w:rsidP="00B330BB">
            <w:pPr>
              <w:pStyle w:val="Box"/>
            </w:pPr>
            <m:oMathPara>
              <m:oMath>
                <m:r>
                  <w:rPr>
                    <w:rFonts w:ascii="Cambria Math" w:hAnsi="Cambria Math"/>
                  </w:rPr>
                  <m:t>α+β+γ=1</m:t>
                </m:r>
              </m:oMath>
            </m:oMathPara>
          </w:p>
          <w:p w:rsidR="000C1872" w:rsidRDefault="001A5D1E" w:rsidP="00BE73B6">
            <w:pPr>
              <w:pStyle w:val="Box"/>
            </w:pPr>
            <w:r>
              <w:t xml:space="preserve">TFP and MFP are </w:t>
            </w:r>
            <w:r w:rsidR="00161C36">
              <w:t xml:space="preserve">conceptually </w:t>
            </w:r>
            <w:r>
              <w:t xml:space="preserve">similar, but </w:t>
            </w:r>
            <w:r w:rsidR="00D36931">
              <w:t xml:space="preserve">numerical </w:t>
            </w:r>
            <w:r>
              <w:t xml:space="preserve">differences can arise because of the way that intermediate inputs are measured for estimating </w:t>
            </w:r>
            <w:r w:rsidR="002E735C">
              <w:t xml:space="preserve">industry </w:t>
            </w:r>
            <w:r>
              <w:t>value added</w:t>
            </w:r>
            <w:r w:rsidR="00D36931">
              <w:t xml:space="preserve"> </w:t>
            </w:r>
            <w:r>
              <w:t xml:space="preserve">and as an input index for calculating TFP. </w:t>
            </w:r>
            <w:r w:rsidR="00A947D1">
              <w:t>The ABS produces</w:t>
            </w:r>
            <w:r>
              <w:t xml:space="preserve"> MFP</w:t>
            </w:r>
            <w:r w:rsidR="00A947D1">
              <w:t xml:space="preserve"> estimates regularly</w:t>
            </w:r>
            <w:r>
              <w:t xml:space="preserve">, </w:t>
            </w:r>
            <w:r w:rsidR="00A947D1">
              <w:t xml:space="preserve">but </w:t>
            </w:r>
            <w:proofErr w:type="gramStart"/>
            <w:r w:rsidR="00A947D1">
              <w:t>are</w:t>
            </w:r>
            <w:proofErr w:type="gramEnd"/>
            <w:r w:rsidR="00A947D1">
              <w:t xml:space="preserve"> exploring measures of</w:t>
            </w:r>
            <w:r w:rsidR="001D67DE">
              <w:t xml:space="preserve"> TFP by measuring, in addition to capital and labour, energy (E), materials (M) and services (S). </w:t>
            </w:r>
            <w:r w:rsidR="00A947D1">
              <w:t>T</w:t>
            </w:r>
            <w:r w:rsidR="001D67DE">
              <w:t>his is known as the KLEMS method.</w:t>
            </w:r>
            <w:r>
              <w:t xml:space="preserve"> </w:t>
            </w:r>
          </w:p>
        </w:tc>
      </w:tr>
      <w:tr w:rsidR="000C1872" w:rsidTr="00B330BB">
        <w:trPr>
          <w:cantSplit/>
        </w:trPr>
        <w:tc>
          <w:tcPr>
            <w:tcW w:w="8771" w:type="dxa"/>
            <w:tcBorders>
              <w:top w:val="nil"/>
              <w:left w:val="nil"/>
              <w:bottom w:val="single" w:sz="6" w:space="0" w:color="78A22F"/>
              <w:right w:val="nil"/>
            </w:tcBorders>
            <w:shd w:val="clear" w:color="auto" w:fill="F2F2F2"/>
          </w:tcPr>
          <w:p w:rsidR="000C1872" w:rsidRDefault="000C1872">
            <w:pPr>
              <w:pStyle w:val="Box"/>
              <w:spacing w:before="0" w:line="120" w:lineRule="exact"/>
            </w:pPr>
          </w:p>
        </w:tc>
      </w:tr>
      <w:tr w:rsidR="000C1872" w:rsidRPr="000863A5" w:rsidTr="00B330BB">
        <w:tc>
          <w:tcPr>
            <w:tcW w:w="8771" w:type="dxa"/>
            <w:tcBorders>
              <w:top w:val="single" w:sz="6" w:space="0" w:color="78A22F"/>
              <w:left w:val="nil"/>
              <w:bottom w:val="nil"/>
              <w:right w:val="nil"/>
            </w:tcBorders>
          </w:tcPr>
          <w:p w:rsidR="000C1872" w:rsidRPr="00626D32" w:rsidRDefault="000C1872" w:rsidP="00B330BB">
            <w:pPr>
              <w:pStyle w:val="BoxSpaceBelow"/>
            </w:pPr>
          </w:p>
        </w:tc>
      </w:tr>
    </w:tbl>
    <w:p w:rsidR="005800C4" w:rsidRPr="00FF3448" w:rsidRDefault="00003604" w:rsidP="00C529A3">
      <w:pPr>
        <w:pStyle w:val="BodyText"/>
      </w:pPr>
      <w:r>
        <w:t xml:space="preserve">The calculation of </w:t>
      </w:r>
      <w:r w:rsidR="00045539">
        <w:t>MFP</w:t>
      </w:r>
      <w:r w:rsidR="006F1856">
        <w:t xml:space="preserve"> </w:t>
      </w:r>
      <w:r>
        <w:t xml:space="preserve">using the traditional accounting methods requires </w:t>
      </w:r>
      <w:r w:rsidR="00A74AF8">
        <w:t>independent measures of inputs and outputs</w:t>
      </w:r>
      <w:r w:rsidR="006F1856">
        <w:t xml:space="preserve">. </w:t>
      </w:r>
      <w:r w:rsidR="00CD1E7C">
        <w:t>For Australia, this can only be calculated</w:t>
      </w:r>
      <w:r>
        <w:t xml:space="preserve"> </w:t>
      </w:r>
      <w:r w:rsidR="00CD1E7C">
        <w:t xml:space="preserve">for </w:t>
      </w:r>
      <w:r>
        <w:t>16 industries</w:t>
      </w:r>
      <w:r w:rsidR="00CD1E7C">
        <w:t>,</w:t>
      </w:r>
      <w:r>
        <w:t xml:space="preserve"> which the ABS terms the market sector of the economy.</w:t>
      </w:r>
      <w:r>
        <w:rPr>
          <w:rStyle w:val="FootnoteReference"/>
        </w:rPr>
        <w:footnoteReference w:id="11"/>
      </w:r>
      <w:r w:rsidR="00CD1E7C">
        <w:t xml:space="preserve"> For the remaining industries</w:t>
      </w:r>
      <w:r>
        <w:t xml:space="preserve"> (</w:t>
      </w:r>
      <w:r w:rsidR="006F1856">
        <w:t xml:space="preserve">the </w:t>
      </w:r>
      <w:r w:rsidR="00A74AF8">
        <w:t>‘</w:t>
      </w:r>
      <w:r w:rsidR="006F1856">
        <w:t>non-market</w:t>
      </w:r>
      <w:r w:rsidR="00A74AF8">
        <w:t>’</w:t>
      </w:r>
      <w:r w:rsidR="006F1856">
        <w:t xml:space="preserve"> sector</w:t>
      </w:r>
      <w:r>
        <w:t>)</w:t>
      </w:r>
      <w:r w:rsidR="006F1856">
        <w:t xml:space="preserve"> the value of output is estimated as the sum of the cost of inputs</w:t>
      </w:r>
      <w:r w:rsidR="00D36931">
        <w:t xml:space="preserve"> where other output measures are not available</w:t>
      </w:r>
      <w:r w:rsidR="00D65377">
        <w:t>. This</w:t>
      </w:r>
      <w:r w:rsidR="006F1856">
        <w:t xml:space="preserve"> </w:t>
      </w:r>
      <w:r w:rsidR="00D65377">
        <w:t>precludes using</w:t>
      </w:r>
      <w:r w:rsidR="00045539">
        <w:t xml:space="preserve"> </w:t>
      </w:r>
      <w:r>
        <w:t>the traditional accounting method</w:t>
      </w:r>
      <w:r w:rsidR="00045539">
        <w:t xml:space="preserve"> for </w:t>
      </w:r>
      <w:r w:rsidR="006F1856">
        <w:t xml:space="preserve">measuring </w:t>
      </w:r>
      <w:r w:rsidR="00045539">
        <w:t>changes in industry productivity</w:t>
      </w:r>
      <w:r>
        <w:t xml:space="preserve">. </w:t>
      </w:r>
      <w:r w:rsidR="00045539">
        <w:t>Hence</w:t>
      </w:r>
      <w:r w:rsidR="00A74AF8">
        <w:t>,</w:t>
      </w:r>
      <w:r w:rsidR="00045539">
        <w:t xml:space="preserve"> </w:t>
      </w:r>
      <w:proofErr w:type="spellStart"/>
      <w:r w:rsidR="00045539">
        <w:t>economy-wide</w:t>
      </w:r>
      <w:proofErr w:type="spellEnd"/>
      <w:r w:rsidR="00045539">
        <w:t xml:space="preserve"> MFP estimates </w:t>
      </w:r>
      <w:r>
        <w:t xml:space="preserve">reflect </w:t>
      </w:r>
      <w:r w:rsidR="00045539">
        <w:t>productivity growth in only</w:t>
      </w:r>
      <w:r>
        <w:t xml:space="preserve"> the market sector</w:t>
      </w:r>
      <w:r w:rsidR="00045539">
        <w:t xml:space="preserve"> part of th</w:t>
      </w:r>
      <w:r w:rsidR="000A62BC">
        <w:t>e economy (the 16 industries account for</w:t>
      </w:r>
      <w:r w:rsidR="00045539">
        <w:t xml:space="preserve"> around 80 per cent</w:t>
      </w:r>
      <w:r w:rsidR="000A62BC">
        <w:t xml:space="preserve"> of GDP</w:t>
      </w:r>
      <w:r w:rsidR="00045539">
        <w:t>)</w:t>
      </w:r>
      <w:r w:rsidR="00E02559">
        <w:t>.</w:t>
      </w:r>
    </w:p>
    <w:p w:rsidR="00AA2310" w:rsidRDefault="00AA2310">
      <w:pPr>
        <w:rPr>
          <w:szCs w:val="20"/>
        </w:rPr>
      </w:pPr>
      <w:r>
        <w:br w:type="page"/>
      </w:r>
    </w:p>
    <w:p w:rsidR="00235A3F" w:rsidRDefault="00001687" w:rsidP="006F1856">
      <w:pPr>
        <w:pStyle w:val="BodyText"/>
      </w:pPr>
      <w:r>
        <w:lastRenderedPageBreak/>
        <w:t>LP</w:t>
      </w:r>
      <w:r w:rsidR="009863DF">
        <w:t xml:space="preserve"> </w:t>
      </w:r>
      <w:r w:rsidR="006F1856">
        <w:t>can be measured for both the market and non-market sectors of the economy.</w:t>
      </w:r>
      <w:r w:rsidR="001E7521">
        <w:rPr>
          <w:rStyle w:val="FootnoteReference"/>
        </w:rPr>
        <w:footnoteReference w:id="12"/>
      </w:r>
      <w:r w:rsidR="00C465D4">
        <w:t xml:space="preserve"> </w:t>
      </w:r>
      <w:r w:rsidR="006F1856">
        <w:t xml:space="preserve">This is because labour </w:t>
      </w:r>
      <w:r w:rsidR="00691EE3">
        <w:t xml:space="preserve">input </w:t>
      </w:r>
      <w:r w:rsidR="006F1856">
        <w:t>can be measured in real volume terms as hours worked</w:t>
      </w:r>
      <w:r w:rsidR="00AF16B1">
        <w:t xml:space="preserve"> </w:t>
      </w:r>
      <w:r w:rsidR="00483404">
        <w:t>(</w:t>
      </w:r>
      <w:r w:rsidR="00AF16B1">
        <w:t xml:space="preserve">the ratio of </w:t>
      </w:r>
      <w:r w:rsidR="008146CB">
        <w:t>value added</w:t>
      </w:r>
      <w:r w:rsidR="00AF16B1">
        <w:t xml:space="preserve"> to hours worked </w:t>
      </w:r>
      <w:r w:rsidR="00483404">
        <w:t>also is relatively easy to understand)</w:t>
      </w:r>
      <w:r w:rsidR="007F5C6C">
        <w:t>.</w:t>
      </w:r>
      <w:r w:rsidR="006F1856">
        <w:t xml:space="preserve"> </w:t>
      </w:r>
      <w:r w:rsidR="007F5C6C">
        <w:t>A</w:t>
      </w:r>
      <w:r w:rsidR="00483404">
        <w:t xml:space="preserve">s the residual, </w:t>
      </w:r>
      <w:r>
        <w:t>LP</w:t>
      </w:r>
      <w:r w:rsidR="00C465D4">
        <w:t xml:space="preserve"> growth measures the contribution to output growth of all factors other than the growth in labour input. </w:t>
      </w:r>
      <w:r w:rsidR="00AF16B1">
        <w:t>It is important to note that both growth in capital and growth in MFP contribute to LP growth (box</w:t>
      </w:r>
      <w:r w:rsidR="00483404">
        <w:t> </w:t>
      </w:r>
      <w:r w:rsidR="00E23FFF">
        <w:t>6</w:t>
      </w:r>
      <w:r w:rsidR="00AF16B1">
        <w:t>).</w:t>
      </w:r>
      <w:r w:rsidR="00BD7DE8">
        <w:t xml:space="preserve"> Indeed, Paul Krugman’s comment that the Asian economic miracle was </w:t>
      </w:r>
      <w:r w:rsidR="00235A3F">
        <w:t>mainly</w:t>
      </w:r>
      <w:r w:rsidR="00BD7DE8">
        <w:t xml:space="preserve"> due to capital growth reflects </w:t>
      </w:r>
      <w:r w:rsidR="005A15A8">
        <w:t xml:space="preserve">the value added </w:t>
      </w:r>
      <w:r w:rsidR="00483404">
        <w:t>when</w:t>
      </w:r>
      <w:r w:rsidR="005A15A8">
        <w:t xml:space="preserve"> capital </w:t>
      </w:r>
      <w:r w:rsidR="00483404">
        <w:t xml:space="preserve">is added </w:t>
      </w:r>
      <w:r w:rsidR="005A15A8">
        <w:t xml:space="preserve">to a large underutilised workforce, </w:t>
      </w:r>
      <w:r w:rsidR="00483404">
        <w:t xml:space="preserve">as well as </w:t>
      </w:r>
      <w:r w:rsidR="005A15A8">
        <w:t>the complementary nature of this capital to the labour supply available</w:t>
      </w:r>
      <w:r w:rsidR="00BD7DE8">
        <w:t xml:space="preserve"> (Krugman 1994).</w:t>
      </w:r>
    </w:p>
    <w:p w:rsidR="00AA2310" w:rsidRDefault="00AA2310">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AA2310" w:rsidTr="008E2A3C">
        <w:tc>
          <w:tcPr>
            <w:tcW w:w="8771" w:type="dxa"/>
            <w:tcBorders>
              <w:top w:val="single" w:sz="6" w:space="0" w:color="78A22F"/>
              <w:left w:val="nil"/>
              <w:bottom w:val="nil"/>
              <w:right w:val="nil"/>
            </w:tcBorders>
            <w:shd w:val="clear" w:color="auto" w:fill="F2F2F2"/>
          </w:tcPr>
          <w:p w:rsidR="00AA2310" w:rsidRDefault="00AA2310" w:rsidP="00AA2310">
            <w:pPr>
              <w:pStyle w:val="BoxTitle"/>
            </w:pPr>
            <w:r>
              <w:rPr>
                <w:b w:val="0"/>
              </w:rPr>
              <w:t>Box 6</w:t>
            </w:r>
            <w:r>
              <w:tab/>
              <w:t>Labour productivity and capital deepening</w:t>
            </w:r>
          </w:p>
        </w:tc>
      </w:tr>
      <w:tr w:rsidR="00AA2310" w:rsidTr="008E2A3C">
        <w:trPr>
          <w:cantSplit/>
        </w:trPr>
        <w:tc>
          <w:tcPr>
            <w:tcW w:w="8771" w:type="dxa"/>
            <w:tcBorders>
              <w:top w:val="nil"/>
              <w:left w:val="nil"/>
              <w:bottom w:val="nil"/>
              <w:right w:val="nil"/>
            </w:tcBorders>
            <w:shd w:val="clear" w:color="auto" w:fill="F2F2F2"/>
          </w:tcPr>
          <w:p w:rsidR="00AA2310" w:rsidRDefault="00AA2310" w:rsidP="008E2A3C">
            <w:pPr>
              <w:pStyle w:val="Box"/>
            </w:pPr>
            <w:r>
              <w:t xml:space="preserve">LP growth is the result of growth in MFP and growth in capital relative to labour (capital deepening). Capital deepening increases output when it increases the productivity of labour — capital is complementary to labour. But the productive benefit of adding more capital diminishes as more capital is added to a fixed stock of labour (and vice versa). </w:t>
            </w:r>
          </w:p>
          <w:p w:rsidR="00AA2310" w:rsidRDefault="00AA2310" w:rsidP="008E2A3C">
            <w:pPr>
              <w:pStyle w:val="Box"/>
            </w:pPr>
            <w:r>
              <w:t xml:space="preserve">A classic example is the input of five men hired to use one shovel to produce the output of holes dug. Adding a second shovel will come close to doubling the number of holes dug, but as a third and fourth shovel are added the rate at which new holes are dug will decline as rest time between </w:t>
            </w:r>
            <w:proofErr w:type="gramStart"/>
            <w:r>
              <w:t>digging</w:t>
            </w:r>
            <w:proofErr w:type="gramEnd"/>
            <w:r>
              <w:t xml:space="preserve"> is still needed. The fifth shovel will add the least additional holes dug, and a sixth shovel is likely to only add to output through reducing </w:t>
            </w:r>
            <w:proofErr w:type="spellStart"/>
            <w:r>
              <w:t>downtime</w:t>
            </w:r>
            <w:proofErr w:type="spellEnd"/>
            <w:r>
              <w:t xml:space="preserve"> if one of the other shovels fails (that is, through the provision of optimal reserve plant margin). After the fifth shovel, capital deepening may not add materially to output because its impact on labour’s marginal product approaches zero.  </w:t>
            </w:r>
          </w:p>
          <w:p w:rsidR="00AA2310" w:rsidRDefault="00AA2310" w:rsidP="008E2A3C">
            <w:pPr>
              <w:pStyle w:val="Box"/>
            </w:pPr>
            <w:r>
              <w:t xml:space="preserve">Thus, changes in LP are partly driven by changes in MFP and partly by changes in the capital to labour ratio (capital deepening/shallowing). </w:t>
            </w:r>
          </w:p>
          <w:p w:rsidR="00AA2310" w:rsidRDefault="00AA2310" w:rsidP="008E2A3C">
            <w:pPr>
              <w:pStyle w:val="Box"/>
            </w:pPr>
            <w:r>
              <w:t xml:space="preserve">There is usually some ratio of capital to labour after which adding more capital (or more labour) is unlikely to deliver any increase in output. But capital deepening should stop well before the marginal gain is zero, as what matters for productivity is gain in output relative to the opportunity cost of adding more of one input. Labour productivity will only rise if the output forgone by investing in an additional unit of capital is smaller than the increase in output from the capital deepening arising from this investment. </w:t>
            </w:r>
          </w:p>
        </w:tc>
      </w:tr>
      <w:tr w:rsidR="00AA2310" w:rsidTr="008E2A3C">
        <w:trPr>
          <w:cantSplit/>
        </w:trPr>
        <w:tc>
          <w:tcPr>
            <w:tcW w:w="8771" w:type="dxa"/>
            <w:tcBorders>
              <w:top w:val="nil"/>
              <w:left w:val="nil"/>
              <w:bottom w:val="single" w:sz="6" w:space="0" w:color="78A22F"/>
              <w:right w:val="nil"/>
            </w:tcBorders>
            <w:shd w:val="clear" w:color="auto" w:fill="F2F2F2"/>
          </w:tcPr>
          <w:p w:rsidR="00AA2310" w:rsidRDefault="00AA2310">
            <w:pPr>
              <w:pStyle w:val="Box"/>
              <w:spacing w:before="0" w:line="120" w:lineRule="exact"/>
            </w:pPr>
          </w:p>
        </w:tc>
      </w:tr>
      <w:tr w:rsidR="00AA2310" w:rsidRPr="000863A5" w:rsidTr="008E2A3C">
        <w:tc>
          <w:tcPr>
            <w:tcW w:w="8771" w:type="dxa"/>
            <w:tcBorders>
              <w:top w:val="single" w:sz="6" w:space="0" w:color="78A22F"/>
              <w:left w:val="nil"/>
              <w:bottom w:val="nil"/>
              <w:right w:val="nil"/>
            </w:tcBorders>
          </w:tcPr>
          <w:p w:rsidR="00AA2310" w:rsidRPr="00626D32" w:rsidRDefault="00AA2310" w:rsidP="008E2A3C">
            <w:pPr>
              <w:pStyle w:val="BoxSpaceBelow"/>
            </w:pPr>
          </w:p>
        </w:tc>
      </w:tr>
    </w:tbl>
    <w:p w:rsidR="00AA2310" w:rsidRDefault="00AA2310" w:rsidP="00AA2310">
      <w:pPr>
        <w:pStyle w:val="BodyText"/>
      </w:pPr>
      <w:r>
        <w:t>MFP is a measure closer to the concept of productive efficiency than LP as it removes the contribution of capital deepening from the residual.</w:t>
      </w:r>
      <w:r>
        <w:rPr>
          <w:rStyle w:val="FootnoteReference"/>
        </w:rPr>
        <w:footnoteReference w:id="13"/>
      </w:r>
      <w:r>
        <w:t xml:space="preserve"> But MFP also captures changes in output that arise from other sources of productivity growth, including changes in the </w:t>
      </w:r>
      <w:r>
        <w:lastRenderedPageBreak/>
        <w:t xml:space="preserve">utilisation of </w:t>
      </w:r>
      <w:r w:rsidR="00691EE3">
        <w:t>capital</w:t>
      </w:r>
      <w:r>
        <w:t xml:space="preserve">. It is also affected by statistical errors in the measurement of inputs and outputs. </w:t>
      </w:r>
    </w:p>
    <w:p w:rsidR="00AD1CBD" w:rsidRDefault="00BE73B6" w:rsidP="001D7840">
      <w:pPr>
        <w:pStyle w:val="BodyText"/>
      </w:pPr>
      <w:r>
        <w:t>Two</w:t>
      </w:r>
      <w:r w:rsidR="004C1E37">
        <w:t xml:space="preserve"> </w:t>
      </w:r>
      <w:r w:rsidR="00F50535">
        <w:t xml:space="preserve">potential </w:t>
      </w:r>
      <w:r w:rsidR="004C1E37">
        <w:t xml:space="preserve">sources of </w:t>
      </w:r>
      <w:r w:rsidR="008A0E31">
        <w:t>change in measured productivity</w:t>
      </w:r>
      <w:r w:rsidR="004C1E37">
        <w:t xml:space="preserve"> warrant special attention: unmeasured real cost determ</w:t>
      </w:r>
      <w:r w:rsidR="004448E3">
        <w:t xml:space="preserve">inants and capacity utilisation. There are also a number of measurement </w:t>
      </w:r>
      <w:r w:rsidR="00556F47">
        <w:t xml:space="preserve">problems </w:t>
      </w:r>
      <w:r w:rsidR="004448E3">
        <w:t xml:space="preserve">associated with </w:t>
      </w:r>
      <w:r w:rsidR="00556F47">
        <w:t xml:space="preserve">estimating </w:t>
      </w:r>
      <w:r w:rsidR="006D6232">
        <w:t>output and input volumes</w:t>
      </w:r>
      <w:r w:rsidR="004448E3">
        <w:t>.</w:t>
      </w:r>
    </w:p>
    <w:p w:rsidR="00BD7DE8" w:rsidRDefault="00BD7DE8" w:rsidP="00BD7DE8">
      <w:pPr>
        <w:pStyle w:val="Heading3"/>
      </w:pPr>
      <w:r>
        <w:t xml:space="preserve">Unmeasured </w:t>
      </w:r>
      <w:r w:rsidR="00274964">
        <w:t>inputs</w:t>
      </w:r>
      <w:r w:rsidRPr="003D4A78">
        <w:t xml:space="preserve"> </w:t>
      </w:r>
      <w:r>
        <w:t xml:space="preserve">affect </w:t>
      </w:r>
      <w:r w:rsidR="00274964">
        <w:t>real</w:t>
      </w:r>
      <w:r>
        <w:t xml:space="preserve"> costs </w:t>
      </w:r>
    </w:p>
    <w:p w:rsidR="00BD7DE8" w:rsidRDefault="00BD7DE8" w:rsidP="00BD7DE8">
      <w:pPr>
        <w:pStyle w:val="BodyText"/>
      </w:pPr>
      <w:r>
        <w:t>In some industries, inputs other than capital and labour (and knowledge)</w:t>
      </w:r>
      <w:r w:rsidR="00D65377">
        <w:t xml:space="preserve"> can have a strong influence on output</w:t>
      </w:r>
      <w:r>
        <w:t>. Where these inputs are not purchased in the market, as i</w:t>
      </w:r>
      <w:r w:rsidR="00BE5FBB">
        <w:t>s</w:t>
      </w:r>
      <w:r>
        <w:t xml:space="preserve"> the case </w:t>
      </w:r>
      <w:r w:rsidR="00BE5FBB">
        <w:t xml:space="preserve">with </w:t>
      </w:r>
      <w:r>
        <w:t>some natural resource</w:t>
      </w:r>
      <w:r w:rsidR="00BE5FBB">
        <w:t xml:space="preserve"> inputs</w:t>
      </w:r>
      <w:r>
        <w:t xml:space="preserve"> </w:t>
      </w:r>
      <w:r w:rsidR="003E0C0A">
        <w:t xml:space="preserve">and volunteer </w:t>
      </w:r>
      <w:r w:rsidR="00556F47">
        <w:t>effort</w:t>
      </w:r>
      <w:r>
        <w:t xml:space="preserve">, they are not included in the measure of inputs. </w:t>
      </w:r>
      <w:r w:rsidR="003E0C0A">
        <w:t>If the</w:t>
      </w:r>
      <w:r w:rsidR="00BE5FBB">
        <w:t xml:space="preserve"> availability or </w:t>
      </w:r>
      <w:r w:rsidR="005C11E6">
        <w:t>quality of these inputs is</w:t>
      </w:r>
      <w:r>
        <w:t xml:space="preserve"> changing then productivity estimates, as the residual, will be affected. </w:t>
      </w:r>
      <w:r w:rsidR="00BE5FBB">
        <w:t>These</w:t>
      </w:r>
      <w:r w:rsidR="003357F1">
        <w:t xml:space="preserve"> changes in the real cost of production</w:t>
      </w:r>
      <w:r w:rsidR="00BE5FBB">
        <w:t>,</w:t>
      </w:r>
      <w:r w:rsidR="003357F1">
        <w:t xml:space="preserve"> </w:t>
      </w:r>
      <w:r w:rsidR="003E0C0A">
        <w:t>due to changes in the quality or quantity of these unmeasured inputs</w:t>
      </w:r>
      <w:r w:rsidR="00BE5FBB">
        <w:t>,</w:t>
      </w:r>
      <w:r w:rsidR="00C81A90">
        <w:t xml:space="preserve"> </w:t>
      </w:r>
      <w:r w:rsidR="003357F1">
        <w:t xml:space="preserve">are captured by the </w:t>
      </w:r>
      <w:r w:rsidR="00393029">
        <w:t xml:space="preserve">productivity </w:t>
      </w:r>
      <w:r w:rsidR="003357F1">
        <w:t>measure</w:t>
      </w:r>
      <w:r w:rsidR="00BE5FBB">
        <w:t xml:space="preserve"> and reflect real changes in what is produced that can be used for consumption or investment</w:t>
      </w:r>
      <w:r w:rsidR="003357F1">
        <w:t>.</w:t>
      </w:r>
      <w:r w:rsidR="003357F1" w:rsidRPr="003357F1">
        <w:t xml:space="preserve"> </w:t>
      </w:r>
    </w:p>
    <w:p w:rsidR="00BE5FBB" w:rsidRDefault="00BD7DE8" w:rsidP="00BD7DE8">
      <w:pPr>
        <w:pStyle w:val="BodyText"/>
      </w:pPr>
      <w:r>
        <w:t>The effect on measured productivity</w:t>
      </w:r>
      <w:r w:rsidR="00001687">
        <w:t xml:space="preserve"> depends on</w:t>
      </w:r>
      <w:r w:rsidR="00BE5FBB">
        <w:t>:</w:t>
      </w:r>
      <w:r w:rsidR="00001687">
        <w:t xml:space="preserve"> </w:t>
      </w:r>
    </w:p>
    <w:p w:rsidR="00BE5FBB" w:rsidRDefault="00BE5FBB" w:rsidP="005C11E6">
      <w:pPr>
        <w:pStyle w:val="ListBullet"/>
      </w:pPr>
      <w:r>
        <w:t>the size of the change in the</w:t>
      </w:r>
      <w:r w:rsidR="00001687">
        <w:t xml:space="preserve"> availability and/or quality of these inputs</w:t>
      </w:r>
      <w:r>
        <w:t>; and</w:t>
      </w:r>
      <w:r w:rsidR="00001687">
        <w:t xml:space="preserve"> </w:t>
      </w:r>
    </w:p>
    <w:p w:rsidR="00BE5FBB" w:rsidRDefault="00BD7DE8" w:rsidP="005C11E6">
      <w:pPr>
        <w:pStyle w:val="ListBullet"/>
      </w:pPr>
      <w:proofErr w:type="gramStart"/>
      <w:r>
        <w:t>the</w:t>
      </w:r>
      <w:proofErr w:type="gramEnd"/>
      <w:r>
        <w:t xml:space="preserve"> share of such unmeasured inputs in the production of the firm or industry. </w:t>
      </w:r>
    </w:p>
    <w:p w:rsidR="00BD7DE8" w:rsidRDefault="00BD7DE8">
      <w:pPr>
        <w:pStyle w:val="BodyText"/>
      </w:pPr>
      <w:proofErr w:type="gramStart"/>
      <w:r>
        <w:t>The greater the share of total inputs and the greater the change in the input, the bigger the effect on productivity growth (</w:t>
      </w:r>
      <w:proofErr w:type="spellStart"/>
      <w:r w:rsidR="005C11E6">
        <w:t>Shreyer</w:t>
      </w:r>
      <w:proofErr w:type="spellEnd"/>
      <w:r w:rsidR="005C11E6">
        <w:t> </w:t>
      </w:r>
      <w:r>
        <w:t>2012).</w:t>
      </w:r>
      <w:proofErr w:type="gramEnd"/>
    </w:p>
    <w:p w:rsidR="00BD7DE8" w:rsidRPr="00FF3448" w:rsidRDefault="00BD7DE8" w:rsidP="00BD7DE8">
      <w:pPr>
        <w:pStyle w:val="BodyText"/>
      </w:pPr>
      <w:r>
        <w:t xml:space="preserve">Commission research </w:t>
      </w:r>
      <w:r w:rsidR="00274964">
        <w:t xml:space="preserve">in recent years </w:t>
      </w:r>
      <w:r>
        <w:t xml:space="preserve">has identified Mining, Utilities, and Agriculture as industries where the MFP estimates </w:t>
      </w:r>
      <w:r w:rsidR="00556F47">
        <w:t xml:space="preserve">are affected by </w:t>
      </w:r>
      <w:r>
        <w:t>changes in unmeasured input</w:t>
      </w:r>
      <w:r w:rsidR="00BE5FBB">
        <w:t>s</w:t>
      </w:r>
      <w:r>
        <w:t xml:space="preserve"> (the findings are summarised in Topp and </w:t>
      </w:r>
      <w:r w:rsidR="005C11E6">
        <w:t>Kulys </w:t>
      </w:r>
      <w:r w:rsidR="00520062" w:rsidRPr="000A30B6">
        <w:t>2012</w:t>
      </w:r>
      <w:r>
        <w:t xml:space="preserve">). These industries are all dependent, to different degrees, on natural resource inputs. What is important to note is that deterioration in the quality of the natural resource input, or more stringent </w:t>
      </w:r>
      <w:r w:rsidR="00001687">
        <w:t xml:space="preserve">regulatory </w:t>
      </w:r>
      <w:r>
        <w:t xml:space="preserve">restrictions on the uses of such inputs, can reduce </w:t>
      </w:r>
      <w:r>
        <w:rPr>
          <w:i/>
        </w:rPr>
        <w:t xml:space="preserve">measured </w:t>
      </w:r>
      <w:r>
        <w:t>productivity despite the</w:t>
      </w:r>
      <w:r w:rsidRPr="00FF3448">
        <w:t xml:space="preserve"> </w:t>
      </w:r>
      <w:r>
        <w:t>productive efficiency</w:t>
      </w:r>
      <w:r w:rsidRPr="00FF3448">
        <w:t xml:space="preserve"> </w:t>
      </w:r>
      <w:r>
        <w:t xml:space="preserve">of the firms in </w:t>
      </w:r>
      <w:r w:rsidR="003E0C0A">
        <w:t>the</w:t>
      </w:r>
      <w:r>
        <w:t xml:space="preserve"> industry remaining unchanged</w:t>
      </w:r>
      <w:r w:rsidR="002225AE">
        <w:t xml:space="preserve"> or even </w:t>
      </w:r>
      <w:proofErr w:type="gramStart"/>
      <w:r w:rsidR="002225AE">
        <w:t>improving</w:t>
      </w:r>
      <w:r>
        <w:t>.</w:t>
      </w:r>
      <w:proofErr w:type="gramEnd"/>
      <w:r>
        <w:t xml:space="preserve"> </w:t>
      </w:r>
      <w:r w:rsidR="00001687">
        <w:t xml:space="preserve">Where this effect occurs </w:t>
      </w:r>
      <w:r w:rsidR="00556F47">
        <w:t xml:space="preserve">new </w:t>
      </w:r>
      <w:r w:rsidR="00001687">
        <w:t>measure</w:t>
      </w:r>
      <w:r w:rsidR="00556F47">
        <w:t>s can be introduced</w:t>
      </w:r>
      <w:r w:rsidR="00001687">
        <w:t xml:space="preserve"> to </w:t>
      </w:r>
      <w:r w:rsidR="00556F47">
        <w:t>indicate</w:t>
      </w:r>
      <w:r w:rsidR="00BE5FBB">
        <w:t xml:space="preserve"> </w:t>
      </w:r>
      <w:r w:rsidR="00001687">
        <w:t>changes in productive efficiency</w:t>
      </w:r>
      <w:r w:rsidR="00556F47">
        <w:t xml:space="preserve">. Such measures </w:t>
      </w:r>
      <w:r w:rsidR="00520062">
        <w:t xml:space="preserve">can </w:t>
      </w:r>
      <w:r w:rsidR="00556F47">
        <w:t xml:space="preserve">complement, but </w:t>
      </w:r>
      <w:r w:rsidR="00BE5FBB">
        <w:t xml:space="preserve">should </w:t>
      </w:r>
      <w:r w:rsidR="00556F47">
        <w:t>not replace, standard productivity measures</w:t>
      </w:r>
      <w:r w:rsidR="00520062">
        <w:t>,</w:t>
      </w:r>
      <w:r w:rsidR="00556F47">
        <w:t xml:space="preserve"> which focus on </w:t>
      </w:r>
      <w:r w:rsidR="00001687">
        <w:t>the capacity of the economy to produce output.</w:t>
      </w:r>
    </w:p>
    <w:p w:rsidR="00BD7DE8" w:rsidRPr="00FF3448" w:rsidRDefault="00274964" w:rsidP="00BD7DE8">
      <w:pPr>
        <w:pStyle w:val="BodyText"/>
      </w:pPr>
      <w:r>
        <w:t xml:space="preserve">The contribution of education and skills to labour inputs is another ‘unmeasured’ input. </w:t>
      </w:r>
      <w:r w:rsidR="00BD7DE8">
        <w:t xml:space="preserve">The use of hours worked as a measure of the volume of labour </w:t>
      </w:r>
      <w:r w:rsidR="003B4B07">
        <w:t xml:space="preserve">input </w:t>
      </w:r>
      <w:r w:rsidR="00BD7DE8">
        <w:t>means that</w:t>
      </w:r>
      <w:r>
        <w:t xml:space="preserve"> improvements in </w:t>
      </w:r>
      <w:r w:rsidR="00BD7DE8">
        <w:t>the quality of labour</w:t>
      </w:r>
      <w:r>
        <w:t xml:space="preserve"> are reflect</w:t>
      </w:r>
      <w:r w:rsidR="000B750D">
        <w:t>ed</w:t>
      </w:r>
      <w:r>
        <w:t xml:space="preserve"> in MFP (and</w:t>
      </w:r>
      <w:r w:rsidR="00BD7DE8">
        <w:t xml:space="preserve"> </w:t>
      </w:r>
      <w:r w:rsidR="00001687">
        <w:t>LP</w:t>
      </w:r>
      <w:r w:rsidR="00BD7DE8">
        <w:t xml:space="preserve">). </w:t>
      </w:r>
      <w:r>
        <w:t>In many cases</w:t>
      </w:r>
      <w:r w:rsidR="002225AE">
        <w:t>,</w:t>
      </w:r>
      <w:r>
        <w:t xml:space="preserve"> this </w:t>
      </w:r>
      <w:r w:rsidR="003B4B07">
        <w:t xml:space="preserve">is </w:t>
      </w:r>
      <w:r w:rsidR="005C11E6">
        <w:t xml:space="preserve">the </w:t>
      </w:r>
      <w:r w:rsidR="003B4B07">
        <w:t xml:space="preserve">effect of previous investments in </w:t>
      </w:r>
      <w:r w:rsidR="002225AE">
        <w:t>education</w:t>
      </w:r>
      <w:r>
        <w:t xml:space="preserve"> that </w:t>
      </w:r>
      <w:r w:rsidR="00001687">
        <w:t>are</w:t>
      </w:r>
      <w:r>
        <w:t xml:space="preserve"> reflected as expenditures at the time</w:t>
      </w:r>
      <w:r w:rsidR="00001687">
        <w:t xml:space="preserve"> and so</w:t>
      </w:r>
      <w:r>
        <w:t xml:space="preserve"> are not</w:t>
      </w:r>
      <w:r w:rsidR="00C82487">
        <w:t xml:space="preserve"> recorded</w:t>
      </w:r>
      <w:r w:rsidR="003B4B07">
        <w:t xml:space="preserve"> as</w:t>
      </w:r>
      <w:r>
        <w:t xml:space="preserve"> inputs. Similarly, n</w:t>
      </w:r>
      <w:r w:rsidR="00BD7DE8">
        <w:t xml:space="preserve">ot all measures of capital inputs are </w:t>
      </w:r>
      <w:r>
        <w:t>fully</w:t>
      </w:r>
      <w:r w:rsidR="00BD7DE8">
        <w:t xml:space="preserve"> adjusted for improvements in the quality of capital, so part of the effects of capital embodied technical change will be reflected in MFP, while part will be captured in the measure of capital input growth</w:t>
      </w:r>
      <w:r w:rsidR="00C82487">
        <w:t xml:space="preserve"> and capital deepening</w:t>
      </w:r>
      <w:r w:rsidR="00BD7DE8">
        <w:t xml:space="preserve">. </w:t>
      </w:r>
      <w:r>
        <w:t>To the extent th</w:t>
      </w:r>
      <w:r w:rsidR="007F5C6C">
        <w:t>at</w:t>
      </w:r>
      <w:r>
        <w:t xml:space="preserve"> capital is </w:t>
      </w:r>
      <w:r w:rsidR="000B750D">
        <w:t xml:space="preserve">fully </w:t>
      </w:r>
      <w:r>
        <w:lastRenderedPageBreak/>
        <w:t>adjusted for quality due to embedded technology</w:t>
      </w:r>
      <w:r w:rsidR="000B750D">
        <w:t>,</w:t>
      </w:r>
      <w:r w:rsidR="00BD7DE8">
        <w:t xml:space="preserve"> MFP will not reflect </w:t>
      </w:r>
      <w:r w:rsidR="000B750D">
        <w:t>capital embedded</w:t>
      </w:r>
      <w:r w:rsidR="00982F89">
        <w:t xml:space="preserve"> </w:t>
      </w:r>
      <w:r w:rsidR="00BD7DE8">
        <w:t>techn</w:t>
      </w:r>
      <w:r w:rsidR="000B750D">
        <w:t>ological</w:t>
      </w:r>
      <w:r w:rsidR="00BD7DE8">
        <w:t xml:space="preserve"> progress</w:t>
      </w:r>
      <w:r w:rsidR="00001687">
        <w:t xml:space="preserve"> (box</w:t>
      </w:r>
      <w:r w:rsidR="00C82487">
        <w:t> </w:t>
      </w:r>
      <w:r w:rsidR="00001687">
        <w:t>2)</w:t>
      </w:r>
      <w:r w:rsidR="00BD7DE8">
        <w:t xml:space="preserve">. </w:t>
      </w:r>
    </w:p>
    <w:p w:rsidR="00BD7DE8" w:rsidRPr="00FF3448" w:rsidRDefault="00BD7DE8" w:rsidP="00BD7DE8">
      <w:pPr>
        <w:pStyle w:val="BodyText"/>
      </w:pPr>
      <w:r>
        <w:t>Changes in measured productivity that are the result of changes in</w:t>
      </w:r>
      <w:r w:rsidRPr="00FF3448">
        <w:t xml:space="preserve"> </w:t>
      </w:r>
      <w:r>
        <w:t xml:space="preserve">unmeasured </w:t>
      </w:r>
      <w:r w:rsidRPr="00FF3448">
        <w:t xml:space="preserve">real cost determinants </w:t>
      </w:r>
      <w:r>
        <w:t>(such as natural resources</w:t>
      </w:r>
      <w:r w:rsidR="002225AE">
        <w:t xml:space="preserve"> and environmental factors</w:t>
      </w:r>
      <w:r>
        <w:t xml:space="preserve">, the quality of labour, and some aspects of the quality of capital) </w:t>
      </w:r>
      <w:r w:rsidRPr="00FF3448">
        <w:t>affect business costs</w:t>
      </w:r>
      <w:r>
        <w:t xml:space="preserve">. As </w:t>
      </w:r>
      <w:r w:rsidR="00001687">
        <w:t xml:space="preserve">these </w:t>
      </w:r>
      <w:r>
        <w:t xml:space="preserve">changes affect </w:t>
      </w:r>
      <w:r w:rsidR="002225AE">
        <w:t xml:space="preserve">real </w:t>
      </w:r>
      <w:r>
        <w:t>resource</w:t>
      </w:r>
      <w:r w:rsidR="00CA65E9">
        <w:t xml:space="preserve"> costs</w:t>
      </w:r>
      <w:r>
        <w:t xml:space="preserve"> </w:t>
      </w:r>
      <w:r w:rsidR="00CA65E9">
        <w:t xml:space="preserve">and measured </w:t>
      </w:r>
      <w:r w:rsidR="002225AE">
        <w:t>real national income</w:t>
      </w:r>
      <w:r>
        <w:t xml:space="preserve">, productivity measures that reflect changes in real costs </w:t>
      </w:r>
      <w:r w:rsidR="00CA65E9">
        <w:t xml:space="preserve">from all sources </w:t>
      </w:r>
      <w:r>
        <w:t xml:space="preserve">provide information that is useful to </w:t>
      </w:r>
      <w:r w:rsidR="00C82487">
        <w:t xml:space="preserve">analysts and </w:t>
      </w:r>
      <w:r>
        <w:t xml:space="preserve">policy makers. </w:t>
      </w:r>
    </w:p>
    <w:p w:rsidR="00FF3448" w:rsidRPr="00F269E6" w:rsidRDefault="00C637F1" w:rsidP="009E38EA">
      <w:pPr>
        <w:pStyle w:val="Heading3"/>
      </w:pPr>
      <w:r>
        <w:t>Capacity utilisation</w:t>
      </w:r>
      <w:r w:rsidR="00D331BB">
        <w:t xml:space="preserve"> </w:t>
      </w:r>
      <w:r w:rsidR="00467A99">
        <w:t>affect</w:t>
      </w:r>
      <w:r w:rsidR="00B94E50">
        <w:t>s</w:t>
      </w:r>
      <w:r w:rsidR="00467A99">
        <w:t xml:space="preserve"> </w:t>
      </w:r>
      <w:r w:rsidR="00BD7DE8">
        <w:t xml:space="preserve">annual </w:t>
      </w:r>
      <w:r w:rsidR="00D331BB">
        <w:t xml:space="preserve">productivity </w:t>
      </w:r>
      <w:r w:rsidR="00BD7DE8">
        <w:t xml:space="preserve">estimates </w:t>
      </w:r>
    </w:p>
    <w:p w:rsidR="004448E3" w:rsidRDefault="00FF3448" w:rsidP="002762E2">
      <w:pPr>
        <w:pStyle w:val="BodyText"/>
      </w:pPr>
      <w:r w:rsidRPr="002762E2">
        <w:t xml:space="preserve">Business output </w:t>
      </w:r>
      <w:r w:rsidR="00F06853">
        <w:t xml:space="preserve">responds to </w:t>
      </w:r>
      <w:r w:rsidRPr="002762E2">
        <w:t>market demand</w:t>
      </w:r>
      <w:r w:rsidR="00DE517E">
        <w:t xml:space="preserve">. </w:t>
      </w:r>
      <w:r w:rsidR="00CA65E9">
        <w:t>As</w:t>
      </w:r>
      <w:r w:rsidR="00DE517E">
        <w:t xml:space="preserve"> demand </w:t>
      </w:r>
      <w:r w:rsidR="00CA65E9">
        <w:t xml:space="preserve">rises or falls over time </w:t>
      </w:r>
      <w:r w:rsidR="00B94E50">
        <w:t>with the business cycle or other influences</w:t>
      </w:r>
      <w:r w:rsidR="00CA65E9">
        <w:t>,</w:t>
      </w:r>
      <w:r w:rsidR="00DE517E">
        <w:t xml:space="preserve"> </w:t>
      </w:r>
      <w:r w:rsidR="00001687">
        <w:t xml:space="preserve">firms </w:t>
      </w:r>
      <w:r w:rsidR="00DE517E">
        <w:t>a</w:t>
      </w:r>
      <w:r w:rsidR="00136F8C">
        <w:t>djust the output they produce</w:t>
      </w:r>
      <w:r w:rsidR="00B94E50">
        <w:t>. Although firms also</w:t>
      </w:r>
      <w:r w:rsidR="00136F8C">
        <w:t xml:space="preserve"> </w:t>
      </w:r>
      <w:r w:rsidR="00DE517E">
        <w:t>accumulat</w:t>
      </w:r>
      <w:r w:rsidR="00B94E50">
        <w:t>e</w:t>
      </w:r>
      <w:r w:rsidR="003B4B07">
        <w:t>,</w:t>
      </w:r>
      <w:r w:rsidR="00DE517E">
        <w:t xml:space="preserve"> hold</w:t>
      </w:r>
      <w:r w:rsidR="00B94E50">
        <w:t>, and run down</w:t>
      </w:r>
      <w:r w:rsidR="00DE517E">
        <w:t xml:space="preserve"> </w:t>
      </w:r>
      <w:r w:rsidR="003A5706">
        <w:t xml:space="preserve">inventories </w:t>
      </w:r>
      <w:r w:rsidR="00DE517E">
        <w:t>to smooth out production cost</w:t>
      </w:r>
      <w:r w:rsidR="00CA65E9">
        <w:t>s</w:t>
      </w:r>
      <w:r w:rsidR="007F5C6C">
        <w:t>,</w:t>
      </w:r>
      <w:r w:rsidR="00B94E50">
        <w:t xml:space="preserve"> there are costs to holding inventories that limit how much </w:t>
      </w:r>
      <w:r w:rsidR="003B4B07">
        <w:t xml:space="preserve">a firm </w:t>
      </w:r>
      <w:r w:rsidR="00B94E50">
        <w:t>can smooth production</w:t>
      </w:r>
      <w:r w:rsidR="00DE517E">
        <w:t xml:space="preserve">. </w:t>
      </w:r>
      <w:r w:rsidR="00CA65E9">
        <w:t xml:space="preserve">In the case of cyclical </w:t>
      </w:r>
      <w:r w:rsidR="003B4B07">
        <w:t>downturn</w:t>
      </w:r>
      <w:r w:rsidR="00CA65E9">
        <w:t xml:space="preserve">, many </w:t>
      </w:r>
      <w:r w:rsidR="00DE517E">
        <w:t xml:space="preserve">firms </w:t>
      </w:r>
      <w:r w:rsidR="003B4B07">
        <w:t xml:space="preserve">will reduce output volumes, but </w:t>
      </w:r>
      <w:r w:rsidR="00DE517E">
        <w:t xml:space="preserve">cannot easily reduce their capital and labour inputs </w:t>
      </w:r>
      <w:r w:rsidR="003B4B07">
        <w:t xml:space="preserve">as </w:t>
      </w:r>
      <w:r w:rsidR="00DE517E">
        <w:t xml:space="preserve">they need </w:t>
      </w:r>
      <w:r w:rsidR="00CF0498">
        <w:t>these</w:t>
      </w:r>
      <w:r w:rsidR="00DE517E">
        <w:t xml:space="preserve"> inputs ready for when </w:t>
      </w:r>
      <w:r w:rsidR="00DC6295">
        <w:t>demand recovers</w:t>
      </w:r>
      <w:r w:rsidR="003B4B07">
        <w:t>.</w:t>
      </w:r>
      <w:r w:rsidR="00C82487">
        <w:t xml:space="preserve"> </w:t>
      </w:r>
      <w:r w:rsidR="00001687">
        <w:t xml:space="preserve">As a result, </w:t>
      </w:r>
      <w:r w:rsidR="00DE517E">
        <w:t xml:space="preserve">firms </w:t>
      </w:r>
      <w:r w:rsidR="00CA65E9">
        <w:t>are likely to ‘</w:t>
      </w:r>
      <w:r w:rsidR="00DE517E">
        <w:t>underutilise</w:t>
      </w:r>
      <w:r w:rsidR="00CA65E9">
        <w:t>’</w:t>
      </w:r>
      <w:r w:rsidR="00DE517E">
        <w:t xml:space="preserve"> their capital and labour inputs</w:t>
      </w:r>
      <w:r w:rsidR="00001687">
        <w:t xml:space="preserve"> in a downturn</w:t>
      </w:r>
      <w:r w:rsidR="003B4B07">
        <w:t xml:space="preserve"> and productivity will be lower</w:t>
      </w:r>
      <w:r w:rsidR="00DE517E">
        <w:t>. When business is booming</w:t>
      </w:r>
      <w:r w:rsidR="00CA65E9">
        <w:t>,</w:t>
      </w:r>
      <w:r w:rsidR="00DE517E">
        <w:t xml:space="preserve"> </w:t>
      </w:r>
      <w:r w:rsidR="00B94E50">
        <w:t>firms</w:t>
      </w:r>
      <w:r w:rsidR="00DE517E">
        <w:t xml:space="preserve"> will </w:t>
      </w:r>
      <w:r w:rsidR="00D331BB">
        <w:t xml:space="preserve">fully utilise their capital and labour. Some firms may </w:t>
      </w:r>
      <w:r w:rsidR="003A5706">
        <w:t>‘</w:t>
      </w:r>
      <w:r w:rsidR="00425EDE" w:rsidRPr="002762E2">
        <w:t>over</w:t>
      </w:r>
      <w:r w:rsidRPr="002762E2">
        <w:t>use</w:t>
      </w:r>
      <w:r w:rsidR="003A5706">
        <w:t>’</w:t>
      </w:r>
      <w:r w:rsidRPr="002762E2">
        <w:t xml:space="preserve"> capital (for example, running machines </w:t>
      </w:r>
      <w:r w:rsidR="00425EDE" w:rsidRPr="002762E2">
        <w:t>beyond their</w:t>
      </w:r>
      <w:r w:rsidRPr="002762E2">
        <w:t xml:space="preserve"> </w:t>
      </w:r>
      <w:r w:rsidR="00963B88">
        <w:t>designed</w:t>
      </w:r>
      <w:r w:rsidR="00963B88" w:rsidRPr="002762E2">
        <w:t xml:space="preserve"> </w:t>
      </w:r>
      <w:r w:rsidRPr="002762E2">
        <w:t xml:space="preserve">capacity </w:t>
      </w:r>
      <w:r w:rsidR="00C82487">
        <w:t>or</w:t>
      </w:r>
      <w:r w:rsidR="00C82487" w:rsidRPr="002762E2">
        <w:t xml:space="preserve"> </w:t>
      </w:r>
      <w:r w:rsidRPr="002762E2">
        <w:t>for longer hours</w:t>
      </w:r>
      <w:r w:rsidR="00C82487">
        <w:t xml:space="preserve"> than normal</w:t>
      </w:r>
      <w:r w:rsidRPr="002762E2">
        <w:t>)</w:t>
      </w:r>
      <w:r w:rsidR="00D331BB">
        <w:t xml:space="preserve"> imposing additional costs </w:t>
      </w:r>
      <w:r w:rsidR="0061716F">
        <w:t xml:space="preserve">(such as shorter life of machines) </w:t>
      </w:r>
      <w:r w:rsidR="00D331BB">
        <w:t>in the future</w:t>
      </w:r>
      <w:r w:rsidR="00CF0498">
        <w:t xml:space="preserve">, which </w:t>
      </w:r>
      <w:r w:rsidR="00D331BB">
        <w:t>are not</w:t>
      </w:r>
      <w:r w:rsidR="004448E3">
        <w:t xml:space="preserve"> taken into account in measures of</w:t>
      </w:r>
      <w:r w:rsidR="00D331BB">
        <w:t xml:space="preserve"> productivity at that point in time</w:t>
      </w:r>
      <w:r w:rsidR="00DC6295">
        <w:t>. Hence</w:t>
      </w:r>
      <w:r w:rsidR="00CA65E9">
        <w:t>,</w:t>
      </w:r>
      <w:r w:rsidR="00DC6295">
        <w:t xml:space="preserve"> measured productivity tends to be pro-cyclical as utilisation rates of inputs rise in upswing</w:t>
      </w:r>
      <w:r w:rsidR="003A5706">
        <w:t>s</w:t>
      </w:r>
      <w:r w:rsidR="00DC6295">
        <w:t xml:space="preserve"> and fall in downswing</w:t>
      </w:r>
      <w:r w:rsidR="0030401F">
        <w:t>s</w:t>
      </w:r>
      <w:r w:rsidR="00DC6295">
        <w:t xml:space="preserve">, </w:t>
      </w:r>
      <w:r w:rsidR="00D331BB">
        <w:t xml:space="preserve">and overuse costs are </w:t>
      </w:r>
      <w:r w:rsidR="00CA65E9">
        <w:t xml:space="preserve">possibly </w:t>
      </w:r>
      <w:r w:rsidR="00D331BB">
        <w:t>deferred to the future</w:t>
      </w:r>
      <w:r w:rsidR="00DC6295">
        <w:t>.</w:t>
      </w:r>
      <w:r w:rsidRPr="006D0534">
        <w:rPr>
          <w:vertAlign w:val="superscript"/>
        </w:rPr>
        <w:footnoteReference w:id="14"/>
      </w:r>
      <w:r w:rsidRPr="00FF3448">
        <w:t xml:space="preserve"> </w:t>
      </w:r>
    </w:p>
    <w:p w:rsidR="00FF3448" w:rsidRPr="002762E2" w:rsidRDefault="0030401F" w:rsidP="002762E2">
      <w:pPr>
        <w:pStyle w:val="BodyText"/>
      </w:pPr>
      <w:r>
        <w:t>Many industries experience cycles in demand that affect capacity utilisation. However,</w:t>
      </w:r>
      <w:r w:rsidR="00DC6295">
        <w:t xml:space="preserve"> industries with high levels of fixed capital</w:t>
      </w:r>
      <w:r>
        <w:t>, such as manufacturing</w:t>
      </w:r>
      <w:r w:rsidR="00001687">
        <w:t>,</w:t>
      </w:r>
      <w:r>
        <w:t xml:space="preserve"> tend to be</w:t>
      </w:r>
      <w:r w:rsidR="00DC6295">
        <w:t xml:space="preserve"> more exposed to the business cycle.</w:t>
      </w:r>
      <w:r w:rsidR="000A30B6" w:rsidRPr="000A30B6">
        <w:rPr>
          <w:vertAlign w:val="superscript"/>
        </w:rPr>
        <w:t xml:space="preserve"> </w:t>
      </w:r>
      <w:r w:rsidR="000A30B6" w:rsidRPr="00B417E9">
        <w:rPr>
          <w:vertAlign w:val="superscript"/>
        </w:rPr>
        <w:footnoteReference w:id="15"/>
      </w:r>
      <w:r w:rsidR="00DC6295">
        <w:t xml:space="preserve"> </w:t>
      </w:r>
      <w:r>
        <w:t xml:space="preserve">This means that annual productivity estimates are likely to under or overstate the underlying </w:t>
      </w:r>
      <w:r w:rsidR="00824045">
        <w:t xml:space="preserve">trend level of </w:t>
      </w:r>
      <w:r>
        <w:t>productivity depending on where the industry is in the business cycle</w:t>
      </w:r>
      <w:r w:rsidR="00BD7DE8" w:rsidRPr="00BD7DE8">
        <w:t xml:space="preserve"> </w:t>
      </w:r>
      <w:r w:rsidR="00BD7DE8">
        <w:t>(Barnes 2011).</w:t>
      </w:r>
    </w:p>
    <w:p w:rsidR="00DC46DB" w:rsidRDefault="00DC46DB" w:rsidP="002762E2">
      <w:pPr>
        <w:pStyle w:val="BodyText"/>
      </w:pPr>
      <w:r w:rsidRPr="002762E2">
        <w:t xml:space="preserve">To assist users to interpret measured productivity, </w:t>
      </w:r>
      <w:r w:rsidR="00501AE0" w:rsidRPr="002762E2">
        <w:t xml:space="preserve">the </w:t>
      </w:r>
      <w:r w:rsidRPr="002762E2">
        <w:t>ABS divide</w:t>
      </w:r>
      <w:r w:rsidR="00501AE0" w:rsidRPr="002762E2">
        <w:t>s</w:t>
      </w:r>
      <w:r w:rsidRPr="002762E2">
        <w:t xml:space="preserve"> time series MFP in</w:t>
      </w:r>
      <w:r w:rsidR="002762E2">
        <w:t>to</w:t>
      </w:r>
      <w:r w:rsidR="00C82487">
        <w:t xml:space="preserve"> </w:t>
      </w:r>
      <w:r w:rsidR="00102342" w:rsidRPr="002400E6">
        <w:t>productivi</w:t>
      </w:r>
      <w:r w:rsidR="002762E2" w:rsidRPr="002400E6">
        <w:t>ty cycles</w:t>
      </w:r>
      <w:r w:rsidR="00691EE3">
        <w:t xml:space="preserve"> for the market sector</w:t>
      </w:r>
      <w:r w:rsidRPr="002762E2">
        <w:t xml:space="preserve">. The start and end </w:t>
      </w:r>
      <w:r w:rsidR="007E768E" w:rsidRPr="002762E2">
        <w:t>points of the cycles correspond</w:t>
      </w:r>
      <w:r w:rsidRPr="002762E2">
        <w:t xml:space="preserve"> to points where the levels of capacity utilisation are likely to be comparable. </w:t>
      </w:r>
      <w:r w:rsidR="00045540">
        <w:t>A</w:t>
      </w:r>
      <w:r w:rsidRPr="002762E2">
        <w:t xml:space="preserve">verage productivity growth </w:t>
      </w:r>
      <w:r w:rsidR="0061716F">
        <w:t xml:space="preserve">between </w:t>
      </w:r>
      <w:r w:rsidR="00963B88">
        <w:t xml:space="preserve">these points </w:t>
      </w:r>
      <w:r w:rsidR="005562C3">
        <w:t>is a</w:t>
      </w:r>
      <w:r w:rsidR="005562C3" w:rsidRPr="002762E2">
        <w:t xml:space="preserve"> </w:t>
      </w:r>
      <w:r w:rsidRPr="002762E2">
        <w:t xml:space="preserve">more reliable </w:t>
      </w:r>
      <w:r w:rsidR="00136F8C">
        <w:t>measure</w:t>
      </w:r>
      <w:r w:rsidR="00963B88">
        <w:t xml:space="preserve"> of productivity growth </w:t>
      </w:r>
      <w:r w:rsidR="00963B88">
        <w:lastRenderedPageBreak/>
        <w:t>over a given period</w:t>
      </w:r>
      <w:r w:rsidR="00136F8C">
        <w:t xml:space="preserve"> </w:t>
      </w:r>
      <w:r w:rsidR="00CF0498">
        <w:t>than</w:t>
      </w:r>
      <w:r w:rsidR="00CF0498" w:rsidRPr="002762E2">
        <w:t xml:space="preserve"> </w:t>
      </w:r>
      <w:r w:rsidR="00D331BB">
        <w:t xml:space="preserve">those </w:t>
      </w:r>
      <w:r w:rsidRPr="002762E2">
        <w:t xml:space="preserve">based on </w:t>
      </w:r>
      <w:r w:rsidR="00D331BB">
        <w:t xml:space="preserve">different </w:t>
      </w:r>
      <w:r w:rsidR="00824045">
        <w:t xml:space="preserve">years </w:t>
      </w:r>
      <w:r w:rsidR="00D331BB">
        <w:t>in the cycle</w:t>
      </w:r>
      <w:r>
        <w:t>.</w:t>
      </w:r>
      <w:r w:rsidR="00BC2A23">
        <w:rPr>
          <w:rStyle w:val="FootnoteReference"/>
        </w:rPr>
        <w:footnoteReference w:id="16"/>
      </w:r>
      <w:r w:rsidR="00CC6F1F">
        <w:t xml:space="preserve"> </w:t>
      </w:r>
      <w:r w:rsidR="00824045">
        <w:t>Box </w:t>
      </w:r>
      <w:r w:rsidR="00E23FFF">
        <w:t>7</w:t>
      </w:r>
      <w:r w:rsidR="00982F89">
        <w:t xml:space="preserve"> </w:t>
      </w:r>
      <w:r w:rsidR="00CC6F1F">
        <w:t>provides more details about</w:t>
      </w:r>
      <w:r w:rsidR="00C82487">
        <w:t xml:space="preserve"> </w:t>
      </w:r>
      <w:r w:rsidR="00691EE3">
        <w:t xml:space="preserve">the </w:t>
      </w:r>
      <w:r w:rsidR="00CC6F1F">
        <w:t>productivity cycles.</w:t>
      </w:r>
      <w:r w:rsidR="00C82487">
        <w:t xml:space="preserve"> </w:t>
      </w:r>
    </w:p>
    <w:p w:rsidR="00AA2310" w:rsidRDefault="00AA2310">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AA2310" w:rsidTr="0071597B">
        <w:trPr>
          <w:tblHeader/>
        </w:trPr>
        <w:tc>
          <w:tcPr>
            <w:tcW w:w="8771" w:type="dxa"/>
            <w:tcBorders>
              <w:top w:val="single" w:sz="6" w:space="0" w:color="78A22F"/>
              <w:left w:val="nil"/>
              <w:bottom w:val="nil"/>
              <w:right w:val="nil"/>
            </w:tcBorders>
            <w:shd w:val="clear" w:color="auto" w:fill="F2F2F2"/>
          </w:tcPr>
          <w:p w:rsidR="00AA2310" w:rsidRDefault="00AA2310" w:rsidP="00AA2310">
            <w:pPr>
              <w:pStyle w:val="BoxTitle"/>
            </w:pPr>
            <w:r>
              <w:rPr>
                <w:b w:val="0"/>
              </w:rPr>
              <w:t>Box 7</w:t>
            </w:r>
            <w:r>
              <w:tab/>
              <w:t>Productivity cycles</w:t>
            </w:r>
          </w:p>
        </w:tc>
      </w:tr>
      <w:tr w:rsidR="00AA2310" w:rsidTr="00361E0C">
        <w:tblPrEx>
          <w:tblCellMar>
            <w:left w:w="108" w:type="dxa"/>
            <w:right w:w="108" w:type="dxa"/>
          </w:tblCellMar>
        </w:tblPrEx>
        <w:trPr>
          <w:cantSplit/>
        </w:trPr>
        <w:tc>
          <w:tcPr>
            <w:tcW w:w="8771" w:type="dxa"/>
            <w:tcBorders>
              <w:top w:val="nil"/>
              <w:left w:val="nil"/>
              <w:bottom w:val="nil"/>
              <w:right w:val="nil"/>
            </w:tcBorders>
            <w:shd w:val="clear" w:color="auto" w:fill="F2F2F2"/>
          </w:tcPr>
          <w:p w:rsidR="00AA2310" w:rsidRDefault="00AA2310" w:rsidP="008E2A3C">
            <w:pPr>
              <w:pStyle w:val="Box"/>
            </w:pPr>
            <w:r>
              <w:t>The aim of the ABS in identifying what it calls MFP growth cycles, or peak-to-peak periods, is to provide a more accurate measure of the trend in measured MFP for the market sector. The change in measured MFP from peak to peak is more likely to reflect technological or organisational change than changes in utilisation due to short-run changes in activity levels. The ABS approach to determining MFP growth cycles for the market sector has two stages:</w:t>
            </w:r>
          </w:p>
          <w:p w:rsidR="00AA2310" w:rsidRDefault="00AA2310" w:rsidP="008E2A3C">
            <w:pPr>
              <w:pStyle w:val="BoxListNumber"/>
            </w:pPr>
            <w:r>
              <w:t>the identification of years in which measured MFP peaks in its deviation above the estimated long-term trend; and</w:t>
            </w:r>
          </w:p>
          <w:p w:rsidR="00AA2310" w:rsidRDefault="00AA2310" w:rsidP="008E2A3C">
            <w:pPr>
              <w:pStyle w:val="BoxListNumber"/>
            </w:pPr>
            <w:proofErr w:type="gramStart"/>
            <w:r>
              <w:t>an</w:t>
            </w:r>
            <w:proofErr w:type="gramEnd"/>
            <w:r>
              <w:t xml:space="preserve"> assessment of the suitability of the peaks identified in stage 1 for use in growth cycle analysis, by reference to general economic conditions at the time.</w:t>
            </w:r>
          </w:p>
          <w:p w:rsidR="00AA2310" w:rsidRDefault="00AA2310" w:rsidP="008E2A3C">
            <w:pPr>
              <w:pStyle w:val="Box"/>
            </w:pPr>
            <w:r>
              <w:t>The resulting cycles are shown in the following graph for the 12</w:t>
            </w:r>
            <w:r>
              <w:noBreakHyphen/>
              <w:t>industry market sector MFP index for the period from 1973-74 to 2013-14.</w:t>
            </w:r>
          </w:p>
          <w:p w:rsidR="00AA2310" w:rsidRDefault="00AA2310" w:rsidP="008E2A3C">
            <w:pPr>
              <w:pStyle w:val="Box"/>
            </w:pPr>
            <w:r>
              <w:t>Over this period, the MFP index can be divided into 7 complete cycles. The current cycle, starting from 2007-08, is not yet complete.</w:t>
            </w:r>
          </w:p>
          <w:p w:rsidR="00361E0C" w:rsidRDefault="00AA2310" w:rsidP="008E2A3C">
            <w:pPr>
              <w:pStyle w:val="BoxHeading1"/>
              <w:rPr>
                <w:noProof/>
              </w:rPr>
            </w:pPr>
            <w:r w:rsidRPr="0007178D">
              <w:rPr>
                <w:sz w:val="20"/>
              </w:rPr>
              <w:t>Market sector (12) MFP, 197</w:t>
            </w:r>
            <w:r>
              <w:rPr>
                <w:sz w:val="20"/>
              </w:rPr>
              <w:t>3</w:t>
            </w:r>
            <w:r w:rsidRPr="0007178D">
              <w:rPr>
                <w:sz w:val="20"/>
              </w:rPr>
              <w:t>-7</w:t>
            </w:r>
            <w:r>
              <w:rPr>
                <w:sz w:val="20"/>
              </w:rPr>
              <w:t>4</w:t>
            </w:r>
            <w:r w:rsidRPr="0007178D">
              <w:rPr>
                <w:sz w:val="20"/>
              </w:rPr>
              <w:t xml:space="preserve"> to 201</w:t>
            </w:r>
            <w:r>
              <w:rPr>
                <w:sz w:val="20"/>
              </w:rPr>
              <w:t>3</w:t>
            </w:r>
            <w:r w:rsidRPr="0007178D">
              <w:rPr>
                <w:sz w:val="20"/>
              </w:rPr>
              <w:t>-1</w:t>
            </w:r>
            <w:r>
              <w:rPr>
                <w:sz w:val="20"/>
              </w:rPr>
              <w:t>4</w:t>
            </w:r>
            <w:r w:rsidRPr="0007178D">
              <w:rPr>
                <w:sz w:val="20"/>
              </w:rPr>
              <w:t>, ABS productivity growth cycles</w:t>
            </w:r>
            <w:r>
              <w:rPr>
                <w:sz w:val="20"/>
              </w:rPr>
              <w:t xml:space="preserve"> (update)</w:t>
            </w:r>
          </w:p>
          <w:p w:rsidR="00AA2310" w:rsidRPr="00361E0C" w:rsidRDefault="00361E0C" w:rsidP="00361E0C">
            <w:pPr>
              <w:pStyle w:val="BoxHeading1"/>
              <w:rPr>
                <w:sz w:val="20"/>
              </w:rPr>
            </w:pPr>
            <w:r>
              <w:rPr>
                <w:noProof/>
                <w:sz w:val="20"/>
              </w:rPr>
              <w:drawing>
                <wp:inline distT="0" distB="0" distL="0" distR="0" wp14:anchorId="680FBFD8" wp14:editId="3F3F9EAE">
                  <wp:extent cx="5401310" cy="2883535"/>
                  <wp:effectExtent l="0" t="0" r="0" b="0"/>
                  <wp:docPr id="3" name="Picture 3" descr="Market sector (12) MFP, 1973-74 to 2013-14, ABS productivity growth cycles (upd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01310" cy="2883535"/>
                          </a:xfrm>
                          <a:prstGeom prst="rect">
                            <a:avLst/>
                          </a:prstGeom>
                          <a:noFill/>
                        </pic:spPr>
                      </pic:pic>
                    </a:graphicData>
                  </a:graphic>
                </wp:inline>
              </w:drawing>
            </w:r>
          </w:p>
        </w:tc>
      </w:tr>
      <w:tr w:rsidR="00AA2310" w:rsidTr="008E2A3C">
        <w:trPr>
          <w:cantSplit/>
        </w:trPr>
        <w:tc>
          <w:tcPr>
            <w:tcW w:w="8771" w:type="dxa"/>
            <w:tcBorders>
              <w:top w:val="nil"/>
              <w:left w:val="nil"/>
              <w:bottom w:val="nil"/>
              <w:right w:val="nil"/>
            </w:tcBorders>
            <w:shd w:val="clear" w:color="auto" w:fill="F2F2F2"/>
          </w:tcPr>
          <w:p w:rsidR="00AA2310" w:rsidRDefault="00AA2310" w:rsidP="008E2A3C">
            <w:pPr>
              <w:pStyle w:val="BoxSource"/>
            </w:pPr>
            <w:r w:rsidRPr="00361E0C">
              <w:rPr>
                <w:i/>
              </w:rPr>
              <w:t>Source</w:t>
            </w:r>
            <w:r w:rsidRPr="00361E0C">
              <w:t>: Barnes (2011)</w:t>
            </w:r>
            <w:r>
              <w:t xml:space="preserve"> Series extended to include 2013-14.</w:t>
            </w:r>
          </w:p>
        </w:tc>
      </w:tr>
      <w:tr w:rsidR="00AA2310" w:rsidTr="008E2A3C">
        <w:trPr>
          <w:cantSplit/>
        </w:trPr>
        <w:tc>
          <w:tcPr>
            <w:tcW w:w="8771" w:type="dxa"/>
            <w:tcBorders>
              <w:top w:val="nil"/>
              <w:left w:val="nil"/>
              <w:bottom w:val="single" w:sz="6" w:space="0" w:color="78A22F"/>
              <w:right w:val="nil"/>
            </w:tcBorders>
            <w:shd w:val="clear" w:color="auto" w:fill="F2F2F2"/>
          </w:tcPr>
          <w:p w:rsidR="00AA2310" w:rsidRDefault="00AA2310">
            <w:pPr>
              <w:pStyle w:val="Box"/>
              <w:spacing w:before="0" w:line="120" w:lineRule="exact"/>
            </w:pPr>
          </w:p>
        </w:tc>
      </w:tr>
      <w:tr w:rsidR="00AA2310" w:rsidRPr="000863A5" w:rsidTr="008E2A3C">
        <w:tc>
          <w:tcPr>
            <w:tcW w:w="8771" w:type="dxa"/>
            <w:tcBorders>
              <w:top w:val="single" w:sz="6" w:space="0" w:color="78A22F"/>
              <w:left w:val="nil"/>
              <w:bottom w:val="nil"/>
              <w:right w:val="nil"/>
            </w:tcBorders>
          </w:tcPr>
          <w:p w:rsidR="00AA2310" w:rsidRPr="00626D32" w:rsidRDefault="00AA2310" w:rsidP="008E2A3C">
            <w:pPr>
              <w:pStyle w:val="BoxSpaceBelow"/>
            </w:pPr>
          </w:p>
        </w:tc>
      </w:tr>
    </w:tbl>
    <w:p w:rsidR="007B1410" w:rsidRDefault="008465B2" w:rsidP="009E38EA">
      <w:pPr>
        <w:pStyle w:val="Heading3"/>
      </w:pPr>
      <w:r>
        <w:lastRenderedPageBreak/>
        <w:t>Some m</w:t>
      </w:r>
      <w:r w:rsidR="007B1410">
        <w:t xml:space="preserve">easurement </w:t>
      </w:r>
      <w:r w:rsidR="00467A99">
        <w:t>difficulties</w:t>
      </w:r>
      <w:r w:rsidR="00C365F8">
        <w:t xml:space="preserve"> </w:t>
      </w:r>
    </w:p>
    <w:p w:rsidR="00F06098" w:rsidRDefault="00F06098" w:rsidP="00F06098">
      <w:pPr>
        <w:pStyle w:val="BodyText"/>
      </w:pPr>
      <w:r>
        <w:t xml:space="preserve">Problems in both the accuracy of the raw data and in the methodologies applied generate measurement errors. Improvements in data quality and methodology are a part of </w:t>
      </w:r>
      <w:r w:rsidR="008465B2">
        <w:t xml:space="preserve">the </w:t>
      </w:r>
      <w:r>
        <w:t xml:space="preserve">ongoing </w:t>
      </w:r>
      <w:r w:rsidR="008465B2">
        <w:t>function of</w:t>
      </w:r>
      <w:r>
        <w:t xml:space="preserve"> the ABS, resulting in </w:t>
      </w:r>
      <w:r w:rsidR="005A15A8">
        <w:t xml:space="preserve">periodic revisions of </w:t>
      </w:r>
      <w:r>
        <w:t>the estimates of MFP (see, for example, ABS 2011 and ABS 2012</w:t>
      </w:r>
      <w:r w:rsidR="000B3F6D">
        <w:t>b</w:t>
      </w:r>
      <w:r>
        <w:t xml:space="preserve">). Recent changes to the system of national accounts, and the industry classification scheme, have shortened the time period for which </w:t>
      </w:r>
      <w:r w:rsidR="008465B2">
        <w:t xml:space="preserve">official </w:t>
      </w:r>
      <w:r>
        <w:t>industry-level MFP estimates are available (currently 1989-90 to 2011-12).</w:t>
      </w:r>
      <w:r w:rsidR="008465B2">
        <w:rPr>
          <w:rStyle w:val="FootnoteReference"/>
        </w:rPr>
        <w:footnoteReference w:id="17"/>
      </w:r>
      <w:r>
        <w:t xml:space="preserve"> Given that the ABS continues to refine and develop the MFP estimates, future revisions, including to the existing time-series, </w:t>
      </w:r>
      <w:r w:rsidR="00824045">
        <w:t>will occur</w:t>
      </w:r>
      <w:r>
        <w:t>.</w:t>
      </w:r>
    </w:p>
    <w:p w:rsidR="00F06098" w:rsidRDefault="00F06098" w:rsidP="00F06098">
      <w:pPr>
        <w:pStyle w:val="BodyText"/>
      </w:pPr>
      <w:r>
        <w:t xml:space="preserve">Two </w:t>
      </w:r>
      <w:r w:rsidR="00474EBF">
        <w:t>problems</w:t>
      </w:r>
      <w:r w:rsidR="008465B2">
        <w:t xml:space="preserve"> in </w:t>
      </w:r>
      <w:r>
        <w:t xml:space="preserve">measuring inputs </w:t>
      </w:r>
      <w:r w:rsidR="00FC0EB9">
        <w:t>that</w:t>
      </w:r>
      <w:r>
        <w:t xml:space="preserve"> can introduce errors into the estimates of productivity are difficulties in measuring the volume of capital services, </w:t>
      </w:r>
      <w:r w:rsidR="00AE2167">
        <w:t>and lags between investment (</w:t>
      </w:r>
      <w:r>
        <w:t xml:space="preserve">when it is counted </w:t>
      </w:r>
      <w:r w:rsidR="0096308E">
        <w:t xml:space="preserve">as adding to the </w:t>
      </w:r>
      <w:r w:rsidR="008465B2">
        <w:t xml:space="preserve">productive </w:t>
      </w:r>
      <w:r w:rsidR="0096308E">
        <w:t>capital stock</w:t>
      </w:r>
      <w:r w:rsidR="00AE2167">
        <w:t>)</w:t>
      </w:r>
      <w:r>
        <w:t xml:space="preserve"> and when it is </w:t>
      </w:r>
      <w:r w:rsidR="008465B2">
        <w:t xml:space="preserve">actually </w:t>
      </w:r>
      <w:r>
        <w:t xml:space="preserve">utilised in production. </w:t>
      </w:r>
      <w:r w:rsidR="008465B2">
        <w:t xml:space="preserve">These </w:t>
      </w:r>
      <w:r>
        <w:t>issue</w:t>
      </w:r>
      <w:r w:rsidR="0089127D">
        <w:t>s arise</w:t>
      </w:r>
      <w:r>
        <w:t xml:space="preserve"> </w:t>
      </w:r>
      <w:r w:rsidR="000A30B6">
        <w:t>mainly where there are</w:t>
      </w:r>
      <w:r w:rsidR="009233FB">
        <w:t xml:space="preserve"> large infrastructure projects</w:t>
      </w:r>
      <w:r w:rsidR="009233FB" w:rsidDel="0089127D">
        <w:t xml:space="preserve"> </w:t>
      </w:r>
      <w:r w:rsidR="009233FB">
        <w:t xml:space="preserve">and </w:t>
      </w:r>
      <w:r w:rsidR="0089127D">
        <w:t xml:space="preserve">when </w:t>
      </w:r>
      <w:r w:rsidR="00FC0EB9">
        <w:t xml:space="preserve">major </w:t>
      </w:r>
      <w:r w:rsidR="008465B2">
        <w:t>new technology</w:t>
      </w:r>
      <w:r w:rsidR="0089127D">
        <w:t xml:space="preserve"> i</w:t>
      </w:r>
      <w:r w:rsidR="00691EE3">
        <w:t>s</w:t>
      </w:r>
      <w:r w:rsidR="0089127D">
        <w:t xml:space="preserve"> introduced</w:t>
      </w:r>
      <w:r w:rsidR="008465B2">
        <w:t>, such as ICT</w:t>
      </w:r>
      <w:r w:rsidR="00474EBF">
        <w:t>. I</w:t>
      </w:r>
      <w:r>
        <w:t>nvestments in knowledge and in human capital</w:t>
      </w:r>
      <w:r w:rsidR="00474EBF">
        <w:t xml:space="preserve"> also often take years before they add to productive capacity</w:t>
      </w:r>
      <w:r>
        <w:t>.</w:t>
      </w:r>
      <w:r w:rsidR="00AE2167">
        <w:t xml:space="preserve"> Output estimates </w:t>
      </w:r>
      <w:r w:rsidR="00982F89">
        <w:t xml:space="preserve">too </w:t>
      </w:r>
      <w:r w:rsidR="00AE2167">
        <w:t xml:space="preserve">can be subject to measurement biases. These tend to be specific to the industry and related to the difficulties in accurately adjusting nominal </w:t>
      </w:r>
      <w:r w:rsidR="00867E45">
        <w:t xml:space="preserve">output </w:t>
      </w:r>
      <w:r w:rsidR="00AE2167">
        <w:t xml:space="preserve">estimates </w:t>
      </w:r>
      <w:r w:rsidR="00867E45">
        <w:t>using quality-adjusted price indexes</w:t>
      </w:r>
      <w:r w:rsidR="00AE2167">
        <w:t>. These measurement problems mean that industry productivity statistics need to be analysed carefully to understand the underlying performance of the industry.</w:t>
      </w:r>
    </w:p>
    <w:p w:rsidR="00F06098" w:rsidRDefault="00F06098" w:rsidP="00F06098">
      <w:pPr>
        <w:pStyle w:val="Heading4"/>
      </w:pPr>
      <w:r>
        <w:t xml:space="preserve">Measuring capital services </w:t>
      </w:r>
    </w:p>
    <w:p w:rsidR="0096308E" w:rsidRDefault="0096308E" w:rsidP="00F06098">
      <w:pPr>
        <w:pStyle w:val="BodyText"/>
      </w:pPr>
      <w:r>
        <w:t xml:space="preserve">Capital inputs are the services provided by the capital stock. The capital services index is based on the measured </w:t>
      </w:r>
      <w:r w:rsidR="00474EBF">
        <w:t xml:space="preserve">productive </w:t>
      </w:r>
      <w:r>
        <w:t xml:space="preserve">stock of capital, which increases with investment, and declines with decay. Growth in capital </w:t>
      </w:r>
      <w:r w:rsidR="008063B7">
        <w:t xml:space="preserve">stock </w:t>
      </w:r>
      <w:r w:rsidR="00A947D1">
        <w:t>(</w:t>
      </w:r>
      <w:r w:rsidR="008063B7">
        <w:t xml:space="preserve">and </w:t>
      </w:r>
      <w:r w:rsidR="00A947D1">
        <w:t xml:space="preserve">hence capital </w:t>
      </w:r>
      <w:r>
        <w:t>service</w:t>
      </w:r>
      <w:r w:rsidR="00AD4A77">
        <w:t xml:space="preserve"> capacity</w:t>
      </w:r>
      <w:r w:rsidR="00A947D1">
        <w:t>)</w:t>
      </w:r>
      <w:r>
        <w:t xml:space="preserve"> </w:t>
      </w:r>
      <w:r w:rsidR="0089127D">
        <w:t xml:space="preserve">occurs </w:t>
      </w:r>
      <w:r>
        <w:t xml:space="preserve">when investment exceeds </w:t>
      </w:r>
      <w:r w:rsidR="00474EBF">
        <w:t>decay</w:t>
      </w:r>
      <w:r>
        <w:t>.</w:t>
      </w:r>
      <w:r w:rsidR="00474EBF">
        <w:rPr>
          <w:rStyle w:val="FootnoteReference"/>
        </w:rPr>
        <w:footnoteReference w:id="18"/>
      </w:r>
    </w:p>
    <w:p w:rsidR="00AE2167" w:rsidRDefault="000F7F94" w:rsidP="00F06098">
      <w:pPr>
        <w:pStyle w:val="BodyText"/>
      </w:pPr>
      <w:r>
        <w:t>T</w:t>
      </w:r>
      <w:r w:rsidR="00AE2167">
        <w:t xml:space="preserve">he </w:t>
      </w:r>
      <w:r w:rsidR="00421A96">
        <w:t>addition to the capital stock from</w:t>
      </w:r>
      <w:r w:rsidR="00A947D1">
        <w:t xml:space="preserve"> real</w:t>
      </w:r>
      <w:r w:rsidR="00421A96">
        <w:t xml:space="preserve"> investment</w:t>
      </w:r>
      <w:r w:rsidR="00F06098">
        <w:t xml:space="preserve"> is typically derived by dividing the nominal values of investment expenditures by </w:t>
      </w:r>
      <w:r>
        <w:t xml:space="preserve">the </w:t>
      </w:r>
      <w:r w:rsidR="00421A96">
        <w:t xml:space="preserve">relevant </w:t>
      </w:r>
      <w:r w:rsidR="00F06098">
        <w:t>price index</w:t>
      </w:r>
      <w:r>
        <w:t>es</w:t>
      </w:r>
      <w:r w:rsidR="00F06098">
        <w:t xml:space="preserve">. While the data for investment expenditures are generally </w:t>
      </w:r>
      <w:r w:rsidR="009A0B08">
        <w:t xml:space="preserve">accurate and </w:t>
      </w:r>
      <w:r w:rsidR="00F06098">
        <w:t xml:space="preserve">reliable, the quality of the price index </w:t>
      </w:r>
      <w:r w:rsidR="009A0B08">
        <w:t>can be problematic</w:t>
      </w:r>
      <w:r w:rsidR="00421A96">
        <w:t>.</w:t>
      </w:r>
      <w:r w:rsidR="00F06098">
        <w:t xml:space="preserve"> </w:t>
      </w:r>
      <w:r w:rsidR="009A0B08">
        <w:t xml:space="preserve">This is partly because of the difficulty in developing reliable price indexes for investments of diverse nature (such as </w:t>
      </w:r>
      <w:r w:rsidR="00474EBF">
        <w:t xml:space="preserve">investment in </w:t>
      </w:r>
      <w:r w:rsidR="009A0B08">
        <w:t xml:space="preserve">machines, buildings, computer </w:t>
      </w:r>
      <w:r w:rsidR="005C11E6">
        <w:t>hardware</w:t>
      </w:r>
      <w:r w:rsidR="00474EBF">
        <w:t xml:space="preserve"> and </w:t>
      </w:r>
      <w:r w:rsidR="009A0B08">
        <w:t>software</w:t>
      </w:r>
      <w:r w:rsidR="00474EBF">
        <w:t>,</w:t>
      </w:r>
      <w:r w:rsidR="009A0B08">
        <w:t xml:space="preserve"> and R&amp;D</w:t>
      </w:r>
      <w:r w:rsidR="00474EBF">
        <w:t>).</w:t>
      </w:r>
      <w:r w:rsidR="009A0B08">
        <w:t xml:space="preserve"> </w:t>
      </w:r>
    </w:p>
    <w:p w:rsidR="00F06098" w:rsidRDefault="00F06098" w:rsidP="00F06098">
      <w:pPr>
        <w:pStyle w:val="BodyText"/>
      </w:pPr>
      <w:r>
        <w:lastRenderedPageBreak/>
        <w:t xml:space="preserve">While an increase in price may be an effect of general inflation, it may also reflect an improvement in the quality of </w:t>
      </w:r>
      <w:r w:rsidR="00136F8C">
        <w:t>new capital</w:t>
      </w:r>
      <w:r>
        <w:t>. The main diffic</w:t>
      </w:r>
      <w:r w:rsidR="00AE2167">
        <w:t xml:space="preserve">ulty in the compilation of the </w:t>
      </w:r>
      <w:r>
        <w:t xml:space="preserve">price index lies in separating these two effects </w:t>
      </w:r>
      <w:r w:rsidR="00486BE2">
        <w:t>—</w:t>
      </w:r>
      <w:r>
        <w:t xml:space="preserve"> the price index needs to include the effects of pure price inflation but exclude improvements in the quality of the capital inputs. If this is achieved, the changes in the quality of capital inputs will be reflected in its volume measure (expenditure is deflated by the price index)</w:t>
      </w:r>
      <w:r w:rsidR="006F1E8D">
        <w:t xml:space="preserve"> (</w:t>
      </w:r>
      <w:r w:rsidR="005C11E6">
        <w:t>Smedes </w:t>
      </w:r>
      <w:r w:rsidR="006F1E8D">
        <w:t>2012)</w:t>
      </w:r>
      <w:r>
        <w:t xml:space="preserve">. </w:t>
      </w:r>
    </w:p>
    <w:p w:rsidR="009A0B08" w:rsidRDefault="00550AC7" w:rsidP="00F06098">
      <w:pPr>
        <w:pStyle w:val="BodyText"/>
      </w:pPr>
      <w:r>
        <w:t>Box 8</w:t>
      </w:r>
      <w:r w:rsidR="00474EBF">
        <w:t xml:space="preserve"> provides an example that illustrates the importance of the quality </w:t>
      </w:r>
      <w:r w:rsidR="003235B9">
        <w:t>adjustment of the</w:t>
      </w:r>
      <w:r w:rsidR="00474EBF">
        <w:t xml:space="preserve"> price index for computer services.</w:t>
      </w:r>
      <w:r w:rsidR="008522CB">
        <w:t xml:space="preserve"> </w:t>
      </w:r>
      <w:r w:rsidR="009A0B08">
        <w:t xml:space="preserve">The assumptions applied to adjust the accumulated capital stock for depreciation </w:t>
      </w:r>
      <w:r w:rsidR="008522CB">
        <w:t xml:space="preserve">through wear-and-tear </w:t>
      </w:r>
      <w:r w:rsidR="009A0B08">
        <w:t>and obsolescence</w:t>
      </w:r>
      <w:r w:rsidR="008522CB">
        <w:t>,</w:t>
      </w:r>
      <w:r w:rsidR="009A0B08">
        <w:t xml:space="preserve"> and asset retirement</w:t>
      </w:r>
      <w:r w:rsidR="003235B9">
        <w:t>,</w:t>
      </w:r>
      <w:r w:rsidR="009A0B08">
        <w:t xml:space="preserve"> is also of importance</w:t>
      </w:r>
      <w:r w:rsidR="008522CB">
        <w:t xml:space="preserve"> for the estimation of the net capital stock of industries and the nation as a whole</w:t>
      </w:r>
      <w:r w:rsidR="009A0B08">
        <w:t>.</w:t>
      </w:r>
    </w:p>
    <w:p w:rsidR="00AA2310" w:rsidRDefault="00AA2310">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AA2310" w:rsidTr="008E2A3C">
        <w:tc>
          <w:tcPr>
            <w:tcW w:w="8771" w:type="dxa"/>
            <w:tcBorders>
              <w:top w:val="single" w:sz="6" w:space="0" w:color="78A22F"/>
              <w:left w:val="nil"/>
              <w:bottom w:val="nil"/>
              <w:right w:val="nil"/>
            </w:tcBorders>
            <w:shd w:val="clear" w:color="auto" w:fill="F2F2F2"/>
          </w:tcPr>
          <w:p w:rsidR="00AA2310" w:rsidRDefault="00AA2310" w:rsidP="00AA2310">
            <w:pPr>
              <w:pStyle w:val="BoxTitle"/>
            </w:pPr>
            <w:r>
              <w:rPr>
                <w:b w:val="0"/>
              </w:rPr>
              <w:t>Box 8</w:t>
            </w:r>
            <w:r>
              <w:tab/>
              <w:t>Issues in measuring productive capital: the example of computers</w:t>
            </w:r>
          </w:p>
        </w:tc>
      </w:tr>
      <w:tr w:rsidR="00AA2310" w:rsidTr="008E2A3C">
        <w:trPr>
          <w:cantSplit/>
        </w:trPr>
        <w:tc>
          <w:tcPr>
            <w:tcW w:w="8771" w:type="dxa"/>
            <w:tcBorders>
              <w:top w:val="nil"/>
              <w:left w:val="nil"/>
              <w:bottom w:val="nil"/>
              <w:right w:val="nil"/>
            </w:tcBorders>
            <w:shd w:val="clear" w:color="auto" w:fill="F2F2F2"/>
          </w:tcPr>
          <w:p w:rsidR="00AA2310" w:rsidRDefault="00AA2310" w:rsidP="008E2A3C">
            <w:pPr>
              <w:pStyle w:val="Box"/>
            </w:pPr>
            <w:r>
              <w:t xml:space="preserve">Computers and other ICTs often embody substantial improvements in technical characteristics. For example, there have been significant improvements in memory capacity in different generations of computer. In 2009, average memory of computers on the market was about 2 gigabytes, four years later it was 8 gigabytes. </w:t>
            </w:r>
          </w:p>
          <w:p w:rsidR="00AA2310" w:rsidRDefault="00AA2310" w:rsidP="008E2A3C">
            <w:pPr>
              <w:pStyle w:val="Box"/>
            </w:pPr>
            <w:r>
              <w:t xml:space="preserve">Technical improvements in computers can be exponential. ’Moore’s Law’ says that the capacity of semi-conductors doubles every 18 months to 2 years. This implies exponential growth in chip capacity of 35-45 per cent per year. </w:t>
            </w:r>
          </w:p>
          <w:p w:rsidR="00AA2310" w:rsidRDefault="00AA2310" w:rsidP="008E2A3C">
            <w:pPr>
              <w:pStyle w:val="Box"/>
            </w:pPr>
            <w:r>
              <w:t xml:space="preserve">A true measure of the quantity of capital input produced and purchased makes allowance for the additional characteristics and improved functionalities embodied in new equipment. For example, suppose that a computer purchased today is twice as powerful as a computer purchased two years ago. Today’s computer would be two computer-equivalents measured in terms of the old computer’s power. Failure to allow for such improvements would understate the accumulation of productive capital available for use in production. </w:t>
            </w:r>
          </w:p>
          <w:p w:rsidR="00AA2310" w:rsidRDefault="00AA2310" w:rsidP="008E2A3C">
            <w:pPr>
              <w:pStyle w:val="Box"/>
            </w:pPr>
            <w:r>
              <w:t>To continue the example, assume that the nominal expenditure on the old and new computer is the same. If a standard equipment price deflator showed a 10 per cent increase in price and was used as the computer price deflator, the real volume of investment in computers would be measured as decreasing by around 10 per cent with the purchase of the new computer. In contrast, a hedonic price index, allowing for technical improvements, would have decreased by around 50 per cent (since twice the computer power is available for the same nominal price). Using a hedonic price deflator would show an approximate doubling in the volume of investment in computers. The volume measure reflects the interpretation of investment in computer power, rather than investment related to expenditure or the number of computers purchased.</w:t>
            </w:r>
          </w:p>
        </w:tc>
      </w:tr>
      <w:tr w:rsidR="00AA2310" w:rsidTr="008E2A3C">
        <w:trPr>
          <w:cantSplit/>
        </w:trPr>
        <w:tc>
          <w:tcPr>
            <w:tcW w:w="8771" w:type="dxa"/>
            <w:tcBorders>
              <w:top w:val="nil"/>
              <w:left w:val="nil"/>
              <w:bottom w:val="nil"/>
              <w:right w:val="nil"/>
            </w:tcBorders>
            <w:shd w:val="clear" w:color="auto" w:fill="F2F2F2"/>
          </w:tcPr>
          <w:p w:rsidR="00AA2310" w:rsidRDefault="00AA2310" w:rsidP="008E2A3C">
            <w:pPr>
              <w:pStyle w:val="BoxSource"/>
            </w:pPr>
            <w:r>
              <w:rPr>
                <w:i/>
              </w:rPr>
              <w:t>Source</w:t>
            </w:r>
            <w:r w:rsidRPr="00167F06">
              <w:t xml:space="preserve">: </w:t>
            </w:r>
            <w:r>
              <w:rPr>
                <w:sz w:val="20"/>
              </w:rPr>
              <w:t xml:space="preserve">Parham, Roberts and </w:t>
            </w:r>
            <w:r w:rsidRPr="00854D34">
              <w:rPr>
                <w:sz w:val="20"/>
              </w:rPr>
              <w:t>Sun (2001)</w:t>
            </w:r>
            <w:r>
              <w:rPr>
                <w:sz w:val="20"/>
              </w:rPr>
              <w:t>.</w:t>
            </w:r>
          </w:p>
        </w:tc>
      </w:tr>
      <w:tr w:rsidR="00AA2310" w:rsidTr="008E2A3C">
        <w:trPr>
          <w:cantSplit/>
        </w:trPr>
        <w:tc>
          <w:tcPr>
            <w:tcW w:w="8771" w:type="dxa"/>
            <w:tcBorders>
              <w:top w:val="nil"/>
              <w:left w:val="nil"/>
              <w:bottom w:val="single" w:sz="6" w:space="0" w:color="78A22F"/>
              <w:right w:val="nil"/>
            </w:tcBorders>
            <w:shd w:val="clear" w:color="auto" w:fill="F2F2F2"/>
          </w:tcPr>
          <w:p w:rsidR="00AA2310" w:rsidRDefault="00AA2310">
            <w:pPr>
              <w:pStyle w:val="Box"/>
              <w:spacing w:before="0" w:line="120" w:lineRule="exact"/>
            </w:pPr>
          </w:p>
        </w:tc>
      </w:tr>
      <w:tr w:rsidR="00AA2310" w:rsidRPr="000863A5" w:rsidTr="008E2A3C">
        <w:tc>
          <w:tcPr>
            <w:tcW w:w="8771" w:type="dxa"/>
            <w:tcBorders>
              <w:top w:val="single" w:sz="6" w:space="0" w:color="78A22F"/>
              <w:left w:val="nil"/>
              <w:bottom w:val="nil"/>
              <w:right w:val="nil"/>
            </w:tcBorders>
          </w:tcPr>
          <w:p w:rsidR="00AA2310" w:rsidRPr="00626D32" w:rsidRDefault="00AA2310" w:rsidP="008E2A3C">
            <w:pPr>
              <w:pStyle w:val="BoxSpaceBelow"/>
            </w:pPr>
          </w:p>
        </w:tc>
      </w:tr>
    </w:tbl>
    <w:p w:rsidR="00EA7A96" w:rsidRDefault="00EA7A96" w:rsidP="007C7792">
      <w:pPr>
        <w:pStyle w:val="Heading4"/>
      </w:pPr>
      <w:r>
        <w:br w:type="page"/>
      </w:r>
    </w:p>
    <w:p w:rsidR="007C7792" w:rsidRDefault="007C7792" w:rsidP="007C7792">
      <w:pPr>
        <w:pStyle w:val="Heading4"/>
      </w:pPr>
      <w:r>
        <w:lastRenderedPageBreak/>
        <w:t xml:space="preserve">Lags between investment and utilisation </w:t>
      </w:r>
    </w:p>
    <w:p w:rsidR="007C7792" w:rsidRDefault="007C7792" w:rsidP="007C7792">
      <w:pPr>
        <w:pStyle w:val="BodyText"/>
      </w:pPr>
      <w:r>
        <w:t>With large investments, such as major infrastructure projects, there can be several years between the investment and the utilisation of the capital. This means that in the investment year the measured growth in capital services is higher than the actual growth in capital services. This will result in an over estimate of inputs and an under estimate of productivity growth.</w:t>
      </w:r>
    </w:p>
    <w:p w:rsidR="007C7792" w:rsidRDefault="007C7792" w:rsidP="00F06098">
      <w:pPr>
        <w:pStyle w:val="BodyText"/>
      </w:pPr>
      <w:r>
        <w:t xml:space="preserve">Where growth rates are steady over time this measurement </w:t>
      </w:r>
      <w:r w:rsidR="00550AC7">
        <w:t>issue</w:t>
      </w:r>
      <w:r>
        <w:t xml:space="preserve"> is not evident as the </w:t>
      </w:r>
      <w:r w:rsidR="00550AC7">
        <w:t>‘</w:t>
      </w:r>
      <w:r>
        <w:t>over count</w:t>
      </w:r>
      <w:r w:rsidR="00550AC7">
        <w:t>’</w:t>
      </w:r>
      <w:r>
        <w:t xml:space="preserve"> of capital remains a constant share of the total capital stock so </w:t>
      </w:r>
      <w:r w:rsidR="00081529">
        <w:t xml:space="preserve">it </w:t>
      </w:r>
      <w:r>
        <w:t xml:space="preserve">does not affect the growth rate in capital services. </w:t>
      </w:r>
      <w:r w:rsidR="00CD3826">
        <w:t>However,</w:t>
      </w:r>
      <w:r>
        <w:t xml:space="preserve"> if there is an acceleration or deceleration in the rate of growth of investment</w:t>
      </w:r>
      <w:r w:rsidR="00081529">
        <w:t>,</w:t>
      </w:r>
      <w:r>
        <w:t xml:space="preserve"> the capital services index will </w:t>
      </w:r>
      <w:r w:rsidR="00CD3826">
        <w:t>‘</w:t>
      </w:r>
      <w:r w:rsidR="00550AC7">
        <w:t>overstate</w:t>
      </w:r>
      <w:r w:rsidR="00CD3826">
        <w:t>’</w:t>
      </w:r>
      <w:r w:rsidR="00550AC7">
        <w:t xml:space="preserve"> the growth in </w:t>
      </w:r>
      <w:r w:rsidR="0084292A">
        <w:t xml:space="preserve">the </w:t>
      </w:r>
      <w:r w:rsidR="00550AC7">
        <w:t xml:space="preserve">actual </w:t>
      </w:r>
      <w:r w:rsidR="0084292A">
        <w:t xml:space="preserve">utilisation of </w:t>
      </w:r>
      <w:r w:rsidR="00550AC7">
        <w:t xml:space="preserve">capital </w:t>
      </w:r>
      <w:r w:rsidR="0084292A">
        <w:t xml:space="preserve">in production </w:t>
      </w:r>
      <w:r>
        <w:t xml:space="preserve">in the case of an acceleration, and </w:t>
      </w:r>
      <w:r w:rsidR="00CD3826">
        <w:t>‘</w:t>
      </w:r>
      <w:r w:rsidR="00550AC7">
        <w:t>understate</w:t>
      </w:r>
      <w:r w:rsidR="00CD3826">
        <w:t>’</w:t>
      </w:r>
      <w:r w:rsidR="00550AC7">
        <w:t xml:space="preserve"> it </w:t>
      </w:r>
      <w:r>
        <w:t>in the case of a deceleration. The impact on measured productivity can be large. For example, the Commission’s analysis of productivity growth in the mining industry estimated that the average three year lag between investment in mining capital and its utilisation accounted for around one third of the measured decline in mining sector productivity between 2000-01 and 2006-07 (Topp et al. 2008).</w:t>
      </w:r>
      <w:r w:rsidR="00550AC7">
        <w:t xml:space="preserve"> It is important to note that detecting a capital lag is important in interpreting productivity </w:t>
      </w:r>
      <w:r w:rsidR="00CD3826">
        <w:t>estima</w:t>
      </w:r>
      <w:r w:rsidR="00550AC7">
        <w:t>tes</w:t>
      </w:r>
      <w:r w:rsidR="00CD3826">
        <w:t>, but does not imply that productivity is being mismeasured. Indeed, if the new capital investments fail to be fully utilised (for example if commodity prices fall substantially) productivity will remain below the potential.</w:t>
      </w:r>
    </w:p>
    <w:p w:rsidR="002A5365" w:rsidRDefault="00007F31" w:rsidP="00007F31">
      <w:pPr>
        <w:pStyle w:val="Heading4"/>
      </w:pPr>
      <w:r>
        <w:t>The difficulty in adjusting output for quality</w:t>
      </w:r>
    </w:p>
    <w:p w:rsidR="00136F8C" w:rsidRDefault="00136F8C" w:rsidP="00136F8C">
      <w:pPr>
        <w:pStyle w:val="BodyText"/>
      </w:pPr>
      <w:r>
        <w:t xml:space="preserve">Quality </w:t>
      </w:r>
      <w:r w:rsidR="00687DAA">
        <w:t xml:space="preserve">of outputs </w:t>
      </w:r>
      <w:r>
        <w:t>has many dimensions which include: design, convenience, and novelty</w:t>
      </w:r>
      <w:r w:rsidR="00E2524C">
        <w:t>,</w:t>
      </w:r>
      <w:r>
        <w:t xml:space="preserve"> as well as features such as comfort, durability, and freshness. Many can be valued by consumers but </w:t>
      </w:r>
      <w:r w:rsidR="00421A96">
        <w:t xml:space="preserve">are </w:t>
      </w:r>
      <w:r>
        <w:t>difficult to take into consideration in measuring output.</w:t>
      </w:r>
      <w:r w:rsidR="0031186E">
        <w:t xml:space="preserve"> </w:t>
      </w:r>
      <w:r w:rsidR="00486BE2">
        <w:t>As with inputs, a</w:t>
      </w:r>
      <w:r w:rsidR="006F1E8D">
        <w:t xml:space="preserve">ccurate measurement includes </w:t>
      </w:r>
      <w:r w:rsidR="0031186E">
        <w:t>determin</w:t>
      </w:r>
      <w:r w:rsidR="006F1E8D">
        <w:t>ing</w:t>
      </w:r>
      <w:r w:rsidR="0031186E">
        <w:t xml:space="preserve"> whether </w:t>
      </w:r>
      <w:r w:rsidR="00E2524C">
        <w:t xml:space="preserve">the </w:t>
      </w:r>
      <w:r w:rsidR="0031186E">
        <w:t>observed price rise reflect</w:t>
      </w:r>
      <w:r w:rsidR="003235B9">
        <w:t>s</w:t>
      </w:r>
      <w:r w:rsidR="0031186E">
        <w:t xml:space="preserve"> general inflation or improvements in quality. The later should be counted as an increase in output, while the former should not. To the extent that </w:t>
      </w:r>
      <w:r w:rsidR="006F1E8D">
        <w:t>quality changes are mismeasured in data series</w:t>
      </w:r>
      <w:r w:rsidR="0031186E">
        <w:t>, output will be under or overstated.</w:t>
      </w:r>
    </w:p>
    <w:p w:rsidR="00136F8C" w:rsidRDefault="0031186E" w:rsidP="00F50D86">
      <w:pPr>
        <w:pStyle w:val="BodyText"/>
      </w:pPr>
      <w:r>
        <w:t xml:space="preserve">A different problem arises where the market price does not fully capture the </w:t>
      </w:r>
      <w:r w:rsidR="003235B9">
        <w:t xml:space="preserve">increase in </w:t>
      </w:r>
      <w:r>
        <w:t xml:space="preserve">value to consumers of </w:t>
      </w:r>
      <w:r w:rsidR="003235B9">
        <w:t xml:space="preserve">improvements in </w:t>
      </w:r>
      <w:r>
        <w:t xml:space="preserve">quality. </w:t>
      </w:r>
      <w:r w:rsidR="00F50D86">
        <w:t>This is an unmeasured improvement that</w:t>
      </w:r>
      <w:r w:rsidR="00136F8C">
        <w:t xml:space="preserve"> unambiguously improves ec</w:t>
      </w:r>
      <w:r w:rsidR="00F50D86">
        <w:t>onomic welfare for consumers, but</w:t>
      </w:r>
      <w:r w:rsidR="00136F8C">
        <w:t xml:space="preserve"> </w:t>
      </w:r>
      <w:r w:rsidR="009C6A2A">
        <w:t xml:space="preserve">will </w:t>
      </w:r>
      <w:r w:rsidR="00136F8C">
        <w:t xml:space="preserve">not show up in estimates of nominal GDP. </w:t>
      </w:r>
      <w:r w:rsidR="00B132AD">
        <w:t>To the extent that</w:t>
      </w:r>
      <w:r w:rsidR="006F1E8D">
        <w:t xml:space="preserve"> it is not practica</w:t>
      </w:r>
      <w:r w:rsidR="005C11E6">
        <w:t>ble</w:t>
      </w:r>
      <w:r w:rsidR="006F1E8D">
        <w:t xml:space="preserve"> </w:t>
      </w:r>
      <w:r w:rsidR="00B132AD">
        <w:t xml:space="preserve">to adjust real output measures for </w:t>
      </w:r>
      <w:r w:rsidR="006F1E8D">
        <w:t xml:space="preserve">such </w:t>
      </w:r>
      <w:r w:rsidR="00B132AD">
        <w:t>improvement</w:t>
      </w:r>
      <w:r w:rsidR="006F1E8D">
        <w:t>s</w:t>
      </w:r>
      <w:r w:rsidR="00B132AD">
        <w:t xml:space="preserve"> in quality</w:t>
      </w:r>
      <w:r w:rsidR="006F1E8D">
        <w:t>,</w:t>
      </w:r>
      <w:r w:rsidR="00136F8C">
        <w:t xml:space="preserve"> productivity estimates </w:t>
      </w:r>
      <w:r w:rsidR="00B132AD">
        <w:t>will</w:t>
      </w:r>
      <w:r w:rsidR="00687DAA">
        <w:t xml:space="preserve"> </w:t>
      </w:r>
      <w:r w:rsidR="00136F8C">
        <w:t xml:space="preserve">understate the </w:t>
      </w:r>
      <w:r w:rsidR="003235B9">
        <w:t xml:space="preserve">growth in </w:t>
      </w:r>
      <w:r w:rsidR="00136F8C">
        <w:t xml:space="preserve">productivity </w:t>
      </w:r>
      <w:r w:rsidR="00421A96">
        <w:t xml:space="preserve">of an </w:t>
      </w:r>
      <w:r w:rsidR="00136F8C">
        <w:t>industry.</w:t>
      </w:r>
      <w:r w:rsidR="00F50D86">
        <w:t xml:space="preserve"> </w:t>
      </w:r>
    </w:p>
    <w:p w:rsidR="00AA2310" w:rsidRDefault="00AA2310" w:rsidP="00AA2310">
      <w:pPr>
        <w:pStyle w:val="BodyText"/>
        <w:rPr>
          <w:rFonts w:ascii="Arial" w:hAnsi="Arial"/>
          <w:sz w:val="32"/>
        </w:rPr>
      </w:pPr>
      <w:r>
        <w:br w:type="page"/>
      </w:r>
    </w:p>
    <w:p w:rsidR="008522CB" w:rsidRDefault="008522CB" w:rsidP="00360FDA">
      <w:pPr>
        <w:pStyle w:val="Heading2"/>
      </w:pPr>
      <w:r>
        <w:lastRenderedPageBreak/>
        <w:t>Summing up</w:t>
      </w:r>
    </w:p>
    <w:p w:rsidR="003A7DE1" w:rsidRDefault="00E2524C" w:rsidP="00007F31">
      <w:pPr>
        <w:pStyle w:val="BodyText"/>
      </w:pPr>
      <w:r>
        <w:t>M</w:t>
      </w:r>
      <w:r w:rsidR="003A7DE1">
        <w:t>easure</w:t>
      </w:r>
      <w:r w:rsidR="009E2828">
        <w:t>d</w:t>
      </w:r>
      <w:r w:rsidR="003A7DE1">
        <w:t xml:space="preserve"> productivity growth </w:t>
      </w:r>
      <w:r w:rsidR="009E2828">
        <w:t xml:space="preserve">(MFP and LP) </w:t>
      </w:r>
      <w:r w:rsidR="003A7DE1">
        <w:t>reflect</w:t>
      </w:r>
      <w:r w:rsidR="00ED22CA">
        <w:t>s</w:t>
      </w:r>
      <w:r w:rsidR="008522CB">
        <w:t xml:space="preserve"> a number of influences.</w:t>
      </w:r>
      <w:r w:rsidR="00471EFA">
        <w:t xml:space="preserve"> </w:t>
      </w:r>
    </w:p>
    <w:p w:rsidR="003A7DE1" w:rsidRDefault="008522CB" w:rsidP="00B46985">
      <w:pPr>
        <w:pStyle w:val="ListBullet"/>
      </w:pPr>
      <w:r w:rsidRPr="003055CF">
        <w:rPr>
          <w:i/>
        </w:rPr>
        <w:t>C</w:t>
      </w:r>
      <w:r w:rsidR="003A7DE1" w:rsidRPr="003055CF">
        <w:rPr>
          <w:i/>
        </w:rPr>
        <w:t xml:space="preserve">hanges in productive efficiency of the </w:t>
      </w:r>
      <w:proofErr w:type="gramStart"/>
      <w:r w:rsidR="003A7DE1" w:rsidRPr="003055CF">
        <w:rPr>
          <w:i/>
        </w:rPr>
        <w:t>economy</w:t>
      </w:r>
      <w:r w:rsidR="009E2828">
        <w:t>,</w:t>
      </w:r>
      <w:r>
        <w:t xml:space="preserve"> </w:t>
      </w:r>
      <w:r w:rsidR="009E2828">
        <w:t xml:space="preserve">which </w:t>
      </w:r>
      <w:r>
        <w:t>are</w:t>
      </w:r>
      <w:proofErr w:type="gramEnd"/>
      <w:r w:rsidR="003A7DE1">
        <w:t xml:space="preserve"> most</w:t>
      </w:r>
      <w:r>
        <w:t>ly</w:t>
      </w:r>
      <w:r w:rsidR="003A7DE1">
        <w:t xml:space="preserve"> due to technological and organisational change, but also </w:t>
      </w:r>
      <w:r>
        <w:t xml:space="preserve">come </w:t>
      </w:r>
      <w:r w:rsidR="003A7DE1">
        <w:t xml:space="preserve">from </w:t>
      </w:r>
      <w:r>
        <w:t xml:space="preserve">changes </w:t>
      </w:r>
      <w:r w:rsidR="003A7DE1">
        <w:t>in complementarities, and scale</w:t>
      </w:r>
      <w:r w:rsidR="00471EFA">
        <w:t xml:space="preserve"> </w:t>
      </w:r>
      <w:r w:rsidR="003A7DE1">
        <w:t>that affect the productivity of firms</w:t>
      </w:r>
      <w:r>
        <w:t xml:space="preserve">. </w:t>
      </w:r>
      <w:r w:rsidR="00D8645D">
        <w:t>It also reflects</w:t>
      </w:r>
      <w:r w:rsidR="003A7DE1">
        <w:t xml:space="preserve"> any change in the average productivity levels of firms due to competitive dynamics</w:t>
      </w:r>
      <w:r w:rsidR="00D8645D">
        <w:t>.</w:t>
      </w:r>
    </w:p>
    <w:p w:rsidR="003A7DE1" w:rsidRDefault="00D8645D" w:rsidP="00B46985">
      <w:pPr>
        <w:pStyle w:val="ListBullet"/>
      </w:pPr>
      <w:r w:rsidRPr="003055CF">
        <w:rPr>
          <w:i/>
        </w:rPr>
        <w:t>C</w:t>
      </w:r>
      <w:r w:rsidR="003A7DE1" w:rsidRPr="003055CF">
        <w:rPr>
          <w:i/>
        </w:rPr>
        <w:t>hanges in</w:t>
      </w:r>
      <w:r w:rsidR="009F1FA7" w:rsidRPr="003055CF">
        <w:rPr>
          <w:i/>
        </w:rPr>
        <w:t xml:space="preserve"> the real cost of production</w:t>
      </w:r>
      <w:r w:rsidR="009E2828">
        <w:rPr>
          <w:i/>
        </w:rPr>
        <w:t>,</w:t>
      </w:r>
      <w:r w:rsidR="009E2828" w:rsidRPr="003055CF">
        <w:t xml:space="preserve"> </w:t>
      </w:r>
      <w:r w:rsidR="009E2828">
        <w:t>which mainly</w:t>
      </w:r>
      <w:r w:rsidR="009F1FA7" w:rsidRPr="009E2828">
        <w:t xml:space="preserve"> </w:t>
      </w:r>
      <w:r w:rsidR="003A7DE1">
        <w:t>aris</w:t>
      </w:r>
      <w:r>
        <w:t>e</w:t>
      </w:r>
      <w:r w:rsidR="003A7DE1">
        <w:t xml:space="preserve"> from changes in the quality and/or quantity of unmeasured inputs, most notably natural resource inputs</w:t>
      </w:r>
      <w:r>
        <w:t xml:space="preserve"> but also other ‘environmental’ inputs</w:t>
      </w:r>
      <w:r w:rsidR="009E2828">
        <w:t xml:space="preserve">. These </w:t>
      </w:r>
      <w:r w:rsidR="003A7DE1">
        <w:t xml:space="preserve">affect </w:t>
      </w:r>
      <w:r w:rsidR="009F1FA7">
        <w:t xml:space="preserve">the productive capacity of the economy, but </w:t>
      </w:r>
      <w:r w:rsidR="003A7DE1">
        <w:t>are distinct from</w:t>
      </w:r>
      <w:r w:rsidR="009F1FA7">
        <w:t xml:space="preserve"> the pr</w:t>
      </w:r>
      <w:r w:rsidR="003A7DE1">
        <w:t>oductivity performance of firms</w:t>
      </w:r>
      <w:r>
        <w:t>.</w:t>
      </w:r>
      <w:r w:rsidR="009F1FA7">
        <w:t xml:space="preserve"> </w:t>
      </w:r>
    </w:p>
    <w:p w:rsidR="003A7DE1" w:rsidRDefault="00D8645D" w:rsidP="00B46985">
      <w:pPr>
        <w:pStyle w:val="ListBullet"/>
      </w:pPr>
      <w:r w:rsidRPr="003055CF">
        <w:rPr>
          <w:i/>
        </w:rPr>
        <w:t>L</w:t>
      </w:r>
      <w:r w:rsidR="003A7DE1" w:rsidRPr="003055CF">
        <w:rPr>
          <w:i/>
        </w:rPr>
        <w:t>ags between investment (when an input is measured) and when it is used</w:t>
      </w:r>
      <w:r w:rsidR="003A7DE1">
        <w:t>, which is an issue for large fixed investments that vary in magnitude over time and take time to be utilised</w:t>
      </w:r>
      <w:r w:rsidR="00550AC7">
        <w:t xml:space="preserve">. This </w:t>
      </w:r>
      <w:r w:rsidR="00963820">
        <w:t xml:space="preserve">will </w:t>
      </w:r>
      <w:r w:rsidR="00550AC7">
        <w:t>appear in the short run as lower</w:t>
      </w:r>
      <w:r>
        <w:t xml:space="preserve"> productivity estimates</w:t>
      </w:r>
      <w:r w:rsidR="00550AC7">
        <w:t xml:space="preserve"> followed by higher productivity growth estimates</w:t>
      </w:r>
      <w:r w:rsidR="00BE7A10">
        <w:t xml:space="preserve">, provided </w:t>
      </w:r>
      <w:r w:rsidR="00550AC7">
        <w:t>the capital does become fully utilised</w:t>
      </w:r>
      <w:r>
        <w:t>.</w:t>
      </w:r>
    </w:p>
    <w:p w:rsidR="00963820" w:rsidRDefault="00D8645D" w:rsidP="00B46985">
      <w:pPr>
        <w:pStyle w:val="ListBullet"/>
      </w:pPr>
      <w:r w:rsidRPr="003055CF">
        <w:rPr>
          <w:i/>
        </w:rPr>
        <w:t>V</w:t>
      </w:r>
      <w:r w:rsidR="003A7DE1" w:rsidRPr="003055CF">
        <w:rPr>
          <w:i/>
        </w:rPr>
        <w:t xml:space="preserve">ariations in utilisation of inputs due to </w:t>
      </w:r>
      <w:r w:rsidRPr="003055CF">
        <w:rPr>
          <w:i/>
        </w:rPr>
        <w:t xml:space="preserve">economic </w:t>
      </w:r>
      <w:r w:rsidR="003A7DE1" w:rsidRPr="003055CF">
        <w:rPr>
          <w:i/>
        </w:rPr>
        <w:t>cycles</w:t>
      </w:r>
      <w:r w:rsidR="00963820">
        <w:t xml:space="preserve"> </w:t>
      </w:r>
      <w:r>
        <w:t>tend to</w:t>
      </w:r>
      <w:r w:rsidR="00963820">
        <w:t xml:space="preserve"> average out over the cycle</w:t>
      </w:r>
      <w:r>
        <w:t>, making measurement in productivity over the cycle a more relevant measure of trend.</w:t>
      </w:r>
    </w:p>
    <w:p w:rsidR="009F1FA7" w:rsidRDefault="00D8645D" w:rsidP="00B46985">
      <w:pPr>
        <w:pStyle w:val="ListBullet"/>
      </w:pPr>
      <w:r w:rsidRPr="003055CF">
        <w:rPr>
          <w:i/>
        </w:rPr>
        <w:t>E</w:t>
      </w:r>
      <w:r w:rsidR="009F1FA7" w:rsidRPr="003055CF">
        <w:rPr>
          <w:i/>
        </w:rPr>
        <w:t xml:space="preserve">rrors </w:t>
      </w:r>
      <w:r w:rsidRPr="003055CF">
        <w:rPr>
          <w:i/>
        </w:rPr>
        <w:t xml:space="preserve">and discrepancies </w:t>
      </w:r>
      <w:r w:rsidR="00FE42AE" w:rsidRPr="003055CF">
        <w:rPr>
          <w:i/>
        </w:rPr>
        <w:t>in the underlying estimates of inputs, outputs and prices</w:t>
      </w:r>
      <w:r w:rsidR="00FE42AE">
        <w:t xml:space="preserve"> </w:t>
      </w:r>
      <w:r w:rsidR="009F1FA7">
        <w:t xml:space="preserve">can affect measured productivity in any one year but </w:t>
      </w:r>
      <w:r w:rsidR="00FE42AE">
        <w:t>should not have a</w:t>
      </w:r>
      <w:r w:rsidR="009F1FA7">
        <w:t>ny</w:t>
      </w:r>
      <w:r w:rsidR="00FE42AE">
        <w:t xml:space="preserve"> systematic bias</w:t>
      </w:r>
      <w:r>
        <w:t xml:space="preserve"> unless </w:t>
      </w:r>
      <w:r w:rsidR="00BE7A10">
        <w:t xml:space="preserve">they are </w:t>
      </w:r>
      <w:r>
        <w:t xml:space="preserve">due to systematic data gaps </w:t>
      </w:r>
      <w:r w:rsidR="009E2828">
        <w:t xml:space="preserve">(such as improvements in quality not reflected in prices) </w:t>
      </w:r>
      <w:r>
        <w:t>or limitations.</w:t>
      </w:r>
    </w:p>
    <w:p w:rsidR="00963820" w:rsidRDefault="00FE1F1F" w:rsidP="00007F31">
      <w:pPr>
        <w:pStyle w:val="BodyText"/>
      </w:pPr>
      <w:r>
        <w:t>The last three of the</w:t>
      </w:r>
      <w:r w:rsidR="00BE7A10">
        <w:t>se</w:t>
      </w:r>
      <w:r w:rsidR="00963820">
        <w:t xml:space="preserve"> influences affect measured productivity rather than the underlying real productivity growth, and can be addressed by taking either a long</w:t>
      </w:r>
      <w:r w:rsidR="00D8645D">
        <w:t>-</w:t>
      </w:r>
      <w:r w:rsidR="00963820">
        <w:t>term measure of trend, adjusting for any known temporary effect</w:t>
      </w:r>
      <w:r w:rsidR="00D8645D">
        <w:t>, or addressing the relevant systematic data problem</w:t>
      </w:r>
      <w:r w:rsidR="00963820">
        <w:t xml:space="preserve">. It is also possible to include natural resources (or other </w:t>
      </w:r>
      <w:r w:rsidR="00170BBE">
        <w:t xml:space="preserve">‘environmental’ </w:t>
      </w:r>
      <w:r w:rsidR="00963820">
        <w:t xml:space="preserve">inputs) </w:t>
      </w:r>
      <w:r w:rsidR="00D8645D">
        <w:t>in productivity analysis</w:t>
      </w:r>
      <w:r w:rsidR="00963820">
        <w:t xml:space="preserve">. Such </w:t>
      </w:r>
      <w:r w:rsidR="00D8645D">
        <w:t xml:space="preserve">inclusion </w:t>
      </w:r>
      <w:r w:rsidR="00963820">
        <w:t xml:space="preserve">is warranted if the aim is to estimate </w:t>
      </w:r>
      <w:r w:rsidR="002B1BD9">
        <w:t xml:space="preserve">changes in the </w:t>
      </w:r>
      <w:r w:rsidR="00963820">
        <w:t xml:space="preserve">productive efficiency of </w:t>
      </w:r>
      <w:r w:rsidR="002B1BD9">
        <w:t>an industry</w:t>
      </w:r>
      <w:r w:rsidR="00963820">
        <w:t>, but not if the productivity estimates are used to measure the productive capacity</w:t>
      </w:r>
      <w:r w:rsidR="00D8645D">
        <w:t>/potential</w:t>
      </w:r>
      <w:r w:rsidR="00963820">
        <w:t xml:space="preserve"> of the economy. </w:t>
      </w:r>
    </w:p>
    <w:p w:rsidR="00AA2310" w:rsidRDefault="00FE42AE" w:rsidP="0089001F">
      <w:pPr>
        <w:pStyle w:val="BodyText"/>
      </w:pPr>
      <w:r>
        <w:t>The key point is that it is important to unpack</w:t>
      </w:r>
      <w:r w:rsidR="00170BBE">
        <w:t xml:space="preserve"> measures of productivity to understand the proximate and underlying factors affecting productivity growth</w:t>
      </w:r>
      <w:r>
        <w:t xml:space="preserve">. </w:t>
      </w:r>
      <w:r w:rsidR="00421A96">
        <w:t>The Commission’s</w:t>
      </w:r>
      <w:r>
        <w:t xml:space="preserve"> studies on </w:t>
      </w:r>
      <w:r w:rsidR="007F5C6C">
        <w:t>M</w:t>
      </w:r>
      <w:r>
        <w:t>ining (Topp et</w:t>
      </w:r>
      <w:r w:rsidR="005A15A8">
        <w:t xml:space="preserve"> al</w:t>
      </w:r>
      <w:r w:rsidR="0089001F">
        <w:t>. </w:t>
      </w:r>
      <w:r w:rsidR="005A15A8">
        <w:t>2008),</w:t>
      </w:r>
      <w:r>
        <w:t xml:space="preserve"> Utilities (Topp </w:t>
      </w:r>
      <w:r w:rsidR="00BE7A10">
        <w:t>and Kulys</w:t>
      </w:r>
      <w:r w:rsidR="0089001F">
        <w:t> </w:t>
      </w:r>
      <w:r w:rsidR="00BE7A10">
        <w:t xml:space="preserve"> 2012</w:t>
      </w:r>
      <w:r>
        <w:t>)</w:t>
      </w:r>
      <w:r w:rsidR="005A15A8">
        <w:t>, and Manufacturing industry (Barnes et al</w:t>
      </w:r>
      <w:r w:rsidR="0089001F">
        <w:t>. </w:t>
      </w:r>
      <w:r w:rsidR="005A15A8">
        <w:t>2013)</w:t>
      </w:r>
      <w:r w:rsidR="00421A96">
        <w:t xml:space="preserve"> unpacked what was going on behind observed changes in productivity growth giving insight into the real performance of an industry. T</w:t>
      </w:r>
      <w:r>
        <w:t xml:space="preserve">he Commission’s program of </w:t>
      </w:r>
      <w:r w:rsidR="00ED22CA">
        <w:t>examining</w:t>
      </w:r>
      <w:r>
        <w:t xml:space="preserve"> industry MFP performance in detail continues with an examination of the </w:t>
      </w:r>
      <w:r w:rsidR="005A15A8">
        <w:t>Finance, insurance, and superannuation industry</w:t>
      </w:r>
      <w:r w:rsidR="00421A96">
        <w:t xml:space="preserve"> (forthcoming)</w:t>
      </w:r>
      <w:r w:rsidR="008800B4">
        <w:t>.</w:t>
      </w:r>
    </w:p>
    <w:p w:rsidR="00A73A91" w:rsidRDefault="005A15A8" w:rsidP="0089001F">
      <w:pPr>
        <w:pStyle w:val="BodyText"/>
      </w:pPr>
      <w:r>
        <w:t>.</w:t>
      </w:r>
      <w:r w:rsidR="00A73A91">
        <w:br w:type="page"/>
      </w:r>
    </w:p>
    <w:p w:rsidR="00A73A91" w:rsidRPr="00AA2310" w:rsidRDefault="00A73A91" w:rsidP="00F55557">
      <w:pPr>
        <w:pStyle w:val="Heading2"/>
      </w:pPr>
      <w:r w:rsidRPr="00AA2310">
        <w:lastRenderedPageBreak/>
        <w:t>References</w:t>
      </w:r>
    </w:p>
    <w:p w:rsidR="00691EE3" w:rsidRPr="00D30CAE" w:rsidRDefault="00691EE3" w:rsidP="00631EE4">
      <w:pPr>
        <w:pStyle w:val="Reference"/>
        <w:spacing w:before="240"/>
      </w:pPr>
      <w:proofErr w:type="spellStart"/>
      <w:r>
        <w:t>Abramovitz</w:t>
      </w:r>
      <w:proofErr w:type="spellEnd"/>
      <w:r>
        <w:t xml:space="preserve"> M., 1956 ‘</w:t>
      </w:r>
      <w:r w:rsidRPr="006025FE">
        <w:t xml:space="preserve">Resources and output </w:t>
      </w:r>
      <w:r w:rsidRPr="00191765">
        <w:t>trends in the United States since 1870</w:t>
      </w:r>
      <w:r>
        <w:t xml:space="preserve">’, </w:t>
      </w:r>
      <w:r w:rsidRPr="00191765">
        <w:rPr>
          <w:i/>
        </w:rPr>
        <w:t>American Economic Review</w:t>
      </w:r>
      <w:r>
        <w:t>, vol. 46, no. 2, May, pp. 5–23</w:t>
      </w:r>
    </w:p>
    <w:p w:rsidR="00A73A91" w:rsidRPr="00631EE4" w:rsidRDefault="00A73A91" w:rsidP="00890D8C">
      <w:pPr>
        <w:pStyle w:val="Reference"/>
        <w:rPr>
          <w:spacing w:val="-2"/>
        </w:rPr>
      </w:pPr>
      <w:r w:rsidRPr="00631EE4">
        <w:rPr>
          <w:spacing w:val="-2"/>
        </w:rPr>
        <w:t>ABS</w:t>
      </w:r>
      <w:r w:rsidR="00466A00" w:rsidRPr="00631EE4">
        <w:rPr>
          <w:spacing w:val="-2"/>
        </w:rPr>
        <w:t xml:space="preserve"> (Australian Bureau of Statistics)</w:t>
      </w:r>
      <w:r w:rsidR="008D7DBD" w:rsidRPr="00631EE4">
        <w:rPr>
          <w:spacing w:val="-2"/>
        </w:rPr>
        <w:t xml:space="preserve"> 2014</w:t>
      </w:r>
      <w:r w:rsidR="008E2A3C" w:rsidRPr="00631EE4">
        <w:rPr>
          <w:spacing w:val="-2"/>
        </w:rPr>
        <w:t>,</w:t>
      </w:r>
      <w:r w:rsidRPr="00631EE4">
        <w:rPr>
          <w:spacing w:val="-2"/>
        </w:rPr>
        <w:t xml:space="preserve"> </w:t>
      </w:r>
      <w:r w:rsidRPr="00631EE4">
        <w:rPr>
          <w:i/>
          <w:spacing w:val="-2"/>
        </w:rPr>
        <w:t>Estimates of Industry Multifactor Productivity, 201</w:t>
      </w:r>
      <w:r w:rsidR="008D7DBD" w:rsidRPr="00631EE4">
        <w:rPr>
          <w:i/>
          <w:spacing w:val="-2"/>
        </w:rPr>
        <w:t>3</w:t>
      </w:r>
      <w:r w:rsidRPr="00631EE4">
        <w:rPr>
          <w:i/>
          <w:spacing w:val="-2"/>
        </w:rPr>
        <w:t>-1</w:t>
      </w:r>
      <w:r w:rsidR="008D7DBD" w:rsidRPr="00631EE4">
        <w:rPr>
          <w:i/>
          <w:spacing w:val="-2"/>
        </w:rPr>
        <w:t>4</w:t>
      </w:r>
      <w:r w:rsidRPr="00631EE4">
        <w:rPr>
          <w:spacing w:val="-2"/>
        </w:rPr>
        <w:t xml:space="preserve"> Cat. no. 5260.0.55.002, December 2012.</w:t>
      </w:r>
    </w:p>
    <w:p w:rsidR="00A73A91" w:rsidRPr="00631EE4" w:rsidRDefault="00466A00" w:rsidP="00890D8C">
      <w:pPr>
        <w:pStyle w:val="Reference"/>
        <w:rPr>
          <w:spacing w:val="-2"/>
        </w:rPr>
      </w:pPr>
      <w:r w:rsidRPr="00631EE4">
        <w:rPr>
          <w:spacing w:val="-2"/>
        </w:rPr>
        <w:t>—— </w:t>
      </w:r>
      <w:r w:rsidR="00A73A91" w:rsidRPr="00631EE4">
        <w:rPr>
          <w:spacing w:val="-2"/>
        </w:rPr>
        <w:t>2012</w:t>
      </w:r>
      <w:r w:rsidR="00865660" w:rsidRPr="00631EE4">
        <w:rPr>
          <w:spacing w:val="-2"/>
        </w:rPr>
        <w:t>a</w:t>
      </w:r>
      <w:r w:rsidR="008E2A3C" w:rsidRPr="00631EE4">
        <w:rPr>
          <w:spacing w:val="-2"/>
        </w:rPr>
        <w:t>,</w:t>
      </w:r>
      <w:r w:rsidR="00A73A91" w:rsidRPr="00631EE4">
        <w:rPr>
          <w:spacing w:val="-2"/>
        </w:rPr>
        <w:t xml:space="preserve"> </w:t>
      </w:r>
      <w:r w:rsidR="00A73A91" w:rsidRPr="00631EE4">
        <w:rPr>
          <w:i/>
          <w:spacing w:val="-2"/>
        </w:rPr>
        <w:t>Australian System of National Accounts: Concepts, Sources and Methods</w:t>
      </w:r>
      <w:r w:rsidR="00A73A91" w:rsidRPr="00631EE4">
        <w:rPr>
          <w:spacing w:val="-2"/>
        </w:rPr>
        <w:t>, Australia, 2012, Edition 3,</w:t>
      </w:r>
      <w:r w:rsidR="00D8736E" w:rsidRPr="00631EE4">
        <w:rPr>
          <w:spacing w:val="-2"/>
        </w:rPr>
        <w:t xml:space="preserve"> Cat. </w:t>
      </w:r>
      <w:proofErr w:type="gramStart"/>
      <w:r w:rsidR="00D8736E" w:rsidRPr="00631EE4">
        <w:rPr>
          <w:spacing w:val="-2"/>
        </w:rPr>
        <w:t>no</w:t>
      </w:r>
      <w:proofErr w:type="gramEnd"/>
      <w:r w:rsidR="00D8736E" w:rsidRPr="00631EE4">
        <w:rPr>
          <w:spacing w:val="-2"/>
        </w:rPr>
        <w:t>. 5216.0, ABS, Canberra.</w:t>
      </w:r>
      <w:r w:rsidR="00A73A91" w:rsidRPr="00631EE4">
        <w:rPr>
          <w:spacing w:val="-2"/>
        </w:rPr>
        <w:t xml:space="preserve"> </w:t>
      </w:r>
    </w:p>
    <w:p w:rsidR="00865660" w:rsidRPr="00631EE4" w:rsidRDefault="00466A00" w:rsidP="00890D8C">
      <w:pPr>
        <w:pStyle w:val="Reference"/>
        <w:rPr>
          <w:spacing w:val="-2"/>
        </w:rPr>
      </w:pPr>
      <w:r w:rsidRPr="00631EE4">
        <w:rPr>
          <w:spacing w:val="-2"/>
        </w:rPr>
        <w:t>—— </w:t>
      </w:r>
      <w:r w:rsidR="00865660" w:rsidRPr="00631EE4">
        <w:rPr>
          <w:spacing w:val="-2"/>
        </w:rPr>
        <w:t xml:space="preserve">2012b, </w:t>
      </w:r>
      <w:r w:rsidR="00865660" w:rsidRPr="00631EE4">
        <w:rPr>
          <w:i/>
          <w:spacing w:val="-2"/>
        </w:rPr>
        <w:t xml:space="preserve">Estimates of Industry Multifactor Productivity, Australia: Detailed Productivity Estimates, 2011-12, </w:t>
      </w:r>
      <w:r w:rsidR="00865660" w:rsidRPr="00631EE4">
        <w:rPr>
          <w:spacing w:val="-2"/>
        </w:rPr>
        <w:t xml:space="preserve">Cat. </w:t>
      </w:r>
      <w:proofErr w:type="gramStart"/>
      <w:r w:rsidR="00865660" w:rsidRPr="00631EE4">
        <w:rPr>
          <w:spacing w:val="-2"/>
        </w:rPr>
        <w:t>no. 5260.0.55.002, ABS, Canberra.</w:t>
      </w:r>
      <w:proofErr w:type="gramEnd"/>
    </w:p>
    <w:p w:rsidR="00F62FBF" w:rsidRPr="00631EE4" w:rsidRDefault="00466A00" w:rsidP="00890D8C">
      <w:pPr>
        <w:pStyle w:val="Reference"/>
        <w:rPr>
          <w:spacing w:val="-2"/>
        </w:rPr>
      </w:pPr>
      <w:r w:rsidRPr="00631EE4">
        <w:rPr>
          <w:spacing w:val="-2"/>
        </w:rPr>
        <w:t>—— </w:t>
      </w:r>
      <w:r w:rsidR="00F62FBF" w:rsidRPr="00631EE4">
        <w:rPr>
          <w:spacing w:val="-2"/>
        </w:rPr>
        <w:t>2011</w:t>
      </w:r>
      <w:r w:rsidR="00D8736E" w:rsidRPr="00631EE4">
        <w:rPr>
          <w:color w:val="FF0000"/>
          <w:spacing w:val="-2"/>
        </w:rPr>
        <w:t xml:space="preserve"> </w:t>
      </w:r>
      <w:r w:rsidR="00D8736E" w:rsidRPr="00631EE4">
        <w:rPr>
          <w:i/>
          <w:spacing w:val="-2"/>
        </w:rPr>
        <w:t>Australian System of National Accounts</w:t>
      </w:r>
      <w:r w:rsidR="00D8736E" w:rsidRPr="00631EE4">
        <w:rPr>
          <w:spacing w:val="-2"/>
        </w:rPr>
        <w:t xml:space="preserve">, 2010-11 Cat. </w:t>
      </w:r>
      <w:proofErr w:type="gramStart"/>
      <w:r w:rsidR="00D8736E" w:rsidRPr="00631EE4">
        <w:rPr>
          <w:spacing w:val="-2"/>
        </w:rPr>
        <w:t>no</w:t>
      </w:r>
      <w:proofErr w:type="gramEnd"/>
      <w:r w:rsidR="00D8736E" w:rsidRPr="00631EE4">
        <w:rPr>
          <w:spacing w:val="-2"/>
        </w:rPr>
        <w:t>. 5204.0, ABS, Canberra.</w:t>
      </w:r>
    </w:p>
    <w:p w:rsidR="00421A96" w:rsidRPr="00631EE4" w:rsidRDefault="00421A96" w:rsidP="00890D8C">
      <w:pPr>
        <w:pStyle w:val="Reference"/>
        <w:rPr>
          <w:spacing w:val="-2"/>
        </w:rPr>
      </w:pPr>
      <w:proofErr w:type="spellStart"/>
      <w:r w:rsidRPr="00631EE4">
        <w:rPr>
          <w:spacing w:val="-2"/>
        </w:rPr>
        <w:t>Aghion</w:t>
      </w:r>
      <w:proofErr w:type="spellEnd"/>
      <w:r w:rsidR="00C24544" w:rsidRPr="00631EE4">
        <w:rPr>
          <w:spacing w:val="-2"/>
        </w:rPr>
        <w:t>, P.</w:t>
      </w:r>
      <w:r w:rsidR="00E72348" w:rsidRPr="00631EE4">
        <w:rPr>
          <w:spacing w:val="-2"/>
        </w:rPr>
        <w:t xml:space="preserve"> and </w:t>
      </w:r>
      <w:r w:rsidR="00C24544" w:rsidRPr="00631EE4">
        <w:rPr>
          <w:spacing w:val="-2"/>
        </w:rPr>
        <w:t xml:space="preserve">Griffith, R. 2008, </w:t>
      </w:r>
      <w:r w:rsidR="00C24544" w:rsidRPr="00631EE4">
        <w:rPr>
          <w:i/>
          <w:spacing w:val="-2"/>
        </w:rPr>
        <w:t xml:space="preserve">Competition and Growth: </w:t>
      </w:r>
      <w:r w:rsidR="009233FB" w:rsidRPr="00631EE4">
        <w:rPr>
          <w:i/>
          <w:spacing w:val="-2"/>
        </w:rPr>
        <w:t xml:space="preserve">Reconciling Theory </w:t>
      </w:r>
      <w:r w:rsidR="00C24544" w:rsidRPr="00631EE4">
        <w:rPr>
          <w:i/>
          <w:spacing w:val="-2"/>
        </w:rPr>
        <w:t xml:space="preserve">and </w:t>
      </w:r>
      <w:r w:rsidR="009233FB" w:rsidRPr="00631EE4">
        <w:rPr>
          <w:i/>
          <w:spacing w:val="-2"/>
        </w:rPr>
        <w:t>Evidence</w:t>
      </w:r>
      <w:r w:rsidR="00C24544" w:rsidRPr="00631EE4">
        <w:rPr>
          <w:spacing w:val="-2"/>
        </w:rPr>
        <w:t>, MIT Press, Cambridge</w:t>
      </w:r>
      <w:r w:rsidR="00A51D0A" w:rsidRPr="00631EE4">
        <w:rPr>
          <w:spacing w:val="-2"/>
        </w:rPr>
        <w:t>,</w:t>
      </w:r>
      <w:r w:rsidR="000220F2" w:rsidRPr="00631EE4">
        <w:rPr>
          <w:spacing w:val="-2"/>
        </w:rPr>
        <w:t xml:space="preserve"> </w:t>
      </w:r>
      <w:r w:rsidR="00DC557E" w:rsidRPr="00631EE4">
        <w:rPr>
          <w:spacing w:val="-2"/>
        </w:rPr>
        <w:t>MA</w:t>
      </w:r>
      <w:r w:rsidR="00C24544" w:rsidRPr="00631EE4">
        <w:rPr>
          <w:spacing w:val="-2"/>
        </w:rPr>
        <w:t>.</w:t>
      </w:r>
    </w:p>
    <w:p w:rsidR="00F62FBF" w:rsidRPr="00631EE4" w:rsidRDefault="00FA0943" w:rsidP="00890D8C">
      <w:pPr>
        <w:pStyle w:val="Reference"/>
        <w:rPr>
          <w:spacing w:val="-2"/>
        </w:rPr>
      </w:pPr>
      <w:r w:rsidRPr="00631EE4">
        <w:rPr>
          <w:spacing w:val="-2"/>
        </w:rPr>
        <w:t>Arrow, K. J.</w:t>
      </w:r>
      <w:r w:rsidR="00466A00" w:rsidRPr="00631EE4">
        <w:rPr>
          <w:spacing w:val="-2"/>
        </w:rPr>
        <w:t xml:space="preserve"> 1962, ‘</w:t>
      </w:r>
      <w:r w:rsidRPr="00631EE4">
        <w:rPr>
          <w:spacing w:val="-2"/>
        </w:rPr>
        <w:t xml:space="preserve">The </w:t>
      </w:r>
      <w:r w:rsidR="000220F2" w:rsidRPr="00631EE4">
        <w:rPr>
          <w:spacing w:val="-2"/>
        </w:rPr>
        <w:t xml:space="preserve">economic implications </w:t>
      </w:r>
      <w:r w:rsidRPr="00631EE4">
        <w:rPr>
          <w:spacing w:val="-2"/>
        </w:rPr>
        <w:t xml:space="preserve">of </w:t>
      </w:r>
      <w:r w:rsidR="000220F2" w:rsidRPr="00631EE4">
        <w:rPr>
          <w:spacing w:val="-2"/>
        </w:rPr>
        <w:t xml:space="preserve">learning </w:t>
      </w:r>
      <w:r w:rsidRPr="00631EE4">
        <w:rPr>
          <w:spacing w:val="-2"/>
        </w:rPr>
        <w:t xml:space="preserve">by </w:t>
      </w:r>
      <w:r w:rsidR="000220F2" w:rsidRPr="00631EE4">
        <w:rPr>
          <w:spacing w:val="-2"/>
        </w:rPr>
        <w:t>doing’</w:t>
      </w:r>
      <w:r w:rsidRPr="00631EE4">
        <w:rPr>
          <w:spacing w:val="-2"/>
        </w:rPr>
        <w:t xml:space="preserve">, </w:t>
      </w:r>
      <w:r w:rsidRPr="00631EE4">
        <w:rPr>
          <w:i/>
          <w:spacing w:val="-2"/>
        </w:rPr>
        <w:t>Review of Economic Studies</w:t>
      </w:r>
      <w:r w:rsidRPr="00631EE4">
        <w:rPr>
          <w:spacing w:val="-2"/>
        </w:rPr>
        <w:t xml:space="preserve">, </w:t>
      </w:r>
      <w:r w:rsidR="009233FB" w:rsidRPr="00631EE4">
        <w:rPr>
          <w:spacing w:val="-2"/>
        </w:rPr>
        <w:t>v</w:t>
      </w:r>
      <w:r w:rsidRPr="00631EE4">
        <w:rPr>
          <w:spacing w:val="-2"/>
        </w:rPr>
        <w:t>o</w:t>
      </w:r>
      <w:r w:rsidR="009233FB" w:rsidRPr="00631EE4">
        <w:rPr>
          <w:spacing w:val="-2"/>
        </w:rPr>
        <w:t>l</w:t>
      </w:r>
      <w:r w:rsidR="008E2A3C" w:rsidRPr="00631EE4">
        <w:rPr>
          <w:spacing w:val="-2"/>
        </w:rPr>
        <w:t>. 29, pp. 155–</w:t>
      </w:r>
      <w:r w:rsidRPr="00631EE4">
        <w:rPr>
          <w:spacing w:val="-2"/>
        </w:rPr>
        <w:t>173.</w:t>
      </w:r>
    </w:p>
    <w:p w:rsidR="00754267" w:rsidRPr="00631EE4" w:rsidRDefault="00754267" w:rsidP="00890D8C">
      <w:pPr>
        <w:pStyle w:val="Reference"/>
        <w:rPr>
          <w:spacing w:val="-2"/>
        </w:rPr>
      </w:pPr>
      <w:proofErr w:type="gramStart"/>
      <w:r w:rsidRPr="00631EE4">
        <w:rPr>
          <w:spacing w:val="-2"/>
        </w:rPr>
        <w:t>Barnes, P. 2011</w:t>
      </w:r>
      <w:r w:rsidR="00466A00" w:rsidRPr="00631EE4">
        <w:rPr>
          <w:spacing w:val="-2"/>
        </w:rPr>
        <w:t>,</w:t>
      </w:r>
      <w:r w:rsidRPr="00631EE4">
        <w:rPr>
          <w:spacing w:val="-2"/>
        </w:rPr>
        <w:t xml:space="preserve"> </w:t>
      </w:r>
      <w:r w:rsidRPr="00631EE4">
        <w:rPr>
          <w:i/>
          <w:spacing w:val="-2"/>
        </w:rPr>
        <w:t>Multifactor Productivity Growth Cycles at the Industry Level</w:t>
      </w:r>
      <w:r w:rsidRPr="00631EE4">
        <w:rPr>
          <w:spacing w:val="-2"/>
        </w:rPr>
        <w:t>, Productivity Commission Staff Working Paper, Canberra.</w:t>
      </w:r>
      <w:proofErr w:type="gramEnd"/>
    </w:p>
    <w:p w:rsidR="00A01788" w:rsidRPr="00631EE4" w:rsidRDefault="00A01788" w:rsidP="00890D8C">
      <w:pPr>
        <w:pStyle w:val="Reference"/>
        <w:rPr>
          <w:spacing w:val="-2"/>
        </w:rPr>
      </w:pPr>
      <w:r w:rsidRPr="00631EE4">
        <w:rPr>
          <w:spacing w:val="-2"/>
        </w:rPr>
        <w:t xml:space="preserve">Barnes, P., Soames, L., Li, C. and Munoz, </w:t>
      </w:r>
      <w:r w:rsidR="008E2A3C" w:rsidRPr="00631EE4">
        <w:rPr>
          <w:spacing w:val="-2"/>
        </w:rPr>
        <w:t>M.</w:t>
      </w:r>
      <w:r w:rsidRPr="00631EE4">
        <w:rPr>
          <w:spacing w:val="-2"/>
        </w:rPr>
        <w:t xml:space="preserve"> 2013, </w:t>
      </w:r>
      <w:r w:rsidRPr="00631EE4">
        <w:rPr>
          <w:i/>
          <w:spacing w:val="-2"/>
        </w:rPr>
        <w:t>Productivity in Manufacturing: Measurement and Interpretation</w:t>
      </w:r>
      <w:r w:rsidRPr="00631EE4">
        <w:rPr>
          <w:spacing w:val="-2"/>
        </w:rPr>
        <w:t>, Productivity Commission Staff Working Paper, Canberra.</w:t>
      </w:r>
    </w:p>
    <w:p w:rsidR="00754267" w:rsidRPr="00631EE4" w:rsidRDefault="00754267" w:rsidP="00890D8C">
      <w:pPr>
        <w:pStyle w:val="Reference"/>
        <w:rPr>
          <w:spacing w:val="-2"/>
        </w:rPr>
      </w:pPr>
      <w:proofErr w:type="spellStart"/>
      <w:proofErr w:type="gramStart"/>
      <w:r w:rsidRPr="00631EE4">
        <w:rPr>
          <w:spacing w:val="-2"/>
        </w:rPr>
        <w:t>Basu</w:t>
      </w:r>
      <w:proofErr w:type="spellEnd"/>
      <w:r w:rsidRPr="00631EE4">
        <w:rPr>
          <w:spacing w:val="-2"/>
        </w:rPr>
        <w:t xml:space="preserve">, S. and Fernald, J. 2001, </w:t>
      </w:r>
      <w:r w:rsidR="0008771F" w:rsidRPr="00631EE4">
        <w:rPr>
          <w:spacing w:val="-2"/>
        </w:rPr>
        <w:t>‘</w:t>
      </w:r>
      <w:r w:rsidRPr="00631EE4">
        <w:rPr>
          <w:spacing w:val="-2"/>
        </w:rPr>
        <w:t xml:space="preserve">Why </w:t>
      </w:r>
      <w:r w:rsidR="004E4446" w:rsidRPr="00631EE4">
        <w:rPr>
          <w:spacing w:val="-2"/>
        </w:rPr>
        <w:t xml:space="preserve">is productivity </w:t>
      </w:r>
      <w:proofErr w:type="spellStart"/>
      <w:r w:rsidR="004E4446" w:rsidRPr="00631EE4">
        <w:rPr>
          <w:spacing w:val="-2"/>
        </w:rPr>
        <w:t>procyclical</w:t>
      </w:r>
      <w:proofErr w:type="spellEnd"/>
      <w:r w:rsidRPr="00631EE4">
        <w:rPr>
          <w:spacing w:val="-2"/>
        </w:rPr>
        <w:t>?</w:t>
      </w:r>
      <w:proofErr w:type="gramEnd"/>
      <w:r w:rsidRPr="00631EE4">
        <w:rPr>
          <w:spacing w:val="-2"/>
        </w:rPr>
        <w:t xml:space="preserve"> Why </w:t>
      </w:r>
      <w:r w:rsidR="004E4446" w:rsidRPr="00631EE4">
        <w:rPr>
          <w:spacing w:val="-2"/>
        </w:rPr>
        <w:t>do we care</w:t>
      </w:r>
      <w:r w:rsidRPr="00631EE4">
        <w:rPr>
          <w:spacing w:val="-2"/>
        </w:rPr>
        <w:t>?</w:t>
      </w:r>
      <w:r w:rsidR="0008771F" w:rsidRPr="00631EE4">
        <w:rPr>
          <w:spacing w:val="-2"/>
        </w:rPr>
        <w:t>’</w:t>
      </w:r>
      <w:r w:rsidRPr="00631EE4">
        <w:rPr>
          <w:spacing w:val="-2"/>
        </w:rPr>
        <w:t xml:space="preserve"> </w:t>
      </w:r>
      <w:r w:rsidR="00B137DE" w:rsidRPr="00631EE4">
        <w:rPr>
          <w:spacing w:val="-2"/>
        </w:rPr>
        <w:t>in</w:t>
      </w:r>
      <w:r w:rsidRPr="00631EE4">
        <w:rPr>
          <w:spacing w:val="-2"/>
        </w:rPr>
        <w:t xml:space="preserve"> </w:t>
      </w:r>
      <w:proofErr w:type="spellStart"/>
      <w:r w:rsidRPr="00631EE4">
        <w:rPr>
          <w:spacing w:val="-2"/>
        </w:rPr>
        <w:t>Hulten</w:t>
      </w:r>
      <w:proofErr w:type="spellEnd"/>
      <w:r w:rsidRPr="00631EE4">
        <w:rPr>
          <w:spacing w:val="-2"/>
        </w:rPr>
        <w:t>, C., Dean, E. and Harper, M. (</w:t>
      </w:r>
      <w:proofErr w:type="spellStart"/>
      <w:r w:rsidRPr="00631EE4">
        <w:rPr>
          <w:spacing w:val="-2"/>
        </w:rPr>
        <w:t>eds</w:t>
      </w:r>
      <w:proofErr w:type="spellEnd"/>
      <w:r w:rsidRPr="00631EE4">
        <w:rPr>
          <w:spacing w:val="-2"/>
        </w:rPr>
        <w:t xml:space="preserve">) </w:t>
      </w:r>
      <w:r w:rsidRPr="00631EE4">
        <w:rPr>
          <w:i/>
          <w:spacing w:val="-2"/>
        </w:rPr>
        <w:t>New Development in Productivity Analysis</w:t>
      </w:r>
      <w:r w:rsidR="0008771F" w:rsidRPr="00631EE4">
        <w:rPr>
          <w:spacing w:val="-2"/>
        </w:rPr>
        <w:t>,</w:t>
      </w:r>
      <w:r w:rsidR="008E2A3C" w:rsidRPr="00631EE4">
        <w:rPr>
          <w:spacing w:val="-2"/>
        </w:rPr>
        <w:t xml:space="preserve"> </w:t>
      </w:r>
      <w:r w:rsidRPr="00631EE4">
        <w:rPr>
          <w:spacing w:val="-2"/>
        </w:rPr>
        <w:t>University of Chicago Press, Chicago</w:t>
      </w:r>
      <w:proofErr w:type="gramStart"/>
      <w:r w:rsidRPr="00631EE4">
        <w:rPr>
          <w:spacing w:val="-2"/>
        </w:rPr>
        <w:t>,  pp</w:t>
      </w:r>
      <w:proofErr w:type="gramEnd"/>
      <w:r w:rsidRPr="00631EE4">
        <w:rPr>
          <w:spacing w:val="-2"/>
        </w:rPr>
        <w:t>.</w:t>
      </w:r>
      <w:r w:rsidR="008E2A3C" w:rsidRPr="00631EE4">
        <w:rPr>
          <w:spacing w:val="-2"/>
        </w:rPr>
        <w:t xml:space="preserve"> </w:t>
      </w:r>
      <w:r w:rsidRPr="00631EE4">
        <w:rPr>
          <w:spacing w:val="-2"/>
        </w:rPr>
        <w:t>225–302.</w:t>
      </w:r>
    </w:p>
    <w:p w:rsidR="00754267" w:rsidRPr="00631EE4" w:rsidRDefault="00754267" w:rsidP="00890D8C">
      <w:pPr>
        <w:pStyle w:val="Reference"/>
        <w:rPr>
          <w:spacing w:val="-2"/>
        </w:rPr>
      </w:pPr>
      <w:proofErr w:type="spellStart"/>
      <w:r w:rsidRPr="00631EE4">
        <w:rPr>
          <w:spacing w:val="-2"/>
        </w:rPr>
        <w:t>Diewert</w:t>
      </w:r>
      <w:proofErr w:type="spellEnd"/>
      <w:r w:rsidR="00466A00" w:rsidRPr="00631EE4">
        <w:rPr>
          <w:spacing w:val="-2"/>
        </w:rPr>
        <w:t>,</w:t>
      </w:r>
      <w:r w:rsidRPr="00631EE4">
        <w:rPr>
          <w:spacing w:val="-2"/>
        </w:rPr>
        <w:t xml:space="preserve"> E. W. and </w:t>
      </w:r>
      <w:r w:rsidR="00F62FBF" w:rsidRPr="00631EE4">
        <w:rPr>
          <w:spacing w:val="-2"/>
        </w:rPr>
        <w:t>Fox</w:t>
      </w:r>
      <w:r w:rsidR="00ED22CA" w:rsidRPr="00631EE4">
        <w:rPr>
          <w:spacing w:val="-2"/>
        </w:rPr>
        <w:t>, K.</w:t>
      </w:r>
      <w:r w:rsidR="00F62FBF" w:rsidRPr="00631EE4">
        <w:rPr>
          <w:spacing w:val="-2"/>
        </w:rPr>
        <w:t xml:space="preserve"> 2008</w:t>
      </w:r>
      <w:r w:rsidR="0008771F" w:rsidRPr="00631EE4">
        <w:rPr>
          <w:spacing w:val="-2"/>
        </w:rPr>
        <w:t>,</w:t>
      </w:r>
      <w:r w:rsidR="00FA0943" w:rsidRPr="00631EE4">
        <w:rPr>
          <w:spacing w:val="-2"/>
        </w:rPr>
        <w:t xml:space="preserve"> </w:t>
      </w:r>
      <w:r w:rsidR="0008771F" w:rsidRPr="00631EE4">
        <w:rPr>
          <w:spacing w:val="-2"/>
        </w:rPr>
        <w:t>‘</w:t>
      </w:r>
      <w:r w:rsidR="00FA0943" w:rsidRPr="00631EE4">
        <w:rPr>
          <w:spacing w:val="-2"/>
        </w:rPr>
        <w:t xml:space="preserve">On the estimation of returns to scale, technical progress and monopolistic </w:t>
      </w:r>
      <w:proofErr w:type="spellStart"/>
      <w:r w:rsidR="0008771F" w:rsidRPr="00631EE4">
        <w:rPr>
          <w:spacing w:val="-2"/>
        </w:rPr>
        <w:t>markups</w:t>
      </w:r>
      <w:r w:rsidR="00491B21" w:rsidRPr="00631EE4">
        <w:rPr>
          <w:spacing w:val="-2"/>
        </w:rPr>
        <w:t>’</w:t>
      </w:r>
      <w:proofErr w:type="spellEnd"/>
      <w:r w:rsidR="008E2A3C" w:rsidRPr="00631EE4">
        <w:rPr>
          <w:spacing w:val="-2"/>
        </w:rPr>
        <w:t xml:space="preserve"> </w:t>
      </w:r>
      <w:r w:rsidR="00FA0943" w:rsidRPr="00631EE4">
        <w:rPr>
          <w:i/>
          <w:spacing w:val="-2"/>
        </w:rPr>
        <w:t>Journal of Econometrics</w:t>
      </w:r>
      <w:r w:rsidR="00FA0943" w:rsidRPr="00631EE4">
        <w:rPr>
          <w:spacing w:val="-2"/>
        </w:rPr>
        <w:t xml:space="preserve"> </w:t>
      </w:r>
      <w:r w:rsidR="0008771F" w:rsidRPr="00631EE4">
        <w:rPr>
          <w:spacing w:val="-2"/>
        </w:rPr>
        <w:t>vol</w:t>
      </w:r>
      <w:r w:rsidR="00FA0943" w:rsidRPr="00631EE4">
        <w:rPr>
          <w:spacing w:val="-2"/>
        </w:rPr>
        <w:t>. 148, pp. 174–192.</w:t>
      </w:r>
    </w:p>
    <w:p w:rsidR="00754267" w:rsidRPr="00631EE4" w:rsidRDefault="00754267" w:rsidP="00890D8C">
      <w:pPr>
        <w:pStyle w:val="Reference"/>
        <w:rPr>
          <w:spacing w:val="-2"/>
        </w:rPr>
      </w:pPr>
      <w:proofErr w:type="spellStart"/>
      <w:r w:rsidRPr="00631EE4">
        <w:rPr>
          <w:spacing w:val="-2"/>
        </w:rPr>
        <w:t>Dowrick</w:t>
      </w:r>
      <w:proofErr w:type="spellEnd"/>
      <w:r w:rsidR="00466A00" w:rsidRPr="00631EE4">
        <w:rPr>
          <w:spacing w:val="-2"/>
        </w:rPr>
        <w:t>,</w:t>
      </w:r>
      <w:r w:rsidRPr="00631EE4">
        <w:rPr>
          <w:spacing w:val="-2"/>
        </w:rPr>
        <w:t xml:space="preserve"> S. 2004, </w:t>
      </w:r>
      <w:r w:rsidR="0008771F" w:rsidRPr="00631EE4">
        <w:rPr>
          <w:spacing w:val="-2"/>
        </w:rPr>
        <w:t>‘</w:t>
      </w:r>
      <w:r w:rsidRPr="00631EE4">
        <w:rPr>
          <w:spacing w:val="-2"/>
        </w:rPr>
        <w:t xml:space="preserve">Ideas and </w:t>
      </w:r>
      <w:r w:rsidR="0008771F" w:rsidRPr="00631EE4">
        <w:rPr>
          <w:spacing w:val="-2"/>
        </w:rPr>
        <w:t>education</w:t>
      </w:r>
      <w:r w:rsidRPr="00631EE4">
        <w:rPr>
          <w:spacing w:val="-2"/>
        </w:rPr>
        <w:t xml:space="preserve">: </w:t>
      </w:r>
      <w:r w:rsidR="0008771F" w:rsidRPr="00631EE4">
        <w:rPr>
          <w:spacing w:val="-2"/>
        </w:rPr>
        <w:t xml:space="preserve">level </w:t>
      </w:r>
      <w:r w:rsidRPr="00631EE4">
        <w:rPr>
          <w:spacing w:val="-2"/>
        </w:rPr>
        <w:t xml:space="preserve">or </w:t>
      </w:r>
      <w:r w:rsidR="0008771F" w:rsidRPr="00631EE4">
        <w:rPr>
          <w:spacing w:val="-2"/>
        </w:rPr>
        <w:t xml:space="preserve">growth effects </w:t>
      </w:r>
      <w:r w:rsidRPr="00631EE4">
        <w:rPr>
          <w:spacing w:val="-2"/>
        </w:rPr>
        <w:t xml:space="preserve">and </w:t>
      </w:r>
      <w:r w:rsidR="0008771F" w:rsidRPr="00631EE4">
        <w:rPr>
          <w:spacing w:val="-2"/>
        </w:rPr>
        <w:t xml:space="preserve">their implications </w:t>
      </w:r>
      <w:r w:rsidRPr="00631EE4">
        <w:rPr>
          <w:spacing w:val="-2"/>
        </w:rPr>
        <w:t>for Australia</w:t>
      </w:r>
      <w:r w:rsidR="0008771F" w:rsidRPr="00631EE4">
        <w:rPr>
          <w:spacing w:val="-2"/>
        </w:rPr>
        <w:t>’</w:t>
      </w:r>
      <w:r w:rsidRPr="00631EE4">
        <w:rPr>
          <w:spacing w:val="-2"/>
        </w:rPr>
        <w:t xml:space="preserve">, in Ito, T. and </w:t>
      </w:r>
      <w:r w:rsidR="002F6E99" w:rsidRPr="00631EE4">
        <w:rPr>
          <w:spacing w:val="-2"/>
        </w:rPr>
        <w:t xml:space="preserve">Rose, </w:t>
      </w:r>
      <w:r w:rsidRPr="00631EE4">
        <w:rPr>
          <w:spacing w:val="-2"/>
        </w:rPr>
        <w:t xml:space="preserve">A.K. </w:t>
      </w:r>
      <w:r w:rsidR="0008771F" w:rsidRPr="00631EE4">
        <w:rPr>
          <w:spacing w:val="-2"/>
        </w:rPr>
        <w:t>(</w:t>
      </w:r>
      <w:proofErr w:type="spellStart"/>
      <w:r w:rsidR="0008771F" w:rsidRPr="00631EE4">
        <w:rPr>
          <w:spacing w:val="-2"/>
        </w:rPr>
        <w:t>e</w:t>
      </w:r>
      <w:r w:rsidRPr="00631EE4">
        <w:rPr>
          <w:spacing w:val="-2"/>
        </w:rPr>
        <w:t>ds</w:t>
      </w:r>
      <w:proofErr w:type="spellEnd"/>
      <w:r w:rsidR="0008771F" w:rsidRPr="00631EE4">
        <w:rPr>
          <w:spacing w:val="-2"/>
        </w:rPr>
        <w:t>),</w:t>
      </w:r>
      <w:r w:rsidRPr="00631EE4">
        <w:rPr>
          <w:spacing w:val="-2"/>
        </w:rPr>
        <w:t xml:space="preserve"> </w:t>
      </w:r>
      <w:r w:rsidRPr="00631EE4">
        <w:rPr>
          <w:i/>
          <w:spacing w:val="-2"/>
        </w:rPr>
        <w:t>Growth and Productivity in East Asia</w:t>
      </w:r>
      <w:proofErr w:type="gramStart"/>
      <w:r w:rsidRPr="00631EE4">
        <w:rPr>
          <w:spacing w:val="-2"/>
        </w:rPr>
        <w:t>,  Chicago</w:t>
      </w:r>
      <w:proofErr w:type="gramEnd"/>
      <w:r w:rsidRPr="00631EE4">
        <w:rPr>
          <w:spacing w:val="-2"/>
        </w:rPr>
        <w:t xml:space="preserve"> University Press</w:t>
      </w:r>
      <w:r w:rsidR="0008771F" w:rsidRPr="00631EE4">
        <w:rPr>
          <w:spacing w:val="-2"/>
        </w:rPr>
        <w:t>, Chicago</w:t>
      </w:r>
      <w:r w:rsidR="00491B21" w:rsidRPr="00631EE4">
        <w:rPr>
          <w:spacing w:val="-2"/>
        </w:rPr>
        <w:t>,</w:t>
      </w:r>
      <w:r w:rsidR="0008771F" w:rsidRPr="00631EE4">
        <w:rPr>
          <w:spacing w:val="-2"/>
        </w:rPr>
        <w:t xml:space="preserve"> pp. 9</w:t>
      </w:r>
      <w:r w:rsidR="008E2A3C" w:rsidRPr="00631EE4">
        <w:rPr>
          <w:spacing w:val="-2"/>
        </w:rPr>
        <w:t>–</w:t>
      </w:r>
      <w:r w:rsidR="0008771F" w:rsidRPr="00631EE4">
        <w:rPr>
          <w:spacing w:val="-2"/>
        </w:rPr>
        <w:t>37</w:t>
      </w:r>
      <w:r w:rsidRPr="00631EE4">
        <w:rPr>
          <w:spacing w:val="-2"/>
        </w:rPr>
        <w:t>.</w:t>
      </w:r>
    </w:p>
    <w:p w:rsidR="00ED22CA" w:rsidRPr="00631EE4" w:rsidRDefault="00ED22CA" w:rsidP="00890D8C">
      <w:pPr>
        <w:pStyle w:val="Reference"/>
        <w:rPr>
          <w:spacing w:val="-2"/>
        </w:rPr>
      </w:pPr>
      <w:proofErr w:type="spellStart"/>
      <w:r w:rsidRPr="00631EE4">
        <w:rPr>
          <w:spacing w:val="-2"/>
        </w:rPr>
        <w:t>Griliches</w:t>
      </w:r>
      <w:proofErr w:type="spellEnd"/>
      <w:r w:rsidRPr="00631EE4">
        <w:rPr>
          <w:spacing w:val="-2"/>
        </w:rPr>
        <w:t xml:space="preserve">, Z., 1991, Hedonic price indexes and the measurement of capital and productivity: some historical reflections, NBER Chapters, in: </w:t>
      </w:r>
      <w:r w:rsidRPr="00631EE4">
        <w:rPr>
          <w:i/>
          <w:spacing w:val="-2"/>
        </w:rPr>
        <w:t>Fifty Years of Economic Measurement: The Jubilee of the Conference on Research in Income and Wealth</w:t>
      </w:r>
      <w:r w:rsidRPr="00631EE4">
        <w:rPr>
          <w:spacing w:val="-2"/>
        </w:rPr>
        <w:t xml:space="preserve">, National Bureau of Economic Research, pp. </w:t>
      </w:r>
      <w:r w:rsidR="008E2A3C" w:rsidRPr="00631EE4">
        <w:rPr>
          <w:spacing w:val="-2"/>
        </w:rPr>
        <w:t>185–</w:t>
      </w:r>
      <w:r w:rsidRPr="00631EE4">
        <w:rPr>
          <w:spacing w:val="-2"/>
        </w:rPr>
        <w:t>206.</w:t>
      </w:r>
    </w:p>
    <w:p w:rsidR="00BD7DE8" w:rsidRPr="00631EE4" w:rsidRDefault="00BD7DE8" w:rsidP="00890D8C">
      <w:pPr>
        <w:pStyle w:val="Reference"/>
        <w:rPr>
          <w:spacing w:val="-2"/>
        </w:rPr>
      </w:pPr>
      <w:r w:rsidRPr="00631EE4">
        <w:rPr>
          <w:spacing w:val="-2"/>
        </w:rPr>
        <w:t xml:space="preserve">Krugman, P. 1994, </w:t>
      </w:r>
      <w:r w:rsidR="00270476" w:rsidRPr="00631EE4">
        <w:rPr>
          <w:spacing w:val="-2"/>
        </w:rPr>
        <w:t>‘</w:t>
      </w:r>
      <w:proofErr w:type="gramStart"/>
      <w:r w:rsidRPr="00631EE4">
        <w:rPr>
          <w:spacing w:val="-2"/>
        </w:rPr>
        <w:t>The</w:t>
      </w:r>
      <w:proofErr w:type="gramEnd"/>
      <w:r w:rsidRPr="00631EE4">
        <w:rPr>
          <w:spacing w:val="-2"/>
        </w:rPr>
        <w:t xml:space="preserve"> </w:t>
      </w:r>
      <w:r w:rsidR="00270476" w:rsidRPr="00631EE4">
        <w:rPr>
          <w:spacing w:val="-2"/>
        </w:rPr>
        <w:t>m</w:t>
      </w:r>
      <w:r w:rsidRPr="00631EE4">
        <w:rPr>
          <w:spacing w:val="-2"/>
        </w:rPr>
        <w:t xml:space="preserve">yth of Asia’s </w:t>
      </w:r>
      <w:r w:rsidR="00270476" w:rsidRPr="00631EE4">
        <w:rPr>
          <w:spacing w:val="-2"/>
        </w:rPr>
        <w:t>m</w:t>
      </w:r>
      <w:r w:rsidRPr="00631EE4">
        <w:rPr>
          <w:spacing w:val="-2"/>
        </w:rPr>
        <w:t>iracle: a cautionary fable</w:t>
      </w:r>
      <w:r w:rsidR="00270476" w:rsidRPr="00631EE4">
        <w:rPr>
          <w:spacing w:val="-2"/>
        </w:rPr>
        <w:t>’</w:t>
      </w:r>
      <w:r w:rsidRPr="00631EE4">
        <w:rPr>
          <w:spacing w:val="-2"/>
        </w:rPr>
        <w:t xml:space="preserve">, </w:t>
      </w:r>
      <w:r w:rsidRPr="00631EE4">
        <w:rPr>
          <w:i/>
          <w:spacing w:val="-2"/>
        </w:rPr>
        <w:t>Foreign Affairs</w:t>
      </w:r>
      <w:r w:rsidRPr="00631EE4">
        <w:rPr>
          <w:spacing w:val="-2"/>
        </w:rPr>
        <w:t>, November/December, http://www.foreignaffairs.com/articles/50550/</w:t>
      </w:r>
      <w:r w:rsidR="00270476" w:rsidRPr="00631EE4">
        <w:rPr>
          <w:spacing w:val="-2"/>
        </w:rPr>
        <w:t xml:space="preserve"> </w:t>
      </w:r>
      <w:proofErr w:type="spellStart"/>
      <w:r w:rsidRPr="00631EE4">
        <w:rPr>
          <w:spacing w:val="-2"/>
        </w:rPr>
        <w:t>paul-krugman</w:t>
      </w:r>
      <w:proofErr w:type="spellEnd"/>
      <w:r w:rsidRPr="00631EE4">
        <w:rPr>
          <w:spacing w:val="-2"/>
        </w:rPr>
        <w:t>/</w:t>
      </w:r>
      <w:r w:rsidR="008E2A3C" w:rsidRPr="00631EE4">
        <w:rPr>
          <w:spacing w:val="-2"/>
        </w:rPr>
        <w:br/>
      </w:r>
      <w:r w:rsidRPr="00631EE4">
        <w:rPr>
          <w:spacing w:val="-2"/>
        </w:rPr>
        <w:t>the-myth-of-</w:t>
      </w:r>
      <w:proofErr w:type="spellStart"/>
      <w:r w:rsidRPr="00631EE4">
        <w:rPr>
          <w:spacing w:val="-2"/>
        </w:rPr>
        <w:t>asias</w:t>
      </w:r>
      <w:proofErr w:type="spellEnd"/>
      <w:r w:rsidRPr="00631EE4">
        <w:rPr>
          <w:spacing w:val="-2"/>
        </w:rPr>
        <w:t>-miracle#</w:t>
      </w:r>
    </w:p>
    <w:p w:rsidR="00754267" w:rsidRPr="00631EE4" w:rsidRDefault="00754267" w:rsidP="00890D8C">
      <w:pPr>
        <w:pStyle w:val="Reference"/>
        <w:rPr>
          <w:spacing w:val="-2"/>
        </w:rPr>
      </w:pPr>
      <w:r w:rsidRPr="00631EE4">
        <w:rPr>
          <w:spacing w:val="-2"/>
        </w:rPr>
        <w:t xml:space="preserve">Lucas, </w:t>
      </w:r>
      <w:r w:rsidR="00513F54" w:rsidRPr="00631EE4">
        <w:rPr>
          <w:spacing w:val="-2"/>
        </w:rPr>
        <w:t xml:space="preserve">R. </w:t>
      </w:r>
      <w:r w:rsidRPr="00631EE4">
        <w:rPr>
          <w:spacing w:val="-2"/>
        </w:rPr>
        <w:t xml:space="preserve">E., Jr. 1988, </w:t>
      </w:r>
      <w:r w:rsidR="00290269" w:rsidRPr="00631EE4">
        <w:rPr>
          <w:spacing w:val="-2"/>
        </w:rPr>
        <w:t>‘</w:t>
      </w:r>
      <w:r w:rsidRPr="00631EE4">
        <w:rPr>
          <w:spacing w:val="-2"/>
        </w:rPr>
        <w:t xml:space="preserve">On </w:t>
      </w:r>
      <w:r w:rsidR="00290269" w:rsidRPr="00631EE4">
        <w:rPr>
          <w:spacing w:val="-2"/>
        </w:rPr>
        <w:t>t</w:t>
      </w:r>
      <w:r w:rsidRPr="00631EE4">
        <w:rPr>
          <w:spacing w:val="-2"/>
        </w:rPr>
        <w:t xml:space="preserve">he </w:t>
      </w:r>
      <w:r w:rsidR="00290269" w:rsidRPr="00631EE4">
        <w:rPr>
          <w:spacing w:val="-2"/>
        </w:rPr>
        <w:t>m</w:t>
      </w:r>
      <w:r w:rsidRPr="00631EE4">
        <w:rPr>
          <w:spacing w:val="-2"/>
        </w:rPr>
        <w:t xml:space="preserve">echanics of </w:t>
      </w:r>
      <w:r w:rsidR="00290269" w:rsidRPr="00631EE4">
        <w:rPr>
          <w:spacing w:val="-2"/>
        </w:rPr>
        <w:t>e</w:t>
      </w:r>
      <w:r w:rsidRPr="00631EE4">
        <w:rPr>
          <w:spacing w:val="-2"/>
        </w:rPr>
        <w:t xml:space="preserve">conomic </w:t>
      </w:r>
      <w:r w:rsidR="00290269" w:rsidRPr="00631EE4">
        <w:rPr>
          <w:spacing w:val="-2"/>
        </w:rPr>
        <w:t>d</w:t>
      </w:r>
      <w:r w:rsidRPr="00631EE4">
        <w:rPr>
          <w:spacing w:val="-2"/>
        </w:rPr>
        <w:t xml:space="preserve">evelopment, </w:t>
      </w:r>
      <w:r w:rsidRPr="00631EE4">
        <w:rPr>
          <w:i/>
          <w:spacing w:val="-2"/>
        </w:rPr>
        <w:t>Jou</w:t>
      </w:r>
      <w:r w:rsidR="00466A00" w:rsidRPr="00631EE4">
        <w:rPr>
          <w:i/>
          <w:spacing w:val="-2"/>
        </w:rPr>
        <w:t>rnal of Monetary Economics</w:t>
      </w:r>
      <w:r w:rsidR="00466A00" w:rsidRPr="00631EE4">
        <w:rPr>
          <w:spacing w:val="-2"/>
        </w:rPr>
        <w:t>, v</w:t>
      </w:r>
      <w:r w:rsidRPr="00631EE4">
        <w:rPr>
          <w:spacing w:val="-2"/>
        </w:rPr>
        <w:t>ol</w:t>
      </w:r>
      <w:r w:rsidR="00466A00" w:rsidRPr="00631EE4">
        <w:rPr>
          <w:spacing w:val="-2"/>
        </w:rPr>
        <w:t xml:space="preserve">. 22, no. </w:t>
      </w:r>
      <w:r w:rsidR="008E2A3C" w:rsidRPr="00631EE4">
        <w:rPr>
          <w:spacing w:val="-2"/>
        </w:rPr>
        <w:t>1, pp. 3–</w:t>
      </w:r>
      <w:r w:rsidRPr="00631EE4">
        <w:rPr>
          <w:spacing w:val="-2"/>
        </w:rPr>
        <w:t>42.</w:t>
      </w:r>
    </w:p>
    <w:p w:rsidR="00170BBE" w:rsidRPr="00631EE4" w:rsidRDefault="00170BBE" w:rsidP="00890D8C">
      <w:pPr>
        <w:pStyle w:val="Reference"/>
        <w:rPr>
          <w:spacing w:val="-2"/>
        </w:rPr>
      </w:pPr>
      <w:r w:rsidRPr="00631EE4">
        <w:rPr>
          <w:spacing w:val="-2"/>
        </w:rPr>
        <w:lastRenderedPageBreak/>
        <w:t xml:space="preserve">McDougall, A., and Witte, E., 2010, </w:t>
      </w:r>
      <w:r w:rsidR="00290269" w:rsidRPr="00631EE4">
        <w:rPr>
          <w:spacing w:val="-2"/>
        </w:rPr>
        <w:t>‘</w:t>
      </w:r>
      <w:r w:rsidRPr="00631EE4">
        <w:rPr>
          <w:spacing w:val="-2"/>
        </w:rPr>
        <w:t>Knowledge hubs, innovation precincts, technology parks, employment centres — whatever label you want — they are much more than real estate projects!</w:t>
      </w:r>
      <w:r w:rsidR="00290269" w:rsidRPr="00631EE4">
        <w:rPr>
          <w:spacing w:val="-2"/>
        </w:rPr>
        <w:t>’</w:t>
      </w:r>
      <w:r w:rsidRPr="00631EE4">
        <w:rPr>
          <w:spacing w:val="-2"/>
        </w:rPr>
        <w:t xml:space="preserve">, </w:t>
      </w:r>
      <w:r w:rsidRPr="00631EE4">
        <w:rPr>
          <w:i/>
          <w:spacing w:val="-2"/>
        </w:rPr>
        <w:t>Economic Development Australia</w:t>
      </w:r>
      <w:r w:rsidRPr="00631EE4">
        <w:rPr>
          <w:spacing w:val="-2"/>
        </w:rPr>
        <w:t>, vol. 4, no. 3, pp. 29</w:t>
      </w:r>
      <w:r w:rsidR="008E2A3C" w:rsidRPr="00631EE4">
        <w:rPr>
          <w:spacing w:val="-2"/>
        </w:rPr>
        <w:t>–</w:t>
      </w:r>
      <w:r w:rsidRPr="00631EE4">
        <w:rPr>
          <w:spacing w:val="-2"/>
        </w:rPr>
        <w:t>32.</w:t>
      </w:r>
    </w:p>
    <w:p w:rsidR="00754267" w:rsidRPr="00631EE4" w:rsidRDefault="00754267" w:rsidP="00890D8C">
      <w:pPr>
        <w:pStyle w:val="Reference"/>
        <w:rPr>
          <w:spacing w:val="-2"/>
        </w:rPr>
      </w:pPr>
      <w:r w:rsidRPr="00631EE4">
        <w:rPr>
          <w:spacing w:val="-2"/>
        </w:rPr>
        <w:t xml:space="preserve">OECD </w:t>
      </w:r>
      <w:r w:rsidR="00466A00" w:rsidRPr="00631EE4">
        <w:rPr>
          <w:spacing w:val="-2"/>
        </w:rPr>
        <w:t>(</w:t>
      </w:r>
      <w:r w:rsidR="00F02E88" w:rsidRPr="00631EE4">
        <w:rPr>
          <w:color w:val="000000"/>
          <w:spacing w:val="-2"/>
          <w:lang w:val="en"/>
        </w:rPr>
        <w:t>Organiz</w:t>
      </w:r>
      <w:r w:rsidR="00466A00" w:rsidRPr="00631EE4">
        <w:rPr>
          <w:color w:val="000000"/>
          <w:spacing w:val="-2"/>
          <w:lang w:val="en"/>
        </w:rPr>
        <w:t>ation for Economic Cooperation and Development</w:t>
      </w:r>
      <w:r w:rsidR="00F02E88" w:rsidRPr="00631EE4">
        <w:rPr>
          <w:color w:val="000000"/>
          <w:spacing w:val="-2"/>
          <w:lang w:val="en"/>
        </w:rPr>
        <w:t>)</w:t>
      </w:r>
      <w:r w:rsidR="00466A00" w:rsidRPr="00631EE4">
        <w:rPr>
          <w:color w:val="000000"/>
          <w:spacing w:val="-2"/>
          <w:lang w:val="en"/>
        </w:rPr>
        <w:t xml:space="preserve"> </w:t>
      </w:r>
      <w:r w:rsidRPr="00631EE4">
        <w:rPr>
          <w:spacing w:val="-2"/>
        </w:rPr>
        <w:t>2001</w:t>
      </w:r>
      <w:r w:rsidR="00290269" w:rsidRPr="00631EE4">
        <w:rPr>
          <w:spacing w:val="-2"/>
        </w:rPr>
        <w:t>,</w:t>
      </w:r>
      <w:r w:rsidRPr="00631EE4">
        <w:rPr>
          <w:spacing w:val="-2"/>
        </w:rPr>
        <w:t xml:space="preserve"> </w:t>
      </w:r>
      <w:r w:rsidRPr="00631EE4">
        <w:rPr>
          <w:i/>
          <w:spacing w:val="-2"/>
        </w:rPr>
        <w:t>Measuring Productivity: Measurement of Aggregate and Industry-level Productivity Growth</w:t>
      </w:r>
      <w:r w:rsidRPr="00631EE4">
        <w:rPr>
          <w:spacing w:val="-2"/>
        </w:rPr>
        <w:t>, OECD Manual</w:t>
      </w:r>
      <w:r w:rsidR="00321879" w:rsidRPr="00631EE4">
        <w:rPr>
          <w:spacing w:val="-2"/>
        </w:rPr>
        <w:t>.</w:t>
      </w:r>
    </w:p>
    <w:p w:rsidR="00F62FBF" w:rsidRPr="00631EE4" w:rsidRDefault="00ED22CA" w:rsidP="00890D8C">
      <w:pPr>
        <w:pStyle w:val="Reference"/>
        <w:rPr>
          <w:spacing w:val="-2"/>
        </w:rPr>
      </w:pPr>
      <w:r w:rsidRPr="00631EE4">
        <w:rPr>
          <w:spacing w:val="-2"/>
        </w:rPr>
        <w:t>Parham, D.</w:t>
      </w:r>
      <w:r w:rsidR="00D8736E" w:rsidRPr="00631EE4">
        <w:rPr>
          <w:spacing w:val="-2"/>
        </w:rPr>
        <w:t xml:space="preserve">, </w:t>
      </w:r>
      <w:r w:rsidR="00F62FBF" w:rsidRPr="00631EE4">
        <w:rPr>
          <w:spacing w:val="-2"/>
        </w:rPr>
        <w:t>Roberts</w:t>
      </w:r>
      <w:r w:rsidR="00D8736E" w:rsidRPr="00631EE4">
        <w:rPr>
          <w:spacing w:val="-2"/>
        </w:rPr>
        <w:t xml:space="preserve">, P. and </w:t>
      </w:r>
      <w:r w:rsidR="00F62FBF" w:rsidRPr="00631EE4">
        <w:rPr>
          <w:spacing w:val="-2"/>
        </w:rPr>
        <w:t>Sun</w:t>
      </w:r>
      <w:r w:rsidR="00D8736E" w:rsidRPr="00631EE4">
        <w:rPr>
          <w:spacing w:val="-2"/>
        </w:rPr>
        <w:t>, H.</w:t>
      </w:r>
      <w:r w:rsidR="00F62FBF" w:rsidRPr="00631EE4">
        <w:rPr>
          <w:spacing w:val="-2"/>
        </w:rPr>
        <w:t xml:space="preserve"> 2001</w:t>
      </w:r>
      <w:r w:rsidR="00D8736E" w:rsidRPr="00631EE4">
        <w:rPr>
          <w:spacing w:val="-2"/>
        </w:rPr>
        <w:t xml:space="preserve">, </w:t>
      </w:r>
      <w:r w:rsidR="00D8736E" w:rsidRPr="00631EE4">
        <w:rPr>
          <w:i/>
          <w:spacing w:val="-2"/>
        </w:rPr>
        <w:t>Information Technology and Australia’s Productivity Surge</w:t>
      </w:r>
      <w:r w:rsidR="00D8736E" w:rsidRPr="00631EE4">
        <w:rPr>
          <w:spacing w:val="-2"/>
        </w:rPr>
        <w:t xml:space="preserve">, </w:t>
      </w:r>
      <w:r w:rsidRPr="00631EE4">
        <w:rPr>
          <w:spacing w:val="-2"/>
        </w:rPr>
        <w:t xml:space="preserve">Productivity Commission </w:t>
      </w:r>
      <w:r w:rsidR="00D8736E" w:rsidRPr="00631EE4">
        <w:rPr>
          <w:spacing w:val="-2"/>
        </w:rPr>
        <w:t>Staff Research Paper, 11 October.</w:t>
      </w:r>
    </w:p>
    <w:p w:rsidR="00754267" w:rsidRPr="00631EE4" w:rsidRDefault="00F02E88" w:rsidP="00890D8C">
      <w:pPr>
        <w:pStyle w:val="Reference"/>
        <w:rPr>
          <w:spacing w:val="-2"/>
        </w:rPr>
      </w:pPr>
      <w:r w:rsidRPr="00631EE4">
        <w:rPr>
          <w:spacing w:val="-2"/>
        </w:rPr>
        <w:t>PC (</w:t>
      </w:r>
      <w:r w:rsidR="00F62FBF" w:rsidRPr="00631EE4">
        <w:rPr>
          <w:spacing w:val="-2"/>
        </w:rPr>
        <w:t>Productivity Commission</w:t>
      </w:r>
      <w:r w:rsidRPr="00631EE4">
        <w:rPr>
          <w:spacing w:val="-2"/>
        </w:rPr>
        <w:t>)</w:t>
      </w:r>
      <w:r w:rsidR="00F62FBF" w:rsidRPr="00631EE4">
        <w:rPr>
          <w:spacing w:val="-2"/>
        </w:rPr>
        <w:t xml:space="preserve"> 200</w:t>
      </w:r>
      <w:r w:rsidR="00170BBE" w:rsidRPr="00631EE4">
        <w:rPr>
          <w:spacing w:val="-2"/>
        </w:rPr>
        <w:t>4</w:t>
      </w:r>
      <w:r w:rsidR="00754267" w:rsidRPr="00631EE4">
        <w:rPr>
          <w:spacing w:val="-2"/>
        </w:rPr>
        <w:t xml:space="preserve">, </w:t>
      </w:r>
      <w:r w:rsidR="00170BBE" w:rsidRPr="00631EE4">
        <w:rPr>
          <w:i/>
          <w:spacing w:val="-2"/>
        </w:rPr>
        <w:t>ICT Use and Productivity: A Synthesis from Studies of Australian Firms</w:t>
      </w:r>
      <w:r w:rsidR="00754267" w:rsidRPr="00631EE4">
        <w:rPr>
          <w:spacing w:val="-2"/>
        </w:rPr>
        <w:t xml:space="preserve">, </w:t>
      </w:r>
      <w:r w:rsidR="0089001F" w:rsidRPr="00631EE4">
        <w:rPr>
          <w:spacing w:val="-2"/>
        </w:rPr>
        <w:t xml:space="preserve">Productivity </w:t>
      </w:r>
      <w:r w:rsidR="00170BBE" w:rsidRPr="00631EE4">
        <w:rPr>
          <w:spacing w:val="-2"/>
        </w:rPr>
        <w:t>Commission Research Paper</w:t>
      </w:r>
      <w:r w:rsidRPr="00631EE4">
        <w:rPr>
          <w:spacing w:val="-2"/>
        </w:rPr>
        <w:t xml:space="preserve">, </w:t>
      </w:r>
      <w:proofErr w:type="gramStart"/>
      <w:r w:rsidR="00754267" w:rsidRPr="00631EE4">
        <w:rPr>
          <w:spacing w:val="-2"/>
        </w:rPr>
        <w:t>Canberra</w:t>
      </w:r>
      <w:proofErr w:type="gramEnd"/>
      <w:r w:rsidR="000220F2" w:rsidRPr="00631EE4">
        <w:rPr>
          <w:spacing w:val="-2"/>
        </w:rPr>
        <w:t>.</w:t>
      </w:r>
    </w:p>
    <w:p w:rsidR="008E2A3C" w:rsidRPr="00631EE4" w:rsidRDefault="008E2A3C" w:rsidP="00890D8C">
      <w:pPr>
        <w:pStyle w:val="Reference"/>
        <w:rPr>
          <w:spacing w:val="-2"/>
        </w:rPr>
      </w:pPr>
      <w:r w:rsidRPr="00631EE4">
        <w:rPr>
          <w:spacing w:val="-2"/>
          <w:szCs w:val="24"/>
        </w:rPr>
        <w:t xml:space="preserve">—— 2012, ‘Economy-wide modelling of impacts of COAG reforms’, Supplement to </w:t>
      </w:r>
      <w:r w:rsidRPr="00631EE4">
        <w:rPr>
          <w:i/>
          <w:spacing w:val="-2"/>
          <w:szCs w:val="24"/>
        </w:rPr>
        <w:t>Impacts of COAG Reforms: Business Regulation and VET</w:t>
      </w:r>
      <w:r w:rsidRPr="00631EE4">
        <w:rPr>
          <w:spacing w:val="-2"/>
          <w:szCs w:val="24"/>
        </w:rPr>
        <w:t>, Canberra, July.</w:t>
      </w:r>
    </w:p>
    <w:p w:rsidR="00170BBE" w:rsidRPr="00631EE4" w:rsidRDefault="00170BBE" w:rsidP="00890D8C">
      <w:pPr>
        <w:pStyle w:val="Reference"/>
        <w:rPr>
          <w:spacing w:val="-2"/>
        </w:rPr>
      </w:pPr>
      <w:r w:rsidRPr="00631EE4">
        <w:rPr>
          <w:spacing w:val="-2"/>
        </w:rPr>
        <w:t xml:space="preserve">—— 2005, </w:t>
      </w:r>
      <w:r w:rsidRPr="00631EE4">
        <w:rPr>
          <w:i/>
          <w:spacing w:val="-2"/>
        </w:rPr>
        <w:t>Review of the National Competition Policy Arrangements</w:t>
      </w:r>
      <w:r w:rsidR="008E2A3C" w:rsidRPr="00631EE4">
        <w:rPr>
          <w:spacing w:val="-2"/>
        </w:rPr>
        <w:t>, Inquiry Report No. </w:t>
      </w:r>
      <w:r w:rsidRPr="00631EE4">
        <w:rPr>
          <w:spacing w:val="-2"/>
        </w:rPr>
        <w:t>33, Canberra</w:t>
      </w:r>
      <w:r w:rsidR="000220F2" w:rsidRPr="00631EE4">
        <w:rPr>
          <w:spacing w:val="-2"/>
        </w:rPr>
        <w:t>.</w:t>
      </w:r>
    </w:p>
    <w:p w:rsidR="00170BBE" w:rsidRPr="00631EE4" w:rsidRDefault="00F02E88" w:rsidP="00890D8C">
      <w:pPr>
        <w:pStyle w:val="Reference"/>
        <w:rPr>
          <w:spacing w:val="-2"/>
        </w:rPr>
      </w:pPr>
      <w:r w:rsidRPr="00631EE4">
        <w:rPr>
          <w:spacing w:val="-2"/>
        </w:rPr>
        <w:t>—— </w:t>
      </w:r>
      <w:r w:rsidR="00754267" w:rsidRPr="00631EE4">
        <w:rPr>
          <w:spacing w:val="-2"/>
        </w:rPr>
        <w:t xml:space="preserve">2009, </w:t>
      </w:r>
      <w:r w:rsidR="00754267" w:rsidRPr="00631EE4">
        <w:rPr>
          <w:i/>
          <w:spacing w:val="-2"/>
        </w:rPr>
        <w:t>Submission to the House of Representatives Standing Committee on Economics: Inquiry into Raising the Level of Productivity Growth in Australia</w:t>
      </w:r>
      <w:r w:rsidR="000220F2" w:rsidRPr="00631EE4">
        <w:rPr>
          <w:i/>
          <w:spacing w:val="-2"/>
        </w:rPr>
        <w:t>.</w:t>
      </w:r>
      <w:r w:rsidR="00170BBE" w:rsidRPr="00631EE4">
        <w:rPr>
          <w:spacing w:val="-2"/>
        </w:rPr>
        <w:t xml:space="preserve">—— 2012, </w:t>
      </w:r>
      <w:r w:rsidR="00520CFF" w:rsidRPr="00631EE4">
        <w:rPr>
          <w:i/>
          <w:spacing w:val="-2"/>
        </w:rPr>
        <w:t>Impacts of COAG Reforms: Business Regulation and VET</w:t>
      </w:r>
      <w:r w:rsidR="00520CFF" w:rsidRPr="00631EE4">
        <w:rPr>
          <w:spacing w:val="-2"/>
        </w:rPr>
        <w:t>, Research Report, Canberra.</w:t>
      </w:r>
    </w:p>
    <w:p w:rsidR="00754267" w:rsidRPr="00631EE4" w:rsidRDefault="00754267" w:rsidP="00890D8C">
      <w:pPr>
        <w:pStyle w:val="Reference"/>
        <w:rPr>
          <w:spacing w:val="-2"/>
        </w:rPr>
      </w:pPr>
      <w:proofErr w:type="spellStart"/>
      <w:proofErr w:type="gramStart"/>
      <w:r w:rsidRPr="00631EE4">
        <w:rPr>
          <w:spacing w:val="-2"/>
        </w:rPr>
        <w:t>Romer</w:t>
      </w:r>
      <w:proofErr w:type="spellEnd"/>
      <w:r w:rsidR="008E2A3C" w:rsidRPr="00631EE4">
        <w:rPr>
          <w:spacing w:val="-2"/>
        </w:rPr>
        <w:t>,</w:t>
      </w:r>
      <w:r w:rsidRPr="00631EE4">
        <w:rPr>
          <w:spacing w:val="-2"/>
        </w:rPr>
        <w:t xml:space="preserve"> P. 1986, </w:t>
      </w:r>
      <w:r w:rsidR="002A63F7" w:rsidRPr="00631EE4">
        <w:rPr>
          <w:spacing w:val="-2"/>
        </w:rPr>
        <w:t>‘</w:t>
      </w:r>
      <w:r w:rsidRPr="00631EE4">
        <w:rPr>
          <w:spacing w:val="-2"/>
        </w:rPr>
        <w:t xml:space="preserve">Increasing </w:t>
      </w:r>
      <w:r w:rsidR="000D0DFC" w:rsidRPr="00631EE4">
        <w:rPr>
          <w:spacing w:val="-2"/>
        </w:rPr>
        <w:t xml:space="preserve">returns </w:t>
      </w:r>
      <w:r w:rsidRPr="00631EE4">
        <w:rPr>
          <w:spacing w:val="-2"/>
        </w:rPr>
        <w:t xml:space="preserve">and </w:t>
      </w:r>
      <w:r w:rsidR="000D0DFC" w:rsidRPr="00631EE4">
        <w:rPr>
          <w:spacing w:val="-2"/>
        </w:rPr>
        <w:t>long</w:t>
      </w:r>
      <w:r w:rsidRPr="00631EE4">
        <w:rPr>
          <w:spacing w:val="-2"/>
        </w:rPr>
        <w:t xml:space="preserve">-run </w:t>
      </w:r>
      <w:r w:rsidR="000D0DFC" w:rsidRPr="00631EE4">
        <w:rPr>
          <w:spacing w:val="-2"/>
        </w:rPr>
        <w:t>growth’</w:t>
      </w:r>
      <w:r w:rsidRPr="00631EE4">
        <w:rPr>
          <w:spacing w:val="-2"/>
        </w:rPr>
        <w:t xml:space="preserve">, </w:t>
      </w:r>
      <w:r w:rsidRPr="00631EE4">
        <w:rPr>
          <w:i/>
          <w:spacing w:val="-2"/>
        </w:rPr>
        <w:t>Journal of Political Economy</w:t>
      </w:r>
      <w:r w:rsidRPr="00631EE4">
        <w:rPr>
          <w:spacing w:val="-2"/>
        </w:rPr>
        <w:t xml:space="preserve">, </w:t>
      </w:r>
      <w:r w:rsidR="000D0DFC" w:rsidRPr="00631EE4">
        <w:rPr>
          <w:spacing w:val="-2"/>
        </w:rPr>
        <w:t>vol</w:t>
      </w:r>
      <w:r w:rsidR="008E2A3C" w:rsidRPr="00631EE4">
        <w:rPr>
          <w:spacing w:val="-2"/>
        </w:rPr>
        <w:t>.</w:t>
      </w:r>
      <w:r w:rsidR="000D0DFC" w:rsidRPr="00631EE4">
        <w:rPr>
          <w:spacing w:val="-2"/>
        </w:rPr>
        <w:t xml:space="preserve"> </w:t>
      </w:r>
      <w:r w:rsidRPr="00631EE4">
        <w:rPr>
          <w:spacing w:val="-2"/>
        </w:rPr>
        <w:t>94</w:t>
      </w:r>
      <w:r w:rsidR="000D0DFC" w:rsidRPr="00631EE4">
        <w:rPr>
          <w:spacing w:val="-2"/>
        </w:rPr>
        <w:t>, no. 5</w:t>
      </w:r>
      <w:r w:rsidR="008E2A3C" w:rsidRPr="00631EE4">
        <w:rPr>
          <w:spacing w:val="-2"/>
        </w:rPr>
        <w:t>, pp. 1002–</w:t>
      </w:r>
      <w:r w:rsidRPr="00631EE4">
        <w:rPr>
          <w:spacing w:val="-2"/>
        </w:rPr>
        <w:t>37.</w:t>
      </w:r>
      <w:proofErr w:type="gramEnd"/>
    </w:p>
    <w:p w:rsidR="00754267" w:rsidRPr="00631EE4" w:rsidRDefault="00F02E88" w:rsidP="00890D8C">
      <w:pPr>
        <w:pStyle w:val="Reference"/>
        <w:rPr>
          <w:spacing w:val="-2"/>
        </w:rPr>
      </w:pPr>
      <w:proofErr w:type="gramStart"/>
      <w:r w:rsidRPr="00631EE4">
        <w:rPr>
          <w:spacing w:val="-2"/>
        </w:rPr>
        <w:t>—— </w:t>
      </w:r>
      <w:r w:rsidR="00754267" w:rsidRPr="00631EE4">
        <w:rPr>
          <w:spacing w:val="-2"/>
        </w:rPr>
        <w:t>1990</w:t>
      </w:r>
      <w:r w:rsidR="00D93486" w:rsidRPr="00631EE4">
        <w:rPr>
          <w:spacing w:val="-2"/>
        </w:rPr>
        <w:t>,</w:t>
      </w:r>
      <w:r w:rsidR="00754267" w:rsidRPr="00631EE4">
        <w:rPr>
          <w:spacing w:val="-2"/>
        </w:rPr>
        <w:t xml:space="preserve"> </w:t>
      </w:r>
      <w:r w:rsidR="00D93486" w:rsidRPr="00631EE4">
        <w:rPr>
          <w:spacing w:val="-2"/>
        </w:rPr>
        <w:t>‘</w:t>
      </w:r>
      <w:r w:rsidR="00754267" w:rsidRPr="00631EE4">
        <w:rPr>
          <w:spacing w:val="-2"/>
        </w:rPr>
        <w:t xml:space="preserve">Endogenous </w:t>
      </w:r>
      <w:r w:rsidR="00D93486" w:rsidRPr="00631EE4">
        <w:rPr>
          <w:spacing w:val="-2"/>
        </w:rPr>
        <w:t>technological change’</w:t>
      </w:r>
      <w:r w:rsidR="00754267" w:rsidRPr="00631EE4">
        <w:rPr>
          <w:spacing w:val="-2"/>
        </w:rPr>
        <w:t xml:space="preserve">, </w:t>
      </w:r>
      <w:r w:rsidR="00754267" w:rsidRPr="00631EE4">
        <w:rPr>
          <w:i/>
          <w:spacing w:val="-2"/>
        </w:rPr>
        <w:t>Journal of Political Economy</w:t>
      </w:r>
      <w:r w:rsidR="00754267" w:rsidRPr="00631EE4">
        <w:rPr>
          <w:spacing w:val="-2"/>
        </w:rPr>
        <w:t xml:space="preserve">, </w:t>
      </w:r>
      <w:r w:rsidRPr="00631EE4">
        <w:rPr>
          <w:spacing w:val="-2"/>
        </w:rPr>
        <w:t>vol. </w:t>
      </w:r>
      <w:r w:rsidR="00754267" w:rsidRPr="00631EE4">
        <w:rPr>
          <w:spacing w:val="-2"/>
        </w:rPr>
        <w:t>9</w:t>
      </w:r>
      <w:r w:rsidRPr="00631EE4">
        <w:rPr>
          <w:spacing w:val="-2"/>
        </w:rPr>
        <w:t>8, n</w:t>
      </w:r>
      <w:r w:rsidR="008E2A3C" w:rsidRPr="00631EE4">
        <w:rPr>
          <w:spacing w:val="-2"/>
        </w:rPr>
        <w:t>o. 5, pp. S71–</w:t>
      </w:r>
      <w:r w:rsidR="00754267" w:rsidRPr="00631EE4">
        <w:rPr>
          <w:spacing w:val="-2"/>
        </w:rPr>
        <w:t>102</w:t>
      </w:r>
      <w:r w:rsidR="00D93486" w:rsidRPr="00631EE4">
        <w:rPr>
          <w:spacing w:val="-2"/>
        </w:rPr>
        <w:t>.</w:t>
      </w:r>
      <w:proofErr w:type="gramEnd"/>
    </w:p>
    <w:p w:rsidR="00A01788" w:rsidRPr="00631EE4" w:rsidRDefault="00A01788" w:rsidP="00A01788">
      <w:pPr>
        <w:pStyle w:val="Reference"/>
        <w:rPr>
          <w:spacing w:val="-2"/>
        </w:rPr>
      </w:pPr>
      <w:r w:rsidRPr="00631EE4">
        <w:rPr>
          <w:spacing w:val="-2"/>
        </w:rPr>
        <w:t xml:space="preserve">Schumpeter, J. A., 1934, </w:t>
      </w:r>
      <w:proofErr w:type="gramStart"/>
      <w:r w:rsidRPr="00631EE4">
        <w:rPr>
          <w:i/>
          <w:spacing w:val="-2"/>
        </w:rPr>
        <w:t>The</w:t>
      </w:r>
      <w:proofErr w:type="gramEnd"/>
      <w:r w:rsidRPr="00631EE4">
        <w:rPr>
          <w:i/>
          <w:spacing w:val="-2"/>
        </w:rPr>
        <w:t xml:space="preserve"> Theory of Economic Development: An Inquiry into Profits, Capital, Credit, Interest and the Business Cycle</w:t>
      </w:r>
      <w:r w:rsidRPr="00631EE4">
        <w:rPr>
          <w:spacing w:val="-2"/>
        </w:rPr>
        <w:t xml:space="preserve">, Oxford University Press, London. </w:t>
      </w:r>
    </w:p>
    <w:p w:rsidR="00715C20" w:rsidRPr="00631EE4" w:rsidRDefault="00715C20" w:rsidP="00890D8C">
      <w:pPr>
        <w:pStyle w:val="Reference"/>
        <w:rPr>
          <w:spacing w:val="-2"/>
        </w:rPr>
      </w:pPr>
      <w:r w:rsidRPr="00631EE4">
        <w:rPr>
          <w:spacing w:val="-2"/>
        </w:rPr>
        <w:t>Sheng Y., Zhao</w:t>
      </w:r>
      <w:r w:rsidR="00D93486" w:rsidRPr="00631EE4">
        <w:rPr>
          <w:spacing w:val="-2"/>
        </w:rPr>
        <w:t>, S.</w:t>
      </w:r>
      <w:r w:rsidRPr="00631EE4">
        <w:rPr>
          <w:spacing w:val="-2"/>
        </w:rPr>
        <w:t xml:space="preserve">, </w:t>
      </w:r>
      <w:proofErr w:type="spellStart"/>
      <w:r w:rsidRPr="00631EE4">
        <w:rPr>
          <w:spacing w:val="-2"/>
        </w:rPr>
        <w:t>Nossal</w:t>
      </w:r>
      <w:proofErr w:type="spellEnd"/>
      <w:r w:rsidR="00D93486" w:rsidRPr="00631EE4">
        <w:rPr>
          <w:spacing w:val="-2"/>
        </w:rPr>
        <w:t>, K.</w:t>
      </w:r>
      <w:r w:rsidR="008E2A3C" w:rsidRPr="00631EE4">
        <w:rPr>
          <w:spacing w:val="-2"/>
        </w:rPr>
        <w:t xml:space="preserve"> and</w:t>
      </w:r>
      <w:r w:rsidRPr="00631EE4">
        <w:rPr>
          <w:spacing w:val="-2"/>
        </w:rPr>
        <w:t xml:space="preserve"> Zhang</w:t>
      </w:r>
      <w:r w:rsidR="00D93486" w:rsidRPr="00631EE4">
        <w:rPr>
          <w:spacing w:val="-2"/>
        </w:rPr>
        <w:t>, D.</w:t>
      </w:r>
      <w:r w:rsidRPr="00631EE4">
        <w:rPr>
          <w:spacing w:val="-2"/>
        </w:rPr>
        <w:t xml:space="preserve"> 2014</w:t>
      </w:r>
      <w:r w:rsidR="00D93486" w:rsidRPr="00631EE4">
        <w:rPr>
          <w:spacing w:val="-2"/>
        </w:rPr>
        <w:t>,</w:t>
      </w:r>
      <w:r w:rsidR="008203B4" w:rsidRPr="00631EE4">
        <w:rPr>
          <w:spacing w:val="-2"/>
        </w:rPr>
        <w:t xml:space="preserve"> </w:t>
      </w:r>
      <w:r w:rsidR="00D93486" w:rsidRPr="00631EE4">
        <w:rPr>
          <w:spacing w:val="-2"/>
        </w:rPr>
        <w:t>‘</w:t>
      </w:r>
      <w:r w:rsidR="008203B4" w:rsidRPr="00631EE4">
        <w:rPr>
          <w:spacing w:val="-2"/>
        </w:rPr>
        <w:t>Productivity and fa</w:t>
      </w:r>
      <w:r w:rsidR="00330C7E" w:rsidRPr="00631EE4">
        <w:rPr>
          <w:spacing w:val="-2"/>
        </w:rPr>
        <w:t>rm</w:t>
      </w:r>
      <w:r w:rsidR="008203B4" w:rsidRPr="00631EE4">
        <w:rPr>
          <w:spacing w:val="-2"/>
        </w:rPr>
        <w:t xml:space="preserve"> size in Australian agriculture: reinvestigating the re</w:t>
      </w:r>
      <w:r w:rsidR="00330C7E" w:rsidRPr="00631EE4">
        <w:rPr>
          <w:spacing w:val="-2"/>
        </w:rPr>
        <w:t>turn</w:t>
      </w:r>
      <w:r w:rsidR="008203B4" w:rsidRPr="00631EE4">
        <w:rPr>
          <w:spacing w:val="-2"/>
        </w:rPr>
        <w:t>s to scale</w:t>
      </w:r>
      <w:r w:rsidR="00D93486" w:rsidRPr="00631EE4">
        <w:rPr>
          <w:spacing w:val="-2"/>
        </w:rPr>
        <w:t>’</w:t>
      </w:r>
      <w:r w:rsidR="008203B4" w:rsidRPr="00631EE4">
        <w:rPr>
          <w:spacing w:val="-2"/>
        </w:rPr>
        <w:t xml:space="preserve">, </w:t>
      </w:r>
      <w:r w:rsidR="008203B4" w:rsidRPr="00631EE4">
        <w:rPr>
          <w:i/>
          <w:spacing w:val="-2"/>
        </w:rPr>
        <w:t>Australian Journal of Agricultural and Resource Economics</w:t>
      </w:r>
      <w:r w:rsidR="008203B4" w:rsidRPr="00631EE4">
        <w:rPr>
          <w:spacing w:val="-2"/>
        </w:rPr>
        <w:t xml:space="preserve">, </w:t>
      </w:r>
      <w:r w:rsidR="00D93486" w:rsidRPr="00631EE4">
        <w:rPr>
          <w:spacing w:val="-2"/>
        </w:rPr>
        <w:t>vol</w:t>
      </w:r>
      <w:r w:rsidR="008E2A3C" w:rsidRPr="00631EE4">
        <w:rPr>
          <w:spacing w:val="-2"/>
        </w:rPr>
        <w:t>. 58, pp. 1–</w:t>
      </w:r>
      <w:r w:rsidR="008203B4" w:rsidRPr="00631EE4">
        <w:rPr>
          <w:spacing w:val="-2"/>
        </w:rPr>
        <w:t>23.</w:t>
      </w:r>
    </w:p>
    <w:p w:rsidR="00D8736E" w:rsidRPr="00631EE4" w:rsidRDefault="00D8736E" w:rsidP="00890D8C">
      <w:pPr>
        <w:pStyle w:val="Reference"/>
        <w:rPr>
          <w:spacing w:val="-2"/>
          <w:highlight w:val="yellow"/>
        </w:rPr>
      </w:pPr>
      <w:proofErr w:type="spellStart"/>
      <w:proofErr w:type="gramStart"/>
      <w:r w:rsidRPr="00631EE4">
        <w:rPr>
          <w:spacing w:val="-2"/>
        </w:rPr>
        <w:t>Shreyer</w:t>
      </w:r>
      <w:proofErr w:type="spellEnd"/>
      <w:r w:rsidRPr="00631EE4">
        <w:rPr>
          <w:spacing w:val="-2"/>
        </w:rPr>
        <w:t>, P. 2012</w:t>
      </w:r>
      <w:r w:rsidR="00545A7C" w:rsidRPr="00631EE4">
        <w:rPr>
          <w:spacing w:val="-2"/>
        </w:rPr>
        <w:t>,</w:t>
      </w:r>
      <w:r w:rsidR="00865660" w:rsidRPr="00631EE4">
        <w:rPr>
          <w:spacing w:val="-2"/>
        </w:rPr>
        <w:t xml:space="preserve"> </w:t>
      </w:r>
      <w:r w:rsidR="00545A7C" w:rsidRPr="00631EE4">
        <w:rPr>
          <w:spacing w:val="-2"/>
        </w:rPr>
        <w:t>‘</w:t>
      </w:r>
      <w:r w:rsidR="00865660" w:rsidRPr="00631EE4">
        <w:rPr>
          <w:spacing w:val="-2"/>
        </w:rPr>
        <w:t xml:space="preserve">Recent </w:t>
      </w:r>
      <w:r w:rsidR="00545A7C" w:rsidRPr="00631EE4">
        <w:rPr>
          <w:spacing w:val="-2"/>
        </w:rPr>
        <w:t>i</w:t>
      </w:r>
      <w:r w:rsidR="00865660" w:rsidRPr="00631EE4">
        <w:rPr>
          <w:spacing w:val="-2"/>
        </w:rPr>
        <w:t xml:space="preserve">nternational </w:t>
      </w:r>
      <w:r w:rsidR="00545A7C" w:rsidRPr="00631EE4">
        <w:rPr>
          <w:spacing w:val="-2"/>
        </w:rPr>
        <w:t>d</w:t>
      </w:r>
      <w:r w:rsidR="00865660" w:rsidRPr="00631EE4">
        <w:rPr>
          <w:spacing w:val="-2"/>
        </w:rPr>
        <w:t xml:space="preserve">evelopments in the </w:t>
      </w:r>
      <w:r w:rsidR="00545A7C" w:rsidRPr="00631EE4">
        <w:rPr>
          <w:spacing w:val="-2"/>
        </w:rPr>
        <w:t xml:space="preserve">measurement </w:t>
      </w:r>
      <w:r w:rsidR="00865660" w:rsidRPr="00631EE4">
        <w:rPr>
          <w:spacing w:val="-2"/>
        </w:rPr>
        <w:t xml:space="preserve">of </w:t>
      </w:r>
      <w:r w:rsidR="00545A7C" w:rsidRPr="00631EE4">
        <w:rPr>
          <w:spacing w:val="-2"/>
        </w:rPr>
        <w:t>productivity’</w:t>
      </w:r>
      <w:r w:rsidR="00865660" w:rsidRPr="00631EE4">
        <w:rPr>
          <w:spacing w:val="-2"/>
        </w:rPr>
        <w:t xml:space="preserve">, </w:t>
      </w:r>
      <w:r w:rsidR="00865660" w:rsidRPr="00631EE4">
        <w:rPr>
          <w:i/>
          <w:spacing w:val="-2"/>
        </w:rPr>
        <w:t>Productivity Commission and the Australian Bureau of Statistics Productivity Perspectives 2012 Conference</w:t>
      </w:r>
      <w:r w:rsidR="00865660" w:rsidRPr="00631EE4">
        <w:rPr>
          <w:spacing w:val="-2"/>
        </w:rPr>
        <w:t xml:space="preserve">, </w:t>
      </w:r>
      <w:r w:rsidR="00545A7C" w:rsidRPr="00631EE4">
        <w:rPr>
          <w:spacing w:val="-2"/>
        </w:rPr>
        <w:t>20 </w:t>
      </w:r>
      <w:r w:rsidR="00865660" w:rsidRPr="00631EE4">
        <w:rPr>
          <w:spacing w:val="-2"/>
        </w:rPr>
        <w:t>November, Canberra.</w:t>
      </w:r>
      <w:proofErr w:type="gramEnd"/>
    </w:p>
    <w:p w:rsidR="00D8736E" w:rsidRPr="00631EE4" w:rsidRDefault="00D8736E" w:rsidP="00890D8C">
      <w:pPr>
        <w:pStyle w:val="Reference"/>
        <w:rPr>
          <w:spacing w:val="-2"/>
        </w:rPr>
      </w:pPr>
      <w:proofErr w:type="gramStart"/>
      <w:r w:rsidRPr="00631EE4">
        <w:rPr>
          <w:spacing w:val="-2"/>
        </w:rPr>
        <w:t>Smedes, M. 2012</w:t>
      </w:r>
      <w:r w:rsidR="007335F5" w:rsidRPr="00631EE4">
        <w:rPr>
          <w:spacing w:val="-2"/>
        </w:rPr>
        <w:t>,</w:t>
      </w:r>
      <w:r w:rsidR="00865660" w:rsidRPr="00631EE4">
        <w:rPr>
          <w:spacing w:val="-2"/>
        </w:rPr>
        <w:t xml:space="preserve"> </w:t>
      </w:r>
      <w:r w:rsidR="007335F5" w:rsidRPr="00631EE4">
        <w:rPr>
          <w:spacing w:val="-2"/>
        </w:rPr>
        <w:t>‘</w:t>
      </w:r>
      <w:r w:rsidR="00865660" w:rsidRPr="00631EE4">
        <w:rPr>
          <w:spacing w:val="-2"/>
        </w:rPr>
        <w:t xml:space="preserve">Recent </w:t>
      </w:r>
      <w:r w:rsidR="007335F5" w:rsidRPr="00631EE4">
        <w:rPr>
          <w:spacing w:val="-2"/>
        </w:rPr>
        <w:t xml:space="preserve">developments </w:t>
      </w:r>
      <w:r w:rsidR="00865660" w:rsidRPr="00631EE4">
        <w:rPr>
          <w:spacing w:val="-2"/>
        </w:rPr>
        <w:t xml:space="preserve">in the ABS </w:t>
      </w:r>
      <w:r w:rsidR="007335F5" w:rsidRPr="00631EE4">
        <w:rPr>
          <w:spacing w:val="-2"/>
        </w:rPr>
        <w:t>productivity program’</w:t>
      </w:r>
      <w:r w:rsidR="00865660" w:rsidRPr="00631EE4">
        <w:rPr>
          <w:spacing w:val="-2"/>
        </w:rPr>
        <w:t xml:space="preserve">, </w:t>
      </w:r>
      <w:r w:rsidR="00865660" w:rsidRPr="00631EE4">
        <w:rPr>
          <w:i/>
          <w:spacing w:val="-2"/>
        </w:rPr>
        <w:t>Productivity Commission and the Australian Bureau of Statistics Productivity Perspectives 2012 Conference</w:t>
      </w:r>
      <w:r w:rsidR="00865660" w:rsidRPr="00631EE4">
        <w:rPr>
          <w:spacing w:val="-2"/>
        </w:rPr>
        <w:t>, 20 November, Canberra.</w:t>
      </w:r>
      <w:proofErr w:type="gramEnd"/>
    </w:p>
    <w:p w:rsidR="009E4570" w:rsidRPr="00631EE4" w:rsidRDefault="009E4570" w:rsidP="00890D8C">
      <w:pPr>
        <w:pStyle w:val="Reference"/>
        <w:rPr>
          <w:spacing w:val="-2"/>
        </w:rPr>
      </w:pPr>
      <w:r w:rsidRPr="00631EE4">
        <w:rPr>
          <w:rStyle w:val="citation"/>
          <w:spacing w:val="-2"/>
          <w:lang w:val="en"/>
        </w:rPr>
        <w:t>S</w:t>
      </w:r>
      <w:r w:rsidR="008E2A3C" w:rsidRPr="00631EE4">
        <w:rPr>
          <w:rStyle w:val="citation"/>
          <w:spacing w:val="-2"/>
          <w:lang w:val="en"/>
        </w:rPr>
        <w:t>olow, R. M.</w:t>
      </w:r>
      <w:r w:rsidRPr="00631EE4">
        <w:rPr>
          <w:rStyle w:val="citation"/>
          <w:spacing w:val="-2"/>
          <w:lang w:val="en"/>
        </w:rPr>
        <w:t xml:space="preserve"> 1957, </w:t>
      </w:r>
      <w:r w:rsidR="007335F5" w:rsidRPr="00631EE4">
        <w:rPr>
          <w:rStyle w:val="citation"/>
          <w:spacing w:val="-2"/>
          <w:lang w:val="en"/>
        </w:rPr>
        <w:t>‘</w:t>
      </w:r>
      <w:r w:rsidRPr="00631EE4">
        <w:rPr>
          <w:rStyle w:val="citation"/>
          <w:spacing w:val="-2"/>
          <w:lang w:val="en"/>
        </w:rPr>
        <w:t xml:space="preserve">Technical </w:t>
      </w:r>
      <w:r w:rsidR="007335F5" w:rsidRPr="00631EE4">
        <w:rPr>
          <w:rStyle w:val="citation"/>
          <w:spacing w:val="-2"/>
          <w:lang w:val="en"/>
        </w:rPr>
        <w:t xml:space="preserve">change </w:t>
      </w:r>
      <w:r w:rsidRPr="00631EE4">
        <w:rPr>
          <w:rStyle w:val="citation"/>
          <w:spacing w:val="-2"/>
          <w:lang w:val="en"/>
        </w:rPr>
        <w:t xml:space="preserve">and the </w:t>
      </w:r>
      <w:r w:rsidR="007335F5" w:rsidRPr="00631EE4">
        <w:rPr>
          <w:rStyle w:val="citation"/>
          <w:spacing w:val="-2"/>
          <w:lang w:val="en"/>
        </w:rPr>
        <w:t>aggregate production function’</w:t>
      </w:r>
      <w:r w:rsidRPr="00631EE4">
        <w:rPr>
          <w:rStyle w:val="citation"/>
          <w:spacing w:val="-2"/>
          <w:lang w:val="en"/>
        </w:rPr>
        <w:t xml:space="preserve">, </w:t>
      </w:r>
      <w:r w:rsidRPr="00631EE4">
        <w:rPr>
          <w:rStyle w:val="citation"/>
          <w:i/>
          <w:iCs/>
          <w:spacing w:val="-2"/>
          <w:lang w:val="en"/>
        </w:rPr>
        <w:t>Review of Economics and Statistics</w:t>
      </w:r>
      <w:r w:rsidRPr="00631EE4">
        <w:rPr>
          <w:rStyle w:val="citation"/>
          <w:spacing w:val="-2"/>
          <w:lang w:val="en"/>
        </w:rPr>
        <w:t xml:space="preserve">, vol. </w:t>
      </w:r>
      <w:r w:rsidRPr="00631EE4">
        <w:rPr>
          <w:rStyle w:val="citation"/>
          <w:bCs/>
          <w:spacing w:val="-2"/>
          <w:lang w:val="en"/>
        </w:rPr>
        <w:t>39</w:t>
      </w:r>
      <w:r w:rsidRPr="00631EE4">
        <w:rPr>
          <w:rStyle w:val="citation"/>
          <w:spacing w:val="-2"/>
          <w:lang w:val="en"/>
        </w:rPr>
        <w:t>, no.</w:t>
      </w:r>
      <w:r w:rsidR="008E2A3C" w:rsidRPr="00631EE4">
        <w:rPr>
          <w:rStyle w:val="citation"/>
          <w:spacing w:val="-2"/>
          <w:lang w:val="en"/>
        </w:rPr>
        <w:t xml:space="preserve"> 3, pp. 312–</w:t>
      </w:r>
      <w:r w:rsidRPr="00631EE4">
        <w:rPr>
          <w:rStyle w:val="citation"/>
          <w:spacing w:val="-2"/>
          <w:lang w:val="en"/>
        </w:rPr>
        <w:t>320.</w:t>
      </w:r>
    </w:p>
    <w:p w:rsidR="00754267" w:rsidRPr="00631EE4" w:rsidRDefault="00754267" w:rsidP="00890D8C">
      <w:pPr>
        <w:pStyle w:val="Reference"/>
        <w:rPr>
          <w:spacing w:val="-2"/>
        </w:rPr>
      </w:pPr>
      <w:r w:rsidRPr="00631EE4">
        <w:rPr>
          <w:spacing w:val="-2"/>
        </w:rPr>
        <w:t>Topp, V., Soames, L., Parham, D. and Bloch, H. 2008</w:t>
      </w:r>
      <w:r w:rsidR="00F02E88" w:rsidRPr="00631EE4">
        <w:rPr>
          <w:i/>
          <w:spacing w:val="-2"/>
        </w:rPr>
        <w:t>,</w:t>
      </w:r>
      <w:r w:rsidRPr="00631EE4">
        <w:rPr>
          <w:i/>
          <w:spacing w:val="-2"/>
        </w:rPr>
        <w:t xml:space="preserve"> Productivity in the </w:t>
      </w:r>
      <w:r w:rsidR="00C765F5" w:rsidRPr="00631EE4">
        <w:rPr>
          <w:i/>
          <w:spacing w:val="-2"/>
        </w:rPr>
        <w:t>Mining Industry</w:t>
      </w:r>
      <w:r w:rsidRPr="00631EE4">
        <w:rPr>
          <w:i/>
          <w:spacing w:val="-2"/>
        </w:rPr>
        <w:t xml:space="preserve">: </w:t>
      </w:r>
      <w:r w:rsidR="00C765F5" w:rsidRPr="00631EE4">
        <w:rPr>
          <w:i/>
          <w:spacing w:val="-2"/>
        </w:rPr>
        <w:t xml:space="preserve">Measurement </w:t>
      </w:r>
      <w:r w:rsidRPr="00631EE4">
        <w:rPr>
          <w:i/>
          <w:spacing w:val="-2"/>
        </w:rPr>
        <w:t xml:space="preserve">and </w:t>
      </w:r>
      <w:r w:rsidR="00C765F5" w:rsidRPr="00631EE4">
        <w:rPr>
          <w:i/>
          <w:spacing w:val="-2"/>
        </w:rPr>
        <w:t>Interpretation</w:t>
      </w:r>
      <w:r w:rsidRPr="00631EE4">
        <w:rPr>
          <w:spacing w:val="-2"/>
        </w:rPr>
        <w:t>, Productivity Commission Staff Working Paper, December, Canberra</w:t>
      </w:r>
      <w:r w:rsidR="00513F54" w:rsidRPr="00631EE4">
        <w:rPr>
          <w:spacing w:val="-2"/>
        </w:rPr>
        <w:t>.</w:t>
      </w:r>
    </w:p>
    <w:p w:rsidR="001A6550" w:rsidRPr="00631EE4" w:rsidRDefault="00754267" w:rsidP="00B46985">
      <w:pPr>
        <w:pStyle w:val="Reference"/>
        <w:rPr>
          <w:spacing w:val="-2"/>
        </w:rPr>
      </w:pPr>
      <w:r w:rsidRPr="00631EE4">
        <w:rPr>
          <w:spacing w:val="-2"/>
        </w:rPr>
        <w:t>Topp, V. and Kulys, T. 2012</w:t>
      </w:r>
      <w:r w:rsidR="00C765F5" w:rsidRPr="00631EE4">
        <w:rPr>
          <w:spacing w:val="-2"/>
        </w:rPr>
        <w:t>,</w:t>
      </w:r>
      <w:r w:rsidRPr="00631EE4">
        <w:rPr>
          <w:spacing w:val="-2"/>
        </w:rPr>
        <w:t xml:space="preserve"> </w:t>
      </w:r>
      <w:r w:rsidRPr="00631EE4">
        <w:rPr>
          <w:i/>
          <w:spacing w:val="-2"/>
        </w:rPr>
        <w:t xml:space="preserve">Productivity in Electricity, Gas and Water: Measurement and </w:t>
      </w:r>
      <w:r w:rsidR="00D80781" w:rsidRPr="00631EE4">
        <w:rPr>
          <w:i/>
          <w:spacing w:val="-2"/>
        </w:rPr>
        <w:t>Interpretation</w:t>
      </w:r>
      <w:r w:rsidRPr="00631EE4">
        <w:rPr>
          <w:spacing w:val="-2"/>
        </w:rPr>
        <w:t>, Productivity Commission Staff Working Paper, Canberra</w:t>
      </w:r>
      <w:r w:rsidR="00513F54" w:rsidRPr="00631EE4">
        <w:rPr>
          <w:spacing w:val="-2"/>
        </w:rPr>
        <w:t>.</w:t>
      </w:r>
    </w:p>
    <w:sectPr w:rsidR="001A6550" w:rsidRPr="00631EE4" w:rsidSect="002B67FE">
      <w:headerReference w:type="even" r:id="rId19"/>
      <w:headerReference w:type="default" r:id="rId20"/>
      <w:footerReference w:type="even" r:id="rId21"/>
      <w:footerReference w:type="default" r:id="rId22"/>
      <w:type w:val="oddPage"/>
      <w:pgSz w:w="11907" w:h="16840" w:code="9"/>
      <w:pgMar w:top="1984" w:right="1304" w:bottom="1247" w:left="1814" w:header="1701" w:footer="397" w:gutter="0"/>
      <w:pgNumType w:start="1" w:chapSep="period"/>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3B4F" w:rsidRDefault="009F3B4F">
      <w:r>
        <w:separator/>
      </w:r>
    </w:p>
  </w:endnote>
  <w:endnote w:type="continuationSeparator" w:id="0">
    <w:p w:rsidR="009F3B4F" w:rsidRDefault="009F3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AB2F41" w:rsidTr="008E2A3C">
      <w:trPr>
        <w:trHeight w:hRule="exact" w:val="567"/>
      </w:trPr>
      <w:tc>
        <w:tcPr>
          <w:tcW w:w="510" w:type="dxa"/>
        </w:tcPr>
        <w:p w:rsidR="00AB2F41" w:rsidRPr="00A24443" w:rsidRDefault="00AB2F41"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F813CD">
            <w:rPr>
              <w:rStyle w:val="PageNumber"/>
              <w:caps w:val="0"/>
              <w:noProof/>
            </w:rPr>
            <w:t>20</w:t>
          </w:r>
          <w:r w:rsidRPr="00A24443">
            <w:rPr>
              <w:rStyle w:val="PageNumber"/>
              <w:caps w:val="0"/>
            </w:rPr>
            <w:fldChar w:fldCharType="end"/>
          </w:r>
        </w:p>
      </w:tc>
      <w:tc>
        <w:tcPr>
          <w:tcW w:w="7767" w:type="dxa"/>
        </w:tcPr>
        <w:p w:rsidR="00AB2F41" w:rsidRPr="0013739A" w:rsidRDefault="00AB2F41" w:rsidP="008E2A3C">
          <w:pPr>
            <w:pStyle w:val="Footer"/>
            <w:rPr>
              <w:rFonts w:cs="Arial"/>
            </w:rPr>
          </w:pPr>
          <w:r>
            <w:rPr>
              <w:rFonts w:cs="Arial"/>
            </w:rPr>
            <w:t>staff research note</w:t>
          </w:r>
        </w:p>
      </w:tc>
      <w:tc>
        <w:tcPr>
          <w:tcW w:w="510" w:type="dxa"/>
        </w:tcPr>
        <w:p w:rsidR="00AB2F41" w:rsidRDefault="00AB2F41" w:rsidP="0019293B">
          <w:pPr>
            <w:pStyle w:val="Footer"/>
          </w:pPr>
        </w:p>
      </w:tc>
    </w:tr>
  </w:tbl>
  <w:p w:rsidR="00AB2F41" w:rsidRDefault="00AB2F41" w:rsidP="0019293B">
    <w:pPr>
      <w:pStyle w:val="FooterEnd"/>
    </w:pPr>
  </w:p>
  <w:p w:rsidR="00AB2F41" w:rsidRDefault="00AB2F41" w:rsidP="0019293B">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2B67FE" w:rsidTr="008E2A3C">
      <w:trPr>
        <w:trHeight w:hRule="exact" w:val="567"/>
      </w:trPr>
      <w:tc>
        <w:tcPr>
          <w:tcW w:w="510" w:type="dxa"/>
        </w:tcPr>
        <w:p w:rsidR="002B67FE" w:rsidRDefault="002B67FE">
          <w:pPr>
            <w:pStyle w:val="Footer"/>
            <w:ind w:right="360" w:firstLine="360"/>
          </w:pPr>
        </w:p>
      </w:tc>
      <w:tc>
        <w:tcPr>
          <w:tcW w:w="7767" w:type="dxa"/>
        </w:tcPr>
        <w:p w:rsidR="002B67FE" w:rsidRPr="00BA5B14" w:rsidRDefault="002B67FE" w:rsidP="008E2A3C">
          <w:pPr>
            <w:pStyle w:val="Footer"/>
            <w:jc w:val="right"/>
            <w:rPr>
              <w:rFonts w:cs="Arial"/>
            </w:rPr>
          </w:pPr>
          <w:r>
            <w:rPr>
              <w:rFonts w:cs="Arial"/>
            </w:rPr>
            <w:t>On productivity: Concepts and measurement</w:t>
          </w:r>
        </w:p>
      </w:tc>
      <w:tc>
        <w:tcPr>
          <w:tcW w:w="510" w:type="dxa"/>
        </w:tcPr>
        <w:p w:rsidR="002B67FE" w:rsidRPr="00A24443" w:rsidRDefault="002B67FE">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F813CD">
            <w:rPr>
              <w:rStyle w:val="PageNumber"/>
              <w:caps w:val="0"/>
              <w:noProof/>
            </w:rPr>
            <w:t>21</w:t>
          </w:r>
          <w:r w:rsidRPr="00A24443">
            <w:rPr>
              <w:rStyle w:val="PageNumber"/>
              <w:caps w:val="0"/>
            </w:rPr>
            <w:fldChar w:fldCharType="end"/>
          </w:r>
        </w:p>
      </w:tc>
    </w:tr>
  </w:tbl>
  <w:p w:rsidR="002B67FE" w:rsidRDefault="002B67FE">
    <w:pPr>
      <w:pStyle w:val="FooterEnd"/>
    </w:pPr>
  </w:p>
  <w:p w:rsidR="002B67FE" w:rsidRDefault="002B67FE">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3B4F" w:rsidRDefault="009F3B4F">
      <w:r>
        <w:separator/>
      </w:r>
    </w:p>
  </w:footnote>
  <w:footnote w:type="continuationSeparator" w:id="0">
    <w:p w:rsidR="009F3B4F" w:rsidRDefault="009F3B4F">
      <w:r>
        <w:continuationSeparator/>
      </w:r>
    </w:p>
  </w:footnote>
  <w:footnote w:id="1">
    <w:p w:rsidR="008E2A3C" w:rsidRDefault="008E2A3C">
      <w:pPr>
        <w:pStyle w:val="FootnoteText"/>
      </w:pPr>
      <w:r>
        <w:rPr>
          <w:rStyle w:val="FootnoteReference"/>
        </w:rPr>
        <w:footnoteRef/>
      </w:r>
      <w:r>
        <w:tab/>
        <w:t>Government needs to worry about whether the economy produces what people want (allocative efficiency) as much as it does about productivity growth. A well-functioning market delivers allocative efficiency, which is why in market economies the focus is often on what can be done to promote productivity growth.</w:t>
      </w:r>
    </w:p>
  </w:footnote>
  <w:footnote w:id="2">
    <w:p w:rsidR="008E2A3C" w:rsidRDefault="008E2A3C">
      <w:pPr>
        <w:pStyle w:val="FootnoteText"/>
      </w:pPr>
      <w:r>
        <w:rPr>
          <w:rStyle w:val="FootnoteReference"/>
        </w:rPr>
        <w:footnoteRef/>
      </w:r>
      <w:r>
        <w:tab/>
      </w:r>
      <w:r w:rsidR="00570FFE">
        <w:t xml:space="preserve">Official measures of productivity are about production of goods and services on the record of market transactions. </w:t>
      </w:r>
      <w:r>
        <w:t xml:space="preserve">Productivity improvement in something that is not marketable or does not have a market value </w:t>
      </w:r>
      <w:r w:rsidR="00570FFE">
        <w:t>may not be recorded in the official statistics</w:t>
      </w:r>
      <w:r>
        <w:t>, but it still can improve living standards.</w:t>
      </w:r>
    </w:p>
  </w:footnote>
  <w:footnote w:id="3">
    <w:p w:rsidR="008E2A3C" w:rsidRDefault="008E2A3C">
      <w:pPr>
        <w:pStyle w:val="FootnoteText"/>
      </w:pPr>
      <w:r>
        <w:rPr>
          <w:rStyle w:val="FootnoteReference"/>
        </w:rPr>
        <w:footnoteRef/>
      </w:r>
      <w:r>
        <w:tab/>
        <w:t>Capital markets reforms that allowed foreign investment also played an important role.</w:t>
      </w:r>
    </w:p>
  </w:footnote>
  <w:footnote w:id="4">
    <w:p w:rsidR="008E2A3C" w:rsidRDefault="008E2A3C">
      <w:pPr>
        <w:pStyle w:val="FootnoteText"/>
      </w:pPr>
      <w:r>
        <w:rPr>
          <w:rStyle w:val="FootnoteReference"/>
        </w:rPr>
        <w:footnoteRef/>
      </w:r>
      <w:r>
        <w:tab/>
        <w:t xml:space="preserve">However, as a monopolist will produce less than is socially optimal in order to drive up prices and profits, their market power erodes the allocative efficiency of the market. They may also have less incentive to upgrade technology to accommodate rising demand, if this erodes the rent on their existing technology. </w:t>
      </w:r>
    </w:p>
  </w:footnote>
  <w:footnote w:id="5">
    <w:p w:rsidR="008E2A3C" w:rsidRDefault="008E2A3C">
      <w:pPr>
        <w:pStyle w:val="FootnoteText"/>
      </w:pPr>
      <w:r>
        <w:rPr>
          <w:rStyle w:val="FootnoteReference"/>
        </w:rPr>
        <w:footnoteRef/>
      </w:r>
      <w:r>
        <w:tab/>
        <w:t xml:space="preserve">It is worth noting that changes in the shares of different industries can also arise in response to changes in relative prices of output, which is a movement along the economy’s PPF. </w:t>
      </w:r>
      <w:proofErr w:type="gramStart"/>
      <w:r>
        <w:t>The extent to which the relative price of output of less productive industries rises (due for example to a shift in preferences or change in the terms of trade), the measured level of productivity in the economy will fall (compared to no shift in relative prices), although the economy is still on its PPF.</w:t>
      </w:r>
      <w:proofErr w:type="gramEnd"/>
      <w:r>
        <w:t xml:space="preserve"> </w:t>
      </w:r>
    </w:p>
  </w:footnote>
  <w:footnote w:id="6">
    <w:p w:rsidR="008E2A3C" w:rsidRDefault="008E2A3C" w:rsidP="00AA2310">
      <w:pPr>
        <w:pStyle w:val="FootnoteText"/>
      </w:pPr>
      <w:r>
        <w:rPr>
          <w:rStyle w:val="FootnoteReference"/>
        </w:rPr>
        <w:footnoteRef/>
      </w:r>
      <w:r>
        <w:tab/>
        <w:t>For example, Lucas (1988) described how the productivity of a</w:t>
      </w:r>
      <w:r w:rsidRPr="00C07973">
        <w:t xml:space="preserve"> worker is enhanced not only by </w:t>
      </w:r>
      <w:r>
        <w:t>their</w:t>
      </w:r>
      <w:r w:rsidRPr="00C07973">
        <w:t xml:space="preserve"> </w:t>
      </w:r>
      <w:r>
        <w:t>own human capital</w:t>
      </w:r>
      <w:r w:rsidRPr="00C07973">
        <w:t xml:space="preserve"> but also by </w:t>
      </w:r>
      <w:r>
        <w:t xml:space="preserve">the level of human capital of </w:t>
      </w:r>
      <w:r w:rsidRPr="00C07973">
        <w:t>ot</w:t>
      </w:r>
      <w:r>
        <w:t>her workers —</w:t>
      </w:r>
      <w:r w:rsidRPr="00C07973">
        <w:t xml:space="preserve"> private investment in human capital </w:t>
      </w:r>
      <w:r>
        <w:t>has</w:t>
      </w:r>
      <w:r w:rsidRPr="00C07973">
        <w:t xml:space="preserve"> an external effect</w:t>
      </w:r>
      <w:r>
        <w:t>.</w:t>
      </w:r>
    </w:p>
  </w:footnote>
  <w:footnote w:id="7">
    <w:p w:rsidR="008E2A3C" w:rsidRDefault="008E2A3C" w:rsidP="00AA2310">
      <w:pPr>
        <w:pStyle w:val="FootnoteText"/>
      </w:pPr>
      <w:r>
        <w:rPr>
          <w:rStyle w:val="FootnoteReference"/>
        </w:rPr>
        <w:footnoteRef/>
      </w:r>
      <w:r>
        <w:tab/>
        <w:t>See McDougall and Witte (2010) for a summary.</w:t>
      </w:r>
    </w:p>
  </w:footnote>
  <w:footnote w:id="8">
    <w:p w:rsidR="008E2A3C" w:rsidRDefault="008E2A3C">
      <w:pPr>
        <w:pStyle w:val="FootnoteText"/>
      </w:pPr>
      <w:r>
        <w:rPr>
          <w:rStyle w:val="FootnoteReference"/>
        </w:rPr>
        <w:footnoteRef/>
      </w:r>
      <w:r>
        <w:tab/>
        <w:t xml:space="preserve">An additional complicating factor can arise when changes in relative prices mean that the industry shares in total output change. If relative prices move in favour of an industry that has lower measured productivity then aggregate productivity can fall even though the shift of resources to the industry with the rise in relative output price would increase national income. This demonstrates one of the problems with linking productivity growth directly to welfare. Removing price distortions should unambiguously improve welfare, but may or may not improve </w:t>
      </w:r>
      <w:r w:rsidR="00FC0EB9" w:rsidRPr="00670A87">
        <w:rPr>
          <w:i/>
        </w:rPr>
        <w:t>measured</w:t>
      </w:r>
      <w:r w:rsidR="00FC0EB9">
        <w:t xml:space="preserve"> </w:t>
      </w:r>
      <w:r>
        <w:t>productivity.</w:t>
      </w:r>
    </w:p>
  </w:footnote>
  <w:footnote w:id="9">
    <w:p w:rsidR="008E2A3C" w:rsidRDefault="008E2A3C" w:rsidP="00AE7EED">
      <w:pPr>
        <w:pStyle w:val="FootnoteText"/>
      </w:pPr>
      <w:r>
        <w:rPr>
          <w:rStyle w:val="FootnoteReference"/>
        </w:rPr>
        <w:footnoteRef/>
      </w:r>
      <w:r>
        <w:tab/>
        <w:t>There is a considerable literature on the choice of an appropriate price index, and the choice can significantly affect the estimates of productivity (</w:t>
      </w:r>
      <w:proofErr w:type="spellStart"/>
      <w:r>
        <w:t>Griliches</w:t>
      </w:r>
      <w:proofErr w:type="spellEnd"/>
      <w:r>
        <w:t xml:space="preserve"> 1991). How price changes are estimated, the weights used to construct the price index, and the method by which it is constructed are all relevant. </w:t>
      </w:r>
    </w:p>
  </w:footnote>
  <w:footnote w:id="10">
    <w:p w:rsidR="008E2A3C" w:rsidRPr="00037FFB" w:rsidRDefault="008E2A3C" w:rsidP="008146CB">
      <w:pPr>
        <w:pStyle w:val="FootnoteText"/>
      </w:pPr>
      <w:r>
        <w:rPr>
          <w:rStyle w:val="FootnoteReference"/>
        </w:rPr>
        <w:footnoteRef/>
      </w:r>
      <w:r>
        <w:tab/>
        <w:t xml:space="preserve">This definition is consistent with the </w:t>
      </w:r>
      <w:r>
        <w:rPr>
          <w:i/>
        </w:rPr>
        <w:t>Growth Accounting</w:t>
      </w:r>
      <w:r w:rsidRPr="00454E2A">
        <w:rPr>
          <w:i/>
        </w:rPr>
        <w:t xml:space="preserve"> Method</w:t>
      </w:r>
      <w:r>
        <w:t xml:space="preserve"> which is </w:t>
      </w:r>
      <w:r w:rsidRPr="00037FFB">
        <w:t>used</w:t>
      </w:r>
      <w:r>
        <w:t xml:space="preserve"> by ABS (and other official agencies) in the compilation of productivity estimates and it is used throughout this document. Under assumptions of constant returns to scale and perfect competition income shares of capital and labour are used as weights to add capital and labour to get an input index. If the assumption is not valid, factor cost shares should be used.</w:t>
      </w:r>
    </w:p>
  </w:footnote>
  <w:footnote w:id="11">
    <w:p w:rsidR="008E2A3C" w:rsidRDefault="008E2A3C" w:rsidP="00003604">
      <w:pPr>
        <w:pStyle w:val="FootnoteText"/>
      </w:pPr>
      <w:r>
        <w:rPr>
          <w:rStyle w:val="FootnoteReference"/>
        </w:rPr>
        <w:footnoteRef/>
      </w:r>
      <w:r>
        <w:tab/>
        <w:t xml:space="preserve">The 16 industry market sector includes </w:t>
      </w:r>
      <w:r w:rsidRPr="00B27A1D">
        <w:t>Agriculture, forestry &amp; fishing</w:t>
      </w:r>
      <w:r>
        <w:t>, Mining, Manufacturing, Electricity, gas water and waste services, Construction, Wholesale trade, Retail trade, Accommodation and food services, Transport, post and warehousing, Information, media and telecommunication, Financial and insurance services, Arts and recreation services, Rental, hiring and real estate services, Professional, scientific and technical services, Administrative and support services and Other services.</w:t>
      </w:r>
    </w:p>
  </w:footnote>
  <w:footnote w:id="12">
    <w:p w:rsidR="008E2A3C" w:rsidRDefault="008E2A3C">
      <w:pPr>
        <w:pStyle w:val="FootnoteText"/>
      </w:pPr>
      <w:r>
        <w:rPr>
          <w:rStyle w:val="FootnoteReference"/>
        </w:rPr>
        <w:footnoteRef/>
      </w:r>
      <w:r>
        <w:tab/>
        <w:t xml:space="preserve">The problem with measuring output in the non-market sector still remains, and total factor cost is used as a proxy for output in labour productivity estimates for the non-market sector. Independent output measures are made for some aspects of non-market services, such as education (student numbers) and health (measures of diagnosis related group volumes). </w:t>
      </w:r>
    </w:p>
  </w:footnote>
  <w:footnote w:id="13">
    <w:p w:rsidR="008E2A3C" w:rsidRDefault="008E2A3C" w:rsidP="00AA2310">
      <w:pPr>
        <w:pStyle w:val="FootnoteText"/>
      </w:pPr>
      <w:r>
        <w:rPr>
          <w:rStyle w:val="FootnoteReference"/>
        </w:rPr>
        <w:footnoteRef/>
      </w:r>
      <w:r>
        <w:tab/>
        <w:t>Considerable attention is given in the productivity literature to the extent to which MFP measures technical progress. From a broader perspective, changes that affect productivity are of interest even if they are not due to technical progress. The OECD (2001) offered an alternative definition of productivity that defines productivity growth as real cost savings in production rather than as technical progress.</w:t>
      </w:r>
    </w:p>
  </w:footnote>
  <w:footnote w:id="14">
    <w:p w:rsidR="008E2A3C" w:rsidRDefault="008E2A3C" w:rsidP="00FF3448">
      <w:pPr>
        <w:pStyle w:val="FootnoteText"/>
      </w:pPr>
      <w:r>
        <w:rPr>
          <w:rStyle w:val="FootnoteReference"/>
        </w:rPr>
        <w:footnoteRef/>
      </w:r>
      <w:r>
        <w:tab/>
        <w:t xml:space="preserve">In addition to cycles in capacity utilisation </w:t>
      </w:r>
      <w:proofErr w:type="spellStart"/>
      <w:r>
        <w:t>Basu</w:t>
      </w:r>
      <w:proofErr w:type="spellEnd"/>
      <w:r>
        <w:t xml:space="preserve"> and Fernald (2001) suggested that technological progress itself could be pro-cy</w:t>
      </w:r>
      <w:r w:rsidR="00D62388">
        <w:t>c</w:t>
      </w:r>
      <w:r>
        <w:t xml:space="preserve">lical and a range of economic factors (such as increasing returns to scale and imperfect competition in the market) could also reinforce the pro-cyclicality of measured productivity. </w:t>
      </w:r>
    </w:p>
  </w:footnote>
  <w:footnote w:id="15">
    <w:p w:rsidR="008E2A3C" w:rsidRDefault="008E2A3C" w:rsidP="000A30B6">
      <w:pPr>
        <w:pStyle w:val="FootnoteText"/>
      </w:pPr>
      <w:r>
        <w:rPr>
          <w:rStyle w:val="FootnoteReference"/>
        </w:rPr>
        <w:footnoteRef/>
      </w:r>
      <w:r>
        <w:tab/>
        <w:t>Barnes (2011) estimates Australia’s productivity cycles at industry level, finding that only the manufacturing industry has the same cycles as the market sector. Other industries (such as agriculture and mining) display cycles that are clearly driven by different factors.</w:t>
      </w:r>
    </w:p>
  </w:footnote>
  <w:footnote w:id="16">
    <w:p w:rsidR="008E2A3C" w:rsidRDefault="008E2A3C">
      <w:pPr>
        <w:pStyle w:val="FootnoteText"/>
      </w:pPr>
      <w:r>
        <w:rPr>
          <w:rStyle w:val="FootnoteReference"/>
        </w:rPr>
        <w:footnoteRef/>
      </w:r>
      <w:r>
        <w:tab/>
        <w:t>The choice of start and end years for calculating productivity trends can give differing views of underlying trends. Care is needed in the identification, reporting, and interpretation of productivity cycle information. This is particularly so when productivity data is reported in the context of other cycles, such as the electoral cycle.</w:t>
      </w:r>
    </w:p>
  </w:footnote>
  <w:footnote w:id="17">
    <w:p w:rsidR="008E2A3C" w:rsidRDefault="008E2A3C">
      <w:pPr>
        <w:pStyle w:val="FootnoteText"/>
      </w:pPr>
      <w:r>
        <w:rPr>
          <w:rStyle w:val="FootnoteReference"/>
        </w:rPr>
        <w:footnoteRef/>
      </w:r>
      <w:r>
        <w:tab/>
        <w:t>To assess longer run trends in industry productivity and the possible implications for future productivity levels in the economy, the Commission projects industry productivity back to 1974-75 using historical data (PC 2012).</w:t>
      </w:r>
    </w:p>
  </w:footnote>
  <w:footnote w:id="18">
    <w:p w:rsidR="008E2A3C" w:rsidRDefault="008E2A3C">
      <w:pPr>
        <w:pStyle w:val="FootnoteText"/>
      </w:pPr>
      <w:r>
        <w:rPr>
          <w:rStyle w:val="FootnoteReference"/>
        </w:rPr>
        <w:footnoteRef/>
      </w:r>
      <w:r>
        <w:tab/>
        <w:t xml:space="preserve">The decay of the productive capital stock used in production is represented by an asset specific age-efficiency profile, which in practice represents the expected decay due to wear and tear and expected obsolescence. </w:t>
      </w:r>
      <w:r w:rsidRPr="002F6E99">
        <w:t>The depreciation of the asset is equal to the decline in the asset value implied by the decline in age-efficiency</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2155"/>
      <w:gridCol w:w="6634"/>
    </w:tblGrid>
    <w:tr w:rsidR="00AB2F41" w:rsidTr="0071597B">
      <w:trPr>
        <w:tblHeader/>
      </w:trPr>
      <w:tc>
        <w:tcPr>
          <w:tcW w:w="2155" w:type="dxa"/>
          <w:tcBorders>
            <w:top w:val="single" w:sz="24" w:space="0" w:color="auto"/>
          </w:tcBorders>
        </w:tcPr>
        <w:p w:rsidR="00AB2F41" w:rsidRDefault="00AB2F41" w:rsidP="0019293B">
          <w:pPr>
            <w:pStyle w:val="HeaderEven"/>
          </w:pPr>
        </w:p>
      </w:tc>
      <w:tc>
        <w:tcPr>
          <w:tcW w:w="6634" w:type="dxa"/>
          <w:tcBorders>
            <w:top w:val="single" w:sz="6" w:space="0" w:color="auto"/>
          </w:tcBorders>
        </w:tcPr>
        <w:p w:rsidR="00AB2F41" w:rsidRDefault="00AB2F41" w:rsidP="0019293B">
          <w:pPr>
            <w:pStyle w:val="HeaderEven"/>
          </w:pPr>
        </w:p>
      </w:tc>
    </w:tr>
  </w:tbl>
  <w:p w:rsidR="00AB2F41" w:rsidRDefault="00AB2F41" w:rsidP="0019293B">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2B67FE" w:rsidTr="0071597B">
      <w:trPr>
        <w:tblHeader/>
      </w:trPr>
      <w:tc>
        <w:tcPr>
          <w:tcW w:w="6634" w:type="dxa"/>
          <w:tcBorders>
            <w:top w:val="single" w:sz="6" w:space="0" w:color="auto"/>
          </w:tcBorders>
        </w:tcPr>
        <w:p w:rsidR="002B67FE" w:rsidRDefault="002B67FE" w:rsidP="00E669E2">
          <w:pPr>
            <w:pStyle w:val="HeaderOdd"/>
          </w:pPr>
        </w:p>
      </w:tc>
      <w:tc>
        <w:tcPr>
          <w:tcW w:w="2155" w:type="dxa"/>
          <w:tcBorders>
            <w:top w:val="single" w:sz="24" w:space="0" w:color="auto"/>
          </w:tcBorders>
        </w:tcPr>
        <w:p w:rsidR="002B67FE" w:rsidRDefault="002B67FE" w:rsidP="00E669E2">
          <w:pPr>
            <w:pStyle w:val="HeaderOdd"/>
          </w:pPr>
        </w:p>
      </w:tc>
    </w:tr>
  </w:tbl>
  <w:p w:rsidR="002B67FE" w:rsidRDefault="002B67FE" w:rsidP="00E669E2">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1">
    <w:nsid w:val="FFFFFFFE"/>
    <w:multiLevelType w:val="singleLevel"/>
    <w:tmpl w:val="FFFFFFFF"/>
    <w:lvl w:ilvl="0">
      <w:numFmt w:val="decimal"/>
      <w:lvlText w:val="*"/>
      <w:lvlJc w:val="left"/>
    </w:lvl>
  </w:abstractNum>
  <w:abstractNum w:abstractNumId="2">
    <w:nsid w:val="01E844EB"/>
    <w:multiLevelType w:val="hybridMultilevel"/>
    <w:tmpl w:val="BC8CF92C"/>
    <w:lvl w:ilvl="0" w:tplc="29F61A2E">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5">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6">
    <w:nsid w:val="0B58686C"/>
    <w:multiLevelType w:val="hybridMultilevel"/>
    <w:tmpl w:val="F2424DD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10">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2">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4">
    <w:nsid w:val="3E394935"/>
    <w:multiLevelType w:val="hybridMultilevel"/>
    <w:tmpl w:val="3DD0ADB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7">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8">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19">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0">
    <w:nsid w:val="5DFC60A9"/>
    <w:multiLevelType w:val="hybridMultilevel"/>
    <w:tmpl w:val="22FEE4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23">
    <w:nsid w:val="6B740744"/>
    <w:multiLevelType w:val="singleLevel"/>
    <w:tmpl w:val="B4744B66"/>
    <w:lvl w:ilvl="0">
      <w:start w:val="1"/>
      <w:numFmt w:val="decimal"/>
      <w:lvlText w:val="%1."/>
      <w:legacy w:legacy="1" w:legacySpace="0" w:legacyIndent="340"/>
      <w:lvlJc w:val="left"/>
      <w:pPr>
        <w:ind w:left="340" w:hanging="340"/>
      </w:pPr>
    </w:lvl>
  </w:abstractNum>
  <w:abstractNum w:abstractNumId="24">
    <w:nsid w:val="72046384"/>
    <w:multiLevelType w:val="multilevel"/>
    <w:tmpl w:val="02FE2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6">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3"/>
  </w:num>
  <w:num w:numId="2">
    <w:abstractNumId w:val="25"/>
  </w:num>
  <w:num w:numId="3">
    <w:abstractNumId w:val="3"/>
  </w:num>
  <w:num w:numId="4">
    <w:abstractNumId w:val="16"/>
  </w:num>
  <w:num w:numId="5">
    <w:abstractNumId w:val="4"/>
  </w:num>
  <w:num w:numId="6">
    <w:abstractNumId w:val="22"/>
  </w:num>
  <w:num w:numId="7">
    <w:abstractNumId w:val="18"/>
  </w:num>
  <w:num w:numId="8">
    <w:abstractNumId w:val="26"/>
  </w:num>
  <w:num w:numId="9">
    <w:abstractNumId w:val="9"/>
  </w:num>
  <w:num w:numId="10">
    <w:abstractNumId w:val="17"/>
  </w:num>
  <w:num w:numId="11">
    <w:abstractNumId w:val="8"/>
  </w:num>
  <w:num w:numId="12">
    <w:abstractNumId w:val="7"/>
  </w:num>
  <w:num w:numId="13">
    <w:abstractNumId w:val="11"/>
  </w:num>
  <w:num w:numId="14">
    <w:abstractNumId w:val="12"/>
  </w:num>
  <w:num w:numId="15">
    <w:abstractNumId w:val="15"/>
  </w:num>
  <w:num w:numId="16">
    <w:abstractNumId w:val="5"/>
  </w:num>
  <w:num w:numId="17">
    <w:abstractNumId w:val="19"/>
  </w:num>
  <w:num w:numId="18">
    <w:abstractNumId w:val="20"/>
  </w:num>
  <w:num w:numId="19">
    <w:abstractNumId w:val="1"/>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0">
    <w:abstractNumId w:val="14"/>
  </w:num>
  <w:num w:numId="21">
    <w:abstractNumId w:val="24"/>
  </w:num>
  <w:num w:numId="22">
    <w:abstractNumId w:val="6"/>
  </w:num>
  <w:num w:numId="23">
    <w:abstractNumId w:val="13"/>
  </w:num>
  <w:num w:numId="24">
    <w:abstractNumId w:val="13"/>
  </w:num>
  <w:num w:numId="25">
    <w:abstractNumId w:val="2"/>
  </w:num>
  <w:num w:numId="26">
    <w:abstractNumId w:val="0"/>
  </w:num>
  <w:num w:numId="27">
    <w:abstractNumId w:val="21"/>
  </w:num>
  <w:num w:numId="28">
    <w:abstractNumId w:val="10"/>
  </w:num>
  <w:num w:numId="29">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mirrorMargins/>
  <w:proofState w:spelling="clean" w:grammar="clean"/>
  <w:attachedTemplate r:id="rId1"/>
  <w:linkStyle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indingOptions" w:val="1"/>
    <w:docVar w:name="RecOptions" w:val="111"/>
    <w:docVar w:name="ShortChapterTitle" w:val="Concepts and measurement"/>
    <w:docVar w:name="ShortReportTitle" w:val="On productivity"/>
  </w:docVars>
  <w:rsids>
    <w:rsidRoot w:val="00336C63"/>
    <w:rsid w:val="00001687"/>
    <w:rsid w:val="00001C1D"/>
    <w:rsid w:val="00002812"/>
    <w:rsid w:val="00003604"/>
    <w:rsid w:val="00007759"/>
    <w:rsid w:val="00007F31"/>
    <w:rsid w:val="000112A9"/>
    <w:rsid w:val="00013190"/>
    <w:rsid w:val="00015CDE"/>
    <w:rsid w:val="00017C8A"/>
    <w:rsid w:val="000220F2"/>
    <w:rsid w:val="000227D5"/>
    <w:rsid w:val="000237A0"/>
    <w:rsid w:val="000245AA"/>
    <w:rsid w:val="00025032"/>
    <w:rsid w:val="00026FF9"/>
    <w:rsid w:val="000325F4"/>
    <w:rsid w:val="0003628F"/>
    <w:rsid w:val="0003664B"/>
    <w:rsid w:val="00037421"/>
    <w:rsid w:val="0004111F"/>
    <w:rsid w:val="000424BF"/>
    <w:rsid w:val="00043C6C"/>
    <w:rsid w:val="00045539"/>
    <w:rsid w:val="00045540"/>
    <w:rsid w:val="000457FD"/>
    <w:rsid w:val="00047CB3"/>
    <w:rsid w:val="00051F43"/>
    <w:rsid w:val="00053A05"/>
    <w:rsid w:val="00053CEB"/>
    <w:rsid w:val="0005637B"/>
    <w:rsid w:val="000565B3"/>
    <w:rsid w:val="00061740"/>
    <w:rsid w:val="0006494E"/>
    <w:rsid w:val="00064E18"/>
    <w:rsid w:val="00067E10"/>
    <w:rsid w:val="0007020C"/>
    <w:rsid w:val="0007150B"/>
    <w:rsid w:val="0007178D"/>
    <w:rsid w:val="00071BC1"/>
    <w:rsid w:val="00073ADD"/>
    <w:rsid w:val="00073B7F"/>
    <w:rsid w:val="000776E8"/>
    <w:rsid w:val="000777ED"/>
    <w:rsid w:val="00077A5C"/>
    <w:rsid w:val="00081529"/>
    <w:rsid w:val="00084BC7"/>
    <w:rsid w:val="0008771F"/>
    <w:rsid w:val="000938F5"/>
    <w:rsid w:val="00096188"/>
    <w:rsid w:val="00096E55"/>
    <w:rsid w:val="00096EFF"/>
    <w:rsid w:val="000A0CBE"/>
    <w:rsid w:val="000A154E"/>
    <w:rsid w:val="000A2753"/>
    <w:rsid w:val="000A30B6"/>
    <w:rsid w:val="000A481C"/>
    <w:rsid w:val="000A6228"/>
    <w:rsid w:val="000A62BC"/>
    <w:rsid w:val="000B1D82"/>
    <w:rsid w:val="000B3F6D"/>
    <w:rsid w:val="000B601B"/>
    <w:rsid w:val="000B73F3"/>
    <w:rsid w:val="000B750D"/>
    <w:rsid w:val="000C1872"/>
    <w:rsid w:val="000C207E"/>
    <w:rsid w:val="000C588D"/>
    <w:rsid w:val="000C719A"/>
    <w:rsid w:val="000C7CC9"/>
    <w:rsid w:val="000D0DFC"/>
    <w:rsid w:val="000D3FF0"/>
    <w:rsid w:val="000D730A"/>
    <w:rsid w:val="000E1302"/>
    <w:rsid w:val="000E22C6"/>
    <w:rsid w:val="000E594F"/>
    <w:rsid w:val="000F0035"/>
    <w:rsid w:val="000F420B"/>
    <w:rsid w:val="000F7F94"/>
    <w:rsid w:val="001000B0"/>
    <w:rsid w:val="001012B3"/>
    <w:rsid w:val="0010231B"/>
    <w:rsid w:val="00102342"/>
    <w:rsid w:val="00102756"/>
    <w:rsid w:val="00104456"/>
    <w:rsid w:val="00110116"/>
    <w:rsid w:val="001106EA"/>
    <w:rsid w:val="00114BE0"/>
    <w:rsid w:val="00120072"/>
    <w:rsid w:val="00120674"/>
    <w:rsid w:val="0012089F"/>
    <w:rsid w:val="001252E2"/>
    <w:rsid w:val="00126EB8"/>
    <w:rsid w:val="001274D4"/>
    <w:rsid w:val="00130EAF"/>
    <w:rsid w:val="00132801"/>
    <w:rsid w:val="00134708"/>
    <w:rsid w:val="001363AA"/>
    <w:rsid w:val="00136F8C"/>
    <w:rsid w:val="00140CFE"/>
    <w:rsid w:val="00144A0A"/>
    <w:rsid w:val="00144AF1"/>
    <w:rsid w:val="00144CCE"/>
    <w:rsid w:val="0014510A"/>
    <w:rsid w:val="00150B8B"/>
    <w:rsid w:val="00150E98"/>
    <w:rsid w:val="00156D54"/>
    <w:rsid w:val="00157D58"/>
    <w:rsid w:val="00161764"/>
    <w:rsid w:val="00161C36"/>
    <w:rsid w:val="0016442B"/>
    <w:rsid w:val="001674A8"/>
    <w:rsid w:val="00170289"/>
    <w:rsid w:val="00170BBE"/>
    <w:rsid w:val="001715A4"/>
    <w:rsid w:val="00175E26"/>
    <w:rsid w:val="0017783E"/>
    <w:rsid w:val="00177CFA"/>
    <w:rsid w:val="001803E6"/>
    <w:rsid w:val="00182115"/>
    <w:rsid w:val="001822C7"/>
    <w:rsid w:val="00183E82"/>
    <w:rsid w:val="001878BB"/>
    <w:rsid w:val="001903A2"/>
    <w:rsid w:val="00191839"/>
    <w:rsid w:val="00191AE0"/>
    <w:rsid w:val="0019293B"/>
    <w:rsid w:val="00194411"/>
    <w:rsid w:val="00196AB4"/>
    <w:rsid w:val="001A23FA"/>
    <w:rsid w:val="001A5D1E"/>
    <w:rsid w:val="001A6550"/>
    <w:rsid w:val="001A729F"/>
    <w:rsid w:val="001A73E9"/>
    <w:rsid w:val="001A79ED"/>
    <w:rsid w:val="001B19AB"/>
    <w:rsid w:val="001B373F"/>
    <w:rsid w:val="001B5580"/>
    <w:rsid w:val="001B6664"/>
    <w:rsid w:val="001C0865"/>
    <w:rsid w:val="001C26C2"/>
    <w:rsid w:val="001C3ABA"/>
    <w:rsid w:val="001C4CD6"/>
    <w:rsid w:val="001C4D5C"/>
    <w:rsid w:val="001C5A65"/>
    <w:rsid w:val="001C6B2F"/>
    <w:rsid w:val="001D4AE4"/>
    <w:rsid w:val="001D67DE"/>
    <w:rsid w:val="001D7408"/>
    <w:rsid w:val="001D7840"/>
    <w:rsid w:val="001E02BB"/>
    <w:rsid w:val="001E11E8"/>
    <w:rsid w:val="001E74E4"/>
    <w:rsid w:val="001E7521"/>
    <w:rsid w:val="001E7BE8"/>
    <w:rsid w:val="001F0248"/>
    <w:rsid w:val="001F234C"/>
    <w:rsid w:val="001F284E"/>
    <w:rsid w:val="001F2D14"/>
    <w:rsid w:val="001F3EB3"/>
    <w:rsid w:val="001F4F86"/>
    <w:rsid w:val="001F5677"/>
    <w:rsid w:val="001F673C"/>
    <w:rsid w:val="00201797"/>
    <w:rsid w:val="00202C2C"/>
    <w:rsid w:val="0020381B"/>
    <w:rsid w:val="00205DD8"/>
    <w:rsid w:val="00206885"/>
    <w:rsid w:val="002069E9"/>
    <w:rsid w:val="00207440"/>
    <w:rsid w:val="002135AB"/>
    <w:rsid w:val="00213E0C"/>
    <w:rsid w:val="002144BE"/>
    <w:rsid w:val="00214C7F"/>
    <w:rsid w:val="002225AE"/>
    <w:rsid w:val="00226CC9"/>
    <w:rsid w:val="00230EFD"/>
    <w:rsid w:val="00234368"/>
    <w:rsid w:val="00235A3F"/>
    <w:rsid w:val="002400E6"/>
    <w:rsid w:val="002411CF"/>
    <w:rsid w:val="00242279"/>
    <w:rsid w:val="002435A7"/>
    <w:rsid w:val="002440CE"/>
    <w:rsid w:val="00245C82"/>
    <w:rsid w:val="00252072"/>
    <w:rsid w:val="002521F8"/>
    <w:rsid w:val="0025279B"/>
    <w:rsid w:val="00253440"/>
    <w:rsid w:val="002558F2"/>
    <w:rsid w:val="002577D7"/>
    <w:rsid w:val="002600DF"/>
    <w:rsid w:val="00262BE4"/>
    <w:rsid w:val="00262C6D"/>
    <w:rsid w:val="002637A0"/>
    <w:rsid w:val="0026398B"/>
    <w:rsid w:val="0026727F"/>
    <w:rsid w:val="00267F12"/>
    <w:rsid w:val="00270476"/>
    <w:rsid w:val="00270644"/>
    <w:rsid w:val="00271C81"/>
    <w:rsid w:val="0027200C"/>
    <w:rsid w:val="002747D7"/>
    <w:rsid w:val="00274964"/>
    <w:rsid w:val="00274ABE"/>
    <w:rsid w:val="002762E2"/>
    <w:rsid w:val="00280B34"/>
    <w:rsid w:val="00281F02"/>
    <w:rsid w:val="00282416"/>
    <w:rsid w:val="00282555"/>
    <w:rsid w:val="00282EBE"/>
    <w:rsid w:val="00283FF8"/>
    <w:rsid w:val="0028628E"/>
    <w:rsid w:val="00290269"/>
    <w:rsid w:val="00290561"/>
    <w:rsid w:val="00290C8B"/>
    <w:rsid w:val="0029133F"/>
    <w:rsid w:val="00291B40"/>
    <w:rsid w:val="00291B9F"/>
    <w:rsid w:val="00291FE1"/>
    <w:rsid w:val="002947A5"/>
    <w:rsid w:val="00297A8B"/>
    <w:rsid w:val="002A03CC"/>
    <w:rsid w:val="002A1F4E"/>
    <w:rsid w:val="002A2168"/>
    <w:rsid w:val="002A5365"/>
    <w:rsid w:val="002A573F"/>
    <w:rsid w:val="002A63F7"/>
    <w:rsid w:val="002A78D7"/>
    <w:rsid w:val="002A7C28"/>
    <w:rsid w:val="002A7E5B"/>
    <w:rsid w:val="002B1BD9"/>
    <w:rsid w:val="002B1D94"/>
    <w:rsid w:val="002B35A0"/>
    <w:rsid w:val="002B4008"/>
    <w:rsid w:val="002B67FE"/>
    <w:rsid w:val="002B7E3B"/>
    <w:rsid w:val="002C2799"/>
    <w:rsid w:val="002C5F5D"/>
    <w:rsid w:val="002D0326"/>
    <w:rsid w:val="002D0E8E"/>
    <w:rsid w:val="002D453F"/>
    <w:rsid w:val="002D495B"/>
    <w:rsid w:val="002D4C3B"/>
    <w:rsid w:val="002D6974"/>
    <w:rsid w:val="002D759C"/>
    <w:rsid w:val="002E364E"/>
    <w:rsid w:val="002E52BD"/>
    <w:rsid w:val="002E5E62"/>
    <w:rsid w:val="002E735C"/>
    <w:rsid w:val="002F3A62"/>
    <w:rsid w:val="002F6E99"/>
    <w:rsid w:val="00301189"/>
    <w:rsid w:val="00301F9C"/>
    <w:rsid w:val="0030249A"/>
    <w:rsid w:val="00303CA6"/>
    <w:rsid w:val="0030401F"/>
    <w:rsid w:val="003055CF"/>
    <w:rsid w:val="00307E17"/>
    <w:rsid w:val="0031186E"/>
    <w:rsid w:val="00312E56"/>
    <w:rsid w:val="00313690"/>
    <w:rsid w:val="00313724"/>
    <w:rsid w:val="00317E5B"/>
    <w:rsid w:val="00320C32"/>
    <w:rsid w:val="00321879"/>
    <w:rsid w:val="003235B9"/>
    <w:rsid w:val="00323E09"/>
    <w:rsid w:val="00325F7A"/>
    <w:rsid w:val="003268AE"/>
    <w:rsid w:val="00330055"/>
    <w:rsid w:val="00330C7E"/>
    <w:rsid w:val="00330FEB"/>
    <w:rsid w:val="00333136"/>
    <w:rsid w:val="00333932"/>
    <w:rsid w:val="003344C2"/>
    <w:rsid w:val="003357F1"/>
    <w:rsid w:val="00336C63"/>
    <w:rsid w:val="003414BD"/>
    <w:rsid w:val="0034244D"/>
    <w:rsid w:val="003518AA"/>
    <w:rsid w:val="00352165"/>
    <w:rsid w:val="00353182"/>
    <w:rsid w:val="0035332F"/>
    <w:rsid w:val="00353A07"/>
    <w:rsid w:val="00354D27"/>
    <w:rsid w:val="003565D9"/>
    <w:rsid w:val="00357718"/>
    <w:rsid w:val="00357F62"/>
    <w:rsid w:val="003602E1"/>
    <w:rsid w:val="00360FDA"/>
    <w:rsid w:val="00361567"/>
    <w:rsid w:val="00361E0C"/>
    <w:rsid w:val="00362A1F"/>
    <w:rsid w:val="00362B22"/>
    <w:rsid w:val="003639C2"/>
    <w:rsid w:val="00367D0A"/>
    <w:rsid w:val="00367E04"/>
    <w:rsid w:val="0037026F"/>
    <w:rsid w:val="00371240"/>
    <w:rsid w:val="003727DC"/>
    <w:rsid w:val="00372B47"/>
    <w:rsid w:val="003741C5"/>
    <w:rsid w:val="0037449F"/>
    <w:rsid w:val="00374731"/>
    <w:rsid w:val="00376333"/>
    <w:rsid w:val="00376E59"/>
    <w:rsid w:val="0037743E"/>
    <w:rsid w:val="00377D12"/>
    <w:rsid w:val="00380EE5"/>
    <w:rsid w:val="0038402B"/>
    <w:rsid w:val="00390FC2"/>
    <w:rsid w:val="003919F9"/>
    <w:rsid w:val="00392A8C"/>
    <w:rsid w:val="00393029"/>
    <w:rsid w:val="00393275"/>
    <w:rsid w:val="0039408E"/>
    <w:rsid w:val="003963CE"/>
    <w:rsid w:val="003A0930"/>
    <w:rsid w:val="003A27E7"/>
    <w:rsid w:val="003A564F"/>
    <w:rsid w:val="003A5706"/>
    <w:rsid w:val="003A5BD5"/>
    <w:rsid w:val="003A7DE1"/>
    <w:rsid w:val="003B100B"/>
    <w:rsid w:val="003B3233"/>
    <w:rsid w:val="003B4B07"/>
    <w:rsid w:val="003B6087"/>
    <w:rsid w:val="003B6E83"/>
    <w:rsid w:val="003B7236"/>
    <w:rsid w:val="003C176F"/>
    <w:rsid w:val="003C3392"/>
    <w:rsid w:val="003C38B5"/>
    <w:rsid w:val="003C4BD4"/>
    <w:rsid w:val="003C5D99"/>
    <w:rsid w:val="003C5F7D"/>
    <w:rsid w:val="003C6F0E"/>
    <w:rsid w:val="003D4A78"/>
    <w:rsid w:val="003D5709"/>
    <w:rsid w:val="003E0C0A"/>
    <w:rsid w:val="003E2F59"/>
    <w:rsid w:val="003E3A23"/>
    <w:rsid w:val="003E4AFD"/>
    <w:rsid w:val="003E75F2"/>
    <w:rsid w:val="003F0789"/>
    <w:rsid w:val="003F1DA0"/>
    <w:rsid w:val="003F22B8"/>
    <w:rsid w:val="003F4DFD"/>
    <w:rsid w:val="003F7722"/>
    <w:rsid w:val="004006EF"/>
    <w:rsid w:val="00401882"/>
    <w:rsid w:val="004078A9"/>
    <w:rsid w:val="004100C8"/>
    <w:rsid w:val="0041151D"/>
    <w:rsid w:val="00411DBD"/>
    <w:rsid w:val="00412ACE"/>
    <w:rsid w:val="0041578C"/>
    <w:rsid w:val="00416BCF"/>
    <w:rsid w:val="00420D8D"/>
    <w:rsid w:val="00421A24"/>
    <w:rsid w:val="00421A96"/>
    <w:rsid w:val="00425EDE"/>
    <w:rsid w:val="00425F76"/>
    <w:rsid w:val="004277BE"/>
    <w:rsid w:val="0043079B"/>
    <w:rsid w:val="00431249"/>
    <w:rsid w:val="00433F4B"/>
    <w:rsid w:val="00434C19"/>
    <w:rsid w:val="00434E2E"/>
    <w:rsid w:val="004443C3"/>
    <w:rsid w:val="0044451E"/>
    <w:rsid w:val="004448E3"/>
    <w:rsid w:val="00450810"/>
    <w:rsid w:val="00451A51"/>
    <w:rsid w:val="00453B26"/>
    <w:rsid w:val="00454338"/>
    <w:rsid w:val="004549CC"/>
    <w:rsid w:val="00460ED7"/>
    <w:rsid w:val="00461022"/>
    <w:rsid w:val="00466A00"/>
    <w:rsid w:val="00467A99"/>
    <w:rsid w:val="00470615"/>
    <w:rsid w:val="00471EFA"/>
    <w:rsid w:val="00474EBF"/>
    <w:rsid w:val="00477144"/>
    <w:rsid w:val="004802EB"/>
    <w:rsid w:val="00480AC0"/>
    <w:rsid w:val="004821D8"/>
    <w:rsid w:val="00483404"/>
    <w:rsid w:val="0048434E"/>
    <w:rsid w:val="00486BE2"/>
    <w:rsid w:val="00486E84"/>
    <w:rsid w:val="00486F6C"/>
    <w:rsid w:val="00487403"/>
    <w:rsid w:val="00491380"/>
    <w:rsid w:val="00491B21"/>
    <w:rsid w:val="00491DA7"/>
    <w:rsid w:val="00492834"/>
    <w:rsid w:val="00492ABB"/>
    <w:rsid w:val="0049459F"/>
    <w:rsid w:val="004958F8"/>
    <w:rsid w:val="004A0EA7"/>
    <w:rsid w:val="004A329A"/>
    <w:rsid w:val="004A38DD"/>
    <w:rsid w:val="004A4C6A"/>
    <w:rsid w:val="004B12F4"/>
    <w:rsid w:val="004B1623"/>
    <w:rsid w:val="004B43AE"/>
    <w:rsid w:val="004C1E37"/>
    <w:rsid w:val="004C21B9"/>
    <w:rsid w:val="004C30ED"/>
    <w:rsid w:val="004C502B"/>
    <w:rsid w:val="004C603D"/>
    <w:rsid w:val="004C77BA"/>
    <w:rsid w:val="004D2857"/>
    <w:rsid w:val="004D5675"/>
    <w:rsid w:val="004D5A33"/>
    <w:rsid w:val="004E0091"/>
    <w:rsid w:val="004E1B64"/>
    <w:rsid w:val="004E2851"/>
    <w:rsid w:val="004E2A28"/>
    <w:rsid w:val="004E2E08"/>
    <w:rsid w:val="004E3832"/>
    <w:rsid w:val="004E4446"/>
    <w:rsid w:val="004E4BCE"/>
    <w:rsid w:val="004E4BFA"/>
    <w:rsid w:val="004E7BDF"/>
    <w:rsid w:val="004F133B"/>
    <w:rsid w:val="004F4E2B"/>
    <w:rsid w:val="004F5376"/>
    <w:rsid w:val="004F5FC9"/>
    <w:rsid w:val="00500583"/>
    <w:rsid w:val="00500B15"/>
    <w:rsid w:val="00501779"/>
    <w:rsid w:val="00501AE0"/>
    <w:rsid w:val="00505EAE"/>
    <w:rsid w:val="00507167"/>
    <w:rsid w:val="00507B4A"/>
    <w:rsid w:val="00507B93"/>
    <w:rsid w:val="00507D7C"/>
    <w:rsid w:val="0051364B"/>
    <w:rsid w:val="00513F54"/>
    <w:rsid w:val="00514BED"/>
    <w:rsid w:val="00515F82"/>
    <w:rsid w:val="005174BA"/>
    <w:rsid w:val="005175FE"/>
    <w:rsid w:val="00517992"/>
    <w:rsid w:val="00520062"/>
    <w:rsid w:val="00520631"/>
    <w:rsid w:val="00520CFF"/>
    <w:rsid w:val="0052180C"/>
    <w:rsid w:val="00523639"/>
    <w:rsid w:val="00525F80"/>
    <w:rsid w:val="00526310"/>
    <w:rsid w:val="005272D8"/>
    <w:rsid w:val="005306EA"/>
    <w:rsid w:val="00531FE5"/>
    <w:rsid w:val="005332C2"/>
    <w:rsid w:val="00534DF8"/>
    <w:rsid w:val="005362B7"/>
    <w:rsid w:val="005402FA"/>
    <w:rsid w:val="00541647"/>
    <w:rsid w:val="00544660"/>
    <w:rsid w:val="00545A7C"/>
    <w:rsid w:val="00545B13"/>
    <w:rsid w:val="00546B29"/>
    <w:rsid w:val="00550AC7"/>
    <w:rsid w:val="00551132"/>
    <w:rsid w:val="0055317B"/>
    <w:rsid w:val="00553868"/>
    <w:rsid w:val="005549A0"/>
    <w:rsid w:val="00554C9E"/>
    <w:rsid w:val="00555FB6"/>
    <w:rsid w:val="005562C3"/>
    <w:rsid w:val="00556F47"/>
    <w:rsid w:val="0055761A"/>
    <w:rsid w:val="00560843"/>
    <w:rsid w:val="00560C75"/>
    <w:rsid w:val="0056112B"/>
    <w:rsid w:val="005611C1"/>
    <w:rsid w:val="005624DC"/>
    <w:rsid w:val="00562DF7"/>
    <w:rsid w:val="005648AC"/>
    <w:rsid w:val="005655A3"/>
    <w:rsid w:val="00567AD9"/>
    <w:rsid w:val="00570FFE"/>
    <w:rsid w:val="0057482D"/>
    <w:rsid w:val="0057552B"/>
    <w:rsid w:val="0057690A"/>
    <w:rsid w:val="005800C4"/>
    <w:rsid w:val="00582E6D"/>
    <w:rsid w:val="00583955"/>
    <w:rsid w:val="00583C39"/>
    <w:rsid w:val="00583F7E"/>
    <w:rsid w:val="00585E29"/>
    <w:rsid w:val="00585F17"/>
    <w:rsid w:val="005870E6"/>
    <w:rsid w:val="00587954"/>
    <w:rsid w:val="00587F28"/>
    <w:rsid w:val="005909CF"/>
    <w:rsid w:val="00591E71"/>
    <w:rsid w:val="00594DED"/>
    <w:rsid w:val="00595C32"/>
    <w:rsid w:val="00597F59"/>
    <w:rsid w:val="005A099C"/>
    <w:rsid w:val="005A09DC"/>
    <w:rsid w:val="005A0D41"/>
    <w:rsid w:val="005A15A8"/>
    <w:rsid w:val="005A25D5"/>
    <w:rsid w:val="005A4DFA"/>
    <w:rsid w:val="005A4E4F"/>
    <w:rsid w:val="005A58D5"/>
    <w:rsid w:val="005A5BD3"/>
    <w:rsid w:val="005A6120"/>
    <w:rsid w:val="005A7B09"/>
    <w:rsid w:val="005A7D2B"/>
    <w:rsid w:val="005B02BD"/>
    <w:rsid w:val="005B07F9"/>
    <w:rsid w:val="005B58BD"/>
    <w:rsid w:val="005C11E6"/>
    <w:rsid w:val="005C14C1"/>
    <w:rsid w:val="005C1822"/>
    <w:rsid w:val="005C3758"/>
    <w:rsid w:val="005C3CF1"/>
    <w:rsid w:val="005D3779"/>
    <w:rsid w:val="005D5C51"/>
    <w:rsid w:val="005D5CE6"/>
    <w:rsid w:val="005D736E"/>
    <w:rsid w:val="005E2293"/>
    <w:rsid w:val="005E3434"/>
    <w:rsid w:val="005E3F22"/>
    <w:rsid w:val="005E4373"/>
    <w:rsid w:val="005E4D68"/>
    <w:rsid w:val="005E5416"/>
    <w:rsid w:val="005E6E61"/>
    <w:rsid w:val="005F01C7"/>
    <w:rsid w:val="005F16DE"/>
    <w:rsid w:val="005F1B7F"/>
    <w:rsid w:val="005F1E9C"/>
    <w:rsid w:val="005F50D8"/>
    <w:rsid w:val="005F6889"/>
    <w:rsid w:val="00601F7F"/>
    <w:rsid w:val="006022B8"/>
    <w:rsid w:val="0060275A"/>
    <w:rsid w:val="00603A19"/>
    <w:rsid w:val="00604152"/>
    <w:rsid w:val="00604BEE"/>
    <w:rsid w:val="00605F01"/>
    <w:rsid w:val="00605F94"/>
    <w:rsid w:val="00607BF1"/>
    <w:rsid w:val="00613011"/>
    <w:rsid w:val="00613426"/>
    <w:rsid w:val="00615FD7"/>
    <w:rsid w:val="006164CD"/>
    <w:rsid w:val="0061716F"/>
    <w:rsid w:val="00620087"/>
    <w:rsid w:val="00623876"/>
    <w:rsid w:val="0062775E"/>
    <w:rsid w:val="00630D4D"/>
    <w:rsid w:val="006316F4"/>
    <w:rsid w:val="00631EE4"/>
    <w:rsid w:val="00632A20"/>
    <w:rsid w:val="00632A74"/>
    <w:rsid w:val="006330DD"/>
    <w:rsid w:val="006331A4"/>
    <w:rsid w:val="00634201"/>
    <w:rsid w:val="00634B9D"/>
    <w:rsid w:val="00641976"/>
    <w:rsid w:val="006434FA"/>
    <w:rsid w:val="00643AA0"/>
    <w:rsid w:val="006454AE"/>
    <w:rsid w:val="006460C1"/>
    <w:rsid w:val="00646530"/>
    <w:rsid w:val="00646586"/>
    <w:rsid w:val="00652A00"/>
    <w:rsid w:val="00653956"/>
    <w:rsid w:val="006549A2"/>
    <w:rsid w:val="006557C6"/>
    <w:rsid w:val="00656135"/>
    <w:rsid w:val="0065674B"/>
    <w:rsid w:val="006614D5"/>
    <w:rsid w:val="00662CD8"/>
    <w:rsid w:val="00663A3E"/>
    <w:rsid w:val="00663A73"/>
    <w:rsid w:val="00670A87"/>
    <w:rsid w:val="00675322"/>
    <w:rsid w:val="00680F1F"/>
    <w:rsid w:val="00681FBA"/>
    <w:rsid w:val="00682ABA"/>
    <w:rsid w:val="00684FEA"/>
    <w:rsid w:val="00685266"/>
    <w:rsid w:val="00687DAA"/>
    <w:rsid w:val="00691EE3"/>
    <w:rsid w:val="006928EB"/>
    <w:rsid w:val="00695355"/>
    <w:rsid w:val="00695CF7"/>
    <w:rsid w:val="006A2C4C"/>
    <w:rsid w:val="006A2F24"/>
    <w:rsid w:val="006A4655"/>
    <w:rsid w:val="006A6051"/>
    <w:rsid w:val="006A69CE"/>
    <w:rsid w:val="006A6C1A"/>
    <w:rsid w:val="006B031B"/>
    <w:rsid w:val="006B1841"/>
    <w:rsid w:val="006B1CC3"/>
    <w:rsid w:val="006B2B3C"/>
    <w:rsid w:val="006B326D"/>
    <w:rsid w:val="006B341C"/>
    <w:rsid w:val="006C15CD"/>
    <w:rsid w:val="006C1D81"/>
    <w:rsid w:val="006C1FE6"/>
    <w:rsid w:val="006C2273"/>
    <w:rsid w:val="006C3338"/>
    <w:rsid w:val="006C5649"/>
    <w:rsid w:val="006C7038"/>
    <w:rsid w:val="006D0534"/>
    <w:rsid w:val="006D0599"/>
    <w:rsid w:val="006D20B7"/>
    <w:rsid w:val="006D2738"/>
    <w:rsid w:val="006D2834"/>
    <w:rsid w:val="006D3C77"/>
    <w:rsid w:val="006D4CA8"/>
    <w:rsid w:val="006D6232"/>
    <w:rsid w:val="006D6253"/>
    <w:rsid w:val="006D681A"/>
    <w:rsid w:val="006E2395"/>
    <w:rsid w:val="006E3697"/>
    <w:rsid w:val="006E43E3"/>
    <w:rsid w:val="006E58DD"/>
    <w:rsid w:val="006E73EF"/>
    <w:rsid w:val="006F1856"/>
    <w:rsid w:val="006F1E8D"/>
    <w:rsid w:val="006F4FB7"/>
    <w:rsid w:val="006F6D37"/>
    <w:rsid w:val="0070276F"/>
    <w:rsid w:val="00702A86"/>
    <w:rsid w:val="0070632F"/>
    <w:rsid w:val="00707F54"/>
    <w:rsid w:val="0071040E"/>
    <w:rsid w:val="0071481F"/>
    <w:rsid w:val="00714D4D"/>
    <w:rsid w:val="0071597B"/>
    <w:rsid w:val="00715C20"/>
    <w:rsid w:val="0071685C"/>
    <w:rsid w:val="00726BEF"/>
    <w:rsid w:val="00726C1C"/>
    <w:rsid w:val="0072795C"/>
    <w:rsid w:val="0073162E"/>
    <w:rsid w:val="007335F5"/>
    <w:rsid w:val="0073413D"/>
    <w:rsid w:val="00734488"/>
    <w:rsid w:val="0073530B"/>
    <w:rsid w:val="007353C5"/>
    <w:rsid w:val="007379A1"/>
    <w:rsid w:val="0074029F"/>
    <w:rsid w:val="00741797"/>
    <w:rsid w:val="007422EA"/>
    <w:rsid w:val="00742436"/>
    <w:rsid w:val="007462E0"/>
    <w:rsid w:val="007522F6"/>
    <w:rsid w:val="00754267"/>
    <w:rsid w:val="0075444D"/>
    <w:rsid w:val="0075546F"/>
    <w:rsid w:val="00755FC0"/>
    <w:rsid w:val="007571B4"/>
    <w:rsid w:val="007604BB"/>
    <w:rsid w:val="00760561"/>
    <w:rsid w:val="00762722"/>
    <w:rsid w:val="00762733"/>
    <w:rsid w:val="00763C6C"/>
    <w:rsid w:val="00766041"/>
    <w:rsid w:val="00766B69"/>
    <w:rsid w:val="00767DD4"/>
    <w:rsid w:val="00771F2F"/>
    <w:rsid w:val="0077451B"/>
    <w:rsid w:val="00781B9F"/>
    <w:rsid w:val="00781BA8"/>
    <w:rsid w:val="00785232"/>
    <w:rsid w:val="00785C89"/>
    <w:rsid w:val="00786596"/>
    <w:rsid w:val="007902A0"/>
    <w:rsid w:val="007915FE"/>
    <w:rsid w:val="0079714A"/>
    <w:rsid w:val="007A01EE"/>
    <w:rsid w:val="007A21EB"/>
    <w:rsid w:val="007A26C1"/>
    <w:rsid w:val="007A616B"/>
    <w:rsid w:val="007B1410"/>
    <w:rsid w:val="007B1A93"/>
    <w:rsid w:val="007B1D40"/>
    <w:rsid w:val="007B2B6C"/>
    <w:rsid w:val="007B7E95"/>
    <w:rsid w:val="007C0876"/>
    <w:rsid w:val="007C1B92"/>
    <w:rsid w:val="007C36C9"/>
    <w:rsid w:val="007C7792"/>
    <w:rsid w:val="007D08A1"/>
    <w:rsid w:val="007D57A5"/>
    <w:rsid w:val="007D5807"/>
    <w:rsid w:val="007D5DDA"/>
    <w:rsid w:val="007D5F4A"/>
    <w:rsid w:val="007D6401"/>
    <w:rsid w:val="007D7096"/>
    <w:rsid w:val="007E01E4"/>
    <w:rsid w:val="007E043D"/>
    <w:rsid w:val="007E1A2D"/>
    <w:rsid w:val="007E35F3"/>
    <w:rsid w:val="007E558C"/>
    <w:rsid w:val="007E6DEA"/>
    <w:rsid w:val="007E7165"/>
    <w:rsid w:val="007E768E"/>
    <w:rsid w:val="007F5C6C"/>
    <w:rsid w:val="007F7107"/>
    <w:rsid w:val="00800D4C"/>
    <w:rsid w:val="00801C6A"/>
    <w:rsid w:val="00802D6B"/>
    <w:rsid w:val="00803277"/>
    <w:rsid w:val="00803F81"/>
    <w:rsid w:val="0080605B"/>
    <w:rsid w:val="008063B7"/>
    <w:rsid w:val="00807160"/>
    <w:rsid w:val="0081030F"/>
    <w:rsid w:val="008124C5"/>
    <w:rsid w:val="008127C2"/>
    <w:rsid w:val="00812F9C"/>
    <w:rsid w:val="008146CB"/>
    <w:rsid w:val="00815C28"/>
    <w:rsid w:val="008203B4"/>
    <w:rsid w:val="0082087D"/>
    <w:rsid w:val="008215B6"/>
    <w:rsid w:val="00821AC8"/>
    <w:rsid w:val="00824045"/>
    <w:rsid w:val="008243B2"/>
    <w:rsid w:val="008252D2"/>
    <w:rsid w:val="00830CFB"/>
    <w:rsid w:val="00835771"/>
    <w:rsid w:val="008360F6"/>
    <w:rsid w:val="00837A7F"/>
    <w:rsid w:val="0084292A"/>
    <w:rsid w:val="00842933"/>
    <w:rsid w:val="008461E5"/>
    <w:rsid w:val="008463DE"/>
    <w:rsid w:val="008465B2"/>
    <w:rsid w:val="00846F89"/>
    <w:rsid w:val="00851BF5"/>
    <w:rsid w:val="00852221"/>
    <w:rsid w:val="008522CB"/>
    <w:rsid w:val="0085261C"/>
    <w:rsid w:val="00852754"/>
    <w:rsid w:val="00853CB8"/>
    <w:rsid w:val="0085636D"/>
    <w:rsid w:val="008573A3"/>
    <w:rsid w:val="0086082C"/>
    <w:rsid w:val="00864ADC"/>
    <w:rsid w:val="00865642"/>
    <w:rsid w:val="00865660"/>
    <w:rsid w:val="00867E45"/>
    <w:rsid w:val="00870A6C"/>
    <w:rsid w:val="00875BE8"/>
    <w:rsid w:val="00876ECC"/>
    <w:rsid w:val="008800B4"/>
    <w:rsid w:val="00880153"/>
    <w:rsid w:val="00880F97"/>
    <w:rsid w:val="0088133A"/>
    <w:rsid w:val="00881500"/>
    <w:rsid w:val="0088555D"/>
    <w:rsid w:val="008874D3"/>
    <w:rsid w:val="0089001F"/>
    <w:rsid w:val="00890D8C"/>
    <w:rsid w:val="00890F1A"/>
    <w:rsid w:val="0089127D"/>
    <w:rsid w:val="008918A8"/>
    <w:rsid w:val="0089285E"/>
    <w:rsid w:val="0089436C"/>
    <w:rsid w:val="0089492E"/>
    <w:rsid w:val="00894A43"/>
    <w:rsid w:val="00895413"/>
    <w:rsid w:val="00897A82"/>
    <w:rsid w:val="008A0DB5"/>
    <w:rsid w:val="008A0E31"/>
    <w:rsid w:val="008A1742"/>
    <w:rsid w:val="008A5AC4"/>
    <w:rsid w:val="008B1ED7"/>
    <w:rsid w:val="008B2AEC"/>
    <w:rsid w:val="008B5FEF"/>
    <w:rsid w:val="008C58B9"/>
    <w:rsid w:val="008C61E0"/>
    <w:rsid w:val="008D3003"/>
    <w:rsid w:val="008D365C"/>
    <w:rsid w:val="008D3856"/>
    <w:rsid w:val="008D430F"/>
    <w:rsid w:val="008D473D"/>
    <w:rsid w:val="008D7DBD"/>
    <w:rsid w:val="008E14B5"/>
    <w:rsid w:val="008E27D2"/>
    <w:rsid w:val="008E2A3C"/>
    <w:rsid w:val="008E3D57"/>
    <w:rsid w:val="008E473B"/>
    <w:rsid w:val="008E63FA"/>
    <w:rsid w:val="008F163E"/>
    <w:rsid w:val="008F1A2F"/>
    <w:rsid w:val="008F265E"/>
    <w:rsid w:val="008F39EA"/>
    <w:rsid w:val="008F3B7D"/>
    <w:rsid w:val="008F7E60"/>
    <w:rsid w:val="009030BF"/>
    <w:rsid w:val="00905D3A"/>
    <w:rsid w:val="00906D90"/>
    <w:rsid w:val="009077B0"/>
    <w:rsid w:val="0091032F"/>
    <w:rsid w:val="00913EAE"/>
    <w:rsid w:val="00914368"/>
    <w:rsid w:val="0091611A"/>
    <w:rsid w:val="00920ECA"/>
    <w:rsid w:val="009233FB"/>
    <w:rsid w:val="009239C8"/>
    <w:rsid w:val="00923F06"/>
    <w:rsid w:val="00927AC3"/>
    <w:rsid w:val="00931076"/>
    <w:rsid w:val="009314C5"/>
    <w:rsid w:val="009345D9"/>
    <w:rsid w:val="00934B15"/>
    <w:rsid w:val="00940925"/>
    <w:rsid w:val="00940C87"/>
    <w:rsid w:val="009411B9"/>
    <w:rsid w:val="00941C35"/>
    <w:rsid w:val="0094255B"/>
    <w:rsid w:val="00942B62"/>
    <w:rsid w:val="00944BC3"/>
    <w:rsid w:val="00952370"/>
    <w:rsid w:val="0095323B"/>
    <w:rsid w:val="0095434D"/>
    <w:rsid w:val="00956A0C"/>
    <w:rsid w:val="00956BD9"/>
    <w:rsid w:val="009609FF"/>
    <w:rsid w:val="009614E7"/>
    <w:rsid w:val="00962489"/>
    <w:rsid w:val="0096308E"/>
    <w:rsid w:val="00963820"/>
    <w:rsid w:val="00963B88"/>
    <w:rsid w:val="00965A40"/>
    <w:rsid w:val="009674D8"/>
    <w:rsid w:val="00970A6E"/>
    <w:rsid w:val="00971631"/>
    <w:rsid w:val="009728A5"/>
    <w:rsid w:val="00973964"/>
    <w:rsid w:val="00974F30"/>
    <w:rsid w:val="00976999"/>
    <w:rsid w:val="00977B99"/>
    <w:rsid w:val="00980337"/>
    <w:rsid w:val="00982F89"/>
    <w:rsid w:val="009862B4"/>
    <w:rsid w:val="009863DF"/>
    <w:rsid w:val="00990C2C"/>
    <w:rsid w:val="00991043"/>
    <w:rsid w:val="00993A20"/>
    <w:rsid w:val="00994286"/>
    <w:rsid w:val="00996749"/>
    <w:rsid w:val="009A0B08"/>
    <w:rsid w:val="009A55B8"/>
    <w:rsid w:val="009A7514"/>
    <w:rsid w:val="009A77E0"/>
    <w:rsid w:val="009C1F45"/>
    <w:rsid w:val="009C6635"/>
    <w:rsid w:val="009C6A2A"/>
    <w:rsid w:val="009C6C43"/>
    <w:rsid w:val="009D0BA8"/>
    <w:rsid w:val="009D1C9F"/>
    <w:rsid w:val="009E139A"/>
    <w:rsid w:val="009E1844"/>
    <w:rsid w:val="009E2828"/>
    <w:rsid w:val="009E38EA"/>
    <w:rsid w:val="009E4570"/>
    <w:rsid w:val="009E507B"/>
    <w:rsid w:val="009E6923"/>
    <w:rsid w:val="009E7D2A"/>
    <w:rsid w:val="009F0D1B"/>
    <w:rsid w:val="009F16E7"/>
    <w:rsid w:val="009F1FA7"/>
    <w:rsid w:val="009F3B4F"/>
    <w:rsid w:val="009F696D"/>
    <w:rsid w:val="009F6BC6"/>
    <w:rsid w:val="00A00A8D"/>
    <w:rsid w:val="00A01788"/>
    <w:rsid w:val="00A01C51"/>
    <w:rsid w:val="00A02918"/>
    <w:rsid w:val="00A0395E"/>
    <w:rsid w:val="00A102E6"/>
    <w:rsid w:val="00A10600"/>
    <w:rsid w:val="00A13FB7"/>
    <w:rsid w:val="00A1567A"/>
    <w:rsid w:val="00A17328"/>
    <w:rsid w:val="00A20E07"/>
    <w:rsid w:val="00A228F7"/>
    <w:rsid w:val="00A23A20"/>
    <w:rsid w:val="00A268B9"/>
    <w:rsid w:val="00A2703A"/>
    <w:rsid w:val="00A33DFF"/>
    <w:rsid w:val="00A35115"/>
    <w:rsid w:val="00A355CD"/>
    <w:rsid w:val="00A36D9A"/>
    <w:rsid w:val="00A40CA2"/>
    <w:rsid w:val="00A40D8D"/>
    <w:rsid w:val="00A41444"/>
    <w:rsid w:val="00A41C5E"/>
    <w:rsid w:val="00A4283F"/>
    <w:rsid w:val="00A431EB"/>
    <w:rsid w:val="00A432BD"/>
    <w:rsid w:val="00A44AA3"/>
    <w:rsid w:val="00A45264"/>
    <w:rsid w:val="00A45B3E"/>
    <w:rsid w:val="00A46486"/>
    <w:rsid w:val="00A46556"/>
    <w:rsid w:val="00A51941"/>
    <w:rsid w:val="00A51D0A"/>
    <w:rsid w:val="00A53637"/>
    <w:rsid w:val="00A554AB"/>
    <w:rsid w:val="00A55640"/>
    <w:rsid w:val="00A56D77"/>
    <w:rsid w:val="00A57062"/>
    <w:rsid w:val="00A63F3D"/>
    <w:rsid w:val="00A702AE"/>
    <w:rsid w:val="00A7305D"/>
    <w:rsid w:val="00A73A91"/>
    <w:rsid w:val="00A74AF8"/>
    <w:rsid w:val="00A77169"/>
    <w:rsid w:val="00A779E2"/>
    <w:rsid w:val="00A80B53"/>
    <w:rsid w:val="00A80C27"/>
    <w:rsid w:val="00A82D78"/>
    <w:rsid w:val="00A8341E"/>
    <w:rsid w:val="00A84242"/>
    <w:rsid w:val="00A908C8"/>
    <w:rsid w:val="00A91328"/>
    <w:rsid w:val="00A92100"/>
    <w:rsid w:val="00A92B53"/>
    <w:rsid w:val="00A947D1"/>
    <w:rsid w:val="00A94FA6"/>
    <w:rsid w:val="00A95EEF"/>
    <w:rsid w:val="00A96CB0"/>
    <w:rsid w:val="00AA1B81"/>
    <w:rsid w:val="00AA2310"/>
    <w:rsid w:val="00AA408D"/>
    <w:rsid w:val="00AA44BA"/>
    <w:rsid w:val="00AA49A0"/>
    <w:rsid w:val="00AA6710"/>
    <w:rsid w:val="00AA777F"/>
    <w:rsid w:val="00AA7AB5"/>
    <w:rsid w:val="00AB016B"/>
    <w:rsid w:val="00AB0681"/>
    <w:rsid w:val="00AB12D5"/>
    <w:rsid w:val="00AB2F41"/>
    <w:rsid w:val="00AC232A"/>
    <w:rsid w:val="00AC3004"/>
    <w:rsid w:val="00AC397F"/>
    <w:rsid w:val="00AC3C9D"/>
    <w:rsid w:val="00AD14BB"/>
    <w:rsid w:val="00AD1CBD"/>
    <w:rsid w:val="00AD263D"/>
    <w:rsid w:val="00AD2D23"/>
    <w:rsid w:val="00AD3236"/>
    <w:rsid w:val="00AD43DA"/>
    <w:rsid w:val="00AD4A77"/>
    <w:rsid w:val="00AD520B"/>
    <w:rsid w:val="00AD5353"/>
    <w:rsid w:val="00AD6186"/>
    <w:rsid w:val="00AD671D"/>
    <w:rsid w:val="00AD7D2E"/>
    <w:rsid w:val="00AE2167"/>
    <w:rsid w:val="00AE21C9"/>
    <w:rsid w:val="00AE453C"/>
    <w:rsid w:val="00AE5E4F"/>
    <w:rsid w:val="00AE7D0E"/>
    <w:rsid w:val="00AE7EED"/>
    <w:rsid w:val="00AF0660"/>
    <w:rsid w:val="00AF07C0"/>
    <w:rsid w:val="00AF16B1"/>
    <w:rsid w:val="00AF3461"/>
    <w:rsid w:val="00AF56E3"/>
    <w:rsid w:val="00AF6B0C"/>
    <w:rsid w:val="00B0030E"/>
    <w:rsid w:val="00B006F2"/>
    <w:rsid w:val="00B02131"/>
    <w:rsid w:val="00B05E01"/>
    <w:rsid w:val="00B07017"/>
    <w:rsid w:val="00B1151D"/>
    <w:rsid w:val="00B132AD"/>
    <w:rsid w:val="00B137DE"/>
    <w:rsid w:val="00B146D6"/>
    <w:rsid w:val="00B16482"/>
    <w:rsid w:val="00B203D5"/>
    <w:rsid w:val="00B22C48"/>
    <w:rsid w:val="00B22D0D"/>
    <w:rsid w:val="00B2600D"/>
    <w:rsid w:val="00B27A1D"/>
    <w:rsid w:val="00B27C6E"/>
    <w:rsid w:val="00B31428"/>
    <w:rsid w:val="00B316FC"/>
    <w:rsid w:val="00B330BB"/>
    <w:rsid w:val="00B33748"/>
    <w:rsid w:val="00B33A19"/>
    <w:rsid w:val="00B3450D"/>
    <w:rsid w:val="00B35F3F"/>
    <w:rsid w:val="00B36CC3"/>
    <w:rsid w:val="00B425C3"/>
    <w:rsid w:val="00B42FAB"/>
    <w:rsid w:val="00B43F53"/>
    <w:rsid w:val="00B440AD"/>
    <w:rsid w:val="00B4514C"/>
    <w:rsid w:val="00B46985"/>
    <w:rsid w:val="00B50B97"/>
    <w:rsid w:val="00B53E7E"/>
    <w:rsid w:val="00B5418E"/>
    <w:rsid w:val="00B54682"/>
    <w:rsid w:val="00B5603B"/>
    <w:rsid w:val="00B60E26"/>
    <w:rsid w:val="00B628C3"/>
    <w:rsid w:val="00B62A6F"/>
    <w:rsid w:val="00B62FC3"/>
    <w:rsid w:val="00B630D6"/>
    <w:rsid w:val="00B6342E"/>
    <w:rsid w:val="00B6345D"/>
    <w:rsid w:val="00B6648B"/>
    <w:rsid w:val="00B665FE"/>
    <w:rsid w:val="00B67E2E"/>
    <w:rsid w:val="00B70247"/>
    <w:rsid w:val="00B70CBE"/>
    <w:rsid w:val="00B7113F"/>
    <w:rsid w:val="00B712A6"/>
    <w:rsid w:val="00B72E70"/>
    <w:rsid w:val="00B732D9"/>
    <w:rsid w:val="00B73F39"/>
    <w:rsid w:val="00B834CA"/>
    <w:rsid w:val="00B8636E"/>
    <w:rsid w:val="00B86B6D"/>
    <w:rsid w:val="00B9092D"/>
    <w:rsid w:val="00B9264F"/>
    <w:rsid w:val="00B929E9"/>
    <w:rsid w:val="00B94E50"/>
    <w:rsid w:val="00BA0C07"/>
    <w:rsid w:val="00BA118A"/>
    <w:rsid w:val="00BA2F13"/>
    <w:rsid w:val="00BA326E"/>
    <w:rsid w:val="00BA5942"/>
    <w:rsid w:val="00BA73B6"/>
    <w:rsid w:val="00BA7681"/>
    <w:rsid w:val="00BA7E27"/>
    <w:rsid w:val="00BB2603"/>
    <w:rsid w:val="00BB41C2"/>
    <w:rsid w:val="00BB45CF"/>
    <w:rsid w:val="00BB4FCD"/>
    <w:rsid w:val="00BB513B"/>
    <w:rsid w:val="00BB76ED"/>
    <w:rsid w:val="00BC04E9"/>
    <w:rsid w:val="00BC2A23"/>
    <w:rsid w:val="00BC2E89"/>
    <w:rsid w:val="00BC439A"/>
    <w:rsid w:val="00BC56CC"/>
    <w:rsid w:val="00BD08C3"/>
    <w:rsid w:val="00BD13EA"/>
    <w:rsid w:val="00BD23F2"/>
    <w:rsid w:val="00BD26AE"/>
    <w:rsid w:val="00BD357C"/>
    <w:rsid w:val="00BD45BB"/>
    <w:rsid w:val="00BD4A44"/>
    <w:rsid w:val="00BD7C5A"/>
    <w:rsid w:val="00BD7DE8"/>
    <w:rsid w:val="00BE16B6"/>
    <w:rsid w:val="00BE2BB8"/>
    <w:rsid w:val="00BE3808"/>
    <w:rsid w:val="00BE5FBB"/>
    <w:rsid w:val="00BE73B6"/>
    <w:rsid w:val="00BE7A10"/>
    <w:rsid w:val="00BF2E32"/>
    <w:rsid w:val="00BF4C3E"/>
    <w:rsid w:val="00BF6C7D"/>
    <w:rsid w:val="00C025C7"/>
    <w:rsid w:val="00C05C32"/>
    <w:rsid w:val="00C05F5A"/>
    <w:rsid w:val="00C062E9"/>
    <w:rsid w:val="00C07973"/>
    <w:rsid w:val="00C07B64"/>
    <w:rsid w:val="00C10CBA"/>
    <w:rsid w:val="00C11BCE"/>
    <w:rsid w:val="00C13721"/>
    <w:rsid w:val="00C13C08"/>
    <w:rsid w:val="00C14FE4"/>
    <w:rsid w:val="00C162FC"/>
    <w:rsid w:val="00C17B4B"/>
    <w:rsid w:val="00C21175"/>
    <w:rsid w:val="00C23075"/>
    <w:rsid w:val="00C23643"/>
    <w:rsid w:val="00C24544"/>
    <w:rsid w:val="00C2479A"/>
    <w:rsid w:val="00C3066D"/>
    <w:rsid w:val="00C3248D"/>
    <w:rsid w:val="00C32AC7"/>
    <w:rsid w:val="00C333B8"/>
    <w:rsid w:val="00C36051"/>
    <w:rsid w:val="00C365F8"/>
    <w:rsid w:val="00C43A55"/>
    <w:rsid w:val="00C44CE4"/>
    <w:rsid w:val="00C45EB9"/>
    <w:rsid w:val="00C465D4"/>
    <w:rsid w:val="00C46A34"/>
    <w:rsid w:val="00C51D08"/>
    <w:rsid w:val="00C52416"/>
    <w:rsid w:val="00C529A3"/>
    <w:rsid w:val="00C52CAE"/>
    <w:rsid w:val="00C543F4"/>
    <w:rsid w:val="00C544B1"/>
    <w:rsid w:val="00C606AC"/>
    <w:rsid w:val="00C61B38"/>
    <w:rsid w:val="00C6291C"/>
    <w:rsid w:val="00C633CB"/>
    <w:rsid w:val="00C637F1"/>
    <w:rsid w:val="00C63E29"/>
    <w:rsid w:val="00C736B7"/>
    <w:rsid w:val="00C75187"/>
    <w:rsid w:val="00C75A01"/>
    <w:rsid w:val="00C765F5"/>
    <w:rsid w:val="00C81A90"/>
    <w:rsid w:val="00C81D4A"/>
    <w:rsid w:val="00C82002"/>
    <w:rsid w:val="00C82487"/>
    <w:rsid w:val="00C8762C"/>
    <w:rsid w:val="00C90702"/>
    <w:rsid w:val="00C90B73"/>
    <w:rsid w:val="00C92EA0"/>
    <w:rsid w:val="00C9617F"/>
    <w:rsid w:val="00CA00F9"/>
    <w:rsid w:val="00CA2961"/>
    <w:rsid w:val="00CA536D"/>
    <w:rsid w:val="00CA61E8"/>
    <w:rsid w:val="00CA65E9"/>
    <w:rsid w:val="00CA6A7B"/>
    <w:rsid w:val="00CA7AFA"/>
    <w:rsid w:val="00CB4797"/>
    <w:rsid w:val="00CB50D7"/>
    <w:rsid w:val="00CB5674"/>
    <w:rsid w:val="00CB7177"/>
    <w:rsid w:val="00CC1998"/>
    <w:rsid w:val="00CC30E8"/>
    <w:rsid w:val="00CC42C0"/>
    <w:rsid w:val="00CC4946"/>
    <w:rsid w:val="00CC6321"/>
    <w:rsid w:val="00CC6F1F"/>
    <w:rsid w:val="00CD09C2"/>
    <w:rsid w:val="00CD11FF"/>
    <w:rsid w:val="00CD1E7C"/>
    <w:rsid w:val="00CD2E7F"/>
    <w:rsid w:val="00CD2FDF"/>
    <w:rsid w:val="00CD3826"/>
    <w:rsid w:val="00CD4EF4"/>
    <w:rsid w:val="00CD6FEE"/>
    <w:rsid w:val="00CE1096"/>
    <w:rsid w:val="00CE2103"/>
    <w:rsid w:val="00CE223F"/>
    <w:rsid w:val="00CE23D2"/>
    <w:rsid w:val="00CF0498"/>
    <w:rsid w:val="00CF0E8D"/>
    <w:rsid w:val="00CF14FE"/>
    <w:rsid w:val="00CF2BE1"/>
    <w:rsid w:val="00CF61A1"/>
    <w:rsid w:val="00D003FB"/>
    <w:rsid w:val="00D02760"/>
    <w:rsid w:val="00D0678B"/>
    <w:rsid w:val="00D075AF"/>
    <w:rsid w:val="00D10B49"/>
    <w:rsid w:val="00D1202F"/>
    <w:rsid w:val="00D13A2D"/>
    <w:rsid w:val="00D1508A"/>
    <w:rsid w:val="00D16D78"/>
    <w:rsid w:val="00D17603"/>
    <w:rsid w:val="00D17ED2"/>
    <w:rsid w:val="00D247B9"/>
    <w:rsid w:val="00D270A4"/>
    <w:rsid w:val="00D31FE9"/>
    <w:rsid w:val="00D32338"/>
    <w:rsid w:val="00D331BB"/>
    <w:rsid w:val="00D34E1B"/>
    <w:rsid w:val="00D35B5B"/>
    <w:rsid w:val="00D35EE4"/>
    <w:rsid w:val="00D36931"/>
    <w:rsid w:val="00D36A1C"/>
    <w:rsid w:val="00D376BA"/>
    <w:rsid w:val="00D37769"/>
    <w:rsid w:val="00D44B75"/>
    <w:rsid w:val="00D4553A"/>
    <w:rsid w:val="00D45634"/>
    <w:rsid w:val="00D47FF5"/>
    <w:rsid w:val="00D51C6E"/>
    <w:rsid w:val="00D53865"/>
    <w:rsid w:val="00D5568A"/>
    <w:rsid w:val="00D567BA"/>
    <w:rsid w:val="00D61D46"/>
    <w:rsid w:val="00D62388"/>
    <w:rsid w:val="00D63D73"/>
    <w:rsid w:val="00D64452"/>
    <w:rsid w:val="00D65377"/>
    <w:rsid w:val="00D66A28"/>
    <w:rsid w:val="00D66E1E"/>
    <w:rsid w:val="00D67F77"/>
    <w:rsid w:val="00D75722"/>
    <w:rsid w:val="00D76485"/>
    <w:rsid w:val="00D76761"/>
    <w:rsid w:val="00D76E4C"/>
    <w:rsid w:val="00D77060"/>
    <w:rsid w:val="00D80781"/>
    <w:rsid w:val="00D80CF5"/>
    <w:rsid w:val="00D812C3"/>
    <w:rsid w:val="00D814AC"/>
    <w:rsid w:val="00D81A92"/>
    <w:rsid w:val="00D82E4B"/>
    <w:rsid w:val="00D82F9F"/>
    <w:rsid w:val="00D83394"/>
    <w:rsid w:val="00D8645D"/>
    <w:rsid w:val="00D8736E"/>
    <w:rsid w:val="00D90D58"/>
    <w:rsid w:val="00D9309B"/>
    <w:rsid w:val="00D93486"/>
    <w:rsid w:val="00D9386F"/>
    <w:rsid w:val="00D94509"/>
    <w:rsid w:val="00D97707"/>
    <w:rsid w:val="00DA2D93"/>
    <w:rsid w:val="00DA3758"/>
    <w:rsid w:val="00DA3B96"/>
    <w:rsid w:val="00DA4FDB"/>
    <w:rsid w:val="00DA5BBA"/>
    <w:rsid w:val="00DA6BC7"/>
    <w:rsid w:val="00DA6BDD"/>
    <w:rsid w:val="00DB077F"/>
    <w:rsid w:val="00DB1484"/>
    <w:rsid w:val="00DB26D2"/>
    <w:rsid w:val="00DB67C9"/>
    <w:rsid w:val="00DB7893"/>
    <w:rsid w:val="00DB7B3D"/>
    <w:rsid w:val="00DC0C95"/>
    <w:rsid w:val="00DC46DB"/>
    <w:rsid w:val="00DC557E"/>
    <w:rsid w:val="00DC5BF2"/>
    <w:rsid w:val="00DC6295"/>
    <w:rsid w:val="00DD0595"/>
    <w:rsid w:val="00DD086E"/>
    <w:rsid w:val="00DD30E7"/>
    <w:rsid w:val="00DD3BF4"/>
    <w:rsid w:val="00DD6580"/>
    <w:rsid w:val="00DE0A8F"/>
    <w:rsid w:val="00DE517E"/>
    <w:rsid w:val="00DE5D28"/>
    <w:rsid w:val="00DE6CE3"/>
    <w:rsid w:val="00DF1482"/>
    <w:rsid w:val="00DF31A6"/>
    <w:rsid w:val="00DF5CC1"/>
    <w:rsid w:val="00DF63B4"/>
    <w:rsid w:val="00E01A3C"/>
    <w:rsid w:val="00E02559"/>
    <w:rsid w:val="00E028C0"/>
    <w:rsid w:val="00E05569"/>
    <w:rsid w:val="00E07A01"/>
    <w:rsid w:val="00E108F4"/>
    <w:rsid w:val="00E17C72"/>
    <w:rsid w:val="00E20398"/>
    <w:rsid w:val="00E21959"/>
    <w:rsid w:val="00E21FC6"/>
    <w:rsid w:val="00E23EF6"/>
    <w:rsid w:val="00E23FFF"/>
    <w:rsid w:val="00E24807"/>
    <w:rsid w:val="00E2524C"/>
    <w:rsid w:val="00E2540B"/>
    <w:rsid w:val="00E326F2"/>
    <w:rsid w:val="00E373D6"/>
    <w:rsid w:val="00E40187"/>
    <w:rsid w:val="00E431A9"/>
    <w:rsid w:val="00E43CAC"/>
    <w:rsid w:val="00E457A0"/>
    <w:rsid w:val="00E45F0D"/>
    <w:rsid w:val="00E51144"/>
    <w:rsid w:val="00E55736"/>
    <w:rsid w:val="00E579F8"/>
    <w:rsid w:val="00E60BCD"/>
    <w:rsid w:val="00E60EE4"/>
    <w:rsid w:val="00E65F34"/>
    <w:rsid w:val="00E669E2"/>
    <w:rsid w:val="00E706C3"/>
    <w:rsid w:val="00E72348"/>
    <w:rsid w:val="00E7365E"/>
    <w:rsid w:val="00E76135"/>
    <w:rsid w:val="00E76CE2"/>
    <w:rsid w:val="00E82F4F"/>
    <w:rsid w:val="00E91011"/>
    <w:rsid w:val="00E92AD1"/>
    <w:rsid w:val="00E9406D"/>
    <w:rsid w:val="00E940E1"/>
    <w:rsid w:val="00EA4235"/>
    <w:rsid w:val="00EA507D"/>
    <w:rsid w:val="00EA6B75"/>
    <w:rsid w:val="00EA7A96"/>
    <w:rsid w:val="00EB1E86"/>
    <w:rsid w:val="00EB26E5"/>
    <w:rsid w:val="00EB28CA"/>
    <w:rsid w:val="00EB2BF3"/>
    <w:rsid w:val="00EC2844"/>
    <w:rsid w:val="00EC5500"/>
    <w:rsid w:val="00EC6183"/>
    <w:rsid w:val="00EC69DD"/>
    <w:rsid w:val="00ED22CA"/>
    <w:rsid w:val="00ED2A8B"/>
    <w:rsid w:val="00ED570A"/>
    <w:rsid w:val="00ED706C"/>
    <w:rsid w:val="00EE04D9"/>
    <w:rsid w:val="00EE18F4"/>
    <w:rsid w:val="00EE3248"/>
    <w:rsid w:val="00EE3A99"/>
    <w:rsid w:val="00EE5714"/>
    <w:rsid w:val="00EF4F88"/>
    <w:rsid w:val="00EF5FD7"/>
    <w:rsid w:val="00EF68F4"/>
    <w:rsid w:val="00EF6C6C"/>
    <w:rsid w:val="00F02E88"/>
    <w:rsid w:val="00F03C5C"/>
    <w:rsid w:val="00F053A3"/>
    <w:rsid w:val="00F056FC"/>
    <w:rsid w:val="00F05EBF"/>
    <w:rsid w:val="00F06098"/>
    <w:rsid w:val="00F0635D"/>
    <w:rsid w:val="00F06853"/>
    <w:rsid w:val="00F10476"/>
    <w:rsid w:val="00F104E6"/>
    <w:rsid w:val="00F135D8"/>
    <w:rsid w:val="00F21975"/>
    <w:rsid w:val="00F245F5"/>
    <w:rsid w:val="00F269E6"/>
    <w:rsid w:val="00F31299"/>
    <w:rsid w:val="00F34E54"/>
    <w:rsid w:val="00F351EE"/>
    <w:rsid w:val="00F3534A"/>
    <w:rsid w:val="00F378F5"/>
    <w:rsid w:val="00F4560D"/>
    <w:rsid w:val="00F50535"/>
    <w:rsid w:val="00F50D86"/>
    <w:rsid w:val="00F51609"/>
    <w:rsid w:val="00F52DA3"/>
    <w:rsid w:val="00F53B58"/>
    <w:rsid w:val="00F53E84"/>
    <w:rsid w:val="00F53F85"/>
    <w:rsid w:val="00F5410C"/>
    <w:rsid w:val="00F54134"/>
    <w:rsid w:val="00F54C4D"/>
    <w:rsid w:val="00F55557"/>
    <w:rsid w:val="00F56B8A"/>
    <w:rsid w:val="00F56E3F"/>
    <w:rsid w:val="00F601BE"/>
    <w:rsid w:val="00F6185C"/>
    <w:rsid w:val="00F62CC8"/>
    <w:rsid w:val="00F62FBF"/>
    <w:rsid w:val="00F632CA"/>
    <w:rsid w:val="00F6366F"/>
    <w:rsid w:val="00F65399"/>
    <w:rsid w:val="00F65AC8"/>
    <w:rsid w:val="00F671DF"/>
    <w:rsid w:val="00F716C1"/>
    <w:rsid w:val="00F72386"/>
    <w:rsid w:val="00F7490E"/>
    <w:rsid w:val="00F752E4"/>
    <w:rsid w:val="00F75A42"/>
    <w:rsid w:val="00F8003B"/>
    <w:rsid w:val="00F81006"/>
    <w:rsid w:val="00F812B4"/>
    <w:rsid w:val="00F813CD"/>
    <w:rsid w:val="00F84510"/>
    <w:rsid w:val="00F85325"/>
    <w:rsid w:val="00F86AD9"/>
    <w:rsid w:val="00F921EF"/>
    <w:rsid w:val="00F929DD"/>
    <w:rsid w:val="00F9340E"/>
    <w:rsid w:val="00F9734B"/>
    <w:rsid w:val="00F97FCA"/>
    <w:rsid w:val="00FA0943"/>
    <w:rsid w:val="00FA17EA"/>
    <w:rsid w:val="00FA2712"/>
    <w:rsid w:val="00FA55E9"/>
    <w:rsid w:val="00FB2805"/>
    <w:rsid w:val="00FB2D38"/>
    <w:rsid w:val="00FB4B63"/>
    <w:rsid w:val="00FB7811"/>
    <w:rsid w:val="00FC0777"/>
    <w:rsid w:val="00FC0EB9"/>
    <w:rsid w:val="00FC1B6A"/>
    <w:rsid w:val="00FC2C35"/>
    <w:rsid w:val="00FC4EFB"/>
    <w:rsid w:val="00FC5770"/>
    <w:rsid w:val="00FC6342"/>
    <w:rsid w:val="00FC7073"/>
    <w:rsid w:val="00FD22B1"/>
    <w:rsid w:val="00FD3E16"/>
    <w:rsid w:val="00FD5978"/>
    <w:rsid w:val="00FD601D"/>
    <w:rsid w:val="00FD6BAD"/>
    <w:rsid w:val="00FD6CB5"/>
    <w:rsid w:val="00FE1ADC"/>
    <w:rsid w:val="00FE1F1F"/>
    <w:rsid w:val="00FE3774"/>
    <w:rsid w:val="00FE3D57"/>
    <w:rsid w:val="00FE42AE"/>
    <w:rsid w:val="00FE4D2A"/>
    <w:rsid w:val="00FE5397"/>
    <w:rsid w:val="00FE54F3"/>
    <w:rsid w:val="00FE7E9A"/>
    <w:rsid w:val="00FF344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heading 2" w:qFormat="1"/>
    <w:lsdException w:name="heading 3" w:qFormat="1"/>
    <w:lsdException w:name="heading 4" w:qFormat="1"/>
    <w:lsdException w:name="heading 5" w:qFormat="1"/>
    <w:lsdException w:name="Default Paragraph Font" w:uiPriority="1"/>
    <w:lsdException w:name="Body Text" w:qFormat="1"/>
    <w:lsdException w:name="Subtitle" w:qFormat="1"/>
    <w:lsdException w:name="Hyperlink"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F813CD"/>
    <w:rPr>
      <w:sz w:val="24"/>
      <w:szCs w:val="24"/>
    </w:rPr>
  </w:style>
  <w:style w:type="paragraph" w:styleId="Heading1">
    <w:name w:val="heading 1"/>
    <w:basedOn w:val="BodyText"/>
    <w:next w:val="BodyText"/>
    <w:rsid w:val="00F813CD"/>
    <w:pPr>
      <w:keepNext/>
      <w:spacing w:before="160" w:after="1360" w:line="600" w:lineRule="exact"/>
      <w:ind w:left="907" w:hanging="907"/>
      <w:jc w:val="left"/>
      <w:outlineLvl w:val="0"/>
    </w:pPr>
    <w:rPr>
      <w:sz w:val="52"/>
    </w:rPr>
  </w:style>
  <w:style w:type="paragraph" w:styleId="Heading2">
    <w:name w:val="heading 2"/>
    <w:basedOn w:val="Chapter"/>
    <w:next w:val="BodyText"/>
    <w:qFormat/>
    <w:rsid w:val="00F813CD"/>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F813CD"/>
    <w:pPr>
      <w:spacing w:before="560" w:line="320" w:lineRule="exact"/>
      <w:ind w:left="0" w:firstLine="0"/>
      <w:outlineLvl w:val="2"/>
    </w:pPr>
    <w:rPr>
      <w:sz w:val="26"/>
    </w:rPr>
  </w:style>
  <w:style w:type="paragraph" w:styleId="Heading4">
    <w:name w:val="heading 4"/>
    <w:basedOn w:val="Heading3"/>
    <w:next w:val="BodyText"/>
    <w:qFormat/>
    <w:rsid w:val="00F813CD"/>
    <w:pPr>
      <w:spacing w:before="480"/>
      <w:outlineLvl w:val="3"/>
    </w:pPr>
    <w:rPr>
      <w:b w:val="0"/>
      <w:sz w:val="24"/>
    </w:rPr>
  </w:style>
  <w:style w:type="paragraph" w:styleId="Heading5">
    <w:name w:val="heading 5"/>
    <w:basedOn w:val="Heading4"/>
    <w:next w:val="BodyText"/>
    <w:link w:val="Heading5Char"/>
    <w:qFormat/>
    <w:rsid w:val="00F813CD"/>
    <w:pPr>
      <w:outlineLvl w:val="4"/>
    </w:pPr>
    <w:rPr>
      <w:i/>
      <w:sz w:val="22"/>
    </w:rPr>
  </w:style>
  <w:style w:type="paragraph" w:styleId="Heading6">
    <w:name w:val="heading 6"/>
    <w:basedOn w:val="BodyText"/>
    <w:next w:val="BodyText"/>
    <w:rsid w:val="00F813CD"/>
    <w:pPr>
      <w:spacing w:after="60"/>
      <w:jc w:val="left"/>
      <w:outlineLvl w:val="5"/>
    </w:pPr>
    <w:rPr>
      <w:i/>
      <w:sz w:val="22"/>
    </w:rPr>
  </w:style>
  <w:style w:type="paragraph" w:styleId="Heading7">
    <w:name w:val="heading 7"/>
    <w:basedOn w:val="BodyText"/>
    <w:next w:val="BodyText"/>
    <w:rsid w:val="00F813CD"/>
    <w:pPr>
      <w:spacing w:after="60" w:line="240" w:lineRule="auto"/>
      <w:jc w:val="left"/>
      <w:outlineLvl w:val="6"/>
    </w:pPr>
    <w:rPr>
      <w:rFonts w:ascii="Arial" w:hAnsi="Arial"/>
      <w:sz w:val="20"/>
    </w:rPr>
  </w:style>
  <w:style w:type="paragraph" w:styleId="Heading8">
    <w:name w:val="heading 8"/>
    <w:basedOn w:val="BodyText"/>
    <w:next w:val="BodyText"/>
    <w:rsid w:val="00F813CD"/>
    <w:pPr>
      <w:spacing w:after="60" w:line="240" w:lineRule="auto"/>
      <w:jc w:val="left"/>
      <w:outlineLvl w:val="7"/>
    </w:pPr>
    <w:rPr>
      <w:rFonts w:ascii="Arial" w:hAnsi="Arial"/>
      <w:i/>
      <w:sz w:val="20"/>
    </w:rPr>
  </w:style>
  <w:style w:type="paragraph" w:styleId="Heading9">
    <w:name w:val="heading 9"/>
    <w:basedOn w:val="BodyText"/>
    <w:next w:val="BodyText"/>
    <w:rsid w:val="00F813CD"/>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rsid w:val="00F813C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813CD"/>
  </w:style>
  <w:style w:type="paragraph" w:styleId="BodyText">
    <w:name w:val="Body Text"/>
    <w:link w:val="BodyTextChar"/>
    <w:qFormat/>
    <w:rsid w:val="00F813CD"/>
    <w:pPr>
      <w:spacing w:before="240" w:line="300" w:lineRule="atLeast"/>
      <w:jc w:val="both"/>
    </w:pPr>
    <w:rPr>
      <w:sz w:val="24"/>
    </w:rPr>
  </w:style>
  <w:style w:type="paragraph" w:styleId="Footer">
    <w:name w:val="footer"/>
    <w:basedOn w:val="BodyText"/>
    <w:link w:val="FooterChar"/>
    <w:rsid w:val="00F813CD"/>
    <w:pPr>
      <w:spacing w:before="80" w:line="200" w:lineRule="exact"/>
      <w:ind w:right="6"/>
      <w:jc w:val="left"/>
    </w:pPr>
    <w:rPr>
      <w:rFonts w:ascii="Arial" w:hAnsi="Arial"/>
      <w:caps/>
      <w:spacing w:val="-4"/>
      <w:sz w:val="16"/>
    </w:rPr>
  </w:style>
  <w:style w:type="paragraph" w:customStyle="1" w:styleId="FooterEnd">
    <w:name w:val="Footer End"/>
    <w:basedOn w:val="Footer"/>
    <w:rsid w:val="00F813CD"/>
    <w:pPr>
      <w:spacing w:before="0" w:line="20" w:lineRule="exact"/>
    </w:pPr>
  </w:style>
  <w:style w:type="paragraph" w:styleId="Header">
    <w:name w:val="header"/>
    <w:basedOn w:val="BodyText"/>
    <w:rsid w:val="00F813CD"/>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F813CD"/>
    <w:pPr>
      <w:spacing w:line="20" w:lineRule="exact"/>
    </w:pPr>
    <w:rPr>
      <w:sz w:val="16"/>
    </w:rPr>
  </w:style>
  <w:style w:type="paragraph" w:customStyle="1" w:styleId="HeaderEven">
    <w:name w:val="Header Even"/>
    <w:basedOn w:val="Header"/>
    <w:semiHidden/>
    <w:rsid w:val="00F813CD"/>
  </w:style>
  <w:style w:type="paragraph" w:customStyle="1" w:styleId="HeaderOdd">
    <w:name w:val="Header Odd"/>
    <w:basedOn w:val="Header"/>
    <w:semiHidden/>
    <w:rsid w:val="00F813CD"/>
  </w:style>
  <w:style w:type="character" w:styleId="PageNumber">
    <w:name w:val="page number"/>
    <w:basedOn w:val="DefaultParagraphFont"/>
    <w:rsid w:val="00F813CD"/>
    <w:rPr>
      <w:rFonts w:ascii="Arial" w:hAnsi="Arial"/>
      <w:b/>
      <w:sz w:val="16"/>
    </w:rPr>
  </w:style>
  <w:style w:type="paragraph" w:customStyle="1" w:styleId="Abbreviation">
    <w:name w:val="Abbreviation"/>
    <w:basedOn w:val="BodyText"/>
    <w:rsid w:val="00F813CD"/>
    <w:pPr>
      <w:spacing w:before="120"/>
      <w:ind w:left="2381" w:hanging="2381"/>
      <w:jc w:val="left"/>
    </w:pPr>
  </w:style>
  <w:style w:type="paragraph" w:customStyle="1" w:styleId="Box">
    <w:name w:val="Box"/>
    <w:basedOn w:val="BodyText"/>
    <w:qFormat/>
    <w:rsid w:val="00F813CD"/>
    <w:pPr>
      <w:keepNext/>
      <w:spacing w:before="120" w:line="260" w:lineRule="atLeast"/>
    </w:pPr>
    <w:rPr>
      <w:rFonts w:ascii="Arial" w:hAnsi="Arial"/>
      <w:sz w:val="20"/>
    </w:rPr>
  </w:style>
  <w:style w:type="paragraph" w:customStyle="1" w:styleId="BoxContinued">
    <w:name w:val="Box Continued"/>
    <w:basedOn w:val="BodyText"/>
    <w:next w:val="BodyText"/>
    <w:semiHidden/>
    <w:rsid w:val="00F813CD"/>
    <w:pPr>
      <w:spacing w:before="180" w:line="220" w:lineRule="exact"/>
      <w:jc w:val="right"/>
    </w:pPr>
    <w:rPr>
      <w:rFonts w:ascii="Arial" w:hAnsi="Arial"/>
      <w:sz w:val="18"/>
    </w:rPr>
  </w:style>
  <w:style w:type="paragraph" w:customStyle="1" w:styleId="BoxHeading1">
    <w:name w:val="Box Heading 1"/>
    <w:basedOn w:val="BodyText"/>
    <w:next w:val="Box"/>
    <w:rsid w:val="00F813CD"/>
    <w:pPr>
      <w:keepNext/>
      <w:spacing w:before="200" w:line="280" w:lineRule="atLeast"/>
    </w:pPr>
    <w:rPr>
      <w:rFonts w:ascii="Arial" w:hAnsi="Arial"/>
      <w:b/>
      <w:sz w:val="22"/>
    </w:rPr>
  </w:style>
  <w:style w:type="paragraph" w:customStyle="1" w:styleId="BoxHeading2">
    <w:name w:val="Box Heading 2"/>
    <w:basedOn w:val="BoxHeading1"/>
    <w:next w:val="Normal"/>
    <w:rsid w:val="00F813CD"/>
    <w:rPr>
      <w:b w:val="0"/>
      <w:i/>
    </w:rPr>
  </w:style>
  <w:style w:type="paragraph" w:customStyle="1" w:styleId="BoxListBullet">
    <w:name w:val="Box List Bullet"/>
    <w:basedOn w:val="BodyText"/>
    <w:rsid w:val="00F813C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F813CD"/>
    <w:pPr>
      <w:numPr>
        <w:numId w:val="16"/>
      </w:numPr>
      <w:ind w:left="568" w:hanging="284"/>
    </w:pPr>
  </w:style>
  <w:style w:type="paragraph" w:customStyle="1" w:styleId="BoxListNumber">
    <w:name w:val="Box List Number"/>
    <w:basedOn w:val="BodyText"/>
    <w:rsid w:val="00F813CD"/>
    <w:pPr>
      <w:keepNext/>
      <w:numPr>
        <w:numId w:val="12"/>
      </w:numPr>
      <w:spacing w:before="100" w:line="260" w:lineRule="atLeast"/>
    </w:pPr>
    <w:rPr>
      <w:rFonts w:ascii="Arial" w:hAnsi="Arial"/>
      <w:sz w:val="20"/>
    </w:rPr>
  </w:style>
  <w:style w:type="paragraph" w:customStyle="1" w:styleId="BoxListNumber2">
    <w:name w:val="Box List Number 2"/>
    <w:basedOn w:val="BoxListNumber"/>
    <w:rsid w:val="00F813CD"/>
    <w:pPr>
      <w:numPr>
        <w:ilvl w:val="1"/>
      </w:numPr>
      <w:ind w:left="681" w:hanging="397"/>
    </w:pPr>
  </w:style>
  <w:style w:type="paragraph" w:customStyle="1" w:styleId="BoxQuote">
    <w:name w:val="Box Quote"/>
    <w:basedOn w:val="BodyText"/>
    <w:next w:val="Box"/>
    <w:qFormat/>
    <w:rsid w:val="00F813CD"/>
    <w:pPr>
      <w:keepNext/>
      <w:spacing w:before="60" w:line="240" w:lineRule="exact"/>
      <w:ind w:left="284"/>
    </w:pPr>
    <w:rPr>
      <w:rFonts w:ascii="Arial" w:hAnsi="Arial"/>
      <w:sz w:val="18"/>
    </w:rPr>
  </w:style>
  <w:style w:type="paragraph" w:customStyle="1" w:styleId="Note">
    <w:name w:val="Note"/>
    <w:basedOn w:val="BodyText"/>
    <w:next w:val="BodyText"/>
    <w:rsid w:val="00F813CD"/>
    <w:pPr>
      <w:keepLines/>
      <w:spacing w:before="80" w:line="220" w:lineRule="exact"/>
    </w:pPr>
    <w:rPr>
      <w:rFonts w:ascii="Arial" w:hAnsi="Arial"/>
      <w:sz w:val="18"/>
    </w:rPr>
  </w:style>
  <w:style w:type="paragraph" w:customStyle="1" w:styleId="Source">
    <w:name w:val="Source"/>
    <w:basedOn w:val="Normal"/>
    <w:next w:val="BodyText"/>
    <w:rsid w:val="00F813CD"/>
    <w:pPr>
      <w:keepLines/>
      <w:spacing w:before="80" w:line="220" w:lineRule="exact"/>
      <w:jc w:val="both"/>
    </w:pPr>
    <w:rPr>
      <w:rFonts w:ascii="Arial" w:hAnsi="Arial"/>
      <w:sz w:val="18"/>
      <w:szCs w:val="20"/>
    </w:rPr>
  </w:style>
  <w:style w:type="paragraph" w:customStyle="1" w:styleId="BoxSource">
    <w:name w:val="Box Source"/>
    <w:basedOn w:val="Source"/>
    <w:next w:val="BodyText"/>
    <w:rsid w:val="00F813CD"/>
    <w:pPr>
      <w:spacing w:before="120"/>
    </w:pPr>
  </w:style>
  <w:style w:type="paragraph" w:customStyle="1" w:styleId="BoxSpaceAbove">
    <w:name w:val="Box Space Above"/>
    <w:basedOn w:val="BodyText"/>
    <w:rsid w:val="00F813CD"/>
    <w:pPr>
      <w:keepNext/>
      <w:spacing w:before="360" w:line="80" w:lineRule="exact"/>
      <w:jc w:val="left"/>
    </w:pPr>
  </w:style>
  <w:style w:type="paragraph" w:styleId="Caption">
    <w:name w:val="caption"/>
    <w:basedOn w:val="Normal"/>
    <w:next w:val="BodyText"/>
    <w:rsid w:val="00F813CD"/>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F813CD"/>
    <w:pPr>
      <w:spacing w:before="120" w:after="0"/>
    </w:pPr>
  </w:style>
  <w:style w:type="paragraph" w:customStyle="1" w:styleId="BoxSubtitle">
    <w:name w:val="Box Subtitle"/>
    <w:basedOn w:val="BoxTitle"/>
    <w:next w:val="Normal"/>
    <w:rsid w:val="00F813CD"/>
    <w:pPr>
      <w:spacing w:after="80" w:line="200" w:lineRule="exact"/>
      <w:ind w:firstLine="0"/>
    </w:pPr>
    <w:rPr>
      <w:b w:val="0"/>
      <w:sz w:val="20"/>
    </w:rPr>
  </w:style>
  <w:style w:type="paragraph" w:customStyle="1" w:styleId="Chapter">
    <w:name w:val="Chapter"/>
    <w:basedOn w:val="Heading1"/>
    <w:next w:val="BodyText"/>
    <w:semiHidden/>
    <w:rsid w:val="00F813CD"/>
    <w:pPr>
      <w:ind w:left="0" w:firstLine="0"/>
      <w:outlineLvl w:val="9"/>
    </w:pPr>
  </w:style>
  <w:style w:type="paragraph" w:customStyle="1" w:styleId="ChapterSummary">
    <w:name w:val="Chapter Summary"/>
    <w:basedOn w:val="BodyText"/>
    <w:rsid w:val="00F813CD"/>
    <w:pPr>
      <w:spacing w:line="280" w:lineRule="atLeast"/>
      <w:ind w:left="907"/>
    </w:pPr>
    <w:rPr>
      <w:rFonts w:ascii="Arial" w:hAnsi="Arial"/>
      <w:b/>
      <w:sz w:val="20"/>
    </w:rPr>
  </w:style>
  <w:style w:type="character" w:styleId="CommentReference">
    <w:name w:val="annotation reference"/>
    <w:basedOn w:val="DefaultParagraphFont"/>
    <w:semiHidden/>
    <w:rsid w:val="00F813CD"/>
    <w:rPr>
      <w:b/>
      <w:vanish/>
      <w:color w:val="FF00FF"/>
      <w:sz w:val="20"/>
    </w:rPr>
  </w:style>
  <w:style w:type="paragraph" w:styleId="CommentText">
    <w:name w:val="annotation text"/>
    <w:basedOn w:val="Normal"/>
    <w:link w:val="CommentTextChar"/>
    <w:semiHidden/>
    <w:rsid w:val="00F813CD"/>
    <w:pPr>
      <w:spacing w:before="120" w:line="240" w:lineRule="atLeast"/>
      <w:ind w:left="567" w:hanging="567"/>
    </w:pPr>
    <w:rPr>
      <w:sz w:val="20"/>
    </w:rPr>
  </w:style>
  <w:style w:type="paragraph" w:customStyle="1" w:styleId="Continued">
    <w:name w:val="Continued"/>
    <w:basedOn w:val="BoxContinued"/>
    <w:next w:val="BodyText"/>
    <w:rsid w:val="00F813CD"/>
  </w:style>
  <w:style w:type="character" w:customStyle="1" w:styleId="DocumentInfo">
    <w:name w:val="Document Info"/>
    <w:basedOn w:val="DefaultParagraphFont"/>
    <w:semiHidden/>
    <w:rsid w:val="00F813CD"/>
    <w:rPr>
      <w:rFonts w:ascii="Arial" w:hAnsi="Arial"/>
      <w:sz w:val="14"/>
    </w:rPr>
  </w:style>
  <w:style w:type="character" w:customStyle="1" w:styleId="DraftingNote">
    <w:name w:val="Drafting Note"/>
    <w:basedOn w:val="DefaultParagraphFont"/>
    <w:rsid w:val="00F813CD"/>
    <w:rPr>
      <w:b/>
      <w:color w:val="FF0000"/>
      <w:sz w:val="24"/>
      <w:u w:val="dotted"/>
    </w:rPr>
  </w:style>
  <w:style w:type="paragraph" w:customStyle="1" w:styleId="Figure">
    <w:name w:val="Figure"/>
    <w:basedOn w:val="BodyText"/>
    <w:rsid w:val="00F813CD"/>
    <w:pPr>
      <w:keepNext/>
      <w:spacing w:before="120" w:after="120" w:line="240" w:lineRule="atLeast"/>
      <w:jc w:val="center"/>
    </w:pPr>
  </w:style>
  <w:style w:type="paragraph" w:customStyle="1" w:styleId="FigureTitle">
    <w:name w:val="Figure Title"/>
    <w:basedOn w:val="Caption"/>
    <w:next w:val="Subtitle"/>
    <w:rsid w:val="00F813CD"/>
    <w:pPr>
      <w:spacing w:before="120"/>
    </w:pPr>
  </w:style>
  <w:style w:type="paragraph" w:styleId="Subtitle">
    <w:name w:val="Subtitle"/>
    <w:basedOn w:val="Caption"/>
    <w:link w:val="SubtitleChar"/>
    <w:qFormat/>
    <w:rsid w:val="00F813CD"/>
    <w:pPr>
      <w:spacing w:before="0" w:line="200" w:lineRule="exact"/>
      <w:ind w:firstLine="0"/>
    </w:pPr>
    <w:rPr>
      <w:b w:val="0"/>
      <w:sz w:val="20"/>
    </w:rPr>
  </w:style>
  <w:style w:type="paragraph" w:customStyle="1" w:styleId="Finding">
    <w:name w:val="Finding"/>
    <w:basedOn w:val="BodyText"/>
    <w:rsid w:val="00F813CD"/>
    <w:pPr>
      <w:keepLines/>
      <w:spacing w:before="120" w:line="280" w:lineRule="atLeast"/>
    </w:pPr>
    <w:rPr>
      <w:rFonts w:ascii="Arial" w:hAnsi="Arial"/>
      <w:sz w:val="22"/>
    </w:rPr>
  </w:style>
  <w:style w:type="paragraph" w:customStyle="1" w:styleId="FindingBullet">
    <w:name w:val="Finding Bullet"/>
    <w:basedOn w:val="Finding"/>
    <w:rsid w:val="00F813CD"/>
    <w:pPr>
      <w:numPr>
        <w:numId w:val="2"/>
      </w:numPr>
      <w:spacing w:before="80"/>
    </w:pPr>
  </w:style>
  <w:style w:type="paragraph" w:customStyle="1" w:styleId="FindingNoTitle">
    <w:name w:val="Finding NoTitle"/>
    <w:basedOn w:val="Finding"/>
    <w:semiHidden/>
    <w:rsid w:val="00F813CD"/>
    <w:pPr>
      <w:spacing w:before="240"/>
    </w:pPr>
  </w:style>
  <w:style w:type="paragraph" w:customStyle="1" w:styleId="RecTitle">
    <w:name w:val="Rec Title"/>
    <w:basedOn w:val="BodyText"/>
    <w:next w:val="Rec"/>
    <w:qFormat/>
    <w:rsid w:val="00F813CD"/>
    <w:pPr>
      <w:keepNext/>
      <w:keepLines/>
      <w:spacing w:line="280" w:lineRule="atLeast"/>
    </w:pPr>
    <w:rPr>
      <w:rFonts w:ascii="Arial" w:hAnsi="Arial"/>
      <w:caps/>
      <w:sz w:val="18"/>
    </w:rPr>
  </w:style>
  <w:style w:type="paragraph" w:customStyle="1" w:styleId="FindingTitle">
    <w:name w:val="Finding Title"/>
    <w:basedOn w:val="RecTitle"/>
    <w:next w:val="Finding"/>
    <w:rsid w:val="00F813CD"/>
  </w:style>
  <w:style w:type="character" w:styleId="FootnoteReference">
    <w:name w:val="footnote reference"/>
    <w:basedOn w:val="DefaultParagraphFont"/>
    <w:semiHidden/>
    <w:rsid w:val="00F813CD"/>
    <w:rPr>
      <w:rFonts w:ascii="Times New Roman" w:hAnsi="Times New Roman"/>
      <w:position w:val="6"/>
      <w:sz w:val="20"/>
      <w:vertAlign w:val="baseline"/>
    </w:rPr>
  </w:style>
  <w:style w:type="paragraph" w:styleId="FootnoteText">
    <w:name w:val="footnote text"/>
    <w:basedOn w:val="BodyText"/>
    <w:link w:val="FootnoteTextChar"/>
    <w:rsid w:val="00F813CD"/>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F813CD"/>
    <w:rPr>
      <w:i/>
    </w:rPr>
  </w:style>
  <w:style w:type="paragraph" w:customStyle="1" w:styleId="Jurisdictioncommentsbodytext">
    <w:name w:val="Jurisdiction comments body text"/>
    <w:rsid w:val="00F813CD"/>
    <w:pPr>
      <w:spacing w:after="140"/>
      <w:jc w:val="both"/>
    </w:pPr>
    <w:rPr>
      <w:rFonts w:ascii="Arial" w:hAnsi="Arial"/>
      <w:sz w:val="24"/>
      <w:lang w:eastAsia="en-US"/>
    </w:rPr>
  </w:style>
  <w:style w:type="paragraph" w:customStyle="1" w:styleId="Jurisdictioncommentsheading">
    <w:name w:val="Jurisdiction comments heading"/>
    <w:rsid w:val="00F813CD"/>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F813CD"/>
    <w:pPr>
      <w:numPr>
        <w:numId w:val="3"/>
      </w:numPr>
      <w:spacing w:after="140"/>
      <w:jc w:val="both"/>
    </w:pPr>
    <w:rPr>
      <w:rFonts w:ascii="Arial" w:hAnsi="Arial"/>
      <w:sz w:val="24"/>
      <w:lang w:eastAsia="en-US"/>
    </w:rPr>
  </w:style>
  <w:style w:type="paragraph" w:styleId="ListBullet">
    <w:name w:val="List Bullet"/>
    <w:basedOn w:val="BodyText"/>
    <w:rsid w:val="00F813CD"/>
    <w:pPr>
      <w:numPr>
        <w:numId w:val="4"/>
      </w:numPr>
      <w:spacing w:before="120"/>
    </w:pPr>
  </w:style>
  <w:style w:type="paragraph" w:styleId="ListBullet2">
    <w:name w:val="List Bullet 2"/>
    <w:basedOn w:val="BodyText"/>
    <w:rsid w:val="00F813CD"/>
    <w:pPr>
      <w:numPr>
        <w:numId w:val="5"/>
      </w:numPr>
      <w:spacing w:before="120"/>
    </w:pPr>
  </w:style>
  <w:style w:type="paragraph" w:styleId="ListBullet3">
    <w:name w:val="List Bullet 3"/>
    <w:basedOn w:val="BodyText"/>
    <w:rsid w:val="00F813CD"/>
    <w:pPr>
      <w:numPr>
        <w:numId w:val="6"/>
      </w:numPr>
      <w:spacing w:before="120"/>
      <w:ind w:left="1020" w:hanging="340"/>
    </w:pPr>
  </w:style>
  <w:style w:type="paragraph" w:styleId="ListNumber">
    <w:name w:val="List Number"/>
    <w:basedOn w:val="BodyText"/>
    <w:rsid w:val="00F813CD"/>
    <w:pPr>
      <w:numPr>
        <w:numId w:val="11"/>
      </w:numPr>
      <w:spacing w:before="120"/>
    </w:pPr>
  </w:style>
  <w:style w:type="paragraph" w:styleId="ListNumber2">
    <w:name w:val="List Number 2"/>
    <w:basedOn w:val="ListNumber"/>
    <w:rsid w:val="00F813CD"/>
    <w:pPr>
      <w:numPr>
        <w:ilvl w:val="1"/>
      </w:numPr>
    </w:pPr>
  </w:style>
  <w:style w:type="paragraph" w:styleId="ListNumber3">
    <w:name w:val="List Number 3"/>
    <w:basedOn w:val="ListNumber2"/>
    <w:rsid w:val="00F813CD"/>
    <w:pPr>
      <w:numPr>
        <w:ilvl w:val="2"/>
      </w:numPr>
    </w:pPr>
  </w:style>
  <w:style w:type="character" w:customStyle="1" w:styleId="NoteLabel">
    <w:name w:val="Note Label"/>
    <w:basedOn w:val="DefaultParagraphFont"/>
    <w:rsid w:val="00F813CD"/>
    <w:rPr>
      <w:rFonts w:ascii="Arial" w:hAnsi="Arial"/>
      <w:b/>
      <w:position w:val="6"/>
      <w:sz w:val="18"/>
    </w:rPr>
  </w:style>
  <w:style w:type="paragraph" w:customStyle="1" w:styleId="PartDivider">
    <w:name w:val="Part Divider"/>
    <w:basedOn w:val="BodyText"/>
    <w:next w:val="BodyText"/>
    <w:semiHidden/>
    <w:rsid w:val="00F813CD"/>
    <w:pPr>
      <w:spacing w:before="0" w:line="40" w:lineRule="exact"/>
      <w:jc w:val="right"/>
    </w:pPr>
    <w:rPr>
      <w:smallCaps/>
      <w:sz w:val="16"/>
    </w:rPr>
  </w:style>
  <w:style w:type="paragraph" w:customStyle="1" w:styleId="PartNumber">
    <w:name w:val="Part Number"/>
    <w:basedOn w:val="BodyText"/>
    <w:next w:val="BodyText"/>
    <w:semiHidden/>
    <w:rsid w:val="00F813CD"/>
    <w:pPr>
      <w:spacing w:before="4000" w:line="320" w:lineRule="exact"/>
      <w:ind w:left="6634"/>
      <w:jc w:val="right"/>
    </w:pPr>
    <w:rPr>
      <w:smallCaps/>
      <w:spacing w:val="60"/>
      <w:sz w:val="32"/>
    </w:rPr>
  </w:style>
  <w:style w:type="paragraph" w:customStyle="1" w:styleId="PartTitle">
    <w:name w:val="Part Title"/>
    <w:basedOn w:val="BodyText"/>
    <w:semiHidden/>
    <w:rsid w:val="00F813CD"/>
    <w:pPr>
      <w:spacing w:before="160" w:after="1360" w:line="520" w:lineRule="exact"/>
      <w:ind w:right="2381"/>
      <w:jc w:val="right"/>
    </w:pPr>
    <w:rPr>
      <w:smallCaps/>
      <w:sz w:val="52"/>
    </w:rPr>
  </w:style>
  <w:style w:type="paragraph" w:styleId="Quote">
    <w:name w:val="Quote"/>
    <w:basedOn w:val="BodyText"/>
    <w:next w:val="BodyText"/>
    <w:qFormat/>
    <w:rsid w:val="00F813CD"/>
    <w:pPr>
      <w:spacing w:before="120" w:line="280" w:lineRule="exact"/>
      <w:ind w:left="340"/>
    </w:pPr>
    <w:rPr>
      <w:sz w:val="22"/>
    </w:rPr>
  </w:style>
  <w:style w:type="paragraph" w:customStyle="1" w:styleId="QuoteBullet">
    <w:name w:val="Quote Bullet"/>
    <w:basedOn w:val="Quote"/>
    <w:rsid w:val="00F813CD"/>
    <w:pPr>
      <w:numPr>
        <w:numId w:val="7"/>
      </w:numPr>
    </w:pPr>
  </w:style>
  <w:style w:type="paragraph" w:customStyle="1" w:styleId="Rec">
    <w:name w:val="Rec"/>
    <w:basedOn w:val="BodyText"/>
    <w:qFormat/>
    <w:rsid w:val="00F813CD"/>
    <w:pPr>
      <w:keepLines/>
      <w:spacing w:before="120" w:line="280" w:lineRule="atLeast"/>
    </w:pPr>
    <w:rPr>
      <w:rFonts w:ascii="Arial" w:hAnsi="Arial"/>
      <w:sz w:val="22"/>
    </w:rPr>
  </w:style>
  <w:style w:type="paragraph" w:customStyle="1" w:styleId="RecBullet">
    <w:name w:val="Rec Bullet"/>
    <w:basedOn w:val="Rec"/>
    <w:rsid w:val="00F813CD"/>
    <w:pPr>
      <w:numPr>
        <w:numId w:val="8"/>
      </w:numPr>
      <w:spacing w:before="80"/>
    </w:pPr>
  </w:style>
  <w:style w:type="paragraph" w:customStyle="1" w:styleId="RecB">
    <w:name w:val="RecB"/>
    <w:basedOn w:val="Normal"/>
    <w:semiHidden/>
    <w:rsid w:val="00F813CD"/>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13CD"/>
    <w:pPr>
      <w:numPr>
        <w:numId w:val="13"/>
      </w:numPr>
      <w:spacing w:before="80"/>
    </w:pPr>
  </w:style>
  <w:style w:type="paragraph" w:customStyle="1" w:styleId="RecBNoTitle">
    <w:name w:val="RecB NoTitle"/>
    <w:basedOn w:val="RecB"/>
    <w:semiHidden/>
    <w:rsid w:val="00F813CD"/>
    <w:pPr>
      <w:spacing w:before="240"/>
    </w:pPr>
  </w:style>
  <w:style w:type="paragraph" w:customStyle="1" w:styleId="Reference">
    <w:name w:val="Reference"/>
    <w:basedOn w:val="BodyText"/>
    <w:link w:val="ReferenceChar"/>
    <w:rsid w:val="00F813CD"/>
    <w:pPr>
      <w:spacing w:before="120"/>
      <w:ind w:left="340" w:hanging="340"/>
    </w:pPr>
  </w:style>
  <w:style w:type="paragraph" w:customStyle="1" w:styleId="SequenceInfo">
    <w:name w:val="Sequence Info"/>
    <w:basedOn w:val="BodyText"/>
    <w:semiHidden/>
    <w:rsid w:val="00F813CD"/>
    <w:rPr>
      <w:vanish/>
      <w:sz w:val="16"/>
    </w:rPr>
  </w:style>
  <w:style w:type="paragraph" w:customStyle="1" w:styleId="SideNote">
    <w:name w:val="Side Note"/>
    <w:basedOn w:val="BodyText"/>
    <w:next w:val="BodyText"/>
    <w:semiHidden/>
    <w:rsid w:val="00F813CD"/>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F813CD"/>
    <w:pPr>
      <w:framePr w:wrap="around"/>
      <w:numPr>
        <w:numId w:val="9"/>
      </w:numPr>
      <w:tabs>
        <w:tab w:val="left" w:pos="227"/>
      </w:tabs>
    </w:pPr>
  </w:style>
  <w:style w:type="paragraph" w:customStyle="1" w:styleId="SideNoteGraphic">
    <w:name w:val="Side Note Graphic"/>
    <w:basedOn w:val="SideNote"/>
    <w:next w:val="BodyText"/>
    <w:semiHidden/>
    <w:rsid w:val="00F813CD"/>
    <w:pPr>
      <w:framePr w:wrap="around"/>
    </w:pPr>
  </w:style>
  <w:style w:type="paragraph" w:customStyle="1" w:styleId="TableBodyText">
    <w:name w:val="Table Body Text"/>
    <w:basedOn w:val="BodyText"/>
    <w:rsid w:val="00F813CD"/>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F813CD"/>
    <w:pPr>
      <w:numPr>
        <w:numId w:val="10"/>
      </w:numPr>
      <w:jc w:val="left"/>
    </w:pPr>
  </w:style>
  <w:style w:type="paragraph" w:customStyle="1" w:styleId="TableColumnHeading">
    <w:name w:val="Table Column Heading"/>
    <w:basedOn w:val="TableBodyText"/>
    <w:rsid w:val="00F813CD"/>
    <w:pPr>
      <w:spacing w:before="80" w:after="80"/>
    </w:pPr>
    <w:rPr>
      <w:i/>
    </w:rPr>
  </w:style>
  <w:style w:type="paragraph" w:styleId="TOC2">
    <w:name w:val="toc 2"/>
    <w:basedOn w:val="TOC1"/>
    <w:rsid w:val="00F813CD"/>
    <w:pPr>
      <w:ind w:left="1134" w:hanging="624"/>
    </w:pPr>
    <w:rPr>
      <w:b w:val="0"/>
    </w:rPr>
  </w:style>
  <w:style w:type="paragraph" w:styleId="TOC3">
    <w:name w:val="toc 3"/>
    <w:basedOn w:val="TOC2"/>
    <w:rsid w:val="00F813CD"/>
    <w:pPr>
      <w:spacing w:before="60"/>
      <w:ind w:left="1190" w:hanging="680"/>
    </w:pPr>
  </w:style>
  <w:style w:type="paragraph" w:styleId="TableofFigures">
    <w:name w:val="table of figures"/>
    <w:basedOn w:val="TOC3"/>
    <w:next w:val="BodyText"/>
    <w:semiHidden/>
    <w:rsid w:val="00F813CD"/>
    <w:pPr>
      <w:ind w:left="737" w:hanging="737"/>
    </w:pPr>
  </w:style>
  <w:style w:type="paragraph" w:customStyle="1" w:styleId="TableTitle">
    <w:name w:val="Table Title"/>
    <w:basedOn w:val="Caption"/>
    <w:next w:val="Subtitle"/>
    <w:qFormat/>
    <w:rsid w:val="00F813CD"/>
    <w:pPr>
      <w:spacing w:before="120"/>
    </w:pPr>
  </w:style>
  <w:style w:type="paragraph" w:customStyle="1" w:styleId="TableUnitsRow">
    <w:name w:val="Table Units Row"/>
    <w:basedOn w:val="TableBodyText"/>
    <w:rsid w:val="00F813CD"/>
    <w:pPr>
      <w:spacing w:before="40"/>
    </w:pPr>
  </w:style>
  <w:style w:type="paragraph" w:styleId="TOC1">
    <w:name w:val="toc 1"/>
    <w:basedOn w:val="Normal"/>
    <w:next w:val="TOC2"/>
    <w:link w:val="TOC1Char"/>
    <w:rsid w:val="00F813CD"/>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F813CD"/>
    <w:pPr>
      <w:ind w:left="1191" w:firstLine="0"/>
    </w:pPr>
  </w:style>
  <w:style w:type="paragraph" w:customStyle="1" w:styleId="RecBBullet2">
    <w:name w:val="RecB Bullet 2"/>
    <w:basedOn w:val="ListBullet2"/>
    <w:semiHidden/>
    <w:rsid w:val="00F813CD"/>
    <w:pPr>
      <w:pBdr>
        <w:left w:val="single" w:sz="24" w:space="29" w:color="C0C0C0"/>
      </w:pBdr>
    </w:pPr>
    <w:rPr>
      <w:b/>
      <w:i/>
    </w:rPr>
  </w:style>
  <w:style w:type="paragraph" w:styleId="BalloonText">
    <w:name w:val="Balloon Text"/>
    <w:basedOn w:val="Normal"/>
    <w:link w:val="BalloonTextChar"/>
    <w:rsid w:val="00F813CD"/>
    <w:rPr>
      <w:rFonts w:ascii="Tahoma" w:hAnsi="Tahoma" w:cs="Tahoma"/>
      <w:sz w:val="16"/>
      <w:szCs w:val="16"/>
    </w:rPr>
  </w:style>
  <w:style w:type="character" w:customStyle="1" w:styleId="BalloonTextChar">
    <w:name w:val="Balloon Text Char"/>
    <w:basedOn w:val="DefaultParagraphFont"/>
    <w:link w:val="BalloonText"/>
    <w:rsid w:val="00F813CD"/>
    <w:rPr>
      <w:rFonts w:ascii="Tahoma" w:hAnsi="Tahoma" w:cs="Tahoma"/>
      <w:sz w:val="16"/>
      <w:szCs w:val="16"/>
    </w:rPr>
  </w:style>
  <w:style w:type="character" w:customStyle="1" w:styleId="SubtitleChar">
    <w:name w:val="Subtitle Char"/>
    <w:basedOn w:val="DefaultParagraphFont"/>
    <w:link w:val="Subtitle"/>
    <w:rsid w:val="00F813CD"/>
    <w:rPr>
      <w:rFonts w:ascii="Arial" w:hAnsi="Arial"/>
      <w:szCs w:val="24"/>
    </w:rPr>
  </w:style>
  <w:style w:type="paragraph" w:customStyle="1" w:styleId="BoxListBullet3">
    <w:name w:val="Box List Bullet 3"/>
    <w:basedOn w:val="ListBullet3"/>
    <w:rsid w:val="00F813CD"/>
    <w:pPr>
      <w:numPr>
        <w:numId w:val="17"/>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F813CD"/>
    <w:rPr>
      <w:i/>
      <w:iCs/>
    </w:rPr>
  </w:style>
  <w:style w:type="paragraph" w:customStyle="1" w:styleId="BoxQuoteBullet">
    <w:name w:val="Box Quote Bullet"/>
    <w:basedOn w:val="BoxQuote"/>
    <w:next w:val="Box"/>
    <w:rsid w:val="00F813CD"/>
    <w:pPr>
      <w:numPr>
        <w:numId w:val="14"/>
      </w:numPr>
      <w:ind w:left="568" w:hanging="284"/>
    </w:pPr>
  </w:style>
  <w:style w:type="paragraph" w:customStyle="1" w:styleId="InformationRequestBullet">
    <w:name w:val="Information Request Bullet"/>
    <w:basedOn w:val="ListBullet"/>
    <w:next w:val="BodyText"/>
    <w:rsid w:val="00F813CD"/>
    <w:pPr>
      <w:numPr>
        <w:numId w:val="15"/>
      </w:numPr>
      <w:spacing w:before="80" w:line="280" w:lineRule="atLeast"/>
      <w:ind w:left="357" w:hanging="357"/>
    </w:pPr>
    <w:rPr>
      <w:rFonts w:ascii="Arial" w:hAnsi="Arial"/>
      <w:i/>
      <w:sz w:val="22"/>
    </w:rPr>
  </w:style>
  <w:style w:type="paragraph" w:customStyle="1" w:styleId="BoxSpaceBelow">
    <w:name w:val="Box Space Below"/>
    <w:basedOn w:val="Box"/>
    <w:rsid w:val="00F813CD"/>
    <w:pPr>
      <w:keepNext w:val="0"/>
      <w:spacing w:before="60" w:after="60" w:line="80" w:lineRule="exact"/>
    </w:pPr>
    <w:rPr>
      <w:sz w:val="14"/>
    </w:rPr>
  </w:style>
  <w:style w:type="paragraph" w:styleId="CommentSubject">
    <w:name w:val="annotation subject"/>
    <w:basedOn w:val="CommentText"/>
    <w:next w:val="CommentText"/>
    <w:link w:val="CommentSubjectChar"/>
    <w:rsid w:val="00A228F7"/>
    <w:pPr>
      <w:spacing w:before="0" w:line="240" w:lineRule="auto"/>
      <w:ind w:left="0" w:firstLine="0"/>
    </w:pPr>
    <w:rPr>
      <w:b/>
      <w:bCs/>
      <w:szCs w:val="20"/>
    </w:rPr>
  </w:style>
  <w:style w:type="character" w:customStyle="1" w:styleId="CommentTextChar">
    <w:name w:val="Comment Text Char"/>
    <w:basedOn w:val="DefaultParagraphFont"/>
    <w:link w:val="CommentText"/>
    <w:semiHidden/>
    <w:rsid w:val="00A228F7"/>
    <w:rPr>
      <w:szCs w:val="24"/>
    </w:rPr>
  </w:style>
  <w:style w:type="character" w:customStyle="1" w:styleId="CommentSubjectChar">
    <w:name w:val="Comment Subject Char"/>
    <w:basedOn w:val="CommentTextChar"/>
    <w:link w:val="CommentSubject"/>
    <w:rsid w:val="00A228F7"/>
    <w:rPr>
      <w:b/>
      <w:bCs/>
      <w:szCs w:val="24"/>
    </w:rPr>
  </w:style>
  <w:style w:type="character" w:customStyle="1" w:styleId="Heading3Char">
    <w:name w:val="Heading 3 Char"/>
    <w:basedOn w:val="DefaultParagraphFont"/>
    <w:link w:val="Heading3"/>
    <w:rsid w:val="00A73A91"/>
    <w:rPr>
      <w:rFonts w:ascii="Arial" w:hAnsi="Arial"/>
      <w:b/>
      <w:sz w:val="26"/>
    </w:rPr>
  </w:style>
  <w:style w:type="character" w:customStyle="1" w:styleId="ReferenceChar">
    <w:name w:val="Reference Char"/>
    <w:basedOn w:val="DefaultParagraphFont"/>
    <w:link w:val="Reference"/>
    <w:rsid w:val="00A73A91"/>
    <w:rPr>
      <w:sz w:val="24"/>
    </w:rPr>
  </w:style>
  <w:style w:type="character" w:customStyle="1" w:styleId="BodyTextChar">
    <w:name w:val="Body Text Char"/>
    <w:basedOn w:val="DefaultParagraphFont"/>
    <w:link w:val="BodyText"/>
    <w:rsid w:val="00F813CD"/>
    <w:rPr>
      <w:sz w:val="24"/>
    </w:rPr>
  </w:style>
  <w:style w:type="paragraph" w:customStyle="1" w:styleId="BoxSpace">
    <w:name w:val="Box Space"/>
    <w:basedOn w:val="BodyText"/>
    <w:rsid w:val="00CA6A7B"/>
    <w:pPr>
      <w:keepNext/>
      <w:spacing w:before="360" w:line="80" w:lineRule="exact"/>
      <w:jc w:val="left"/>
    </w:pPr>
  </w:style>
  <w:style w:type="character" w:customStyle="1" w:styleId="BoxChar">
    <w:name w:val="Box Char"/>
    <w:basedOn w:val="BodyTextChar"/>
    <w:rsid w:val="00CA6A7B"/>
    <w:rPr>
      <w:rFonts w:ascii="Arial" w:hAnsi="Arial"/>
      <w:noProof w:val="0"/>
      <w:sz w:val="22"/>
      <w:lang w:val="en-AU" w:eastAsia="en-AU" w:bidi="ar-SA"/>
    </w:rPr>
  </w:style>
  <w:style w:type="table" w:styleId="TableGrid">
    <w:name w:val="Table Grid"/>
    <w:basedOn w:val="TableNormal"/>
    <w:rsid w:val="00F813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tmainheading">
    <w:name w:val="chart_main_heading"/>
    <w:basedOn w:val="Normal"/>
    <w:rsid w:val="00AC397F"/>
    <w:pPr>
      <w:spacing w:before="480" w:line="255" w:lineRule="atLeast"/>
      <w:jc w:val="center"/>
    </w:pPr>
    <w:rPr>
      <w:b/>
      <w:bCs/>
      <w:color w:val="003366"/>
    </w:rPr>
  </w:style>
  <w:style w:type="paragraph" w:customStyle="1" w:styleId="chartgraphic">
    <w:name w:val="chart_graphic"/>
    <w:basedOn w:val="Normal"/>
    <w:rsid w:val="00AC397F"/>
    <w:pPr>
      <w:spacing w:before="180" w:after="180" w:line="255" w:lineRule="atLeast"/>
      <w:jc w:val="center"/>
    </w:pPr>
  </w:style>
  <w:style w:type="character" w:customStyle="1" w:styleId="FootnoteTextChar">
    <w:name w:val="Footnote Text Char"/>
    <w:basedOn w:val="DefaultParagraphFont"/>
    <w:link w:val="FootnoteText"/>
    <w:rsid w:val="00AC397F"/>
  </w:style>
  <w:style w:type="character" w:styleId="Hyperlink">
    <w:name w:val="Hyperlink"/>
    <w:basedOn w:val="DefaultParagraphFont"/>
    <w:uiPriority w:val="99"/>
    <w:unhideWhenUsed/>
    <w:rsid w:val="00F54C4D"/>
    <w:rPr>
      <w:strike w:val="0"/>
      <w:dstrike w:val="0"/>
      <w:color w:val="2D4E8B"/>
      <w:u w:val="none"/>
      <w:effect w:val="none"/>
    </w:rPr>
  </w:style>
  <w:style w:type="paragraph" w:styleId="Revision">
    <w:name w:val="Revision"/>
    <w:hidden/>
    <w:uiPriority w:val="99"/>
    <w:semiHidden/>
    <w:rsid w:val="00467A99"/>
    <w:rPr>
      <w:sz w:val="26"/>
      <w:szCs w:val="24"/>
    </w:rPr>
  </w:style>
  <w:style w:type="paragraph" w:customStyle="1" w:styleId="Figurespace">
    <w:name w:val="Figure space"/>
    <w:basedOn w:val="Box"/>
    <w:rsid w:val="00F813CD"/>
    <w:pPr>
      <w:spacing w:before="0" w:line="120" w:lineRule="exact"/>
    </w:pPr>
  </w:style>
  <w:style w:type="character" w:customStyle="1" w:styleId="citation">
    <w:name w:val="citation"/>
    <w:basedOn w:val="DefaultParagraphFont"/>
    <w:rsid w:val="009E4570"/>
  </w:style>
  <w:style w:type="character" w:styleId="PlaceholderText">
    <w:name w:val="Placeholder Text"/>
    <w:basedOn w:val="DefaultParagraphFont"/>
    <w:uiPriority w:val="99"/>
    <w:semiHidden/>
    <w:rsid w:val="008463DE"/>
    <w:rPr>
      <w:color w:val="808080"/>
    </w:rPr>
  </w:style>
  <w:style w:type="paragraph" w:customStyle="1" w:styleId="KeyPointsListBullet">
    <w:name w:val="Key Points List Bullet"/>
    <w:basedOn w:val="Normal"/>
    <w:qFormat/>
    <w:rsid w:val="00F813CD"/>
    <w:pPr>
      <w:keepNext/>
      <w:numPr>
        <w:numId w:val="27"/>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F813CD"/>
    <w:pPr>
      <w:numPr>
        <w:numId w:val="28"/>
      </w:numPr>
      <w:ind w:left="568" w:hanging="284"/>
    </w:pPr>
  </w:style>
  <w:style w:type="paragraph" w:customStyle="1" w:styleId="InformationRequestTitle">
    <w:name w:val="Information Request Title"/>
    <w:basedOn w:val="FindingTitle"/>
    <w:next w:val="InformationRequest"/>
    <w:rsid w:val="00F813CD"/>
    <w:rPr>
      <w:i/>
    </w:rPr>
  </w:style>
  <w:style w:type="paragraph" w:customStyle="1" w:styleId="Space">
    <w:name w:val="Space"/>
    <w:basedOn w:val="Normal"/>
    <w:rsid w:val="00F813CD"/>
    <w:pPr>
      <w:keepNext/>
      <w:spacing w:line="120" w:lineRule="exact"/>
      <w:jc w:val="both"/>
    </w:pPr>
    <w:rPr>
      <w:rFonts w:ascii="Arial" w:hAnsi="Arial"/>
      <w:sz w:val="20"/>
      <w:szCs w:val="20"/>
    </w:rPr>
  </w:style>
  <w:style w:type="paragraph" w:customStyle="1" w:styleId="Heading1nochapterno">
    <w:name w:val="Heading 1 (no chapter no.)"/>
    <w:basedOn w:val="Heading1"/>
    <w:rsid w:val="00F813CD"/>
    <w:pPr>
      <w:spacing w:before="0"/>
      <w:ind w:left="0" w:firstLine="0"/>
    </w:pPr>
  </w:style>
  <w:style w:type="paragraph" w:customStyle="1" w:styleId="Heading2nosectionno">
    <w:name w:val="Heading 2 (no section no.)"/>
    <w:basedOn w:val="Heading2"/>
    <w:rsid w:val="00F813CD"/>
    <w:pPr>
      <w:ind w:left="0" w:firstLine="0"/>
    </w:pPr>
  </w:style>
  <w:style w:type="character" w:customStyle="1" w:styleId="Heading5Char">
    <w:name w:val="Heading 5 Char"/>
    <w:basedOn w:val="DefaultParagraphFont"/>
    <w:link w:val="Heading5"/>
    <w:rsid w:val="00F813CD"/>
    <w:rPr>
      <w:rFonts w:ascii="Arial" w:hAnsi="Arial"/>
      <w:i/>
      <w:sz w:val="22"/>
    </w:rPr>
  </w:style>
  <w:style w:type="paragraph" w:customStyle="1" w:styleId="FooterDraftReport">
    <w:name w:val="FooterDraftReport"/>
    <w:basedOn w:val="Footer"/>
    <w:link w:val="FooterDraftReportChar"/>
    <w:rsid w:val="00F813CD"/>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FooterChar">
    <w:name w:val="Footer Char"/>
    <w:basedOn w:val="BodyTextChar"/>
    <w:link w:val="Footer"/>
    <w:rsid w:val="00F813CD"/>
    <w:rPr>
      <w:rFonts w:ascii="Arial" w:hAnsi="Arial"/>
      <w:caps/>
      <w:spacing w:val="-4"/>
      <w:sz w:val="16"/>
    </w:rPr>
  </w:style>
  <w:style w:type="character" w:customStyle="1" w:styleId="FooterDraftReportChar">
    <w:name w:val="FooterDraftReport Char"/>
    <w:basedOn w:val="FooterChar"/>
    <w:link w:val="FooterDraftReport"/>
    <w:rsid w:val="00F813CD"/>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character" w:customStyle="1" w:styleId="TOC1Char">
    <w:name w:val="TOC 1 Char"/>
    <w:basedOn w:val="DefaultParagraphFont"/>
    <w:link w:val="TOC1"/>
    <w:rsid w:val="00F813CD"/>
    <w:rPr>
      <w:rFonts w:ascii="Arial" w:hAnsi="Arial"/>
      <w:b/>
      <w:sz w:val="26"/>
      <w:szCs w:val="26"/>
      <w:lang w:eastAsia="en-US"/>
    </w:rPr>
  </w:style>
  <w:style w:type="paragraph" w:customStyle="1" w:styleId="Copyrightheading">
    <w:name w:val="Copyright heading"/>
    <w:basedOn w:val="TOC1"/>
    <w:link w:val="CopyrightheadingChar"/>
    <w:qFormat/>
    <w:rsid w:val="00AB2F41"/>
    <w:pPr>
      <w:spacing w:line="300" w:lineRule="exact"/>
    </w:pPr>
    <w:rPr>
      <w:sz w:val="22"/>
    </w:rPr>
  </w:style>
  <w:style w:type="character" w:customStyle="1" w:styleId="CopyrightheadingChar">
    <w:name w:val="Copyright heading Char"/>
    <w:basedOn w:val="TOC1Char"/>
    <w:link w:val="Copyrightheading"/>
    <w:rsid w:val="00AB2F41"/>
    <w:rPr>
      <w:rFonts w:ascii="Arial" w:hAnsi="Arial"/>
      <w:b/>
      <w:sz w:val="22"/>
      <w:szCs w:val="26"/>
      <w:lang w:eastAsia="en-US"/>
    </w:rPr>
  </w:style>
  <w:style w:type="paragraph" w:customStyle="1" w:styleId="Copyrightsubtitle">
    <w:name w:val="Copyright subtitle"/>
    <w:basedOn w:val="BodyText"/>
    <w:rsid w:val="00AB2F41"/>
    <w:rPr>
      <w:rFonts w:ascii="Arial" w:hAnsi="Arial"/>
      <w:b/>
      <w:sz w:val="22"/>
      <w:szCs w:val="25"/>
    </w:rPr>
  </w:style>
  <w:style w:type="paragraph" w:customStyle="1" w:styleId="Copyrightbodytext">
    <w:name w:val="Copyright bodytext"/>
    <w:basedOn w:val="BodyText"/>
    <w:link w:val="CopyrightbodytextChar"/>
    <w:qFormat/>
    <w:rsid w:val="00AB2F41"/>
    <w:pPr>
      <w:spacing w:before="60"/>
    </w:pPr>
  </w:style>
  <w:style w:type="character" w:customStyle="1" w:styleId="CopyrightbodytextChar">
    <w:name w:val="Copyright bodytext Char"/>
    <w:basedOn w:val="BodyTextChar"/>
    <w:link w:val="Copyrightbodytext"/>
    <w:rsid w:val="00AB2F41"/>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heading 2" w:qFormat="1"/>
    <w:lsdException w:name="heading 3" w:qFormat="1"/>
    <w:lsdException w:name="heading 4" w:qFormat="1"/>
    <w:lsdException w:name="heading 5" w:qFormat="1"/>
    <w:lsdException w:name="Default Paragraph Font" w:uiPriority="1"/>
    <w:lsdException w:name="Body Text" w:qFormat="1"/>
    <w:lsdException w:name="Subtitle" w:qFormat="1"/>
    <w:lsdException w:name="Hyperlink"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F813CD"/>
    <w:rPr>
      <w:sz w:val="24"/>
      <w:szCs w:val="24"/>
    </w:rPr>
  </w:style>
  <w:style w:type="paragraph" w:styleId="Heading1">
    <w:name w:val="heading 1"/>
    <w:basedOn w:val="BodyText"/>
    <w:next w:val="BodyText"/>
    <w:rsid w:val="00F813CD"/>
    <w:pPr>
      <w:keepNext/>
      <w:spacing w:before="160" w:after="1360" w:line="600" w:lineRule="exact"/>
      <w:ind w:left="907" w:hanging="907"/>
      <w:jc w:val="left"/>
      <w:outlineLvl w:val="0"/>
    </w:pPr>
    <w:rPr>
      <w:sz w:val="52"/>
    </w:rPr>
  </w:style>
  <w:style w:type="paragraph" w:styleId="Heading2">
    <w:name w:val="heading 2"/>
    <w:basedOn w:val="Chapter"/>
    <w:next w:val="BodyText"/>
    <w:qFormat/>
    <w:rsid w:val="00F813CD"/>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F813CD"/>
    <w:pPr>
      <w:spacing w:before="560" w:line="320" w:lineRule="exact"/>
      <w:ind w:left="0" w:firstLine="0"/>
      <w:outlineLvl w:val="2"/>
    </w:pPr>
    <w:rPr>
      <w:sz w:val="26"/>
    </w:rPr>
  </w:style>
  <w:style w:type="paragraph" w:styleId="Heading4">
    <w:name w:val="heading 4"/>
    <w:basedOn w:val="Heading3"/>
    <w:next w:val="BodyText"/>
    <w:qFormat/>
    <w:rsid w:val="00F813CD"/>
    <w:pPr>
      <w:spacing w:before="480"/>
      <w:outlineLvl w:val="3"/>
    </w:pPr>
    <w:rPr>
      <w:b w:val="0"/>
      <w:sz w:val="24"/>
    </w:rPr>
  </w:style>
  <w:style w:type="paragraph" w:styleId="Heading5">
    <w:name w:val="heading 5"/>
    <w:basedOn w:val="Heading4"/>
    <w:next w:val="BodyText"/>
    <w:link w:val="Heading5Char"/>
    <w:qFormat/>
    <w:rsid w:val="00F813CD"/>
    <w:pPr>
      <w:outlineLvl w:val="4"/>
    </w:pPr>
    <w:rPr>
      <w:i/>
      <w:sz w:val="22"/>
    </w:rPr>
  </w:style>
  <w:style w:type="paragraph" w:styleId="Heading6">
    <w:name w:val="heading 6"/>
    <w:basedOn w:val="BodyText"/>
    <w:next w:val="BodyText"/>
    <w:rsid w:val="00F813CD"/>
    <w:pPr>
      <w:spacing w:after="60"/>
      <w:jc w:val="left"/>
      <w:outlineLvl w:val="5"/>
    </w:pPr>
    <w:rPr>
      <w:i/>
      <w:sz w:val="22"/>
    </w:rPr>
  </w:style>
  <w:style w:type="paragraph" w:styleId="Heading7">
    <w:name w:val="heading 7"/>
    <w:basedOn w:val="BodyText"/>
    <w:next w:val="BodyText"/>
    <w:rsid w:val="00F813CD"/>
    <w:pPr>
      <w:spacing w:after="60" w:line="240" w:lineRule="auto"/>
      <w:jc w:val="left"/>
      <w:outlineLvl w:val="6"/>
    </w:pPr>
    <w:rPr>
      <w:rFonts w:ascii="Arial" w:hAnsi="Arial"/>
      <w:sz w:val="20"/>
    </w:rPr>
  </w:style>
  <w:style w:type="paragraph" w:styleId="Heading8">
    <w:name w:val="heading 8"/>
    <w:basedOn w:val="BodyText"/>
    <w:next w:val="BodyText"/>
    <w:rsid w:val="00F813CD"/>
    <w:pPr>
      <w:spacing w:after="60" w:line="240" w:lineRule="auto"/>
      <w:jc w:val="left"/>
      <w:outlineLvl w:val="7"/>
    </w:pPr>
    <w:rPr>
      <w:rFonts w:ascii="Arial" w:hAnsi="Arial"/>
      <w:i/>
      <w:sz w:val="20"/>
    </w:rPr>
  </w:style>
  <w:style w:type="paragraph" w:styleId="Heading9">
    <w:name w:val="heading 9"/>
    <w:basedOn w:val="BodyText"/>
    <w:next w:val="BodyText"/>
    <w:rsid w:val="00F813CD"/>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rsid w:val="00F813C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813CD"/>
  </w:style>
  <w:style w:type="paragraph" w:styleId="BodyText">
    <w:name w:val="Body Text"/>
    <w:link w:val="BodyTextChar"/>
    <w:qFormat/>
    <w:rsid w:val="00F813CD"/>
    <w:pPr>
      <w:spacing w:before="240" w:line="300" w:lineRule="atLeast"/>
      <w:jc w:val="both"/>
    </w:pPr>
    <w:rPr>
      <w:sz w:val="24"/>
    </w:rPr>
  </w:style>
  <w:style w:type="paragraph" w:styleId="Footer">
    <w:name w:val="footer"/>
    <w:basedOn w:val="BodyText"/>
    <w:link w:val="FooterChar"/>
    <w:rsid w:val="00F813CD"/>
    <w:pPr>
      <w:spacing w:before="80" w:line="200" w:lineRule="exact"/>
      <w:ind w:right="6"/>
      <w:jc w:val="left"/>
    </w:pPr>
    <w:rPr>
      <w:rFonts w:ascii="Arial" w:hAnsi="Arial"/>
      <w:caps/>
      <w:spacing w:val="-4"/>
      <w:sz w:val="16"/>
    </w:rPr>
  </w:style>
  <w:style w:type="paragraph" w:customStyle="1" w:styleId="FooterEnd">
    <w:name w:val="Footer End"/>
    <w:basedOn w:val="Footer"/>
    <w:rsid w:val="00F813CD"/>
    <w:pPr>
      <w:spacing w:before="0" w:line="20" w:lineRule="exact"/>
    </w:pPr>
  </w:style>
  <w:style w:type="paragraph" w:styleId="Header">
    <w:name w:val="header"/>
    <w:basedOn w:val="BodyText"/>
    <w:rsid w:val="00F813CD"/>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F813CD"/>
    <w:pPr>
      <w:spacing w:line="20" w:lineRule="exact"/>
    </w:pPr>
    <w:rPr>
      <w:sz w:val="16"/>
    </w:rPr>
  </w:style>
  <w:style w:type="paragraph" w:customStyle="1" w:styleId="HeaderEven">
    <w:name w:val="Header Even"/>
    <w:basedOn w:val="Header"/>
    <w:semiHidden/>
    <w:rsid w:val="00F813CD"/>
  </w:style>
  <w:style w:type="paragraph" w:customStyle="1" w:styleId="HeaderOdd">
    <w:name w:val="Header Odd"/>
    <w:basedOn w:val="Header"/>
    <w:semiHidden/>
    <w:rsid w:val="00F813CD"/>
  </w:style>
  <w:style w:type="character" w:styleId="PageNumber">
    <w:name w:val="page number"/>
    <w:basedOn w:val="DefaultParagraphFont"/>
    <w:rsid w:val="00F813CD"/>
    <w:rPr>
      <w:rFonts w:ascii="Arial" w:hAnsi="Arial"/>
      <w:b/>
      <w:sz w:val="16"/>
    </w:rPr>
  </w:style>
  <w:style w:type="paragraph" w:customStyle="1" w:styleId="Abbreviation">
    <w:name w:val="Abbreviation"/>
    <w:basedOn w:val="BodyText"/>
    <w:rsid w:val="00F813CD"/>
    <w:pPr>
      <w:spacing w:before="120"/>
      <w:ind w:left="2381" w:hanging="2381"/>
      <w:jc w:val="left"/>
    </w:pPr>
  </w:style>
  <w:style w:type="paragraph" w:customStyle="1" w:styleId="Box">
    <w:name w:val="Box"/>
    <w:basedOn w:val="BodyText"/>
    <w:qFormat/>
    <w:rsid w:val="00F813CD"/>
    <w:pPr>
      <w:keepNext/>
      <w:spacing w:before="120" w:line="260" w:lineRule="atLeast"/>
    </w:pPr>
    <w:rPr>
      <w:rFonts w:ascii="Arial" w:hAnsi="Arial"/>
      <w:sz w:val="20"/>
    </w:rPr>
  </w:style>
  <w:style w:type="paragraph" w:customStyle="1" w:styleId="BoxContinued">
    <w:name w:val="Box Continued"/>
    <w:basedOn w:val="BodyText"/>
    <w:next w:val="BodyText"/>
    <w:semiHidden/>
    <w:rsid w:val="00F813CD"/>
    <w:pPr>
      <w:spacing w:before="180" w:line="220" w:lineRule="exact"/>
      <w:jc w:val="right"/>
    </w:pPr>
    <w:rPr>
      <w:rFonts w:ascii="Arial" w:hAnsi="Arial"/>
      <w:sz w:val="18"/>
    </w:rPr>
  </w:style>
  <w:style w:type="paragraph" w:customStyle="1" w:styleId="BoxHeading1">
    <w:name w:val="Box Heading 1"/>
    <w:basedOn w:val="BodyText"/>
    <w:next w:val="Box"/>
    <w:rsid w:val="00F813CD"/>
    <w:pPr>
      <w:keepNext/>
      <w:spacing w:before="200" w:line="280" w:lineRule="atLeast"/>
    </w:pPr>
    <w:rPr>
      <w:rFonts w:ascii="Arial" w:hAnsi="Arial"/>
      <w:b/>
      <w:sz w:val="22"/>
    </w:rPr>
  </w:style>
  <w:style w:type="paragraph" w:customStyle="1" w:styleId="BoxHeading2">
    <w:name w:val="Box Heading 2"/>
    <w:basedOn w:val="BoxHeading1"/>
    <w:next w:val="Normal"/>
    <w:rsid w:val="00F813CD"/>
    <w:rPr>
      <w:b w:val="0"/>
      <w:i/>
    </w:rPr>
  </w:style>
  <w:style w:type="paragraph" w:customStyle="1" w:styleId="BoxListBullet">
    <w:name w:val="Box List Bullet"/>
    <w:basedOn w:val="BodyText"/>
    <w:rsid w:val="00F813C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F813CD"/>
    <w:pPr>
      <w:numPr>
        <w:numId w:val="16"/>
      </w:numPr>
      <w:ind w:left="568" w:hanging="284"/>
    </w:pPr>
  </w:style>
  <w:style w:type="paragraph" w:customStyle="1" w:styleId="BoxListNumber">
    <w:name w:val="Box List Number"/>
    <w:basedOn w:val="BodyText"/>
    <w:rsid w:val="00F813CD"/>
    <w:pPr>
      <w:keepNext/>
      <w:numPr>
        <w:numId w:val="12"/>
      </w:numPr>
      <w:spacing w:before="100" w:line="260" w:lineRule="atLeast"/>
    </w:pPr>
    <w:rPr>
      <w:rFonts w:ascii="Arial" w:hAnsi="Arial"/>
      <w:sz w:val="20"/>
    </w:rPr>
  </w:style>
  <w:style w:type="paragraph" w:customStyle="1" w:styleId="BoxListNumber2">
    <w:name w:val="Box List Number 2"/>
    <w:basedOn w:val="BoxListNumber"/>
    <w:rsid w:val="00F813CD"/>
    <w:pPr>
      <w:numPr>
        <w:ilvl w:val="1"/>
      </w:numPr>
      <w:ind w:left="681" w:hanging="397"/>
    </w:pPr>
  </w:style>
  <w:style w:type="paragraph" w:customStyle="1" w:styleId="BoxQuote">
    <w:name w:val="Box Quote"/>
    <w:basedOn w:val="BodyText"/>
    <w:next w:val="Box"/>
    <w:qFormat/>
    <w:rsid w:val="00F813CD"/>
    <w:pPr>
      <w:keepNext/>
      <w:spacing w:before="60" w:line="240" w:lineRule="exact"/>
      <w:ind w:left="284"/>
    </w:pPr>
    <w:rPr>
      <w:rFonts w:ascii="Arial" w:hAnsi="Arial"/>
      <w:sz w:val="18"/>
    </w:rPr>
  </w:style>
  <w:style w:type="paragraph" w:customStyle="1" w:styleId="Note">
    <w:name w:val="Note"/>
    <w:basedOn w:val="BodyText"/>
    <w:next w:val="BodyText"/>
    <w:rsid w:val="00F813CD"/>
    <w:pPr>
      <w:keepLines/>
      <w:spacing w:before="80" w:line="220" w:lineRule="exact"/>
    </w:pPr>
    <w:rPr>
      <w:rFonts w:ascii="Arial" w:hAnsi="Arial"/>
      <w:sz w:val="18"/>
    </w:rPr>
  </w:style>
  <w:style w:type="paragraph" w:customStyle="1" w:styleId="Source">
    <w:name w:val="Source"/>
    <w:basedOn w:val="Normal"/>
    <w:next w:val="BodyText"/>
    <w:rsid w:val="00F813CD"/>
    <w:pPr>
      <w:keepLines/>
      <w:spacing w:before="80" w:line="220" w:lineRule="exact"/>
      <w:jc w:val="both"/>
    </w:pPr>
    <w:rPr>
      <w:rFonts w:ascii="Arial" w:hAnsi="Arial"/>
      <w:sz w:val="18"/>
      <w:szCs w:val="20"/>
    </w:rPr>
  </w:style>
  <w:style w:type="paragraph" w:customStyle="1" w:styleId="BoxSource">
    <w:name w:val="Box Source"/>
    <w:basedOn w:val="Source"/>
    <w:next w:val="BodyText"/>
    <w:rsid w:val="00F813CD"/>
    <w:pPr>
      <w:spacing w:before="120"/>
    </w:pPr>
  </w:style>
  <w:style w:type="paragraph" w:customStyle="1" w:styleId="BoxSpaceAbove">
    <w:name w:val="Box Space Above"/>
    <w:basedOn w:val="BodyText"/>
    <w:rsid w:val="00F813CD"/>
    <w:pPr>
      <w:keepNext/>
      <w:spacing w:before="360" w:line="80" w:lineRule="exact"/>
      <w:jc w:val="left"/>
    </w:pPr>
  </w:style>
  <w:style w:type="paragraph" w:styleId="Caption">
    <w:name w:val="caption"/>
    <w:basedOn w:val="Normal"/>
    <w:next w:val="BodyText"/>
    <w:rsid w:val="00F813CD"/>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F813CD"/>
    <w:pPr>
      <w:spacing w:before="120" w:after="0"/>
    </w:pPr>
  </w:style>
  <w:style w:type="paragraph" w:customStyle="1" w:styleId="BoxSubtitle">
    <w:name w:val="Box Subtitle"/>
    <w:basedOn w:val="BoxTitle"/>
    <w:next w:val="Normal"/>
    <w:rsid w:val="00F813CD"/>
    <w:pPr>
      <w:spacing w:after="80" w:line="200" w:lineRule="exact"/>
      <w:ind w:firstLine="0"/>
    </w:pPr>
    <w:rPr>
      <w:b w:val="0"/>
      <w:sz w:val="20"/>
    </w:rPr>
  </w:style>
  <w:style w:type="paragraph" w:customStyle="1" w:styleId="Chapter">
    <w:name w:val="Chapter"/>
    <w:basedOn w:val="Heading1"/>
    <w:next w:val="BodyText"/>
    <w:semiHidden/>
    <w:rsid w:val="00F813CD"/>
    <w:pPr>
      <w:ind w:left="0" w:firstLine="0"/>
      <w:outlineLvl w:val="9"/>
    </w:pPr>
  </w:style>
  <w:style w:type="paragraph" w:customStyle="1" w:styleId="ChapterSummary">
    <w:name w:val="Chapter Summary"/>
    <w:basedOn w:val="BodyText"/>
    <w:rsid w:val="00F813CD"/>
    <w:pPr>
      <w:spacing w:line="280" w:lineRule="atLeast"/>
      <w:ind w:left="907"/>
    </w:pPr>
    <w:rPr>
      <w:rFonts w:ascii="Arial" w:hAnsi="Arial"/>
      <w:b/>
      <w:sz w:val="20"/>
    </w:rPr>
  </w:style>
  <w:style w:type="character" w:styleId="CommentReference">
    <w:name w:val="annotation reference"/>
    <w:basedOn w:val="DefaultParagraphFont"/>
    <w:semiHidden/>
    <w:rsid w:val="00F813CD"/>
    <w:rPr>
      <w:b/>
      <w:vanish/>
      <w:color w:val="FF00FF"/>
      <w:sz w:val="20"/>
    </w:rPr>
  </w:style>
  <w:style w:type="paragraph" w:styleId="CommentText">
    <w:name w:val="annotation text"/>
    <w:basedOn w:val="Normal"/>
    <w:link w:val="CommentTextChar"/>
    <w:semiHidden/>
    <w:rsid w:val="00F813CD"/>
    <w:pPr>
      <w:spacing w:before="120" w:line="240" w:lineRule="atLeast"/>
      <w:ind w:left="567" w:hanging="567"/>
    </w:pPr>
    <w:rPr>
      <w:sz w:val="20"/>
    </w:rPr>
  </w:style>
  <w:style w:type="paragraph" w:customStyle="1" w:styleId="Continued">
    <w:name w:val="Continued"/>
    <w:basedOn w:val="BoxContinued"/>
    <w:next w:val="BodyText"/>
    <w:rsid w:val="00F813CD"/>
  </w:style>
  <w:style w:type="character" w:customStyle="1" w:styleId="DocumentInfo">
    <w:name w:val="Document Info"/>
    <w:basedOn w:val="DefaultParagraphFont"/>
    <w:semiHidden/>
    <w:rsid w:val="00F813CD"/>
    <w:rPr>
      <w:rFonts w:ascii="Arial" w:hAnsi="Arial"/>
      <w:sz w:val="14"/>
    </w:rPr>
  </w:style>
  <w:style w:type="character" w:customStyle="1" w:styleId="DraftingNote">
    <w:name w:val="Drafting Note"/>
    <w:basedOn w:val="DefaultParagraphFont"/>
    <w:rsid w:val="00F813CD"/>
    <w:rPr>
      <w:b/>
      <w:color w:val="FF0000"/>
      <w:sz w:val="24"/>
      <w:u w:val="dotted"/>
    </w:rPr>
  </w:style>
  <w:style w:type="paragraph" w:customStyle="1" w:styleId="Figure">
    <w:name w:val="Figure"/>
    <w:basedOn w:val="BodyText"/>
    <w:rsid w:val="00F813CD"/>
    <w:pPr>
      <w:keepNext/>
      <w:spacing w:before="120" w:after="120" w:line="240" w:lineRule="atLeast"/>
      <w:jc w:val="center"/>
    </w:pPr>
  </w:style>
  <w:style w:type="paragraph" w:customStyle="1" w:styleId="FigureTitle">
    <w:name w:val="Figure Title"/>
    <w:basedOn w:val="Caption"/>
    <w:next w:val="Subtitle"/>
    <w:rsid w:val="00F813CD"/>
    <w:pPr>
      <w:spacing w:before="120"/>
    </w:pPr>
  </w:style>
  <w:style w:type="paragraph" w:styleId="Subtitle">
    <w:name w:val="Subtitle"/>
    <w:basedOn w:val="Caption"/>
    <w:link w:val="SubtitleChar"/>
    <w:qFormat/>
    <w:rsid w:val="00F813CD"/>
    <w:pPr>
      <w:spacing w:before="0" w:line="200" w:lineRule="exact"/>
      <w:ind w:firstLine="0"/>
    </w:pPr>
    <w:rPr>
      <w:b w:val="0"/>
      <w:sz w:val="20"/>
    </w:rPr>
  </w:style>
  <w:style w:type="paragraph" w:customStyle="1" w:styleId="Finding">
    <w:name w:val="Finding"/>
    <w:basedOn w:val="BodyText"/>
    <w:rsid w:val="00F813CD"/>
    <w:pPr>
      <w:keepLines/>
      <w:spacing w:before="120" w:line="280" w:lineRule="atLeast"/>
    </w:pPr>
    <w:rPr>
      <w:rFonts w:ascii="Arial" w:hAnsi="Arial"/>
      <w:sz w:val="22"/>
    </w:rPr>
  </w:style>
  <w:style w:type="paragraph" w:customStyle="1" w:styleId="FindingBullet">
    <w:name w:val="Finding Bullet"/>
    <w:basedOn w:val="Finding"/>
    <w:rsid w:val="00F813CD"/>
    <w:pPr>
      <w:numPr>
        <w:numId w:val="2"/>
      </w:numPr>
      <w:spacing w:before="80"/>
    </w:pPr>
  </w:style>
  <w:style w:type="paragraph" w:customStyle="1" w:styleId="FindingNoTitle">
    <w:name w:val="Finding NoTitle"/>
    <w:basedOn w:val="Finding"/>
    <w:semiHidden/>
    <w:rsid w:val="00F813CD"/>
    <w:pPr>
      <w:spacing w:before="240"/>
    </w:pPr>
  </w:style>
  <w:style w:type="paragraph" w:customStyle="1" w:styleId="RecTitle">
    <w:name w:val="Rec Title"/>
    <w:basedOn w:val="BodyText"/>
    <w:next w:val="Rec"/>
    <w:qFormat/>
    <w:rsid w:val="00F813CD"/>
    <w:pPr>
      <w:keepNext/>
      <w:keepLines/>
      <w:spacing w:line="280" w:lineRule="atLeast"/>
    </w:pPr>
    <w:rPr>
      <w:rFonts w:ascii="Arial" w:hAnsi="Arial"/>
      <w:caps/>
      <w:sz w:val="18"/>
    </w:rPr>
  </w:style>
  <w:style w:type="paragraph" w:customStyle="1" w:styleId="FindingTitle">
    <w:name w:val="Finding Title"/>
    <w:basedOn w:val="RecTitle"/>
    <w:next w:val="Finding"/>
    <w:rsid w:val="00F813CD"/>
  </w:style>
  <w:style w:type="character" w:styleId="FootnoteReference">
    <w:name w:val="footnote reference"/>
    <w:basedOn w:val="DefaultParagraphFont"/>
    <w:semiHidden/>
    <w:rsid w:val="00F813CD"/>
    <w:rPr>
      <w:rFonts w:ascii="Times New Roman" w:hAnsi="Times New Roman"/>
      <w:position w:val="6"/>
      <w:sz w:val="20"/>
      <w:vertAlign w:val="baseline"/>
    </w:rPr>
  </w:style>
  <w:style w:type="paragraph" w:styleId="FootnoteText">
    <w:name w:val="footnote text"/>
    <w:basedOn w:val="BodyText"/>
    <w:link w:val="FootnoteTextChar"/>
    <w:rsid w:val="00F813CD"/>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F813CD"/>
    <w:rPr>
      <w:i/>
    </w:rPr>
  </w:style>
  <w:style w:type="paragraph" w:customStyle="1" w:styleId="Jurisdictioncommentsbodytext">
    <w:name w:val="Jurisdiction comments body text"/>
    <w:rsid w:val="00F813CD"/>
    <w:pPr>
      <w:spacing w:after="140"/>
      <w:jc w:val="both"/>
    </w:pPr>
    <w:rPr>
      <w:rFonts w:ascii="Arial" w:hAnsi="Arial"/>
      <w:sz w:val="24"/>
      <w:lang w:eastAsia="en-US"/>
    </w:rPr>
  </w:style>
  <w:style w:type="paragraph" w:customStyle="1" w:styleId="Jurisdictioncommentsheading">
    <w:name w:val="Jurisdiction comments heading"/>
    <w:rsid w:val="00F813CD"/>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F813CD"/>
    <w:pPr>
      <w:numPr>
        <w:numId w:val="3"/>
      </w:numPr>
      <w:spacing w:after="140"/>
      <w:jc w:val="both"/>
    </w:pPr>
    <w:rPr>
      <w:rFonts w:ascii="Arial" w:hAnsi="Arial"/>
      <w:sz w:val="24"/>
      <w:lang w:eastAsia="en-US"/>
    </w:rPr>
  </w:style>
  <w:style w:type="paragraph" w:styleId="ListBullet">
    <w:name w:val="List Bullet"/>
    <w:basedOn w:val="BodyText"/>
    <w:rsid w:val="00F813CD"/>
    <w:pPr>
      <w:numPr>
        <w:numId w:val="4"/>
      </w:numPr>
      <w:spacing w:before="120"/>
    </w:pPr>
  </w:style>
  <w:style w:type="paragraph" w:styleId="ListBullet2">
    <w:name w:val="List Bullet 2"/>
    <w:basedOn w:val="BodyText"/>
    <w:rsid w:val="00F813CD"/>
    <w:pPr>
      <w:numPr>
        <w:numId w:val="5"/>
      </w:numPr>
      <w:spacing w:before="120"/>
    </w:pPr>
  </w:style>
  <w:style w:type="paragraph" w:styleId="ListBullet3">
    <w:name w:val="List Bullet 3"/>
    <w:basedOn w:val="BodyText"/>
    <w:rsid w:val="00F813CD"/>
    <w:pPr>
      <w:numPr>
        <w:numId w:val="6"/>
      </w:numPr>
      <w:spacing w:before="120"/>
      <w:ind w:left="1020" w:hanging="340"/>
    </w:pPr>
  </w:style>
  <w:style w:type="paragraph" w:styleId="ListNumber">
    <w:name w:val="List Number"/>
    <w:basedOn w:val="BodyText"/>
    <w:rsid w:val="00F813CD"/>
    <w:pPr>
      <w:numPr>
        <w:numId w:val="11"/>
      </w:numPr>
      <w:spacing w:before="120"/>
    </w:pPr>
  </w:style>
  <w:style w:type="paragraph" w:styleId="ListNumber2">
    <w:name w:val="List Number 2"/>
    <w:basedOn w:val="ListNumber"/>
    <w:rsid w:val="00F813CD"/>
    <w:pPr>
      <w:numPr>
        <w:ilvl w:val="1"/>
      </w:numPr>
    </w:pPr>
  </w:style>
  <w:style w:type="paragraph" w:styleId="ListNumber3">
    <w:name w:val="List Number 3"/>
    <w:basedOn w:val="ListNumber2"/>
    <w:rsid w:val="00F813CD"/>
    <w:pPr>
      <w:numPr>
        <w:ilvl w:val="2"/>
      </w:numPr>
    </w:pPr>
  </w:style>
  <w:style w:type="character" w:customStyle="1" w:styleId="NoteLabel">
    <w:name w:val="Note Label"/>
    <w:basedOn w:val="DefaultParagraphFont"/>
    <w:rsid w:val="00F813CD"/>
    <w:rPr>
      <w:rFonts w:ascii="Arial" w:hAnsi="Arial"/>
      <w:b/>
      <w:position w:val="6"/>
      <w:sz w:val="18"/>
    </w:rPr>
  </w:style>
  <w:style w:type="paragraph" w:customStyle="1" w:styleId="PartDivider">
    <w:name w:val="Part Divider"/>
    <w:basedOn w:val="BodyText"/>
    <w:next w:val="BodyText"/>
    <w:semiHidden/>
    <w:rsid w:val="00F813CD"/>
    <w:pPr>
      <w:spacing w:before="0" w:line="40" w:lineRule="exact"/>
      <w:jc w:val="right"/>
    </w:pPr>
    <w:rPr>
      <w:smallCaps/>
      <w:sz w:val="16"/>
    </w:rPr>
  </w:style>
  <w:style w:type="paragraph" w:customStyle="1" w:styleId="PartNumber">
    <w:name w:val="Part Number"/>
    <w:basedOn w:val="BodyText"/>
    <w:next w:val="BodyText"/>
    <w:semiHidden/>
    <w:rsid w:val="00F813CD"/>
    <w:pPr>
      <w:spacing w:before="4000" w:line="320" w:lineRule="exact"/>
      <w:ind w:left="6634"/>
      <w:jc w:val="right"/>
    </w:pPr>
    <w:rPr>
      <w:smallCaps/>
      <w:spacing w:val="60"/>
      <w:sz w:val="32"/>
    </w:rPr>
  </w:style>
  <w:style w:type="paragraph" w:customStyle="1" w:styleId="PartTitle">
    <w:name w:val="Part Title"/>
    <w:basedOn w:val="BodyText"/>
    <w:semiHidden/>
    <w:rsid w:val="00F813CD"/>
    <w:pPr>
      <w:spacing w:before="160" w:after="1360" w:line="520" w:lineRule="exact"/>
      <w:ind w:right="2381"/>
      <w:jc w:val="right"/>
    </w:pPr>
    <w:rPr>
      <w:smallCaps/>
      <w:sz w:val="52"/>
    </w:rPr>
  </w:style>
  <w:style w:type="paragraph" w:styleId="Quote">
    <w:name w:val="Quote"/>
    <w:basedOn w:val="BodyText"/>
    <w:next w:val="BodyText"/>
    <w:qFormat/>
    <w:rsid w:val="00F813CD"/>
    <w:pPr>
      <w:spacing w:before="120" w:line="280" w:lineRule="exact"/>
      <w:ind w:left="340"/>
    </w:pPr>
    <w:rPr>
      <w:sz w:val="22"/>
    </w:rPr>
  </w:style>
  <w:style w:type="paragraph" w:customStyle="1" w:styleId="QuoteBullet">
    <w:name w:val="Quote Bullet"/>
    <w:basedOn w:val="Quote"/>
    <w:rsid w:val="00F813CD"/>
    <w:pPr>
      <w:numPr>
        <w:numId w:val="7"/>
      </w:numPr>
    </w:pPr>
  </w:style>
  <w:style w:type="paragraph" w:customStyle="1" w:styleId="Rec">
    <w:name w:val="Rec"/>
    <w:basedOn w:val="BodyText"/>
    <w:qFormat/>
    <w:rsid w:val="00F813CD"/>
    <w:pPr>
      <w:keepLines/>
      <w:spacing w:before="120" w:line="280" w:lineRule="atLeast"/>
    </w:pPr>
    <w:rPr>
      <w:rFonts w:ascii="Arial" w:hAnsi="Arial"/>
      <w:sz w:val="22"/>
    </w:rPr>
  </w:style>
  <w:style w:type="paragraph" w:customStyle="1" w:styleId="RecBullet">
    <w:name w:val="Rec Bullet"/>
    <w:basedOn w:val="Rec"/>
    <w:rsid w:val="00F813CD"/>
    <w:pPr>
      <w:numPr>
        <w:numId w:val="8"/>
      </w:numPr>
      <w:spacing w:before="80"/>
    </w:pPr>
  </w:style>
  <w:style w:type="paragraph" w:customStyle="1" w:styleId="RecB">
    <w:name w:val="RecB"/>
    <w:basedOn w:val="Normal"/>
    <w:semiHidden/>
    <w:rsid w:val="00F813CD"/>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13CD"/>
    <w:pPr>
      <w:numPr>
        <w:numId w:val="13"/>
      </w:numPr>
      <w:spacing w:before="80"/>
    </w:pPr>
  </w:style>
  <w:style w:type="paragraph" w:customStyle="1" w:styleId="RecBNoTitle">
    <w:name w:val="RecB NoTitle"/>
    <w:basedOn w:val="RecB"/>
    <w:semiHidden/>
    <w:rsid w:val="00F813CD"/>
    <w:pPr>
      <w:spacing w:before="240"/>
    </w:pPr>
  </w:style>
  <w:style w:type="paragraph" w:customStyle="1" w:styleId="Reference">
    <w:name w:val="Reference"/>
    <w:basedOn w:val="BodyText"/>
    <w:link w:val="ReferenceChar"/>
    <w:rsid w:val="00F813CD"/>
    <w:pPr>
      <w:spacing w:before="120"/>
      <w:ind w:left="340" w:hanging="340"/>
    </w:pPr>
  </w:style>
  <w:style w:type="paragraph" w:customStyle="1" w:styleId="SequenceInfo">
    <w:name w:val="Sequence Info"/>
    <w:basedOn w:val="BodyText"/>
    <w:semiHidden/>
    <w:rsid w:val="00F813CD"/>
    <w:rPr>
      <w:vanish/>
      <w:sz w:val="16"/>
    </w:rPr>
  </w:style>
  <w:style w:type="paragraph" w:customStyle="1" w:styleId="SideNote">
    <w:name w:val="Side Note"/>
    <w:basedOn w:val="BodyText"/>
    <w:next w:val="BodyText"/>
    <w:semiHidden/>
    <w:rsid w:val="00F813CD"/>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F813CD"/>
    <w:pPr>
      <w:framePr w:wrap="around"/>
      <w:numPr>
        <w:numId w:val="9"/>
      </w:numPr>
      <w:tabs>
        <w:tab w:val="left" w:pos="227"/>
      </w:tabs>
    </w:pPr>
  </w:style>
  <w:style w:type="paragraph" w:customStyle="1" w:styleId="SideNoteGraphic">
    <w:name w:val="Side Note Graphic"/>
    <w:basedOn w:val="SideNote"/>
    <w:next w:val="BodyText"/>
    <w:semiHidden/>
    <w:rsid w:val="00F813CD"/>
    <w:pPr>
      <w:framePr w:wrap="around"/>
    </w:pPr>
  </w:style>
  <w:style w:type="paragraph" w:customStyle="1" w:styleId="TableBodyText">
    <w:name w:val="Table Body Text"/>
    <w:basedOn w:val="BodyText"/>
    <w:rsid w:val="00F813CD"/>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F813CD"/>
    <w:pPr>
      <w:numPr>
        <w:numId w:val="10"/>
      </w:numPr>
      <w:jc w:val="left"/>
    </w:pPr>
  </w:style>
  <w:style w:type="paragraph" w:customStyle="1" w:styleId="TableColumnHeading">
    <w:name w:val="Table Column Heading"/>
    <w:basedOn w:val="TableBodyText"/>
    <w:rsid w:val="00F813CD"/>
    <w:pPr>
      <w:spacing w:before="80" w:after="80"/>
    </w:pPr>
    <w:rPr>
      <w:i/>
    </w:rPr>
  </w:style>
  <w:style w:type="paragraph" w:styleId="TOC2">
    <w:name w:val="toc 2"/>
    <w:basedOn w:val="TOC1"/>
    <w:rsid w:val="00F813CD"/>
    <w:pPr>
      <w:ind w:left="1134" w:hanging="624"/>
    </w:pPr>
    <w:rPr>
      <w:b w:val="0"/>
    </w:rPr>
  </w:style>
  <w:style w:type="paragraph" w:styleId="TOC3">
    <w:name w:val="toc 3"/>
    <w:basedOn w:val="TOC2"/>
    <w:rsid w:val="00F813CD"/>
    <w:pPr>
      <w:spacing w:before="60"/>
      <w:ind w:left="1190" w:hanging="680"/>
    </w:pPr>
  </w:style>
  <w:style w:type="paragraph" w:styleId="TableofFigures">
    <w:name w:val="table of figures"/>
    <w:basedOn w:val="TOC3"/>
    <w:next w:val="BodyText"/>
    <w:semiHidden/>
    <w:rsid w:val="00F813CD"/>
    <w:pPr>
      <w:ind w:left="737" w:hanging="737"/>
    </w:pPr>
  </w:style>
  <w:style w:type="paragraph" w:customStyle="1" w:styleId="TableTitle">
    <w:name w:val="Table Title"/>
    <w:basedOn w:val="Caption"/>
    <w:next w:val="Subtitle"/>
    <w:qFormat/>
    <w:rsid w:val="00F813CD"/>
    <w:pPr>
      <w:spacing w:before="120"/>
    </w:pPr>
  </w:style>
  <w:style w:type="paragraph" w:customStyle="1" w:styleId="TableUnitsRow">
    <w:name w:val="Table Units Row"/>
    <w:basedOn w:val="TableBodyText"/>
    <w:rsid w:val="00F813CD"/>
    <w:pPr>
      <w:spacing w:before="40"/>
    </w:pPr>
  </w:style>
  <w:style w:type="paragraph" w:styleId="TOC1">
    <w:name w:val="toc 1"/>
    <w:basedOn w:val="Normal"/>
    <w:next w:val="TOC2"/>
    <w:link w:val="TOC1Char"/>
    <w:rsid w:val="00F813CD"/>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F813CD"/>
    <w:pPr>
      <w:ind w:left="1191" w:firstLine="0"/>
    </w:pPr>
  </w:style>
  <w:style w:type="paragraph" w:customStyle="1" w:styleId="RecBBullet2">
    <w:name w:val="RecB Bullet 2"/>
    <w:basedOn w:val="ListBullet2"/>
    <w:semiHidden/>
    <w:rsid w:val="00F813CD"/>
    <w:pPr>
      <w:pBdr>
        <w:left w:val="single" w:sz="24" w:space="29" w:color="C0C0C0"/>
      </w:pBdr>
    </w:pPr>
    <w:rPr>
      <w:b/>
      <w:i/>
    </w:rPr>
  </w:style>
  <w:style w:type="paragraph" w:styleId="BalloonText">
    <w:name w:val="Balloon Text"/>
    <w:basedOn w:val="Normal"/>
    <w:link w:val="BalloonTextChar"/>
    <w:rsid w:val="00F813CD"/>
    <w:rPr>
      <w:rFonts w:ascii="Tahoma" w:hAnsi="Tahoma" w:cs="Tahoma"/>
      <w:sz w:val="16"/>
      <w:szCs w:val="16"/>
    </w:rPr>
  </w:style>
  <w:style w:type="character" w:customStyle="1" w:styleId="BalloonTextChar">
    <w:name w:val="Balloon Text Char"/>
    <w:basedOn w:val="DefaultParagraphFont"/>
    <w:link w:val="BalloonText"/>
    <w:rsid w:val="00F813CD"/>
    <w:rPr>
      <w:rFonts w:ascii="Tahoma" w:hAnsi="Tahoma" w:cs="Tahoma"/>
      <w:sz w:val="16"/>
      <w:szCs w:val="16"/>
    </w:rPr>
  </w:style>
  <w:style w:type="character" w:customStyle="1" w:styleId="SubtitleChar">
    <w:name w:val="Subtitle Char"/>
    <w:basedOn w:val="DefaultParagraphFont"/>
    <w:link w:val="Subtitle"/>
    <w:rsid w:val="00F813CD"/>
    <w:rPr>
      <w:rFonts w:ascii="Arial" w:hAnsi="Arial"/>
      <w:szCs w:val="24"/>
    </w:rPr>
  </w:style>
  <w:style w:type="paragraph" w:customStyle="1" w:styleId="BoxListBullet3">
    <w:name w:val="Box List Bullet 3"/>
    <w:basedOn w:val="ListBullet3"/>
    <w:rsid w:val="00F813CD"/>
    <w:pPr>
      <w:numPr>
        <w:numId w:val="17"/>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F813CD"/>
    <w:rPr>
      <w:i/>
      <w:iCs/>
    </w:rPr>
  </w:style>
  <w:style w:type="paragraph" w:customStyle="1" w:styleId="BoxQuoteBullet">
    <w:name w:val="Box Quote Bullet"/>
    <w:basedOn w:val="BoxQuote"/>
    <w:next w:val="Box"/>
    <w:rsid w:val="00F813CD"/>
    <w:pPr>
      <w:numPr>
        <w:numId w:val="14"/>
      </w:numPr>
      <w:ind w:left="568" w:hanging="284"/>
    </w:pPr>
  </w:style>
  <w:style w:type="paragraph" w:customStyle="1" w:styleId="InformationRequestBullet">
    <w:name w:val="Information Request Bullet"/>
    <w:basedOn w:val="ListBullet"/>
    <w:next w:val="BodyText"/>
    <w:rsid w:val="00F813CD"/>
    <w:pPr>
      <w:numPr>
        <w:numId w:val="15"/>
      </w:numPr>
      <w:spacing w:before="80" w:line="280" w:lineRule="atLeast"/>
      <w:ind w:left="357" w:hanging="357"/>
    </w:pPr>
    <w:rPr>
      <w:rFonts w:ascii="Arial" w:hAnsi="Arial"/>
      <w:i/>
      <w:sz w:val="22"/>
    </w:rPr>
  </w:style>
  <w:style w:type="paragraph" w:customStyle="1" w:styleId="BoxSpaceBelow">
    <w:name w:val="Box Space Below"/>
    <w:basedOn w:val="Box"/>
    <w:rsid w:val="00F813CD"/>
    <w:pPr>
      <w:keepNext w:val="0"/>
      <w:spacing w:before="60" w:after="60" w:line="80" w:lineRule="exact"/>
    </w:pPr>
    <w:rPr>
      <w:sz w:val="14"/>
    </w:rPr>
  </w:style>
  <w:style w:type="paragraph" w:styleId="CommentSubject">
    <w:name w:val="annotation subject"/>
    <w:basedOn w:val="CommentText"/>
    <w:next w:val="CommentText"/>
    <w:link w:val="CommentSubjectChar"/>
    <w:rsid w:val="00A228F7"/>
    <w:pPr>
      <w:spacing w:before="0" w:line="240" w:lineRule="auto"/>
      <w:ind w:left="0" w:firstLine="0"/>
    </w:pPr>
    <w:rPr>
      <w:b/>
      <w:bCs/>
      <w:szCs w:val="20"/>
    </w:rPr>
  </w:style>
  <w:style w:type="character" w:customStyle="1" w:styleId="CommentTextChar">
    <w:name w:val="Comment Text Char"/>
    <w:basedOn w:val="DefaultParagraphFont"/>
    <w:link w:val="CommentText"/>
    <w:semiHidden/>
    <w:rsid w:val="00A228F7"/>
    <w:rPr>
      <w:szCs w:val="24"/>
    </w:rPr>
  </w:style>
  <w:style w:type="character" w:customStyle="1" w:styleId="CommentSubjectChar">
    <w:name w:val="Comment Subject Char"/>
    <w:basedOn w:val="CommentTextChar"/>
    <w:link w:val="CommentSubject"/>
    <w:rsid w:val="00A228F7"/>
    <w:rPr>
      <w:b/>
      <w:bCs/>
      <w:szCs w:val="24"/>
    </w:rPr>
  </w:style>
  <w:style w:type="character" w:customStyle="1" w:styleId="Heading3Char">
    <w:name w:val="Heading 3 Char"/>
    <w:basedOn w:val="DefaultParagraphFont"/>
    <w:link w:val="Heading3"/>
    <w:rsid w:val="00A73A91"/>
    <w:rPr>
      <w:rFonts w:ascii="Arial" w:hAnsi="Arial"/>
      <w:b/>
      <w:sz w:val="26"/>
    </w:rPr>
  </w:style>
  <w:style w:type="character" w:customStyle="1" w:styleId="ReferenceChar">
    <w:name w:val="Reference Char"/>
    <w:basedOn w:val="DefaultParagraphFont"/>
    <w:link w:val="Reference"/>
    <w:rsid w:val="00A73A91"/>
    <w:rPr>
      <w:sz w:val="24"/>
    </w:rPr>
  </w:style>
  <w:style w:type="character" w:customStyle="1" w:styleId="BodyTextChar">
    <w:name w:val="Body Text Char"/>
    <w:basedOn w:val="DefaultParagraphFont"/>
    <w:link w:val="BodyText"/>
    <w:rsid w:val="00F813CD"/>
    <w:rPr>
      <w:sz w:val="24"/>
    </w:rPr>
  </w:style>
  <w:style w:type="paragraph" w:customStyle="1" w:styleId="BoxSpace">
    <w:name w:val="Box Space"/>
    <w:basedOn w:val="BodyText"/>
    <w:rsid w:val="00CA6A7B"/>
    <w:pPr>
      <w:keepNext/>
      <w:spacing w:before="360" w:line="80" w:lineRule="exact"/>
      <w:jc w:val="left"/>
    </w:pPr>
  </w:style>
  <w:style w:type="character" w:customStyle="1" w:styleId="BoxChar">
    <w:name w:val="Box Char"/>
    <w:basedOn w:val="BodyTextChar"/>
    <w:rsid w:val="00CA6A7B"/>
    <w:rPr>
      <w:rFonts w:ascii="Arial" w:hAnsi="Arial"/>
      <w:noProof w:val="0"/>
      <w:sz w:val="22"/>
      <w:lang w:val="en-AU" w:eastAsia="en-AU" w:bidi="ar-SA"/>
    </w:rPr>
  </w:style>
  <w:style w:type="table" w:styleId="TableGrid">
    <w:name w:val="Table Grid"/>
    <w:basedOn w:val="TableNormal"/>
    <w:rsid w:val="00F813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tmainheading">
    <w:name w:val="chart_main_heading"/>
    <w:basedOn w:val="Normal"/>
    <w:rsid w:val="00AC397F"/>
    <w:pPr>
      <w:spacing w:before="480" w:line="255" w:lineRule="atLeast"/>
      <w:jc w:val="center"/>
    </w:pPr>
    <w:rPr>
      <w:b/>
      <w:bCs/>
      <w:color w:val="003366"/>
    </w:rPr>
  </w:style>
  <w:style w:type="paragraph" w:customStyle="1" w:styleId="chartgraphic">
    <w:name w:val="chart_graphic"/>
    <w:basedOn w:val="Normal"/>
    <w:rsid w:val="00AC397F"/>
    <w:pPr>
      <w:spacing w:before="180" w:after="180" w:line="255" w:lineRule="atLeast"/>
      <w:jc w:val="center"/>
    </w:pPr>
  </w:style>
  <w:style w:type="character" w:customStyle="1" w:styleId="FootnoteTextChar">
    <w:name w:val="Footnote Text Char"/>
    <w:basedOn w:val="DefaultParagraphFont"/>
    <w:link w:val="FootnoteText"/>
    <w:rsid w:val="00AC397F"/>
  </w:style>
  <w:style w:type="character" w:styleId="Hyperlink">
    <w:name w:val="Hyperlink"/>
    <w:basedOn w:val="DefaultParagraphFont"/>
    <w:uiPriority w:val="99"/>
    <w:unhideWhenUsed/>
    <w:rsid w:val="00F54C4D"/>
    <w:rPr>
      <w:strike w:val="0"/>
      <w:dstrike w:val="0"/>
      <w:color w:val="2D4E8B"/>
      <w:u w:val="none"/>
      <w:effect w:val="none"/>
    </w:rPr>
  </w:style>
  <w:style w:type="paragraph" w:styleId="Revision">
    <w:name w:val="Revision"/>
    <w:hidden/>
    <w:uiPriority w:val="99"/>
    <w:semiHidden/>
    <w:rsid w:val="00467A99"/>
    <w:rPr>
      <w:sz w:val="26"/>
      <w:szCs w:val="24"/>
    </w:rPr>
  </w:style>
  <w:style w:type="paragraph" w:customStyle="1" w:styleId="Figurespace">
    <w:name w:val="Figure space"/>
    <w:basedOn w:val="Box"/>
    <w:rsid w:val="00F813CD"/>
    <w:pPr>
      <w:spacing w:before="0" w:line="120" w:lineRule="exact"/>
    </w:pPr>
  </w:style>
  <w:style w:type="character" w:customStyle="1" w:styleId="citation">
    <w:name w:val="citation"/>
    <w:basedOn w:val="DefaultParagraphFont"/>
    <w:rsid w:val="009E4570"/>
  </w:style>
  <w:style w:type="character" w:styleId="PlaceholderText">
    <w:name w:val="Placeholder Text"/>
    <w:basedOn w:val="DefaultParagraphFont"/>
    <w:uiPriority w:val="99"/>
    <w:semiHidden/>
    <w:rsid w:val="008463DE"/>
    <w:rPr>
      <w:color w:val="808080"/>
    </w:rPr>
  </w:style>
  <w:style w:type="paragraph" w:customStyle="1" w:styleId="KeyPointsListBullet">
    <w:name w:val="Key Points List Bullet"/>
    <w:basedOn w:val="Normal"/>
    <w:qFormat/>
    <w:rsid w:val="00F813CD"/>
    <w:pPr>
      <w:keepNext/>
      <w:numPr>
        <w:numId w:val="27"/>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F813CD"/>
    <w:pPr>
      <w:numPr>
        <w:numId w:val="28"/>
      </w:numPr>
      <w:ind w:left="568" w:hanging="284"/>
    </w:pPr>
  </w:style>
  <w:style w:type="paragraph" w:customStyle="1" w:styleId="InformationRequestTitle">
    <w:name w:val="Information Request Title"/>
    <w:basedOn w:val="FindingTitle"/>
    <w:next w:val="InformationRequest"/>
    <w:rsid w:val="00F813CD"/>
    <w:rPr>
      <w:i/>
    </w:rPr>
  </w:style>
  <w:style w:type="paragraph" w:customStyle="1" w:styleId="Space">
    <w:name w:val="Space"/>
    <w:basedOn w:val="Normal"/>
    <w:rsid w:val="00F813CD"/>
    <w:pPr>
      <w:keepNext/>
      <w:spacing w:line="120" w:lineRule="exact"/>
      <w:jc w:val="both"/>
    </w:pPr>
    <w:rPr>
      <w:rFonts w:ascii="Arial" w:hAnsi="Arial"/>
      <w:sz w:val="20"/>
      <w:szCs w:val="20"/>
    </w:rPr>
  </w:style>
  <w:style w:type="paragraph" w:customStyle="1" w:styleId="Heading1nochapterno">
    <w:name w:val="Heading 1 (no chapter no.)"/>
    <w:basedOn w:val="Heading1"/>
    <w:rsid w:val="00F813CD"/>
    <w:pPr>
      <w:spacing w:before="0"/>
      <w:ind w:left="0" w:firstLine="0"/>
    </w:pPr>
  </w:style>
  <w:style w:type="paragraph" w:customStyle="1" w:styleId="Heading2nosectionno">
    <w:name w:val="Heading 2 (no section no.)"/>
    <w:basedOn w:val="Heading2"/>
    <w:rsid w:val="00F813CD"/>
    <w:pPr>
      <w:ind w:left="0" w:firstLine="0"/>
    </w:pPr>
  </w:style>
  <w:style w:type="character" w:customStyle="1" w:styleId="Heading5Char">
    <w:name w:val="Heading 5 Char"/>
    <w:basedOn w:val="DefaultParagraphFont"/>
    <w:link w:val="Heading5"/>
    <w:rsid w:val="00F813CD"/>
    <w:rPr>
      <w:rFonts w:ascii="Arial" w:hAnsi="Arial"/>
      <w:i/>
      <w:sz w:val="22"/>
    </w:rPr>
  </w:style>
  <w:style w:type="paragraph" w:customStyle="1" w:styleId="FooterDraftReport">
    <w:name w:val="FooterDraftReport"/>
    <w:basedOn w:val="Footer"/>
    <w:link w:val="FooterDraftReportChar"/>
    <w:rsid w:val="00F813CD"/>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FooterChar">
    <w:name w:val="Footer Char"/>
    <w:basedOn w:val="BodyTextChar"/>
    <w:link w:val="Footer"/>
    <w:rsid w:val="00F813CD"/>
    <w:rPr>
      <w:rFonts w:ascii="Arial" w:hAnsi="Arial"/>
      <w:caps/>
      <w:spacing w:val="-4"/>
      <w:sz w:val="16"/>
    </w:rPr>
  </w:style>
  <w:style w:type="character" w:customStyle="1" w:styleId="FooterDraftReportChar">
    <w:name w:val="FooterDraftReport Char"/>
    <w:basedOn w:val="FooterChar"/>
    <w:link w:val="FooterDraftReport"/>
    <w:rsid w:val="00F813CD"/>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character" w:customStyle="1" w:styleId="TOC1Char">
    <w:name w:val="TOC 1 Char"/>
    <w:basedOn w:val="DefaultParagraphFont"/>
    <w:link w:val="TOC1"/>
    <w:rsid w:val="00F813CD"/>
    <w:rPr>
      <w:rFonts w:ascii="Arial" w:hAnsi="Arial"/>
      <w:b/>
      <w:sz w:val="26"/>
      <w:szCs w:val="26"/>
      <w:lang w:eastAsia="en-US"/>
    </w:rPr>
  </w:style>
  <w:style w:type="paragraph" w:customStyle="1" w:styleId="Copyrightheading">
    <w:name w:val="Copyright heading"/>
    <w:basedOn w:val="TOC1"/>
    <w:link w:val="CopyrightheadingChar"/>
    <w:qFormat/>
    <w:rsid w:val="00AB2F41"/>
    <w:pPr>
      <w:spacing w:line="300" w:lineRule="exact"/>
    </w:pPr>
    <w:rPr>
      <w:sz w:val="22"/>
    </w:rPr>
  </w:style>
  <w:style w:type="character" w:customStyle="1" w:styleId="CopyrightheadingChar">
    <w:name w:val="Copyright heading Char"/>
    <w:basedOn w:val="TOC1Char"/>
    <w:link w:val="Copyrightheading"/>
    <w:rsid w:val="00AB2F41"/>
    <w:rPr>
      <w:rFonts w:ascii="Arial" w:hAnsi="Arial"/>
      <w:b/>
      <w:sz w:val="22"/>
      <w:szCs w:val="26"/>
      <w:lang w:eastAsia="en-US"/>
    </w:rPr>
  </w:style>
  <w:style w:type="paragraph" w:customStyle="1" w:styleId="Copyrightsubtitle">
    <w:name w:val="Copyright subtitle"/>
    <w:basedOn w:val="BodyText"/>
    <w:rsid w:val="00AB2F41"/>
    <w:rPr>
      <w:rFonts w:ascii="Arial" w:hAnsi="Arial"/>
      <w:b/>
      <w:sz w:val="22"/>
      <w:szCs w:val="25"/>
    </w:rPr>
  </w:style>
  <w:style w:type="paragraph" w:customStyle="1" w:styleId="Copyrightbodytext">
    <w:name w:val="Copyright bodytext"/>
    <w:basedOn w:val="BodyText"/>
    <w:link w:val="CopyrightbodytextChar"/>
    <w:qFormat/>
    <w:rsid w:val="00AB2F41"/>
    <w:pPr>
      <w:spacing w:before="60"/>
    </w:pPr>
  </w:style>
  <w:style w:type="character" w:customStyle="1" w:styleId="CopyrightbodytextChar">
    <w:name w:val="Copyright bodytext Char"/>
    <w:basedOn w:val="BodyTextChar"/>
    <w:link w:val="Copyrightbodytext"/>
    <w:rsid w:val="00AB2F4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6018386">
      <w:bodyDiv w:val="1"/>
      <w:marLeft w:val="0"/>
      <w:marRight w:val="0"/>
      <w:marTop w:val="0"/>
      <w:marBottom w:val="0"/>
      <w:divBdr>
        <w:top w:val="none" w:sz="0" w:space="0" w:color="auto"/>
        <w:left w:val="none" w:sz="0" w:space="0" w:color="auto"/>
        <w:bottom w:val="none" w:sz="0" w:space="0" w:color="auto"/>
        <w:right w:val="none" w:sz="0" w:space="0" w:color="auto"/>
      </w:divBdr>
      <w:divsChild>
        <w:div w:id="1497725493">
          <w:marLeft w:val="3075"/>
          <w:marRight w:val="0"/>
          <w:marTop w:val="0"/>
          <w:marBottom w:val="0"/>
          <w:divBdr>
            <w:top w:val="single" w:sz="6" w:space="4" w:color="CCCCCC"/>
            <w:left w:val="single" w:sz="6" w:space="15" w:color="CCCCCC"/>
            <w:bottom w:val="single" w:sz="6" w:space="4" w:color="CCCCCC"/>
            <w:right w:val="single" w:sz="6" w:space="15" w:color="CCCCCC"/>
          </w:divBdr>
        </w:div>
      </w:divsChild>
    </w:div>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pc.gov.au" TargetMode="External"/><Relationship Id="rId17" Type="http://schemas.openxmlformats.org/officeDocument/2006/relationships/image" Target="media/image7.emf"/><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tsanhonour.gov.au/coat-arms/index.cf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emf"/><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2010\chapte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3ED086-E9E5-456B-A007-8714D0700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chapter.dotm</Template>
  <TotalTime>0</TotalTime>
  <Pages>23</Pages>
  <Words>7707</Words>
  <Characters>42580</Characters>
  <Application>Microsoft Office Word</Application>
  <DocSecurity>4</DocSecurity>
  <Lines>724</Lines>
  <Paragraphs>201</Paragraphs>
  <ScaleCrop>false</ScaleCrop>
  <HeadingPairs>
    <vt:vector size="2" baseType="variant">
      <vt:variant>
        <vt:lpstr>Title</vt:lpstr>
      </vt:variant>
      <vt:variant>
        <vt:i4>1</vt:i4>
      </vt:variant>
    </vt:vector>
  </HeadingPairs>
  <TitlesOfParts>
    <vt:vector size="1" baseType="lpstr">
      <vt:lpstr>Concepts and measurement</vt:lpstr>
    </vt:vector>
  </TitlesOfParts>
  <Company>Productivity Commission</Company>
  <LinksUpToDate>false</LinksUpToDate>
  <CharactersWithSpaces>50216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Concepts and measurement</dc:title>
  <dc:subject>On productivity</dc:subject>
  <dc:creator>Productivity Commission</dc:creator>
  <dc:description>1.</dc:description>
  <cp:lastModifiedBy>Productivity Commission</cp:lastModifiedBy>
  <cp:revision>2</cp:revision>
  <cp:lastPrinted>2015-02-11T01:08:00Z</cp:lastPrinted>
  <dcterms:created xsi:type="dcterms:W3CDTF">2015-02-24T04:47:00Z</dcterms:created>
  <dcterms:modified xsi:type="dcterms:W3CDTF">2015-02-24T04:47:00Z</dcterms:modified>
</cp:coreProperties>
</file>