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D19" w:rsidRDefault="006B4739" w:rsidP="00CD5E6B">
      <w:pPr>
        <w:pStyle w:val="BodyText"/>
        <w:rPr>
          <w:b/>
          <w:szCs w:val="26"/>
        </w:rPr>
      </w:pPr>
      <w:r>
        <w:rPr>
          <w:noProof/>
          <w:lang w:eastAsia="en-AU"/>
        </w:rPr>
        <w:drawing>
          <wp:anchor distT="0" distB="0" distL="114300" distR="114300" simplePos="0" relativeHeight="251658240" behindDoc="0" locked="0" layoutInCell="1" allowOverlap="1">
            <wp:simplePos x="1151792" y="1055077"/>
            <wp:positionH relativeFrom="page">
              <wp:align>center</wp:align>
            </wp:positionH>
            <wp:positionV relativeFrom="page">
              <wp:align>bottom</wp:align>
            </wp:positionV>
            <wp:extent cx="7560000" cy="9975600"/>
            <wp:effectExtent l="0" t="0" r="3175" b="6985"/>
            <wp:wrapNone/>
            <wp:docPr id="1" name="Picture 1" descr="Cover for the Australian Government Productivity Commission Staff Working Paper titled 'Deep and Persistent Disadvantage in Australia'. By Rosalie McLachlan, Geoff Gilfillan and Jenny Gordon.&#10;&#10;The views expressed in this paper are those of the staff involved and do not necessarily reflect the views of the Productivity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b-cover-swp-disadvantag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60000" cy="9975600"/>
                    </a:xfrm>
                    <a:prstGeom prst="rect">
                      <a:avLst/>
                    </a:prstGeom>
                  </pic:spPr>
                </pic:pic>
              </a:graphicData>
            </a:graphic>
            <wp14:sizeRelH relativeFrom="margin">
              <wp14:pctWidth>0</wp14:pctWidth>
            </wp14:sizeRelH>
            <wp14:sizeRelV relativeFrom="margin">
              <wp14:pctHeight>0</wp14:pctHeight>
            </wp14:sizeRelV>
          </wp:anchor>
        </w:drawing>
      </w:r>
      <w:r w:rsidR="00B04D19">
        <w:br w:type="page"/>
      </w:r>
      <w:bookmarkStart w:id="0" w:name="_GoBack"/>
      <w:bookmarkEnd w:id="0"/>
    </w:p>
    <w:p w:rsidR="003E7802" w:rsidRDefault="003E7802" w:rsidP="001D4B1F">
      <w:pPr>
        <w:pStyle w:val="TOC1"/>
      </w:pPr>
      <w:r w:rsidRPr="008C305F">
        <w:lastRenderedPageBreak/>
        <w:fldChar w:fldCharType="begin"/>
      </w:r>
      <w:r w:rsidRPr="008C305F">
        <w:instrText>SYMBOL 227 \f "Symbol"</w:instrText>
      </w:r>
      <w:r w:rsidRPr="008C305F">
        <w:fldChar w:fldCharType="end"/>
      </w:r>
      <w:r w:rsidRPr="008C305F">
        <w:t xml:space="preserve"> Commonwealth of Australia </w:t>
      </w:r>
      <w:r w:rsidR="00766DFB">
        <w:t>2013</w:t>
      </w:r>
    </w:p>
    <w:p w:rsidR="00381859" w:rsidRPr="00381859" w:rsidRDefault="00381859" w:rsidP="00F4234E">
      <w:pPr>
        <w:pStyle w:val="BodyText"/>
        <w:rPr>
          <w:b/>
          <w:sz w:val="24"/>
        </w:rPr>
      </w:pPr>
      <w:bookmarkStart w:id="1" w:name="ISSN"/>
      <w:bookmarkEnd w:id="1"/>
      <w:r>
        <w:rPr>
          <w:b/>
          <w:sz w:val="24"/>
        </w:rPr>
        <w:t>ISBN</w:t>
      </w:r>
      <w:r>
        <w:rPr>
          <w:b/>
          <w:sz w:val="24"/>
        </w:rPr>
        <w:tab/>
      </w:r>
      <w:r>
        <w:rPr>
          <w:b/>
          <w:sz w:val="24"/>
        </w:rPr>
        <w:tab/>
      </w:r>
      <w:r w:rsidRPr="00381859">
        <w:rPr>
          <w:b/>
          <w:sz w:val="24"/>
        </w:rPr>
        <w:t>978-1-74037-445-3</w:t>
      </w:r>
    </w:p>
    <w:p w:rsidR="003E7802" w:rsidRPr="00F4234E" w:rsidRDefault="003E7802" w:rsidP="00F4234E">
      <w:pPr>
        <w:pStyle w:val="BodyText"/>
      </w:pPr>
      <w:r w:rsidRPr="00F4234E">
        <w:t>This work is copyright. Apart from any use as permitted under the</w:t>
      </w:r>
      <w:r w:rsidR="00766DFB">
        <w:rPr>
          <w:i/>
        </w:rPr>
        <w:t xml:space="preserve"> Copyright Act </w:t>
      </w:r>
      <w:r w:rsidRPr="00F4234E">
        <w:rPr>
          <w:i/>
        </w:rPr>
        <w:t>1968</w:t>
      </w:r>
      <w:r w:rsidRPr="00F4234E">
        <w:t xml:space="preserve">, the work may be reproduced in whole or in part for study or training purposes, subject to the inclusion of an acknowledgment of the source. Reproduction for commercial use or sale requires prior written permission from the </w:t>
      </w:r>
      <w:r w:rsidR="009B12EF" w:rsidRPr="00F4234E">
        <w:t>Productivity Commission</w:t>
      </w:r>
      <w:r w:rsidRPr="00F4234E">
        <w:t xml:space="preserve">. Requests and inquiries concerning reproduction and rights should be addressed to </w:t>
      </w:r>
      <w:r w:rsidR="009B12EF" w:rsidRPr="00F4234E">
        <w:t>Media and Publications (see below)</w:t>
      </w:r>
      <w:r w:rsidR="00734127" w:rsidRPr="00F4234E">
        <w:t>.</w:t>
      </w:r>
    </w:p>
    <w:p w:rsidR="003E7802" w:rsidRPr="00F4234E" w:rsidRDefault="003E7802" w:rsidP="00F4234E">
      <w:pPr>
        <w:pStyle w:val="BodyText"/>
        <w:rPr>
          <w:i/>
        </w:rPr>
      </w:pPr>
      <w:r w:rsidRPr="00F4234E">
        <w:rPr>
          <w:i/>
        </w:rPr>
        <w:t>This publication is available from the Productivity Commission website at www.pc.gov.au. If you require part or all of this publication in a different format, please contact Me</w:t>
      </w:r>
      <w:r w:rsidR="00734127" w:rsidRPr="00F4234E">
        <w:rPr>
          <w:i/>
        </w:rPr>
        <w:t>dia and Publications.</w:t>
      </w:r>
    </w:p>
    <w:p w:rsidR="003E7802" w:rsidRDefault="00E17450" w:rsidP="003E7802">
      <w:pPr>
        <w:pStyle w:val="BodyText"/>
        <w:spacing w:before="320"/>
        <w:rPr>
          <w:b/>
          <w:sz w:val="24"/>
        </w:rPr>
      </w:pPr>
      <w:r>
        <w:rPr>
          <w:b/>
          <w:sz w:val="24"/>
        </w:rPr>
        <w:t>Publications e</w:t>
      </w:r>
      <w:r w:rsidR="003E7802">
        <w:rPr>
          <w:b/>
          <w:sz w:val="24"/>
        </w:rPr>
        <w:t>nquiries:</w:t>
      </w:r>
    </w:p>
    <w:p w:rsidR="003E7802" w:rsidRDefault="003E7802" w:rsidP="003E7802">
      <w:pPr>
        <w:pStyle w:val="BodyText"/>
        <w:spacing w:before="0" w:line="240" w:lineRule="auto"/>
        <w:rPr>
          <w:sz w:val="24"/>
        </w:rPr>
      </w:pPr>
      <w:r>
        <w:rPr>
          <w:sz w:val="24"/>
        </w:rPr>
        <w:t xml:space="preserve">Media and </w:t>
      </w:r>
      <w:r w:rsidRPr="00FD4728">
        <w:rPr>
          <w:snapToGrid w:val="0"/>
          <w:sz w:val="24"/>
        </w:rPr>
        <w:t>Publications</w:t>
      </w:r>
    </w:p>
    <w:p w:rsidR="003E7802" w:rsidRDefault="003E7802" w:rsidP="003E7802">
      <w:pPr>
        <w:pStyle w:val="BodyText"/>
        <w:spacing w:before="0" w:line="240" w:lineRule="auto"/>
        <w:rPr>
          <w:sz w:val="24"/>
        </w:rPr>
      </w:pPr>
      <w:r>
        <w:rPr>
          <w:sz w:val="24"/>
        </w:rPr>
        <w:t xml:space="preserve">Productivity </w:t>
      </w:r>
      <w:r w:rsidRPr="00FD4728">
        <w:rPr>
          <w:snapToGrid w:val="0"/>
          <w:sz w:val="24"/>
        </w:rPr>
        <w:t>Commission</w:t>
      </w:r>
    </w:p>
    <w:p w:rsidR="003E7802" w:rsidRDefault="003E7802" w:rsidP="003E7802">
      <w:pPr>
        <w:pStyle w:val="BodyText"/>
        <w:spacing w:before="0" w:line="240" w:lineRule="auto"/>
        <w:rPr>
          <w:sz w:val="24"/>
        </w:rPr>
      </w:pPr>
      <w:r>
        <w:rPr>
          <w:sz w:val="24"/>
        </w:rPr>
        <w:t xml:space="preserve">Locked Bag </w:t>
      </w:r>
      <w:smartTag w:uri="urn:schemas-microsoft-com:office:smarttags" w:element="Street">
        <w:smartTag w:uri="urn:schemas-microsoft-com:office:smarttags" w:element="address">
          <w:r>
            <w:rPr>
              <w:sz w:val="24"/>
            </w:rPr>
            <w:t xml:space="preserve">2 Collins </w:t>
          </w:r>
          <w:r w:rsidRPr="00FD4728">
            <w:rPr>
              <w:snapToGrid w:val="0"/>
              <w:sz w:val="24"/>
            </w:rPr>
            <w:t>Street</w:t>
          </w:r>
          <w:r>
            <w:rPr>
              <w:sz w:val="24"/>
            </w:rPr>
            <w:t xml:space="preserve"> East</w:t>
          </w:r>
        </w:smartTag>
      </w:smartTag>
    </w:p>
    <w:p w:rsidR="003E7802" w:rsidRDefault="003E7802" w:rsidP="003E7802">
      <w:pPr>
        <w:pStyle w:val="BodyText"/>
        <w:spacing w:before="0" w:after="120" w:line="240" w:lineRule="auto"/>
        <w:rPr>
          <w:sz w:val="24"/>
        </w:rPr>
      </w:pPr>
      <w:smartTag w:uri="urn:schemas-microsoft-com:office:smarttags" w:element="City">
        <w:smartTag w:uri="urn:schemas-microsoft-com:office:smarttags" w:element="place">
          <w:r>
            <w:rPr>
              <w:sz w:val="24"/>
            </w:rPr>
            <w:t>Melbourne</w:t>
          </w:r>
        </w:smartTag>
      </w:smartTag>
      <w:r>
        <w:rPr>
          <w:sz w:val="24"/>
        </w:rPr>
        <w:t xml:space="preserve">    VIC    </w:t>
      </w:r>
      <w:r w:rsidRPr="00FD4728">
        <w:rPr>
          <w:snapToGrid w:val="0"/>
          <w:sz w:val="24"/>
        </w:rPr>
        <w:t>8003</w:t>
      </w:r>
    </w:p>
    <w:p w:rsidR="003E7802" w:rsidRPr="00FD4728" w:rsidRDefault="003E7802" w:rsidP="003E7802">
      <w:pPr>
        <w:pStyle w:val="BodyText"/>
        <w:tabs>
          <w:tab w:val="left" w:pos="1134"/>
        </w:tabs>
        <w:spacing w:before="0" w:line="240" w:lineRule="auto"/>
        <w:rPr>
          <w:sz w:val="24"/>
          <w:szCs w:val="24"/>
        </w:rPr>
      </w:pPr>
      <w:r w:rsidRPr="00FD4728">
        <w:rPr>
          <w:sz w:val="24"/>
          <w:szCs w:val="24"/>
        </w:rPr>
        <w:t>Tel:</w:t>
      </w:r>
      <w:r w:rsidRPr="00FD4728">
        <w:rPr>
          <w:sz w:val="24"/>
          <w:szCs w:val="24"/>
        </w:rPr>
        <w:tab/>
        <w:t>(03) 9653 2244</w:t>
      </w:r>
    </w:p>
    <w:p w:rsidR="003E7802" w:rsidRDefault="003E7802" w:rsidP="003E7802">
      <w:pPr>
        <w:pStyle w:val="BodyText"/>
        <w:tabs>
          <w:tab w:val="left" w:pos="1134"/>
        </w:tabs>
        <w:spacing w:before="0" w:line="240" w:lineRule="auto"/>
        <w:jc w:val="left"/>
      </w:pPr>
      <w:r w:rsidRPr="00FD4728">
        <w:rPr>
          <w:sz w:val="24"/>
          <w:szCs w:val="24"/>
        </w:rPr>
        <w:t>Fax:</w:t>
      </w:r>
      <w:r w:rsidRPr="00FD4728">
        <w:rPr>
          <w:sz w:val="24"/>
          <w:szCs w:val="24"/>
        </w:rPr>
        <w:tab/>
        <w:t>(03) 9653 2303</w:t>
      </w:r>
      <w:r w:rsidRPr="00FD4728">
        <w:rPr>
          <w:sz w:val="24"/>
          <w:szCs w:val="24"/>
        </w:rPr>
        <w:br/>
      </w:r>
      <w:r w:rsidRPr="008F04C9">
        <w:rPr>
          <w:sz w:val="24"/>
          <w:szCs w:val="24"/>
        </w:rPr>
        <w:t>Email:</w:t>
      </w:r>
      <w:r w:rsidRPr="008F04C9">
        <w:rPr>
          <w:sz w:val="24"/>
          <w:szCs w:val="24"/>
        </w:rPr>
        <w:tab/>
      </w:r>
      <w:proofErr w:type="spellStart"/>
      <w:r w:rsidRPr="008F04C9">
        <w:rPr>
          <w:sz w:val="24"/>
          <w:szCs w:val="24"/>
        </w:rPr>
        <w:t>maps@pc.gov.au</w:t>
      </w:r>
      <w:proofErr w:type="spellEnd"/>
    </w:p>
    <w:p w:rsidR="003E7802" w:rsidRDefault="003E7802" w:rsidP="003E7802">
      <w:pPr>
        <w:pStyle w:val="BodyText"/>
        <w:spacing w:before="320"/>
        <w:rPr>
          <w:b/>
          <w:sz w:val="24"/>
        </w:rPr>
      </w:pPr>
      <w:r>
        <w:rPr>
          <w:b/>
          <w:sz w:val="24"/>
        </w:rPr>
        <w:t xml:space="preserve">General </w:t>
      </w:r>
      <w:r w:rsidR="00E17450">
        <w:rPr>
          <w:b/>
          <w:sz w:val="24"/>
        </w:rPr>
        <w:t>e</w:t>
      </w:r>
      <w:r>
        <w:rPr>
          <w:b/>
          <w:sz w:val="24"/>
        </w:rPr>
        <w:t>nquiries:</w:t>
      </w:r>
    </w:p>
    <w:p w:rsidR="003E7802" w:rsidRPr="008F04C9" w:rsidRDefault="003E7802" w:rsidP="003E7802">
      <w:pPr>
        <w:pStyle w:val="BodyText"/>
        <w:tabs>
          <w:tab w:val="left" w:pos="1134"/>
        </w:tabs>
        <w:spacing w:before="0" w:line="240" w:lineRule="auto"/>
        <w:rPr>
          <w:sz w:val="24"/>
          <w:szCs w:val="24"/>
        </w:rPr>
      </w:pPr>
      <w:r w:rsidRPr="008F04C9">
        <w:rPr>
          <w:sz w:val="24"/>
          <w:szCs w:val="24"/>
        </w:rPr>
        <w:t>Tel:</w:t>
      </w:r>
      <w:r w:rsidRPr="008F04C9">
        <w:rPr>
          <w:sz w:val="24"/>
          <w:szCs w:val="24"/>
        </w:rPr>
        <w:tab/>
        <w:t>(03) 9653 2100 or (02) 6240 3200</w:t>
      </w:r>
    </w:p>
    <w:p w:rsidR="003E7802" w:rsidRPr="008F04C9" w:rsidRDefault="003E7802" w:rsidP="003E7802">
      <w:pPr>
        <w:pStyle w:val="BodyText"/>
        <w:spacing w:before="360" w:line="240" w:lineRule="auto"/>
        <w:rPr>
          <w:b/>
          <w:sz w:val="24"/>
          <w:szCs w:val="24"/>
        </w:rPr>
      </w:pPr>
      <w:r w:rsidRPr="008F04C9">
        <w:rPr>
          <w:b/>
          <w:sz w:val="24"/>
          <w:szCs w:val="24"/>
        </w:rPr>
        <w:t>An appropriate citation for this paper is:</w:t>
      </w:r>
    </w:p>
    <w:p w:rsidR="0070402B" w:rsidRPr="00551FB8" w:rsidRDefault="0070402B" w:rsidP="0070402B">
      <w:pPr>
        <w:pStyle w:val="BodyText"/>
        <w:spacing w:before="160" w:after="120" w:line="240" w:lineRule="auto"/>
        <w:rPr>
          <w:sz w:val="24"/>
          <w:szCs w:val="24"/>
        </w:rPr>
      </w:pPr>
      <w:bookmarkStart w:id="2" w:name="JEL"/>
      <w:bookmarkEnd w:id="2"/>
      <w:r>
        <w:rPr>
          <w:sz w:val="24"/>
          <w:szCs w:val="24"/>
        </w:rPr>
        <w:t xml:space="preserve">McLachlan, R., Gilfillan, G. and Gordon, J. 2013, </w:t>
      </w:r>
      <w:r w:rsidRPr="00CA5BB2">
        <w:rPr>
          <w:i/>
          <w:sz w:val="24"/>
          <w:szCs w:val="24"/>
        </w:rPr>
        <w:t>Deep and Persistent Disadvantage in Australia</w:t>
      </w:r>
      <w:r>
        <w:rPr>
          <w:sz w:val="24"/>
          <w:szCs w:val="24"/>
        </w:rPr>
        <w:t xml:space="preserve">, </w:t>
      </w:r>
      <w:r w:rsidR="00AA4187">
        <w:rPr>
          <w:sz w:val="24"/>
          <w:szCs w:val="24"/>
        </w:rPr>
        <w:t>rev.</w:t>
      </w:r>
      <w:r w:rsidR="00D705BC">
        <w:rPr>
          <w:sz w:val="24"/>
          <w:szCs w:val="24"/>
        </w:rPr>
        <w:t>,</w:t>
      </w:r>
      <w:r w:rsidR="00AA4187">
        <w:rPr>
          <w:sz w:val="24"/>
          <w:szCs w:val="24"/>
        </w:rPr>
        <w:t xml:space="preserve"> </w:t>
      </w:r>
      <w:r>
        <w:rPr>
          <w:sz w:val="24"/>
          <w:szCs w:val="24"/>
        </w:rPr>
        <w:t xml:space="preserve">Productivity Commission Staff Working Paper, Canberra. </w:t>
      </w:r>
    </w:p>
    <w:p w:rsidR="003E7802" w:rsidRPr="00DC75C7" w:rsidRDefault="003E7802" w:rsidP="00F4234E">
      <w:pPr>
        <w:pStyle w:val="PCBoxHeading"/>
      </w:pPr>
      <w:r w:rsidRPr="00DC75C7">
        <w:t>The Productivity Commission</w:t>
      </w:r>
    </w:p>
    <w:p w:rsidR="003E7802" w:rsidRPr="00BB5DCF" w:rsidRDefault="003E7802" w:rsidP="00F4234E">
      <w:pPr>
        <w:pStyle w:val="PCBoxtext"/>
      </w:pPr>
      <w:r w:rsidRPr="00BB5DCF">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rsidR="003E7802" w:rsidRPr="00BB5DCF" w:rsidRDefault="003E7802" w:rsidP="00F4234E">
      <w:pPr>
        <w:pStyle w:val="PCBoxtext"/>
      </w:pPr>
      <w:r w:rsidRPr="00BB5DCF">
        <w:t>The Commission’s independence is underpinned by an Act of Parliament. Its processes and outputs are open to public scrutiny and are driven by concern for the wellbeing of the community as a whole.</w:t>
      </w:r>
    </w:p>
    <w:p w:rsidR="00735FEA" w:rsidRPr="00BB5DCF" w:rsidRDefault="003E7802" w:rsidP="003E7802">
      <w:pPr>
        <w:pStyle w:val="BodyText"/>
        <w:pBdr>
          <w:top w:val="single" w:sz="4" w:space="5" w:color="auto"/>
          <w:left w:val="single" w:sz="4" w:space="8" w:color="auto"/>
          <w:bottom w:val="single" w:sz="4" w:space="14" w:color="auto"/>
          <w:right w:val="single" w:sz="4" w:space="8" w:color="auto"/>
        </w:pBdr>
        <w:spacing w:before="160" w:line="240" w:lineRule="auto"/>
        <w:ind w:left="284" w:right="284"/>
        <w:rPr>
          <w:sz w:val="24"/>
          <w:szCs w:val="24"/>
        </w:rPr>
      </w:pPr>
      <w:r w:rsidRPr="00BB5DCF">
        <w:rPr>
          <w:sz w:val="24"/>
          <w:szCs w:val="24"/>
        </w:rPr>
        <w:t xml:space="preserve">Further information on the Productivity Commission can be obtained from the Commission’s website (www.pc.gov.au) or by contacting Media and Publications on (03) 9653 2244 or email: </w:t>
      </w:r>
      <w:proofErr w:type="spellStart"/>
      <w:r w:rsidRPr="00BB5DCF">
        <w:rPr>
          <w:sz w:val="24"/>
          <w:szCs w:val="24"/>
        </w:rPr>
        <w:t>maps@pc.gov.au</w:t>
      </w:r>
      <w:proofErr w:type="spellEnd"/>
    </w:p>
    <w:p w:rsidR="00735FEA" w:rsidRDefault="00735FEA">
      <w:pPr>
        <w:pStyle w:val="BodyText"/>
        <w:sectPr w:rsidR="00735FEA" w:rsidSect="008F7C50">
          <w:type w:val="oddPage"/>
          <w:pgSz w:w="11907" w:h="16840" w:code="9"/>
          <w:pgMar w:top="1418" w:right="1304" w:bottom="567" w:left="1814" w:header="1701" w:footer="567" w:gutter="0"/>
          <w:pgNumType w:fmt="lowerRoman" w:start="1"/>
          <w:cols w:space="720"/>
          <w:titlePg/>
        </w:sectPr>
      </w:pPr>
      <w:bookmarkStart w:id="3" w:name="cov"/>
      <w:bookmarkEnd w:id="3"/>
    </w:p>
    <w:p w:rsidR="008D1F73" w:rsidRDefault="00735FEA" w:rsidP="008206EE">
      <w:pPr>
        <w:pStyle w:val="Heading1NotTOC"/>
        <w:rPr>
          <w:noProof/>
        </w:rPr>
      </w:pPr>
      <w:bookmarkStart w:id="4" w:name="Contents"/>
      <w:bookmarkEnd w:id="4"/>
      <w:r w:rsidRPr="00B153C3">
        <w:lastRenderedPageBreak/>
        <w:t>Contents</w:t>
      </w:r>
      <w:bookmarkStart w:id="5" w:name="InsertContents"/>
      <w:bookmarkEnd w:id="5"/>
    </w:p>
    <w:p w:rsidR="008D1F73" w:rsidRDefault="008D1F73">
      <w:pPr>
        <w:pStyle w:val="TOC1"/>
        <w:rPr>
          <w:rFonts w:asciiTheme="minorHAnsi" w:eastAsiaTheme="minorEastAsia" w:hAnsiTheme="minorHAnsi" w:cstheme="minorBidi"/>
          <w:b w:val="0"/>
          <w:noProof/>
          <w:sz w:val="22"/>
          <w:szCs w:val="22"/>
          <w:lang w:eastAsia="en-AU"/>
        </w:rPr>
      </w:pPr>
      <w:r>
        <w:rPr>
          <w:noProof/>
        </w:rPr>
        <w:t>Acknowledgments</w:t>
      </w:r>
      <w:r>
        <w:rPr>
          <w:noProof/>
        </w:rPr>
        <w:tab/>
      </w:r>
      <w:r>
        <w:rPr>
          <w:noProof/>
          <w:sz w:val="22"/>
          <w:szCs w:val="22"/>
        </w:rPr>
        <w:t>viii</w:t>
      </w:r>
    </w:p>
    <w:p w:rsidR="008D1F73" w:rsidRDefault="008D1F73">
      <w:pPr>
        <w:pStyle w:val="TOC1"/>
        <w:rPr>
          <w:rFonts w:asciiTheme="minorHAnsi" w:eastAsiaTheme="minorEastAsia" w:hAnsiTheme="minorHAnsi" w:cstheme="minorBidi"/>
          <w:b w:val="0"/>
          <w:noProof/>
          <w:sz w:val="22"/>
          <w:szCs w:val="22"/>
          <w:lang w:eastAsia="en-AU"/>
        </w:rPr>
      </w:pPr>
      <w:r>
        <w:rPr>
          <w:noProof/>
        </w:rPr>
        <w:t>Abbreviations</w:t>
      </w:r>
      <w:r>
        <w:rPr>
          <w:noProof/>
        </w:rPr>
        <w:tab/>
      </w:r>
      <w:r>
        <w:rPr>
          <w:noProof/>
          <w:sz w:val="22"/>
          <w:szCs w:val="22"/>
        </w:rPr>
        <w:t>ix</w:t>
      </w:r>
    </w:p>
    <w:p w:rsidR="008D1F73" w:rsidRDefault="008D1F73">
      <w:pPr>
        <w:pStyle w:val="TOC1"/>
        <w:rPr>
          <w:rFonts w:asciiTheme="minorHAnsi" w:eastAsiaTheme="minorEastAsia" w:hAnsiTheme="minorHAnsi" w:cstheme="minorBidi"/>
          <w:b w:val="0"/>
          <w:noProof/>
          <w:sz w:val="22"/>
          <w:szCs w:val="22"/>
          <w:lang w:eastAsia="en-AU"/>
        </w:rPr>
      </w:pPr>
      <w:r>
        <w:rPr>
          <w:noProof/>
        </w:rPr>
        <w:t>Ke y points</w:t>
      </w:r>
      <w:r>
        <w:rPr>
          <w:noProof/>
        </w:rPr>
        <w:tab/>
        <w:t>2</w:t>
      </w:r>
    </w:p>
    <w:p w:rsidR="008D1F73" w:rsidRDefault="008D1F73">
      <w:pPr>
        <w:pStyle w:val="TOC1"/>
        <w:rPr>
          <w:rFonts w:asciiTheme="minorHAnsi" w:eastAsiaTheme="minorEastAsia" w:hAnsiTheme="minorHAnsi" w:cstheme="minorBidi"/>
          <w:b w:val="0"/>
          <w:noProof/>
          <w:sz w:val="22"/>
          <w:szCs w:val="22"/>
          <w:lang w:eastAsia="en-AU"/>
        </w:rPr>
      </w:pPr>
      <w:r>
        <w:rPr>
          <w:noProof/>
        </w:rPr>
        <w:t>Overview</w:t>
      </w:r>
      <w:r>
        <w:rPr>
          <w:noProof/>
        </w:rPr>
        <w:tab/>
        <w:t>3</w:t>
      </w:r>
    </w:p>
    <w:p w:rsidR="008D1F73" w:rsidRDefault="008D1F73">
      <w:pPr>
        <w:pStyle w:val="TOC1"/>
        <w:rPr>
          <w:rFonts w:asciiTheme="minorHAnsi" w:eastAsiaTheme="minorEastAsia" w:hAnsiTheme="minorHAnsi" w:cstheme="minorBidi"/>
          <w:b w:val="0"/>
          <w:noProof/>
          <w:sz w:val="22"/>
          <w:szCs w:val="22"/>
          <w:lang w:eastAsia="en-AU"/>
        </w:rPr>
      </w:pPr>
      <w:r>
        <w:rPr>
          <w:noProof/>
        </w:rPr>
        <w:t>1</w:t>
      </w:r>
      <w:r>
        <w:rPr>
          <w:rFonts w:asciiTheme="minorHAnsi" w:eastAsiaTheme="minorEastAsia" w:hAnsiTheme="minorHAnsi" w:cstheme="minorBidi"/>
          <w:b w:val="0"/>
          <w:noProof/>
          <w:sz w:val="22"/>
          <w:szCs w:val="22"/>
          <w:lang w:eastAsia="en-AU"/>
        </w:rPr>
        <w:tab/>
      </w:r>
      <w:r>
        <w:rPr>
          <w:noProof/>
        </w:rPr>
        <w:t>What is this paper about?</w:t>
      </w:r>
      <w:r>
        <w:rPr>
          <w:noProof/>
        </w:rPr>
        <w:tab/>
        <w:t>27</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1.1</w:t>
      </w:r>
      <w:r>
        <w:rPr>
          <w:rFonts w:asciiTheme="minorHAnsi" w:eastAsiaTheme="minorEastAsia" w:hAnsiTheme="minorHAnsi" w:cstheme="minorBidi"/>
          <w:noProof/>
          <w:sz w:val="22"/>
          <w:szCs w:val="22"/>
          <w:lang w:eastAsia="en-AU"/>
        </w:rPr>
        <w:tab/>
      </w:r>
      <w:r>
        <w:rPr>
          <w:noProof/>
        </w:rPr>
        <w:t>Why the policy interest in disadvantage?</w:t>
      </w:r>
      <w:r>
        <w:rPr>
          <w:noProof/>
        </w:rPr>
        <w:tab/>
        <w:t>28</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1.2</w:t>
      </w:r>
      <w:r>
        <w:rPr>
          <w:rFonts w:asciiTheme="minorHAnsi" w:eastAsiaTheme="minorEastAsia" w:hAnsiTheme="minorHAnsi" w:cstheme="minorBidi"/>
          <w:noProof/>
          <w:sz w:val="22"/>
          <w:szCs w:val="22"/>
          <w:lang w:eastAsia="en-AU"/>
        </w:rPr>
        <w:tab/>
      </w:r>
      <w:r>
        <w:rPr>
          <w:noProof/>
        </w:rPr>
        <w:t>The paper structure</w:t>
      </w:r>
      <w:r>
        <w:rPr>
          <w:noProof/>
        </w:rPr>
        <w:tab/>
        <w:t>29</w:t>
      </w:r>
    </w:p>
    <w:p w:rsidR="008D1F73" w:rsidRDefault="008D1F73">
      <w:pPr>
        <w:pStyle w:val="TOC1"/>
        <w:rPr>
          <w:rFonts w:asciiTheme="minorHAnsi" w:eastAsiaTheme="minorEastAsia" w:hAnsiTheme="minorHAnsi" w:cstheme="minorBidi"/>
          <w:b w:val="0"/>
          <w:noProof/>
          <w:sz w:val="22"/>
          <w:szCs w:val="22"/>
          <w:lang w:eastAsia="en-AU"/>
        </w:rPr>
      </w:pPr>
      <w:r>
        <w:rPr>
          <w:noProof/>
        </w:rPr>
        <w:t>2</w:t>
      </w:r>
      <w:r>
        <w:rPr>
          <w:rFonts w:asciiTheme="minorHAnsi" w:eastAsiaTheme="minorEastAsia" w:hAnsiTheme="minorHAnsi" w:cstheme="minorBidi"/>
          <w:b w:val="0"/>
          <w:noProof/>
          <w:sz w:val="22"/>
          <w:szCs w:val="22"/>
          <w:lang w:eastAsia="en-AU"/>
        </w:rPr>
        <w:tab/>
      </w:r>
      <w:r>
        <w:rPr>
          <w:noProof/>
        </w:rPr>
        <w:t>What does it mean to be disadvantaged?</w:t>
      </w:r>
      <w:r>
        <w:rPr>
          <w:noProof/>
        </w:rPr>
        <w:tab/>
        <w:t>31</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2.1</w:t>
      </w:r>
      <w:r>
        <w:rPr>
          <w:rFonts w:asciiTheme="minorHAnsi" w:eastAsiaTheme="minorEastAsia" w:hAnsiTheme="minorHAnsi" w:cstheme="minorBidi"/>
          <w:noProof/>
          <w:sz w:val="22"/>
          <w:szCs w:val="22"/>
          <w:lang w:eastAsia="en-AU"/>
        </w:rPr>
        <w:tab/>
      </w:r>
      <w:r>
        <w:rPr>
          <w:noProof/>
        </w:rPr>
        <w:t>Poverty — the traditional concept of disadvantage</w:t>
      </w:r>
      <w:r>
        <w:rPr>
          <w:noProof/>
        </w:rPr>
        <w:tab/>
        <w:t>32</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2.2</w:t>
      </w:r>
      <w:r>
        <w:rPr>
          <w:rFonts w:asciiTheme="minorHAnsi" w:eastAsiaTheme="minorEastAsia" w:hAnsiTheme="minorHAnsi" w:cstheme="minorBidi"/>
          <w:noProof/>
          <w:sz w:val="22"/>
          <w:szCs w:val="22"/>
          <w:lang w:eastAsia="en-AU"/>
        </w:rPr>
        <w:tab/>
      </w:r>
      <w:r>
        <w:rPr>
          <w:noProof/>
        </w:rPr>
        <w:t>Deprivation</w:t>
      </w:r>
      <w:r>
        <w:rPr>
          <w:noProof/>
        </w:rPr>
        <w:tab/>
        <w:t>38</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2.3</w:t>
      </w:r>
      <w:r>
        <w:rPr>
          <w:rFonts w:asciiTheme="minorHAnsi" w:eastAsiaTheme="minorEastAsia" w:hAnsiTheme="minorHAnsi" w:cstheme="minorBidi"/>
          <w:noProof/>
          <w:sz w:val="22"/>
          <w:szCs w:val="22"/>
          <w:lang w:eastAsia="en-AU"/>
        </w:rPr>
        <w:tab/>
      </w:r>
      <w:r>
        <w:rPr>
          <w:noProof/>
        </w:rPr>
        <w:t>Capability approach</w:t>
      </w:r>
      <w:r>
        <w:rPr>
          <w:noProof/>
        </w:rPr>
        <w:tab/>
        <w:t>42</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2.4</w:t>
      </w:r>
      <w:r>
        <w:rPr>
          <w:rFonts w:asciiTheme="minorHAnsi" w:eastAsiaTheme="minorEastAsia" w:hAnsiTheme="minorHAnsi" w:cstheme="minorBidi"/>
          <w:noProof/>
          <w:sz w:val="22"/>
          <w:szCs w:val="22"/>
          <w:lang w:eastAsia="en-AU"/>
        </w:rPr>
        <w:tab/>
      </w:r>
      <w:r>
        <w:rPr>
          <w:noProof/>
        </w:rPr>
        <w:t>Social exclusion and inclusion</w:t>
      </w:r>
      <w:r>
        <w:rPr>
          <w:noProof/>
        </w:rPr>
        <w:tab/>
        <w:t>46</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2.5</w:t>
      </w:r>
      <w:r>
        <w:rPr>
          <w:rFonts w:asciiTheme="minorHAnsi" w:eastAsiaTheme="minorEastAsia" w:hAnsiTheme="minorHAnsi" w:cstheme="minorBidi"/>
          <w:noProof/>
          <w:sz w:val="22"/>
          <w:szCs w:val="22"/>
          <w:lang w:eastAsia="en-AU"/>
        </w:rPr>
        <w:tab/>
      </w:r>
      <w:r>
        <w:rPr>
          <w:noProof/>
        </w:rPr>
        <w:t>Bringing together measures of income, deprivation, capabilities and social exclusion</w:t>
      </w:r>
      <w:r>
        <w:rPr>
          <w:noProof/>
        </w:rPr>
        <w:tab/>
        <w:t>51</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2.6</w:t>
      </w:r>
      <w:r>
        <w:rPr>
          <w:rFonts w:asciiTheme="minorHAnsi" w:eastAsiaTheme="minorEastAsia" w:hAnsiTheme="minorHAnsi" w:cstheme="minorBidi"/>
          <w:noProof/>
          <w:sz w:val="22"/>
          <w:szCs w:val="22"/>
          <w:lang w:eastAsia="en-AU"/>
        </w:rPr>
        <w:tab/>
      </w:r>
      <w:r>
        <w:rPr>
          <w:noProof/>
        </w:rPr>
        <w:t>The importance of dynamics in understanding disadvantage</w:t>
      </w:r>
      <w:r>
        <w:rPr>
          <w:noProof/>
        </w:rPr>
        <w:tab/>
        <w:t>54</w:t>
      </w:r>
    </w:p>
    <w:p w:rsidR="008D1F73" w:rsidRDefault="008D1F73">
      <w:pPr>
        <w:pStyle w:val="TOC1"/>
        <w:rPr>
          <w:rFonts w:asciiTheme="minorHAnsi" w:eastAsiaTheme="minorEastAsia" w:hAnsiTheme="minorHAnsi" w:cstheme="minorBidi"/>
          <w:b w:val="0"/>
          <w:noProof/>
          <w:sz w:val="22"/>
          <w:szCs w:val="22"/>
          <w:lang w:eastAsia="en-AU"/>
        </w:rPr>
      </w:pPr>
      <w:r>
        <w:rPr>
          <w:noProof/>
        </w:rPr>
        <w:t>3</w:t>
      </w:r>
      <w:r>
        <w:rPr>
          <w:rFonts w:asciiTheme="minorHAnsi" w:eastAsiaTheme="minorEastAsia" w:hAnsiTheme="minorHAnsi" w:cstheme="minorBidi"/>
          <w:b w:val="0"/>
          <w:noProof/>
          <w:sz w:val="22"/>
          <w:szCs w:val="22"/>
          <w:lang w:eastAsia="en-AU"/>
        </w:rPr>
        <w:tab/>
      </w:r>
      <w:r>
        <w:rPr>
          <w:noProof/>
        </w:rPr>
        <w:t>The extent of disadvantage in Australia</w:t>
      </w:r>
      <w:r>
        <w:rPr>
          <w:noProof/>
        </w:rPr>
        <w:tab/>
        <w:t>57</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3.1</w:t>
      </w:r>
      <w:r>
        <w:rPr>
          <w:rFonts w:asciiTheme="minorHAnsi" w:eastAsiaTheme="minorEastAsia" w:hAnsiTheme="minorHAnsi" w:cstheme="minorBidi"/>
          <w:noProof/>
          <w:sz w:val="22"/>
          <w:szCs w:val="22"/>
          <w:lang w:eastAsia="en-AU"/>
        </w:rPr>
        <w:tab/>
      </w:r>
      <w:r>
        <w:rPr>
          <w:noProof/>
        </w:rPr>
        <w:t>Income based measures of disadvantage</w:t>
      </w:r>
      <w:r>
        <w:rPr>
          <w:noProof/>
        </w:rPr>
        <w:tab/>
        <w:t>58</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3.2</w:t>
      </w:r>
      <w:r>
        <w:rPr>
          <w:rFonts w:asciiTheme="minorHAnsi" w:eastAsiaTheme="minorEastAsia" w:hAnsiTheme="minorHAnsi" w:cstheme="minorBidi"/>
          <w:noProof/>
          <w:sz w:val="22"/>
          <w:szCs w:val="22"/>
          <w:lang w:eastAsia="en-AU"/>
        </w:rPr>
        <w:tab/>
      </w:r>
      <w:r>
        <w:rPr>
          <w:noProof/>
        </w:rPr>
        <w:t>Indicators of deprivation</w:t>
      </w:r>
      <w:r>
        <w:rPr>
          <w:noProof/>
        </w:rPr>
        <w:tab/>
        <w:t>69</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3.3</w:t>
      </w:r>
      <w:r>
        <w:rPr>
          <w:rFonts w:asciiTheme="minorHAnsi" w:eastAsiaTheme="minorEastAsia" w:hAnsiTheme="minorHAnsi" w:cstheme="minorBidi"/>
          <w:noProof/>
          <w:sz w:val="22"/>
          <w:szCs w:val="22"/>
          <w:lang w:eastAsia="en-AU"/>
        </w:rPr>
        <w:tab/>
      </w:r>
      <w:r>
        <w:rPr>
          <w:noProof/>
        </w:rPr>
        <w:t>Indicators of social exclusion</w:t>
      </w:r>
      <w:r>
        <w:rPr>
          <w:noProof/>
        </w:rPr>
        <w:tab/>
        <w:t>72</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3.4</w:t>
      </w:r>
      <w:r>
        <w:rPr>
          <w:rFonts w:asciiTheme="minorHAnsi" w:eastAsiaTheme="minorEastAsia" w:hAnsiTheme="minorHAnsi" w:cstheme="minorBidi"/>
          <w:noProof/>
          <w:sz w:val="22"/>
          <w:szCs w:val="22"/>
          <w:lang w:eastAsia="en-AU"/>
        </w:rPr>
        <w:tab/>
      </w:r>
      <w:r>
        <w:rPr>
          <w:noProof/>
        </w:rPr>
        <w:t>Characteristics of Australians most likely to experience disadvantage</w:t>
      </w:r>
      <w:r>
        <w:rPr>
          <w:noProof/>
        </w:rPr>
        <w:tab/>
        <w:t>82</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3.5</w:t>
      </w:r>
      <w:r>
        <w:rPr>
          <w:rFonts w:asciiTheme="minorHAnsi" w:eastAsiaTheme="minorEastAsia" w:hAnsiTheme="minorHAnsi" w:cstheme="minorBidi"/>
          <w:noProof/>
          <w:sz w:val="22"/>
          <w:szCs w:val="22"/>
          <w:lang w:eastAsia="en-AU"/>
        </w:rPr>
        <w:tab/>
      </w:r>
      <w:r>
        <w:rPr>
          <w:noProof/>
        </w:rPr>
        <w:t>Where do people experiencing disadvantage live?</w:t>
      </w:r>
      <w:r>
        <w:rPr>
          <w:noProof/>
        </w:rPr>
        <w:tab/>
        <w:t>86</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3.6</w:t>
      </w:r>
      <w:r>
        <w:rPr>
          <w:rFonts w:asciiTheme="minorHAnsi" w:eastAsiaTheme="minorEastAsia" w:hAnsiTheme="minorHAnsi" w:cstheme="minorBidi"/>
          <w:noProof/>
          <w:sz w:val="22"/>
          <w:szCs w:val="22"/>
          <w:lang w:eastAsia="en-AU"/>
        </w:rPr>
        <w:tab/>
      </w:r>
      <w:r>
        <w:rPr>
          <w:noProof/>
        </w:rPr>
        <w:t>The relative merits of the different measures of disadvantage</w:t>
      </w:r>
      <w:r>
        <w:rPr>
          <w:noProof/>
        </w:rPr>
        <w:tab/>
        <w:t>90</w:t>
      </w:r>
    </w:p>
    <w:p w:rsidR="008D1F73" w:rsidRDefault="008D1F73">
      <w:pPr>
        <w:pStyle w:val="TOC1"/>
        <w:rPr>
          <w:rFonts w:asciiTheme="minorHAnsi" w:eastAsiaTheme="minorEastAsia" w:hAnsiTheme="minorHAnsi" w:cstheme="minorBidi"/>
          <w:b w:val="0"/>
          <w:noProof/>
          <w:sz w:val="22"/>
          <w:szCs w:val="22"/>
          <w:lang w:eastAsia="en-AU"/>
        </w:rPr>
      </w:pPr>
      <w:r>
        <w:rPr>
          <w:noProof/>
        </w:rPr>
        <w:t>4</w:t>
      </w:r>
      <w:r>
        <w:rPr>
          <w:rFonts w:asciiTheme="minorHAnsi" w:eastAsiaTheme="minorEastAsia" w:hAnsiTheme="minorHAnsi" w:cstheme="minorBidi"/>
          <w:b w:val="0"/>
          <w:noProof/>
          <w:sz w:val="22"/>
          <w:szCs w:val="22"/>
          <w:lang w:eastAsia="en-AU"/>
        </w:rPr>
        <w:tab/>
      </w:r>
      <w:r>
        <w:rPr>
          <w:noProof/>
        </w:rPr>
        <w:t>Factors influencing life chances of experiencing disadvantage</w:t>
      </w:r>
      <w:r>
        <w:rPr>
          <w:noProof/>
        </w:rPr>
        <w:tab/>
        <w:t>93</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4.1</w:t>
      </w:r>
      <w:r>
        <w:rPr>
          <w:rFonts w:asciiTheme="minorHAnsi" w:eastAsiaTheme="minorEastAsia" w:hAnsiTheme="minorHAnsi" w:cstheme="minorBidi"/>
          <w:noProof/>
          <w:sz w:val="22"/>
          <w:szCs w:val="22"/>
          <w:lang w:eastAsia="en-AU"/>
        </w:rPr>
        <w:tab/>
      </w:r>
      <w:r>
        <w:rPr>
          <w:noProof/>
        </w:rPr>
        <w:t>Early experiences and how they can influence life chances</w:t>
      </w:r>
      <w:r>
        <w:rPr>
          <w:noProof/>
        </w:rPr>
        <w:tab/>
        <w:t>98</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4.2</w:t>
      </w:r>
      <w:r>
        <w:rPr>
          <w:rFonts w:asciiTheme="minorHAnsi" w:eastAsiaTheme="minorEastAsia" w:hAnsiTheme="minorHAnsi" w:cstheme="minorBidi"/>
          <w:noProof/>
          <w:sz w:val="22"/>
          <w:szCs w:val="22"/>
          <w:lang w:eastAsia="en-AU"/>
        </w:rPr>
        <w:tab/>
      </w:r>
      <w:r>
        <w:rPr>
          <w:noProof/>
        </w:rPr>
        <w:t>Success at school — education and life chances</w:t>
      </w:r>
      <w:r>
        <w:rPr>
          <w:noProof/>
        </w:rPr>
        <w:tab/>
        <w:t>109</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lastRenderedPageBreak/>
        <w:t>4.3</w:t>
      </w:r>
      <w:r>
        <w:rPr>
          <w:rFonts w:asciiTheme="minorHAnsi" w:eastAsiaTheme="minorEastAsia" w:hAnsiTheme="minorHAnsi" w:cstheme="minorBidi"/>
          <w:noProof/>
          <w:sz w:val="22"/>
          <w:szCs w:val="22"/>
          <w:lang w:eastAsia="en-AU"/>
        </w:rPr>
        <w:tab/>
      </w:r>
      <w:r>
        <w:rPr>
          <w:noProof/>
        </w:rPr>
        <w:t>Beyond school</w:t>
      </w:r>
      <w:r>
        <w:rPr>
          <w:noProof/>
        </w:rPr>
        <w:tab/>
        <w:t>118</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4.4</w:t>
      </w:r>
      <w:r>
        <w:rPr>
          <w:rFonts w:asciiTheme="minorHAnsi" w:eastAsiaTheme="minorEastAsia" w:hAnsiTheme="minorHAnsi" w:cstheme="minorBidi"/>
          <w:noProof/>
          <w:sz w:val="22"/>
          <w:szCs w:val="22"/>
          <w:lang w:eastAsia="en-AU"/>
        </w:rPr>
        <w:tab/>
      </w:r>
      <w:r>
        <w:rPr>
          <w:noProof/>
        </w:rPr>
        <w:t>The importance of employment</w:t>
      </w:r>
      <w:r>
        <w:rPr>
          <w:noProof/>
        </w:rPr>
        <w:tab/>
        <w:t>126</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4.5</w:t>
      </w:r>
      <w:r>
        <w:rPr>
          <w:rFonts w:asciiTheme="minorHAnsi" w:eastAsiaTheme="minorEastAsia" w:hAnsiTheme="minorHAnsi" w:cstheme="minorBidi"/>
          <w:noProof/>
          <w:sz w:val="22"/>
          <w:szCs w:val="22"/>
          <w:lang w:eastAsia="en-AU"/>
        </w:rPr>
        <w:tab/>
      </w:r>
      <w:r>
        <w:rPr>
          <w:noProof/>
        </w:rPr>
        <w:t>Poor health, disability and disadvantage</w:t>
      </w:r>
      <w:r>
        <w:rPr>
          <w:noProof/>
        </w:rPr>
        <w:tab/>
        <w:t>136</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4.6</w:t>
      </w:r>
      <w:r>
        <w:rPr>
          <w:rFonts w:asciiTheme="minorHAnsi" w:eastAsiaTheme="minorEastAsia" w:hAnsiTheme="minorHAnsi" w:cstheme="minorBidi"/>
          <w:noProof/>
          <w:sz w:val="22"/>
          <w:szCs w:val="22"/>
          <w:lang w:eastAsia="en-AU"/>
        </w:rPr>
        <w:tab/>
      </w:r>
      <w:r>
        <w:rPr>
          <w:noProof/>
        </w:rPr>
        <w:t>Relationships and families</w:t>
      </w:r>
      <w:r>
        <w:rPr>
          <w:noProof/>
        </w:rPr>
        <w:tab/>
        <w:t>141</w:t>
      </w:r>
    </w:p>
    <w:p w:rsidR="008D1F73" w:rsidRDefault="008D1F73">
      <w:pPr>
        <w:pStyle w:val="TOC1"/>
        <w:rPr>
          <w:rFonts w:asciiTheme="minorHAnsi" w:eastAsiaTheme="minorEastAsia" w:hAnsiTheme="minorHAnsi" w:cstheme="minorBidi"/>
          <w:b w:val="0"/>
          <w:noProof/>
          <w:sz w:val="22"/>
          <w:szCs w:val="22"/>
          <w:lang w:eastAsia="en-AU"/>
        </w:rPr>
      </w:pPr>
      <w:r>
        <w:rPr>
          <w:noProof/>
        </w:rPr>
        <w:t>5</w:t>
      </w:r>
      <w:r>
        <w:rPr>
          <w:rFonts w:asciiTheme="minorHAnsi" w:eastAsiaTheme="minorEastAsia" w:hAnsiTheme="minorHAnsi" w:cstheme="minorBidi"/>
          <w:b w:val="0"/>
          <w:noProof/>
          <w:sz w:val="22"/>
          <w:szCs w:val="22"/>
          <w:lang w:eastAsia="en-AU"/>
        </w:rPr>
        <w:tab/>
      </w:r>
      <w:r>
        <w:rPr>
          <w:noProof/>
        </w:rPr>
        <w:t>The costs of disadvantage</w:t>
      </w:r>
      <w:r>
        <w:rPr>
          <w:noProof/>
        </w:rPr>
        <w:tab/>
        <w:t>147</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5.1</w:t>
      </w:r>
      <w:r>
        <w:rPr>
          <w:rFonts w:asciiTheme="minorHAnsi" w:eastAsiaTheme="minorEastAsia" w:hAnsiTheme="minorHAnsi" w:cstheme="minorBidi"/>
          <w:noProof/>
          <w:sz w:val="22"/>
          <w:szCs w:val="22"/>
          <w:lang w:eastAsia="en-AU"/>
        </w:rPr>
        <w:tab/>
      </w:r>
      <w:r>
        <w:rPr>
          <w:noProof/>
        </w:rPr>
        <w:t>A broad framework for measuring avoidable costs</w:t>
      </w:r>
      <w:r>
        <w:rPr>
          <w:noProof/>
        </w:rPr>
        <w:tab/>
        <w:t>149</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5.2</w:t>
      </w:r>
      <w:r>
        <w:rPr>
          <w:rFonts w:asciiTheme="minorHAnsi" w:eastAsiaTheme="minorEastAsia" w:hAnsiTheme="minorHAnsi" w:cstheme="minorBidi"/>
          <w:noProof/>
          <w:sz w:val="22"/>
          <w:szCs w:val="22"/>
          <w:lang w:eastAsia="en-AU"/>
        </w:rPr>
        <w:tab/>
      </w:r>
      <w:r>
        <w:rPr>
          <w:noProof/>
        </w:rPr>
        <w:t>Forgone employment income</w:t>
      </w:r>
      <w:r>
        <w:rPr>
          <w:noProof/>
        </w:rPr>
        <w:tab/>
        <w:t>162</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5.3</w:t>
      </w:r>
      <w:r>
        <w:rPr>
          <w:rFonts w:asciiTheme="minorHAnsi" w:eastAsiaTheme="minorEastAsia" w:hAnsiTheme="minorHAnsi" w:cstheme="minorBidi"/>
          <w:noProof/>
          <w:sz w:val="22"/>
          <w:szCs w:val="22"/>
          <w:lang w:eastAsia="en-AU"/>
        </w:rPr>
        <w:tab/>
      </w:r>
      <w:r>
        <w:rPr>
          <w:noProof/>
        </w:rPr>
        <w:t>Expenditure on ‘regrettables’</w:t>
      </w:r>
      <w:r>
        <w:rPr>
          <w:noProof/>
        </w:rPr>
        <w:tab/>
        <w:t>172</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5.4</w:t>
      </w:r>
      <w:r>
        <w:rPr>
          <w:rFonts w:asciiTheme="minorHAnsi" w:eastAsiaTheme="minorEastAsia" w:hAnsiTheme="minorHAnsi" w:cstheme="minorBidi"/>
          <w:noProof/>
          <w:sz w:val="22"/>
          <w:szCs w:val="22"/>
          <w:lang w:eastAsia="en-AU"/>
        </w:rPr>
        <w:tab/>
      </w:r>
      <w:r>
        <w:rPr>
          <w:noProof/>
        </w:rPr>
        <w:t>Quality of life costs</w:t>
      </w:r>
      <w:r>
        <w:rPr>
          <w:noProof/>
        </w:rPr>
        <w:tab/>
        <w:t>175</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5.5</w:t>
      </w:r>
      <w:r>
        <w:rPr>
          <w:rFonts w:asciiTheme="minorHAnsi" w:eastAsiaTheme="minorEastAsia" w:hAnsiTheme="minorHAnsi" w:cstheme="minorBidi"/>
          <w:noProof/>
          <w:sz w:val="22"/>
          <w:szCs w:val="22"/>
          <w:lang w:eastAsia="en-AU"/>
        </w:rPr>
        <w:tab/>
      </w:r>
      <w:r>
        <w:rPr>
          <w:noProof/>
        </w:rPr>
        <w:t>The distribution of costs</w:t>
      </w:r>
      <w:r>
        <w:rPr>
          <w:noProof/>
        </w:rPr>
        <w:tab/>
        <w:t>183</w:t>
      </w:r>
    </w:p>
    <w:p w:rsidR="008D1F73" w:rsidRDefault="008D1F73">
      <w:pPr>
        <w:pStyle w:val="TOC1"/>
        <w:rPr>
          <w:rFonts w:asciiTheme="minorHAnsi" w:eastAsiaTheme="minorEastAsia" w:hAnsiTheme="minorHAnsi" w:cstheme="minorBidi"/>
          <w:b w:val="0"/>
          <w:noProof/>
          <w:sz w:val="22"/>
          <w:szCs w:val="22"/>
          <w:lang w:eastAsia="en-AU"/>
        </w:rPr>
      </w:pPr>
      <w:r>
        <w:rPr>
          <w:noProof/>
        </w:rPr>
        <w:t>6</w:t>
      </w:r>
      <w:r>
        <w:rPr>
          <w:rFonts w:asciiTheme="minorHAnsi" w:eastAsiaTheme="minorEastAsia" w:hAnsiTheme="minorHAnsi" w:cstheme="minorBidi"/>
          <w:b w:val="0"/>
          <w:noProof/>
          <w:sz w:val="22"/>
          <w:szCs w:val="22"/>
          <w:lang w:eastAsia="en-AU"/>
        </w:rPr>
        <w:tab/>
      </w:r>
      <w:r>
        <w:rPr>
          <w:noProof/>
        </w:rPr>
        <w:t>Where to from here? – measurement and data issues</w:t>
      </w:r>
      <w:r>
        <w:rPr>
          <w:noProof/>
        </w:rPr>
        <w:tab/>
        <w:t>187</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6.1</w:t>
      </w:r>
      <w:r>
        <w:rPr>
          <w:rFonts w:asciiTheme="minorHAnsi" w:eastAsiaTheme="minorEastAsia" w:hAnsiTheme="minorHAnsi" w:cstheme="minorBidi"/>
          <w:noProof/>
          <w:sz w:val="22"/>
          <w:szCs w:val="22"/>
          <w:lang w:eastAsia="en-AU"/>
        </w:rPr>
        <w:tab/>
      </w:r>
      <w:r>
        <w:rPr>
          <w:noProof/>
        </w:rPr>
        <w:t>Issues underlying the different measures of disadvantage</w:t>
      </w:r>
      <w:r>
        <w:rPr>
          <w:noProof/>
        </w:rPr>
        <w:tab/>
        <w:t>188</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6.2</w:t>
      </w:r>
      <w:r>
        <w:rPr>
          <w:rFonts w:asciiTheme="minorHAnsi" w:eastAsiaTheme="minorEastAsia" w:hAnsiTheme="minorHAnsi" w:cstheme="minorBidi"/>
          <w:noProof/>
          <w:sz w:val="22"/>
          <w:szCs w:val="22"/>
          <w:lang w:eastAsia="en-AU"/>
        </w:rPr>
        <w:tab/>
      </w:r>
      <w:r>
        <w:rPr>
          <w:noProof/>
        </w:rPr>
        <w:t>Longitudinal data — critical for understanding disadvantage</w:t>
      </w:r>
      <w:r>
        <w:rPr>
          <w:noProof/>
        </w:rPr>
        <w:tab/>
        <w:t>190</w:t>
      </w:r>
    </w:p>
    <w:p w:rsidR="008D1F73" w:rsidRDefault="008D1F73">
      <w:pPr>
        <w:pStyle w:val="TOC2"/>
        <w:tabs>
          <w:tab w:val="left" w:pos="1190"/>
        </w:tabs>
        <w:rPr>
          <w:rFonts w:asciiTheme="minorHAnsi" w:eastAsiaTheme="minorEastAsia" w:hAnsiTheme="minorHAnsi" w:cstheme="minorBidi"/>
          <w:noProof/>
          <w:sz w:val="22"/>
          <w:szCs w:val="22"/>
          <w:lang w:eastAsia="en-AU"/>
        </w:rPr>
      </w:pPr>
      <w:r>
        <w:rPr>
          <w:noProof/>
        </w:rPr>
        <w:t>6.3</w:t>
      </w:r>
      <w:r>
        <w:rPr>
          <w:rFonts w:asciiTheme="minorHAnsi" w:eastAsiaTheme="minorEastAsia" w:hAnsiTheme="minorHAnsi" w:cstheme="minorBidi"/>
          <w:noProof/>
          <w:sz w:val="22"/>
          <w:szCs w:val="22"/>
          <w:lang w:eastAsia="en-AU"/>
        </w:rPr>
        <w:tab/>
      </w:r>
      <w:r>
        <w:rPr>
          <w:noProof/>
        </w:rPr>
        <w:t>Administrative data</w:t>
      </w:r>
      <w:r>
        <w:rPr>
          <w:noProof/>
        </w:rPr>
        <w:tab/>
        <w:t>196</w:t>
      </w:r>
    </w:p>
    <w:p w:rsidR="008D1F73" w:rsidRDefault="008D1F73">
      <w:pPr>
        <w:pStyle w:val="TOC1"/>
        <w:rPr>
          <w:rFonts w:asciiTheme="minorHAnsi" w:eastAsiaTheme="minorEastAsia" w:hAnsiTheme="minorHAnsi" w:cstheme="minorBidi"/>
          <w:b w:val="0"/>
          <w:noProof/>
          <w:sz w:val="22"/>
          <w:szCs w:val="22"/>
          <w:lang w:eastAsia="en-AU"/>
        </w:rPr>
      </w:pPr>
      <w:r>
        <w:rPr>
          <w:noProof/>
        </w:rPr>
        <w:t>A</w:t>
      </w:r>
      <w:r>
        <w:rPr>
          <w:rFonts w:asciiTheme="minorHAnsi" w:eastAsiaTheme="minorEastAsia" w:hAnsiTheme="minorHAnsi" w:cstheme="minorBidi"/>
          <w:b w:val="0"/>
          <w:noProof/>
          <w:sz w:val="22"/>
          <w:szCs w:val="22"/>
          <w:lang w:eastAsia="en-AU"/>
        </w:rPr>
        <w:tab/>
      </w:r>
      <w:r>
        <w:rPr>
          <w:noProof/>
        </w:rPr>
        <w:t>Characteristics of Australians most likely to experience disadvantage</w:t>
      </w:r>
      <w:r>
        <w:rPr>
          <w:noProof/>
        </w:rPr>
        <w:tab/>
        <w:t>203</w:t>
      </w:r>
    </w:p>
    <w:p w:rsidR="008D1F73" w:rsidRDefault="008D1F73">
      <w:pPr>
        <w:pStyle w:val="TOC1"/>
        <w:rPr>
          <w:rFonts w:asciiTheme="minorHAnsi" w:eastAsiaTheme="minorEastAsia" w:hAnsiTheme="minorHAnsi" w:cstheme="minorBidi"/>
          <w:b w:val="0"/>
          <w:noProof/>
          <w:sz w:val="22"/>
          <w:szCs w:val="22"/>
          <w:lang w:eastAsia="en-AU"/>
        </w:rPr>
      </w:pPr>
      <w:r>
        <w:rPr>
          <w:noProof/>
        </w:rPr>
        <w:t>B</w:t>
      </w:r>
      <w:r>
        <w:rPr>
          <w:rFonts w:asciiTheme="minorHAnsi" w:eastAsiaTheme="minorEastAsia" w:hAnsiTheme="minorHAnsi" w:cstheme="minorBidi"/>
          <w:b w:val="0"/>
          <w:noProof/>
          <w:sz w:val="22"/>
          <w:szCs w:val="22"/>
          <w:lang w:eastAsia="en-AU"/>
        </w:rPr>
        <w:tab/>
      </w:r>
      <w:r>
        <w:rPr>
          <w:noProof/>
        </w:rPr>
        <w:t>Strengths and weaknesses of measures of disadvantage used in Australia</w:t>
      </w:r>
      <w:r>
        <w:rPr>
          <w:noProof/>
        </w:rPr>
        <w:tab/>
        <w:t>213</w:t>
      </w:r>
    </w:p>
    <w:p w:rsidR="008D1F73" w:rsidRDefault="008D1F73">
      <w:pPr>
        <w:pStyle w:val="TOC1"/>
        <w:rPr>
          <w:rFonts w:asciiTheme="minorHAnsi" w:eastAsiaTheme="minorEastAsia" w:hAnsiTheme="minorHAnsi" w:cstheme="minorBidi"/>
          <w:b w:val="0"/>
          <w:noProof/>
          <w:sz w:val="22"/>
          <w:szCs w:val="22"/>
          <w:lang w:eastAsia="en-AU"/>
        </w:rPr>
      </w:pPr>
      <w:r>
        <w:rPr>
          <w:noProof/>
        </w:rPr>
        <w:t>References</w:t>
      </w:r>
      <w:r>
        <w:rPr>
          <w:noProof/>
        </w:rPr>
        <w:tab/>
        <w:t>217</w:t>
      </w:r>
    </w:p>
    <w:p w:rsidR="008D1F73" w:rsidRDefault="00D37FEF" w:rsidP="00002E28">
      <w:pPr>
        <w:pStyle w:val="TOC1"/>
        <w:ind w:hanging="594"/>
        <w:rPr>
          <w:noProof/>
        </w:rPr>
      </w:pPr>
      <w:r>
        <w:t>Boxes</w:t>
      </w:r>
    </w:p>
    <w:p w:rsidR="008D1F73" w:rsidRDefault="008D1F73" w:rsidP="008D1F73">
      <w:pPr>
        <w:pStyle w:val="TOC2"/>
        <w:tabs>
          <w:tab w:val="left" w:pos="1540"/>
        </w:tabs>
        <w:ind w:left="1134" w:hanging="624"/>
        <w:rPr>
          <w:rFonts w:asciiTheme="minorHAnsi" w:eastAsiaTheme="minorEastAsia" w:hAnsiTheme="minorHAnsi" w:cstheme="minorBidi"/>
          <w:noProof/>
          <w:sz w:val="22"/>
          <w:szCs w:val="22"/>
          <w:lang w:eastAsia="en-AU"/>
        </w:rPr>
      </w:pPr>
      <w:r w:rsidRPr="00197BD5">
        <w:rPr>
          <w:noProof/>
        </w:rPr>
        <w:t>1</w:t>
      </w:r>
      <w:r>
        <w:rPr>
          <w:rFonts w:asciiTheme="minorHAnsi" w:eastAsiaTheme="minorEastAsia" w:hAnsiTheme="minorHAnsi" w:cstheme="minorBidi"/>
          <w:noProof/>
          <w:sz w:val="22"/>
          <w:szCs w:val="22"/>
          <w:lang w:eastAsia="en-AU"/>
        </w:rPr>
        <w:tab/>
      </w:r>
      <w:r>
        <w:rPr>
          <w:noProof/>
        </w:rPr>
        <w:t>Measuring relative income poverty</w:t>
      </w:r>
      <w:r>
        <w:rPr>
          <w:noProof/>
        </w:rPr>
        <w:tab/>
        <w:t>5</w:t>
      </w:r>
    </w:p>
    <w:p w:rsidR="008D1F73" w:rsidRDefault="008D1F73" w:rsidP="008D1F73">
      <w:pPr>
        <w:pStyle w:val="TOC2"/>
        <w:tabs>
          <w:tab w:val="left" w:pos="1540"/>
        </w:tabs>
        <w:ind w:left="1134" w:hanging="624"/>
        <w:rPr>
          <w:rFonts w:asciiTheme="minorHAnsi" w:eastAsiaTheme="minorEastAsia" w:hAnsiTheme="minorHAnsi" w:cstheme="minorBidi"/>
          <w:noProof/>
          <w:sz w:val="22"/>
          <w:szCs w:val="22"/>
          <w:lang w:eastAsia="en-AU"/>
        </w:rPr>
      </w:pPr>
      <w:r w:rsidRPr="00197BD5">
        <w:rPr>
          <w:noProof/>
        </w:rPr>
        <w:t>2</w:t>
      </w:r>
      <w:r>
        <w:rPr>
          <w:rFonts w:asciiTheme="minorHAnsi" w:eastAsiaTheme="minorEastAsia" w:hAnsiTheme="minorHAnsi" w:cstheme="minorBidi"/>
          <w:noProof/>
          <w:sz w:val="22"/>
          <w:szCs w:val="22"/>
          <w:lang w:eastAsia="en-AU"/>
        </w:rPr>
        <w:tab/>
      </w:r>
      <w:r>
        <w:rPr>
          <w:noProof/>
        </w:rPr>
        <w:t>Social exclusion/inclusion — some definitions</w:t>
      </w:r>
      <w:r>
        <w:rPr>
          <w:noProof/>
        </w:rPr>
        <w:tab/>
        <w:t>7</w:t>
      </w:r>
    </w:p>
    <w:p w:rsidR="008D1F73" w:rsidRDefault="008D1F73" w:rsidP="008D1F73">
      <w:pPr>
        <w:pStyle w:val="TOC2"/>
        <w:tabs>
          <w:tab w:val="left" w:pos="1540"/>
        </w:tabs>
        <w:ind w:left="1134" w:hanging="624"/>
        <w:rPr>
          <w:rFonts w:asciiTheme="minorHAnsi" w:eastAsiaTheme="minorEastAsia" w:hAnsiTheme="minorHAnsi" w:cstheme="minorBidi"/>
          <w:noProof/>
          <w:sz w:val="22"/>
          <w:szCs w:val="22"/>
          <w:lang w:eastAsia="en-AU"/>
        </w:rPr>
      </w:pPr>
      <w:r>
        <w:rPr>
          <w:noProof/>
        </w:rPr>
        <w:t>3</w:t>
      </w:r>
      <w:r>
        <w:rPr>
          <w:rFonts w:asciiTheme="minorHAnsi" w:eastAsiaTheme="minorEastAsia" w:hAnsiTheme="minorHAnsi" w:cstheme="minorBidi"/>
          <w:noProof/>
          <w:sz w:val="22"/>
          <w:szCs w:val="22"/>
          <w:lang w:eastAsia="en-AU"/>
        </w:rPr>
        <w:tab/>
      </w:r>
      <w:r>
        <w:rPr>
          <w:noProof/>
        </w:rPr>
        <w:t>What is meant by marginal, deep, and very deep exclusion?</w:t>
      </w:r>
      <w:r>
        <w:rPr>
          <w:noProof/>
        </w:rPr>
        <w:tab/>
        <w:t>9</w:t>
      </w:r>
    </w:p>
    <w:p w:rsidR="008D1F73" w:rsidRDefault="008D1F73" w:rsidP="008D1F73">
      <w:pPr>
        <w:pStyle w:val="TOC2"/>
        <w:tabs>
          <w:tab w:val="left" w:pos="1760"/>
        </w:tabs>
        <w:ind w:left="1134" w:hanging="624"/>
        <w:rPr>
          <w:rFonts w:asciiTheme="minorHAnsi" w:eastAsiaTheme="minorEastAsia" w:hAnsiTheme="minorHAnsi" w:cstheme="minorBidi"/>
          <w:noProof/>
          <w:sz w:val="22"/>
          <w:szCs w:val="22"/>
          <w:lang w:eastAsia="en-AU"/>
        </w:rPr>
      </w:pPr>
      <w:r w:rsidRPr="00197BD5">
        <w:rPr>
          <w:noProof/>
        </w:rPr>
        <w:t>2.1</w:t>
      </w:r>
      <w:r>
        <w:rPr>
          <w:rFonts w:asciiTheme="minorHAnsi" w:eastAsiaTheme="minorEastAsia" w:hAnsiTheme="minorHAnsi" w:cstheme="minorBidi"/>
          <w:noProof/>
          <w:sz w:val="22"/>
          <w:szCs w:val="22"/>
          <w:lang w:eastAsia="en-AU"/>
        </w:rPr>
        <w:tab/>
      </w:r>
      <w:r>
        <w:rPr>
          <w:noProof/>
        </w:rPr>
        <w:t>Equivalised household income</w:t>
      </w:r>
      <w:r>
        <w:rPr>
          <w:noProof/>
        </w:rPr>
        <w:tab/>
        <w:t>34</w:t>
      </w:r>
    </w:p>
    <w:p w:rsidR="008D1F73" w:rsidRDefault="008D1F73" w:rsidP="008D1F73">
      <w:pPr>
        <w:pStyle w:val="TOC2"/>
        <w:tabs>
          <w:tab w:val="left" w:pos="1760"/>
        </w:tabs>
        <w:ind w:left="1134" w:hanging="624"/>
        <w:rPr>
          <w:rFonts w:asciiTheme="minorHAnsi" w:eastAsiaTheme="minorEastAsia" w:hAnsiTheme="minorHAnsi" w:cstheme="minorBidi"/>
          <w:noProof/>
          <w:sz w:val="22"/>
          <w:szCs w:val="22"/>
          <w:lang w:eastAsia="en-AU"/>
        </w:rPr>
      </w:pPr>
      <w:r w:rsidRPr="00197BD5">
        <w:rPr>
          <w:noProof/>
        </w:rPr>
        <w:t>2.2</w:t>
      </w:r>
      <w:r>
        <w:rPr>
          <w:rFonts w:asciiTheme="minorHAnsi" w:eastAsiaTheme="minorEastAsia" w:hAnsiTheme="minorHAnsi" w:cstheme="minorBidi"/>
          <w:noProof/>
          <w:sz w:val="22"/>
          <w:szCs w:val="22"/>
          <w:lang w:eastAsia="en-AU"/>
        </w:rPr>
        <w:tab/>
      </w:r>
      <w:r>
        <w:rPr>
          <w:noProof/>
        </w:rPr>
        <w:t>Henderson Poverty Line — an early Australian measure of relative poverty</w:t>
      </w:r>
      <w:r>
        <w:rPr>
          <w:noProof/>
        </w:rPr>
        <w:tab/>
        <w:t>35</w:t>
      </w:r>
    </w:p>
    <w:p w:rsidR="008D1F73" w:rsidRDefault="008D1F73" w:rsidP="008D1F73">
      <w:pPr>
        <w:pStyle w:val="TOC2"/>
        <w:tabs>
          <w:tab w:val="left" w:pos="1760"/>
        </w:tabs>
        <w:ind w:left="1134" w:hanging="624"/>
        <w:rPr>
          <w:rFonts w:asciiTheme="minorHAnsi" w:eastAsiaTheme="minorEastAsia" w:hAnsiTheme="minorHAnsi" w:cstheme="minorBidi"/>
          <w:noProof/>
          <w:sz w:val="22"/>
          <w:szCs w:val="22"/>
          <w:lang w:eastAsia="en-AU"/>
        </w:rPr>
      </w:pPr>
      <w:r w:rsidRPr="00197BD5">
        <w:rPr>
          <w:noProof/>
        </w:rPr>
        <w:t>2.3</w:t>
      </w:r>
      <w:r>
        <w:rPr>
          <w:rFonts w:asciiTheme="minorHAnsi" w:eastAsiaTheme="minorEastAsia" w:hAnsiTheme="minorHAnsi" w:cstheme="minorBidi"/>
          <w:noProof/>
          <w:sz w:val="22"/>
          <w:szCs w:val="22"/>
          <w:lang w:eastAsia="en-AU"/>
        </w:rPr>
        <w:tab/>
      </w:r>
      <w:r>
        <w:rPr>
          <w:noProof/>
        </w:rPr>
        <w:t>Townsend’s summary deprivation index</w:t>
      </w:r>
      <w:r>
        <w:rPr>
          <w:noProof/>
        </w:rPr>
        <w:tab/>
        <w:t>39</w:t>
      </w:r>
    </w:p>
    <w:p w:rsidR="008D1F73" w:rsidRDefault="008D1F73" w:rsidP="008D1F73">
      <w:pPr>
        <w:pStyle w:val="TOC2"/>
        <w:tabs>
          <w:tab w:val="left" w:pos="1760"/>
        </w:tabs>
        <w:ind w:left="1134" w:hanging="624"/>
        <w:rPr>
          <w:rFonts w:asciiTheme="minorHAnsi" w:eastAsiaTheme="minorEastAsia" w:hAnsiTheme="minorHAnsi" w:cstheme="minorBidi"/>
          <w:noProof/>
          <w:sz w:val="22"/>
          <w:szCs w:val="22"/>
          <w:lang w:eastAsia="en-AU"/>
        </w:rPr>
      </w:pPr>
      <w:r w:rsidRPr="00197BD5">
        <w:rPr>
          <w:noProof/>
        </w:rPr>
        <w:t>2.4</w:t>
      </w:r>
      <w:r>
        <w:rPr>
          <w:rFonts w:asciiTheme="minorHAnsi" w:eastAsiaTheme="minorEastAsia" w:hAnsiTheme="minorHAnsi" w:cstheme="minorBidi"/>
          <w:noProof/>
          <w:sz w:val="22"/>
          <w:szCs w:val="22"/>
          <w:lang w:eastAsia="en-AU"/>
        </w:rPr>
        <w:tab/>
      </w:r>
      <w:r>
        <w:rPr>
          <w:noProof/>
        </w:rPr>
        <w:t>Treasury’s wellbeing framework</w:t>
      </w:r>
      <w:r>
        <w:rPr>
          <w:noProof/>
        </w:rPr>
        <w:tab/>
        <w:t>46</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2.5</w:t>
      </w:r>
      <w:r>
        <w:rPr>
          <w:rFonts w:asciiTheme="minorHAnsi" w:eastAsiaTheme="minorEastAsia" w:hAnsiTheme="minorHAnsi" w:cstheme="minorBidi"/>
          <w:noProof/>
          <w:sz w:val="22"/>
          <w:szCs w:val="22"/>
          <w:lang w:eastAsia="en-AU"/>
        </w:rPr>
        <w:tab/>
      </w:r>
      <w:r>
        <w:rPr>
          <w:noProof/>
        </w:rPr>
        <w:t>Selected definitions of social exclusion</w:t>
      </w:r>
      <w:r>
        <w:rPr>
          <w:noProof/>
        </w:rPr>
        <w:tab/>
        <w:t>48</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2.6</w:t>
      </w:r>
      <w:r>
        <w:rPr>
          <w:rFonts w:asciiTheme="minorHAnsi" w:eastAsiaTheme="minorEastAsia" w:hAnsiTheme="minorHAnsi" w:cstheme="minorBidi"/>
          <w:noProof/>
          <w:sz w:val="22"/>
          <w:szCs w:val="22"/>
          <w:lang w:eastAsia="en-AU"/>
        </w:rPr>
        <w:tab/>
      </w:r>
      <w:r>
        <w:rPr>
          <w:noProof/>
        </w:rPr>
        <w:t>Some evidence on the relationship between income poverty and material deprivation</w:t>
      </w:r>
      <w:r>
        <w:rPr>
          <w:noProof/>
        </w:rPr>
        <w:tab/>
        <w:t>53</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lastRenderedPageBreak/>
        <w:t>2.7</w:t>
      </w:r>
      <w:r>
        <w:rPr>
          <w:rFonts w:asciiTheme="minorHAnsi" w:eastAsiaTheme="minorEastAsia" w:hAnsiTheme="minorHAnsi" w:cstheme="minorBidi"/>
          <w:noProof/>
          <w:sz w:val="22"/>
          <w:szCs w:val="22"/>
          <w:lang w:eastAsia="en-AU"/>
        </w:rPr>
        <w:tab/>
      </w:r>
      <w:r>
        <w:rPr>
          <w:noProof/>
        </w:rPr>
        <w:t>Short spells for most, but a small group experience persistent disadvantage</w:t>
      </w:r>
      <w:r>
        <w:rPr>
          <w:noProof/>
        </w:rPr>
        <w:tab/>
        <w:t>55</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3.1</w:t>
      </w:r>
      <w:r>
        <w:rPr>
          <w:rFonts w:asciiTheme="minorHAnsi" w:eastAsiaTheme="minorEastAsia" w:hAnsiTheme="minorHAnsi" w:cstheme="minorBidi"/>
          <w:noProof/>
          <w:sz w:val="22"/>
          <w:szCs w:val="22"/>
          <w:lang w:eastAsia="en-AU"/>
        </w:rPr>
        <w:tab/>
      </w:r>
      <w:r>
        <w:rPr>
          <w:noProof/>
        </w:rPr>
        <w:t>The main publicly available data sets used to measure persistent disadvantage</w:t>
      </w:r>
      <w:r>
        <w:rPr>
          <w:noProof/>
        </w:rPr>
        <w:tab/>
        <w:t>64</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3.2</w:t>
      </w:r>
      <w:r>
        <w:rPr>
          <w:rFonts w:asciiTheme="minorHAnsi" w:eastAsiaTheme="minorEastAsia" w:hAnsiTheme="minorHAnsi" w:cstheme="minorBidi"/>
          <w:noProof/>
          <w:sz w:val="22"/>
          <w:szCs w:val="22"/>
          <w:lang w:eastAsia="en-AU"/>
        </w:rPr>
        <w:tab/>
      </w:r>
      <w:r>
        <w:rPr>
          <w:noProof/>
        </w:rPr>
        <w:t>Components of the Social Exclusion Monitor (SEM)</w:t>
      </w:r>
      <w:r>
        <w:rPr>
          <w:noProof/>
        </w:rPr>
        <w:tab/>
        <w:t>75</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3.3</w:t>
      </w:r>
      <w:r>
        <w:rPr>
          <w:rFonts w:asciiTheme="minorHAnsi" w:eastAsiaTheme="minorEastAsia" w:hAnsiTheme="minorHAnsi" w:cstheme="minorBidi"/>
          <w:noProof/>
          <w:sz w:val="22"/>
          <w:szCs w:val="22"/>
          <w:lang w:eastAsia="en-AU"/>
        </w:rPr>
        <w:tab/>
      </w:r>
      <w:r>
        <w:rPr>
          <w:noProof/>
        </w:rPr>
        <w:t>Ability of SEM indicators to capture persistence of deep social exclusion</w:t>
      </w:r>
      <w:r>
        <w:rPr>
          <w:noProof/>
        </w:rPr>
        <w:tab/>
        <w:t>81</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4.1</w:t>
      </w:r>
      <w:r>
        <w:rPr>
          <w:rFonts w:asciiTheme="minorHAnsi" w:eastAsiaTheme="minorEastAsia" w:hAnsiTheme="minorHAnsi" w:cstheme="minorBidi"/>
          <w:noProof/>
          <w:sz w:val="22"/>
          <w:szCs w:val="22"/>
          <w:lang w:eastAsia="en-AU"/>
        </w:rPr>
        <w:tab/>
      </w:r>
      <w:r>
        <w:rPr>
          <w:noProof/>
        </w:rPr>
        <w:t>Establishing causality is not easy</w:t>
      </w:r>
      <w:r>
        <w:rPr>
          <w:noProof/>
        </w:rPr>
        <w:tab/>
        <w:t>94</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4.2</w:t>
      </w:r>
      <w:r>
        <w:rPr>
          <w:rFonts w:asciiTheme="minorHAnsi" w:eastAsiaTheme="minorEastAsia" w:hAnsiTheme="minorHAnsi" w:cstheme="minorBidi"/>
          <w:noProof/>
          <w:sz w:val="22"/>
          <w:szCs w:val="22"/>
          <w:lang w:eastAsia="en-AU"/>
        </w:rPr>
        <w:tab/>
      </w:r>
      <w:r>
        <w:rPr>
          <w:noProof/>
        </w:rPr>
        <w:t>Child abuse — evidence of long</w:t>
      </w:r>
      <w:r>
        <w:rPr>
          <w:noProof/>
        </w:rPr>
        <w:noBreakHyphen/>
        <w:t>term consequences</w:t>
      </w:r>
      <w:r>
        <w:rPr>
          <w:noProof/>
        </w:rPr>
        <w:tab/>
        <w:t>101</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4.3</w:t>
      </w:r>
      <w:r>
        <w:rPr>
          <w:rFonts w:asciiTheme="minorHAnsi" w:eastAsiaTheme="minorEastAsia" w:hAnsiTheme="minorHAnsi" w:cstheme="minorBidi"/>
          <w:noProof/>
          <w:sz w:val="22"/>
          <w:szCs w:val="22"/>
          <w:lang w:eastAsia="en-AU"/>
        </w:rPr>
        <w:tab/>
      </w:r>
      <w:r>
        <w:rPr>
          <w:noProof/>
        </w:rPr>
        <w:t>Preschool, school readiness and students’ performance</w:t>
      </w:r>
      <w:r>
        <w:rPr>
          <w:noProof/>
        </w:rPr>
        <w:tab/>
        <w:t>104</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4.4</w:t>
      </w:r>
      <w:r>
        <w:rPr>
          <w:rFonts w:asciiTheme="minorHAnsi" w:eastAsiaTheme="minorEastAsia" w:hAnsiTheme="minorHAnsi" w:cstheme="minorBidi"/>
          <w:noProof/>
          <w:sz w:val="22"/>
          <w:szCs w:val="22"/>
          <w:lang w:eastAsia="en-AU"/>
        </w:rPr>
        <w:tab/>
      </w:r>
      <w:r>
        <w:rPr>
          <w:noProof/>
        </w:rPr>
        <w:t>Examples of early intervention programs</w:t>
      </w:r>
      <w:r>
        <w:rPr>
          <w:noProof/>
        </w:rPr>
        <w:tab/>
        <w:t>105</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4.5</w:t>
      </w:r>
      <w:r>
        <w:rPr>
          <w:rFonts w:asciiTheme="minorHAnsi" w:eastAsiaTheme="minorEastAsia" w:hAnsiTheme="minorHAnsi" w:cstheme="minorBidi"/>
          <w:noProof/>
          <w:sz w:val="22"/>
          <w:szCs w:val="22"/>
          <w:lang w:eastAsia="en-AU"/>
        </w:rPr>
        <w:tab/>
      </w:r>
      <w:r>
        <w:rPr>
          <w:noProof/>
        </w:rPr>
        <w:t>Poorer outcomes for children from low socioeconomic backgrounds continue through the school years</w:t>
      </w:r>
      <w:r>
        <w:rPr>
          <w:noProof/>
        </w:rPr>
        <w:tab/>
        <w:t>110</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4.6</w:t>
      </w:r>
      <w:r>
        <w:rPr>
          <w:rFonts w:asciiTheme="minorHAnsi" w:eastAsiaTheme="minorEastAsia" w:hAnsiTheme="minorHAnsi" w:cstheme="minorBidi"/>
          <w:noProof/>
          <w:sz w:val="22"/>
          <w:szCs w:val="22"/>
          <w:lang w:eastAsia="en-AU"/>
        </w:rPr>
        <w:tab/>
      </w:r>
      <w:r>
        <w:rPr>
          <w:noProof/>
        </w:rPr>
        <w:t>Some evidence on the effects of joblessness on children</w:t>
      </w:r>
      <w:r>
        <w:rPr>
          <w:noProof/>
        </w:rPr>
        <w:tab/>
        <w:t>114</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4.7</w:t>
      </w:r>
      <w:r>
        <w:rPr>
          <w:rFonts w:asciiTheme="minorHAnsi" w:eastAsiaTheme="minorEastAsia" w:hAnsiTheme="minorHAnsi" w:cstheme="minorBidi"/>
          <w:noProof/>
          <w:sz w:val="22"/>
          <w:szCs w:val="22"/>
          <w:lang w:eastAsia="en-AU"/>
        </w:rPr>
        <w:tab/>
      </w:r>
      <w:r>
        <w:rPr>
          <w:noProof/>
        </w:rPr>
        <w:t>Intergenerational transmission of income</w:t>
      </w:r>
      <w:r>
        <w:rPr>
          <w:noProof/>
        </w:rPr>
        <w:tab/>
        <w:t>125</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4.8</w:t>
      </w:r>
      <w:r>
        <w:rPr>
          <w:rFonts w:asciiTheme="minorHAnsi" w:eastAsiaTheme="minorEastAsia" w:hAnsiTheme="minorHAnsi" w:cstheme="minorBidi"/>
          <w:noProof/>
          <w:sz w:val="22"/>
          <w:szCs w:val="22"/>
          <w:lang w:eastAsia="en-AU"/>
        </w:rPr>
        <w:tab/>
      </w:r>
      <w:r>
        <w:rPr>
          <w:noProof/>
        </w:rPr>
        <w:t>Economic growth, living standards and job opportunities</w:t>
      </w:r>
      <w:r>
        <w:rPr>
          <w:noProof/>
        </w:rPr>
        <w:tab/>
        <w:t>127</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4.9</w:t>
      </w:r>
      <w:r>
        <w:rPr>
          <w:rFonts w:asciiTheme="minorHAnsi" w:eastAsiaTheme="minorEastAsia" w:hAnsiTheme="minorHAnsi" w:cstheme="minorBidi"/>
          <w:noProof/>
          <w:sz w:val="22"/>
          <w:szCs w:val="22"/>
          <w:lang w:eastAsia="en-AU"/>
        </w:rPr>
        <w:tab/>
      </w:r>
      <w:r>
        <w:rPr>
          <w:noProof/>
        </w:rPr>
        <w:t>Demand for unskilled workers has been falling</w:t>
      </w:r>
      <w:r>
        <w:rPr>
          <w:noProof/>
        </w:rPr>
        <w:tab/>
        <w:t>131</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4.10</w:t>
      </w:r>
      <w:r>
        <w:rPr>
          <w:rFonts w:asciiTheme="minorHAnsi" w:eastAsiaTheme="minorEastAsia" w:hAnsiTheme="minorHAnsi" w:cstheme="minorBidi"/>
          <w:noProof/>
          <w:sz w:val="22"/>
          <w:szCs w:val="22"/>
          <w:lang w:eastAsia="en-AU"/>
        </w:rPr>
        <w:tab/>
      </w:r>
      <w:r>
        <w:rPr>
          <w:noProof/>
        </w:rPr>
        <w:t>Some background facts about homelessness</w:t>
      </w:r>
      <w:r>
        <w:rPr>
          <w:noProof/>
        </w:rPr>
        <w:tab/>
        <w:t>133</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4.11</w:t>
      </w:r>
      <w:r>
        <w:rPr>
          <w:rFonts w:asciiTheme="minorHAnsi" w:eastAsiaTheme="minorEastAsia" w:hAnsiTheme="minorHAnsi" w:cstheme="minorBidi"/>
          <w:noProof/>
          <w:sz w:val="22"/>
          <w:szCs w:val="22"/>
          <w:lang w:eastAsia="en-AU"/>
        </w:rPr>
        <w:tab/>
      </w:r>
      <w:r>
        <w:rPr>
          <w:noProof/>
        </w:rPr>
        <w:t>Declining marriage and divorce rates</w:t>
      </w:r>
      <w:r>
        <w:rPr>
          <w:noProof/>
        </w:rPr>
        <w:tab/>
        <w:t>143</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5.1</w:t>
      </w:r>
      <w:r>
        <w:rPr>
          <w:rFonts w:asciiTheme="minorHAnsi" w:eastAsiaTheme="minorEastAsia" w:hAnsiTheme="minorHAnsi" w:cstheme="minorBidi"/>
          <w:noProof/>
          <w:sz w:val="22"/>
          <w:szCs w:val="22"/>
          <w:lang w:eastAsia="en-AU"/>
        </w:rPr>
        <w:tab/>
      </w:r>
      <w:r>
        <w:rPr>
          <w:noProof/>
        </w:rPr>
        <w:t>Is the total cost of disadvantage the right thing to measure?</w:t>
      </w:r>
      <w:r>
        <w:rPr>
          <w:noProof/>
        </w:rPr>
        <w:tab/>
        <w:t>148</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5.2</w:t>
      </w:r>
      <w:r>
        <w:rPr>
          <w:rFonts w:asciiTheme="minorHAnsi" w:eastAsiaTheme="minorEastAsia" w:hAnsiTheme="minorHAnsi" w:cstheme="minorBidi"/>
          <w:noProof/>
          <w:sz w:val="22"/>
          <w:szCs w:val="22"/>
          <w:lang w:eastAsia="en-AU"/>
        </w:rPr>
        <w:tab/>
      </w:r>
      <w:r>
        <w:rPr>
          <w:noProof/>
        </w:rPr>
        <w:t>Are expenditures that reduce disadvantage ‘regrettables’?</w:t>
      </w:r>
      <w:r>
        <w:rPr>
          <w:noProof/>
        </w:rPr>
        <w:tab/>
        <w:t>155</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5.3</w:t>
      </w:r>
      <w:r>
        <w:rPr>
          <w:rFonts w:asciiTheme="minorHAnsi" w:eastAsiaTheme="minorEastAsia" w:hAnsiTheme="minorHAnsi" w:cstheme="minorBidi"/>
          <w:noProof/>
          <w:sz w:val="22"/>
          <w:szCs w:val="22"/>
          <w:lang w:eastAsia="en-AU"/>
        </w:rPr>
        <w:tab/>
      </w:r>
      <w:r>
        <w:rPr>
          <w:noProof/>
        </w:rPr>
        <w:t>The costs of childhood poverty: some examples</w:t>
      </w:r>
      <w:r>
        <w:rPr>
          <w:noProof/>
        </w:rPr>
        <w:tab/>
        <w:t>160</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5.4</w:t>
      </w:r>
      <w:r>
        <w:rPr>
          <w:rFonts w:asciiTheme="minorHAnsi" w:eastAsiaTheme="minorEastAsia" w:hAnsiTheme="minorHAnsi" w:cstheme="minorBidi"/>
          <w:noProof/>
          <w:sz w:val="22"/>
          <w:szCs w:val="22"/>
          <w:lang w:eastAsia="en-AU"/>
        </w:rPr>
        <w:tab/>
      </w:r>
      <w:r>
        <w:rPr>
          <w:noProof/>
        </w:rPr>
        <w:t>Some estimates of the effect of education on participation and wages</w:t>
      </w:r>
      <w:r>
        <w:rPr>
          <w:noProof/>
        </w:rPr>
        <w:tab/>
      </w:r>
      <w:r>
        <w:rPr>
          <w:noProof/>
        </w:rPr>
        <w:tab/>
        <w:t>165</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5.5</w:t>
      </w:r>
      <w:r>
        <w:rPr>
          <w:rFonts w:asciiTheme="minorHAnsi" w:eastAsiaTheme="minorEastAsia" w:hAnsiTheme="minorHAnsi" w:cstheme="minorBidi"/>
          <w:noProof/>
          <w:sz w:val="22"/>
          <w:szCs w:val="22"/>
          <w:lang w:eastAsia="en-AU"/>
        </w:rPr>
        <w:tab/>
      </w:r>
      <w:r>
        <w:rPr>
          <w:noProof/>
        </w:rPr>
        <w:t>Some estimates of the effect of health on participation and wages</w:t>
      </w:r>
      <w:r>
        <w:rPr>
          <w:noProof/>
        </w:rPr>
        <w:tab/>
        <w:t>166</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5.6</w:t>
      </w:r>
      <w:r>
        <w:rPr>
          <w:rFonts w:asciiTheme="minorHAnsi" w:eastAsiaTheme="minorEastAsia" w:hAnsiTheme="minorHAnsi" w:cstheme="minorBidi"/>
          <w:noProof/>
          <w:sz w:val="22"/>
          <w:szCs w:val="22"/>
          <w:lang w:eastAsia="en-AU"/>
        </w:rPr>
        <w:tab/>
      </w:r>
      <w:r>
        <w:rPr>
          <w:noProof/>
        </w:rPr>
        <w:t>Hedonic adaptation and estimates of personal costs</w:t>
      </w:r>
      <w:r>
        <w:rPr>
          <w:noProof/>
        </w:rPr>
        <w:tab/>
        <w:t>176</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5.7</w:t>
      </w:r>
      <w:r>
        <w:rPr>
          <w:rFonts w:asciiTheme="minorHAnsi" w:eastAsiaTheme="minorEastAsia" w:hAnsiTheme="minorHAnsi" w:cstheme="minorBidi"/>
          <w:noProof/>
          <w:sz w:val="22"/>
          <w:szCs w:val="22"/>
          <w:lang w:eastAsia="en-AU"/>
        </w:rPr>
        <w:tab/>
      </w:r>
      <w:r>
        <w:rPr>
          <w:noProof/>
        </w:rPr>
        <w:t>Estimating the intrinsic impacts of disadvantage</w:t>
      </w:r>
      <w:r>
        <w:rPr>
          <w:noProof/>
        </w:rPr>
        <w:tab/>
        <w:t>179</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197BD5">
        <w:rPr>
          <w:noProof/>
        </w:rPr>
        <w:t>6.1</w:t>
      </w:r>
      <w:r>
        <w:rPr>
          <w:rFonts w:asciiTheme="minorHAnsi" w:eastAsiaTheme="minorEastAsia" w:hAnsiTheme="minorHAnsi" w:cstheme="minorBidi"/>
          <w:noProof/>
          <w:sz w:val="22"/>
          <w:szCs w:val="22"/>
          <w:lang w:eastAsia="en-AU"/>
        </w:rPr>
        <w:tab/>
      </w:r>
      <w:r>
        <w:rPr>
          <w:noProof/>
        </w:rPr>
        <w:t>Data integration projects</w:t>
      </w:r>
      <w:r>
        <w:rPr>
          <w:noProof/>
        </w:rPr>
        <w:tab/>
        <w:t>200</w:t>
      </w:r>
    </w:p>
    <w:p w:rsidR="008D1F73" w:rsidRDefault="00D37FEF" w:rsidP="00002E28">
      <w:pPr>
        <w:pStyle w:val="TOC1"/>
        <w:ind w:hanging="594"/>
        <w:rPr>
          <w:noProof/>
        </w:rPr>
      </w:pPr>
      <w:r>
        <w:t>Figures</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385A9D">
        <w:rPr>
          <w:noProof/>
        </w:rPr>
        <w:t>1</w:t>
      </w:r>
      <w:r>
        <w:rPr>
          <w:rFonts w:asciiTheme="minorHAnsi" w:eastAsiaTheme="minorEastAsia" w:hAnsiTheme="minorHAnsi" w:cstheme="minorBidi"/>
          <w:noProof/>
          <w:sz w:val="22"/>
          <w:szCs w:val="22"/>
          <w:lang w:eastAsia="en-AU"/>
        </w:rPr>
        <w:tab/>
      </w:r>
      <w:r>
        <w:rPr>
          <w:noProof/>
        </w:rPr>
        <w:t>Trends in income poverty and social exclusion, 2001 to 2010</w:t>
      </w:r>
      <w:r>
        <w:rPr>
          <w:noProof/>
        </w:rPr>
        <w:tab/>
        <w:t>11</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385A9D">
        <w:rPr>
          <w:noProof/>
        </w:rPr>
        <w:t>2</w:t>
      </w:r>
      <w:r>
        <w:rPr>
          <w:rFonts w:asciiTheme="minorHAnsi" w:eastAsiaTheme="minorEastAsia" w:hAnsiTheme="minorHAnsi" w:cstheme="minorBidi"/>
          <w:noProof/>
          <w:sz w:val="22"/>
          <w:szCs w:val="22"/>
          <w:lang w:eastAsia="en-AU"/>
        </w:rPr>
        <w:tab/>
      </w:r>
      <w:r>
        <w:rPr>
          <w:noProof/>
        </w:rPr>
        <w:t>Factors influencing life chances of experiencing disadvantage</w:t>
      </w:r>
      <w:r>
        <w:rPr>
          <w:noProof/>
        </w:rPr>
        <w:tab/>
        <w:t>14</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385A9D">
        <w:rPr>
          <w:noProof/>
        </w:rPr>
        <w:t>3</w:t>
      </w:r>
      <w:r>
        <w:rPr>
          <w:rFonts w:asciiTheme="minorHAnsi" w:eastAsiaTheme="minorEastAsia" w:hAnsiTheme="minorHAnsi" w:cstheme="minorBidi"/>
          <w:noProof/>
          <w:sz w:val="22"/>
          <w:szCs w:val="22"/>
          <w:lang w:eastAsia="en-AU"/>
        </w:rPr>
        <w:tab/>
      </w:r>
      <w:r>
        <w:rPr>
          <w:noProof/>
        </w:rPr>
        <w:t>The cycle of disadvantage can start early in life</w:t>
      </w:r>
      <w:r>
        <w:rPr>
          <w:noProof/>
        </w:rPr>
        <w:tab/>
        <w:t>16</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385A9D">
        <w:rPr>
          <w:noProof/>
        </w:rPr>
        <w:lastRenderedPageBreak/>
        <w:t>4</w:t>
      </w:r>
      <w:r>
        <w:rPr>
          <w:rFonts w:asciiTheme="minorHAnsi" w:eastAsiaTheme="minorEastAsia" w:hAnsiTheme="minorHAnsi" w:cstheme="minorBidi"/>
          <w:noProof/>
          <w:sz w:val="22"/>
          <w:szCs w:val="22"/>
          <w:lang w:eastAsia="en-AU"/>
        </w:rPr>
        <w:tab/>
      </w:r>
      <w:r>
        <w:rPr>
          <w:noProof/>
        </w:rPr>
        <w:t>Outcomes for Australian children aged 2</w:t>
      </w:r>
      <w:r>
        <w:rPr>
          <w:noProof/>
        </w:rPr>
        <w:noBreakHyphen/>
        <w:t>3 to 10</w:t>
      </w:r>
      <w:r>
        <w:rPr>
          <w:noProof/>
        </w:rPr>
        <w:noBreakHyphen/>
        <w:t>11 year olds by socioeconomic position</w:t>
      </w:r>
      <w:r>
        <w:rPr>
          <w:noProof/>
        </w:rPr>
        <w:tab/>
        <w:t>17</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385A9D">
        <w:rPr>
          <w:noProof/>
        </w:rPr>
        <w:t>5</w:t>
      </w:r>
      <w:r>
        <w:rPr>
          <w:rFonts w:asciiTheme="minorHAnsi" w:eastAsiaTheme="minorEastAsia" w:hAnsiTheme="minorHAnsi" w:cstheme="minorBidi"/>
          <w:noProof/>
          <w:sz w:val="22"/>
          <w:szCs w:val="22"/>
          <w:lang w:eastAsia="en-AU"/>
        </w:rPr>
        <w:tab/>
      </w:r>
      <w:r>
        <w:rPr>
          <w:noProof/>
        </w:rPr>
        <w:t>Highest educational attainment of Australians aged 30-44 years, by highest educational attainment of father</w:t>
      </w:r>
      <w:r>
        <w:rPr>
          <w:noProof/>
        </w:rPr>
        <w:tab/>
        <w:t>19</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385A9D">
        <w:rPr>
          <w:noProof/>
        </w:rPr>
        <w:t>6</w:t>
      </w:r>
      <w:r>
        <w:rPr>
          <w:rFonts w:asciiTheme="minorHAnsi" w:eastAsiaTheme="minorEastAsia" w:hAnsiTheme="minorHAnsi" w:cstheme="minorBidi"/>
          <w:noProof/>
          <w:sz w:val="22"/>
          <w:szCs w:val="22"/>
          <w:lang w:eastAsia="en-AU"/>
        </w:rPr>
        <w:tab/>
      </w:r>
      <w:r>
        <w:rPr>
          <w:noProof/>
        </w:rPr>
        <w:t>Steps in estimating the avoidable costs of disadvantage</w:t>
      </w:r>
      <w:r>
        <w:rPr>
          <w:noProof/>
        </w:rPr>
        <w:tab/>
        <w:t>22</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385A9D">
        <w:rPr>
          <w:noProof/>
        </w:rPr>
        <w:t>7</w:t>
      </w:r>
      <w:r>
        <w:rPr>
          <w:rFonts w:asciiTheme="minorHAnsi" w:eastAsiaTheme="minorEastAsia" w:hAnsiTheme="minorHAnsi" w:cstheme="minorBidi"/>
          <w:noProof/>
          <w:sz w:val="22"/>
          <w:szCs w:val="22"/>
          <w:lang w:eastAsia="en-AU"/>
        </w:rPr>
        <w:tab/>
      </w:r>
      <w:r>
        <w:rPr>
          <w:noProof/>
        </w:rPr>
        <w:t>One way of categorising the costs of disadvantage</w:t>
      </w:r>
      <w:r>
        <w:rPr>
          <w:noProof/>
        </w:rPr>
        <w:tab/>
        <w:t>22</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2.1</w:t>
      </w:r>
      <w:r>
        <w:rPr>
          <w:rFonts w:asciiTheme="minorHAnsi" w:eastAsiaTheme="minorEastAsia" w:hAnsiTheme="minorHAnsi" w:cstheme="minorBidi"/>
          <w:noProof/>
          <w:sz w:val="22"/>
          <w:szCs w:val="22"/>
          <w:lang w:eastAsia="en-AU"/>
        </w:rPr>
        <w:tab/>
      </w:r>
      <w:r>
        <w:rPr>
          <w:noProof/>
        </w:rPr>
        <w:t>Social inclusion conceptual framework — participation and resources</w:t>
      </w:r>
      <w:r>
        <w:rPr>
          <w:noProof/>
        </w:rPr>
        <w:tab/>
        <w:t>49</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3.1</w:t>
      </w:r>
      <w:r>
        <w:rPr>
          <w:rFonts w:asciiTheme="minorHAnsi" w:eastAsiaTheme="minorEastAsia" w:hAnsiTheme="minorHAnsi" w:cstheme="minorBidi"/>
          <w:noProof/>
          <w:sz w:val="22"/>
          <w:szCs w:val="22"/>
          <w:lang w:eastAsia="en-AU"/>
        </w:rPr>
        <w:tab/>
      </w:r>
      <w:r>
        <w:rPr>
          <w:noProof/>
        </w:rPr>
        <w:t>Trends in the proportion of Australians experiencing relative and absolute income poverty</w:t>
      </w:r>
      <w:r>
        <w:rPr>
          <w:noProof/>
        </w:rPr>
        <w:tab/>
        <w:t>62</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3.2</w:t>
      </w:r>
      <w:r>
        <w:rPr>
          <w:rFonts w:asciiTheme="minorHAnsi" w:eastAsiaTheme="minorEastAsia" w:hAnsiTheme="minorHAnsi" w:cstheme="minorBidi"/>
          <w:noProof/>
          <w:sz w:val="22"/>
          <w:szCs w:val="22"/>
          <w:lang w:eastAsia="en-AU"/>
        </w:rPr>
        <w:tab/>
      </w:r>
      <w:r>
        <w:rPr>
          <w:noProof/>
        </w:rPr>
        <w:t>Years in relative income poverty, 2001 to 2010</w:t>
      </w:r>
      <w:r>
        <w:rPr>
          <w:noProof/>
        </w:rPr>
        <w:tab/>
        <w:t>65</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3.3</w:t>
      </w:r>
      <w:r>
        <w:rPr>
          <w:rFonts w:asciiTheme="minorHAnsi" w:eastAsiaTheme="minorEastAsia" w:hAnsiTheme="minorHAnsi" w:cstheme="minorBidi"/>
          <w:noProof/>
          <w:sz w:val="22"/>
          <w:szCs w:val="22"/>
          <w:lang w:eastAsia="en-AU"/>
        </w:rPr>
        <w:tab/>
      </w:r>
      <w:r>
        <w:rPr>
          <w:noProof/>
        </w:rPr>
        <w:t>Trends in social exclusion: Social Exclusion Monitor, 2001 to 2010</w:t>
      </w:r>
      <w:r>
        <w:rPr>
          <w:noProof/>
        </w:rPr>
        <w:tab/>
      </w:r>
      <w:r>
        <w:rPr>
          <w:noProof/>
        </w:rPr>
        <w:tab/>
        <w:t>76</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3.4</w:t>
      </w:r>
      <w:r>
        <w:rPr>
          <w:rFonts w:asciiTheme="minorHAnsi" w:eastAsiaTheme="minorEastAsia" w:hAnsiTheme="minorHAnsi" w:cstheme="minorBidi"/>
          <w:noProof/>
          <w:sz w:val="22"/>
          <w:szCs w:val="22"/>
          <w:lang w:eastAsia="en-AU"/>
        </w:rPr>
        <w:tab/>
      </w:r>
      <w:r>
        <w:rPr>
          <w:noProof/>
        </w:rPr>
        <w:t>Overlap between poverty, deprivation and exclusion, 2010</w:t>
      </w:r>
      <w:r>
        <w:rPr>
          <w:noProof/>
        </w:rPr>
        <w:tab/>
        <w:t>79</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3.5</w:t>
      </w:r>
      <w:r>
        <w:rPr>
          <w:rFonts w:asciiTheme="minorHAnsi" w:eastAsiaTheme="minorEastAsia" w:hAnsiTheme="minorHAnsi" w:cstheme="minorBidi"/>
          <w:noProof/>
          <w:sz w:val="22"/>
          <w:szCs w:val="22"/>
          <w:lang w:eastAsia="en-AU"/>
        </w:rPr>
        <w:tab/>
      </w:r>
      <w:r>
        <w:rPr>
          <w:noProof/>
        </w:rPr>
        <w:t>Persistence of social exclusion, 2001 to 2010</w:t>
      </w:r>
      <w:r>
        <w:rPr>
          <w:noProof/>
        </w:rPr>
        <w:tab/>
        <w:t>80</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4.1</w:t>
      </w:r>
      <w:r>
        <w:rPr>
          <w:rFonts w:asciiTheme="minorHAnsi" w:eastAsiaTheme="minorEastAsia" w:hAnsiTheme="minorHAnsi" w:cstheme="minorBidi"/>
          <w:noProof/>
          <w:sz w:val="22"/>
          <w:szCs w:val="22"/>
          <w:lang w:eastAsia="en-AU"/>
        </w:rPr>
        <w:tab/>
      </w:r>
      <w:r>
        <w:rPr>
          <w:noProof/>
        </w:rPr>
        <w:t>Factors influencing life chances of experiencing disadvantage</w:t>
      </w:r>
      <w:r>
        <w:rPr>
          <w:noProof/>
        </w:rPr>
        <w:tab/>
        <w:t>96</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4.2</w:t>
      </w:r>
      <w:r>
        <w:rPr>
          <w:rFonts w:asciiTheme="minorHAnsi" w:eastAsiaTheme="minorEastAsia" w:hAnsiTheme="minorHAnsi" w:cstheme="minorBidi"/>
          <w:noProof/>
          <w:sz w:val="22"/>
          <w:szCs w:val="22"/>
          <w:lang w:eastAsia="en-AU"/>
        </w:rPr>
        <w:tab/>
      </w:r>
      <w:r>
        <w:rPr>
          <w:noProof/>
        </w:rPr>
        <w:t>Distribution of risks among financially disadvantaged and non-financially disadvantaged families</w:t>
      </w:r>
      <w:r>
        <w:rPr>
          <w:noProof/>
        </w:rPr>
        <w:tab/>
        <w:t>107</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4.3</w:t>
      </w:r>
      <w:r>
        <w:rPr>
          <w:rFonts w:asciiTheme="minorHAnsi" w:eastAsiaTheme="minorEastAsia" w:hAnsiTheme="minorHAnsi" w:cstheme="minorBidi"/>
          <w:noProof/>
          <w:sz w:val="22"/>
          <w:szCs w:val="22"/>
          <w:lang w:eastAsia="en-AU"/>
        </w:rPr>
        <w:tab/>
      </w:r>
      <w:r>
        <w:rPr>
          <w:noProof/>
        </w:rPr>
        <w:t>The cycle of disadvantage can start early in life</w:t>
      </w:r>
      <w:r>
        <w:rPr>
          <w:noProof/>
        </w:rPr>
        <w:tab/>
        <w:t>108</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4.4</w:t>
      </w:r>
      <w:r>
        <w:rPr>
          <w:rFonts w:asciiTheme="minorHAnsi" w:eastAsiaTheme="minorEastAsia" w:hAnsiTheme="minorHAnsi" w:cstheme="minorBidi"/>
          <w:noProof/>
          <w:sz w:val="22"/>
          <w:szCs w:val="22"/>
          <w:lang w:eastAsia="en-AU"/>
        </w:rPr>
        <w:tab/>
      </w:r>
      <w:r>
        <w:rPr>
          <w:noProof/>
        </w:rPr>
        <w:t>Outcomes for Australian children aged 2</w:t>
      </w:r>
      <w:r>
        <w:rPr>
          <w:noProof/>
        </w:rPr>
        <w:noBreakHyphen/>
        <w:t>3 to 10</w:t>
      </w:r>
      <w:r>
        <w:rPr>
          <w:noProof/>
        </w:rPr>
        <w:noBreakHyphen/>
        <w:t>11 years by socioeconomic position</w:t>
      </w:r>
      <w:r>
        <w:rPr>
          <w:noProof/>
        </w:rPr>
        <w:tab/>
        <w:t>111</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4.5</w:t>
      </w:r>
      <w:r>
        <w:rPr>
          <w:rFonts w:asciiTheme="minorHAnsi" w:eastAsiaTheme="minorEastAsia" w:hAnsiTheme="minorHAnsi" w:cstheme="minorBidi"/>
          <w:noProof/>
          <w:sz w:val="22"/>
          <w:szCs w:val="22"/>
          <w:lang w:eastAsia="en-AU"/>
        </w:rPr>
        <w:tab/>
      </w:r>
      <w:r>
        <w:rPr>
          <w:noProof/>
        </w:rPr>
        <w:t>Labour force status by qualification, 2012</w:t>
      </w:r>
      <w:r>
        <w:rPr>
          <w:noProof/>
        </w:rPr>
        <w:tab/>
        <w:t>119</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4.6</w:t>
      </w:r>
      <w:r>
        <w:rPr>
          <w:rFonts w:asciiTheme="minorHAnsi" w:eastAsiaTheme="minorEastAsia" w:hAnsiTheme="minorHAnsi" w:cstheme="minorBidi"/>
          <w:noProof/>
          <w:sz w:val="22"/>
          <w:szCs w:val="22"/>
          <w:lang w:eastAsia="en-AU"/>
        </w:rPr>
        <w:tab/>
      </w:r>
      <w:r>
        <w:rPr>
          <w:noProof/>
        </w:rPr>
        <w:t>Deep social exclusion by education attainment</w:t>
      </w:r>
      <w:r>
        <w:rPr>
          <w:noProof/>
        </w:rPr>
        <w:tab/>
        <w:t>120</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4.7</w:t>
      </w:r>
      <w:r>
        <w:rPr>
          <w:rFonts w:asciiTheme="minorHAnsi" w:eastAsiaTheme="minorEastAsia" w:hAnsiTheme="minorHAnsi" w:cstheme="minorBidi"/>
          <w:noProof/>
          <w:sz w:val="22"/>
          <w:szCs w:val="22"/>
          <w:lang w:eastAsia="en-AU"/>
        </w:rPr>
        <w:tab/>
      </w:r>
      <w:r>
        <w:rPr>
          <w:noProof/>
        </w:rPr>
        <w:t>Average annual employee income of Australians of working age, 25-59 years, 2011-12</w:t>
      </w:r>
      <w:r>
        <w:rPr>
          <w:noProof/>
        </w:rPr>
        <w:tab/>
        <w:t>121</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4.8</w:t>
      </w:r>
      <w:r>
        <w:rPr>
          <w:rFonts w:asciiTheme="minorHAnsi" w:eastAsiaTheme="minorEastAsia" w:hAnsiTheme="minorHAnsi" w:cstheme="minorBidi"/>
          <w:noProof/>
          <w:sz w:val="22"/>
          <w:szCs w:val="22"/>
          <w:lang w:eastAsia="en-AU"/>
        </w:rPr>
        <w:tab/>
      </w:r>
      <w:r>
        <w:rPr>
          <w:noProof/>
        </w:rPr>
        <w:t>Highest educational attainment of Australians aged 30-44 years, by highest educational attainment of father</w:t>
      </w:r>
      <w:r>
        <w:rPr>
          <w:noProof/>
        </w:rPr>
        <w:tab/>
        <w:t>123</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4.9</w:t>
      </w:r>
      <w:r>
        <w:rPr>
          <w:rFonts w:asciiTheme="minorHAnsi" w:eastAsiaTheme="minorEastAsia" w:hAnsiTheme="minorHAnsi" w:cstheme="minorBidi"/>
          <w:noProof/>
          <w:sz w:val="22"/>
          <w:szCs w:val="22"/>
          <w:lang w:eastAsia="en-AU"/>
        </w:rPr>
        <w:tab/>
      </w:r>
      <w:r>
        <w:rPr>
          <w:noProof/>
        </w:rPr>
        <w:t>Proportion of homelessness by type, 2011</w:t>
      </w:r>
      <w:r>
        <w:rPr>
          <w:noProof/>
        </w:rPr>
        <w:tab/>
        <w:t>133</w:t>
      </w:r>
    </w:p>
    <w:p w:rsidR="008D1F73" w:rsidRDefault="008D1F73">
      <w:pPr>
        <w:pStyle w:val="TOC2"/>
        <w:tabs>
          <w:tab w:val="left" w:pos="1929"/>
        </w:tabs>
        <w:rPr>
          <w:rFonts w:asciiTheme="minorHAnsi" w:eastAsiaTheme="minorEastAsia" w:hAnsiTheme="minorHAnsi" w:cstheme="minorBidi"/>
          <w:noProof/>
          <w:sz w:val="22"/>
          <w:szCs w:val="22"/>
          <w:lang w:eastAsia="en-AU"/>
        </w:rPr>
      </w:pPr>
      <w:r w:rsidRPr="00385A9D">
        <w:rPr>
          <w:noProof/>
        </w:rPr>
        <w:t>4.10</w:t>
      </w:r>
      <w:r>
        <w:rPr>
          <w:rFonts w:asciiTheme="minorHAnsi" w:eastAsiaTheme="minorEastAsia" w:hAnsiTheme="minorHAnsi" w:cstheme="minorBidi"/>
          <w:noProof/>
          <w:sz w:val="22"/>
          <w:szCs w:val="22"/>
          <w:lang w:eastAsia="en-AU"/>
        </w:rPr>
        <w:tab/>
      </w:r>
      <w:r>
        <w:rPr>
          <w:noProof/>
        </w:rPr>
        <w:t>Lifecourse framework linking childhood disadvantage to poor adult health</w:t>
      </w:r>
      <w:r>
        <w:rPr>
          <w:noProof/>
        </w:rPr>
        <w:tab/>
        <w:t>137</w:t>
      </w:r>
    </w:p>
    <w:p w:rsidR="008D1F73" w:rsidRDefault="008D1F73">
      <w:pPr>
        <w:pStyle w:val="TOC2"/>
        <w:tabs>
          <w:tab w:val="left" w:pos="1929"/>
        </w:tabs>
        <w:rPr>
          <w:rFonts w:asciiTheme="minorHAnsi" w:eastAsiaTheme="minorEastAsia" w:hAnsiTheme="minorHAnsi" w:cstheme="minorBidi"/>
          <w:noProof/>
          <w:sz w:val="22"/>
          <w:szCs w:val="22"/>
          <w:lang w:eastAsia="en-AU"/>
        </w:rPr>
      </w:pPr>
      <w:r w:rsidRPr="00385A9D">
        <w:rPr>
          <w:noProof/>
        </w:rPr>
        <w:t>4.11</w:t>
      </w:r>
      <w:r>
        <w:rPr>
          <w:rFonts w:asciiTheme="minorHAnsi" w:eastAsiaTheme="minorEastAsia" w:hAnsiTheme="minorHAnsi" w:cstheme="minorBidi"/>
          <w:noProof/>
          <w:sz w:val="22"/>
          <w:szCs w:val="22"/>
          <w:lang w:eastAsia="en-AU"/>
        </w:rPr>
        <w:tab/>
      </w:r>
      <w:r>
        <w:rPr>
          <w:noProof/>
        </w:rPr>
        <w:t>Disability employment for people aged 15-64 years, 2009</w:t>
      </w:r>
      <w:r>
        <w:rPr>
          <w:noProof/>
        </w:rPr>
        <w:tab/>
        <w:t>140</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5.1</w:t>
      </w:r>
      <w:r>
        <w:rPr>
          <w:rFonts w:asciiTheme="minorHAnsi" w:eastAsiaTheme="minorEastAsia" w:hAnsiTheme="minorHAnsi" w:cstheme="minorBidi"/>
          <w:noProof/>
          <w:sz w:val="22"/>
          <w:szCs w:val="22"/>
          <w:lang w:eastAsia="en-AU"/>
        </w:rPr>
        <w:tab/>
      </w:r>
      <w:r>
        <w:rPr>
          <w:noProof/>
        </w:rPr>
        <w:t>Steps in estimating the avoidable costs of disadvantage</w:t>
      </w:r>
      <w:r>
        <w:rPr>
          <w:noProof/>
        </w:rPr>
        <w:tab/>
        <w:t>151</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5.2</w:t>
      </w:r>
      <w:r>
        <w:rPr>
          <w:rFonts w:asciiTheme="minorHAnsi" w:eastAsiaTheme="minorEastAsia" w:hAnsiTheme="minorHAnsi" w:cstheme="minorBidi"/>
          <w:noProof/>
          <w:sz w:val="22"/>
          <w:szCs w:val="22"/>
          <w:lang w:eastAsia="en-AU"/>
        </w:rPr>
        <w:tab/>
      </w:r>
      <w:r>
        <w:rPr>
          <w:noProof/>
        </w:rPr>
        <w:t xml:space="preserve">OECD’s </w:t>
      </w:r>
      <w:r w:rsidRPr="00385A9D">
        <w:rPr>
          <w:i/>
          <w:noProof/>
        </w:rPr>
        <w:t>How’s Life?</w:t>
      </w:r>
      <w:r>
        <w:rPr>
          <w:noProof/>
        </w:rPr>
        <w:t xml:space="preserve"> Wellbeing Framework</w:t>
      </w:r>
      <w:r>
        <w:rPr>
          <w:noProof/>
        </w:rPr>
        <w:tab/>
        <w:t>152</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lastRenderedPageBreak/>
        <w:t>5.3</w:t>
      </w:r>
      <w:r>
        <w:rPr>
          <w:rFonts w:asciiTheme="minorHAnsi" w:eastAsiaTheme="minorEastAsia" w:hAnsiTheme="minorHAnsi" w:cstheme="minorBidi"/>
          <w:noProof/>
          <w:sz w:val="22"/>
          <w:szCs w:val="22"/>
          <w:lang w:eastAsia="en-AU"/>
        </w:rPr>
        <w:tab/>
      </w:r>
      <w:r>
        <w:rPr>
          <w:noProof/>
        </w:rPr>
        <w:t>One way of categorising the costs of disadvantage</w:t>
      </w:r>
      <w:r>
        <w:rPr>
          <w:noProof/>
        </w:rPr>
        <w:tab/>
        <w:t>157</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5.4</w:t>
      </w:r>
      <w:r>
        <w:rPr>
          <w:rFonts w:asciiTheme="minorHAnsi" w:eastAsiaTheme="minorEastAsia" w:hAnsiTheme="minorHAnsi" w:cstheme="minorBidi"/>
          <w:noProof/>
          <w:sz w:val="22"/>
          <w:szCs w:val="22"/>
          <w:lang w:eastAsia="en-AU"/>
        </w:rPr>
        <w:tab/>
      </w:r>
      <w:r>
        <w:rPr>
          <w:noProof/>
        </w:rPr>
        <w:t>Estimating the costs of disadvantage: employment income</w:t>
      </w:r>
      <w:r>
        <w:rPr>
          <w:noProof/>
        </w:rPr>
        <w:tab/>
        <w:t>163</w:t>
      </w:r>
    </w:p>
    <w:p w:rsidR="008D1F73" w:rsidRDefault="008D1F73">
      <w:pPr>
        <w:pStyle w:val="TOC2"/>
        <w:tabs>
          <w:tab w:val="left" w:pos="1799"/>
        </w:tabs>
        <w:rPr>
          <w:rFonts w:asciiTheme="minorHAnsi" w:eastAsiaTheme="minorEastAsia" w:hAnsiTheme="minorHAnsi" w:cstheme="minorBidi"/>
          <w:noProof/>
          <w:sz w:val="22"/>
          <w:szCs w:val="22"/>
          <w:lang w:eastAsia="en-AU"/>
        </w:rPr>
      </w:pPr>
      <w:r w:rsidRPr="00385A9D">
        <w:rPr>
          <w:noProof/>
        </w:rPr>
        <w:t>5.5</w:t>
      </w:r>
      <w:r>
        <w:rPr>
          <w:rFonts w:asciiTheme="minorHAnsi" w:eastAsiaTheme="minorEastAsia" w:hAnsiTheme="minorHAnsi" w:cstheme="minorBidi"/>
          <w:noProof/>
          <w:sz w:val="22"/>
          <w:szCs w:val="22"/>
          <w:lang w:eastAsia="en-AU"/>
        </w:rPr>
        <w:tab/>
      </w:r>
      <w:r>
        <w:rPr>
          <w:noProof/>
        </w:rPr>
        <w:t>Estimating the costs of disadvantage: quality of life</w:t>
      </w:r>
      <w:r>
        <w:rPr>
          <w:noProof/>
        </w:rPr>
        <w:tab/>
        <w:t>177</w:t>
      </w:r>
    </w:p>
    <w:p w:rsidR="008D1F73" w:rsidRDefault="00D37FEF" w:rsidP="00002E28">
      <w:pPr>
        <w:pStyle w:val="TOC1"/>
        <w:ind w:hanging="794"/>
        <w:rPr>
          <w:noProof/>
        </w:rPr>
      </w:pPr>
      <w:r>
        <w:t>Tables</w:t>
      </w:r>
    </w:p>
    <w:p w:rsidR="008D1F73" w:rsidRDefault="008D1F73">
      <w:pPr>
        <w:pStyle w:val="TOC2"/>
        <w:tabs>
          <w:tab w:val="left" w:pos="1540"/>
        </w:tabs>
        <w:rPr>
          <w:rFonts w:asciiTheme="minorHAnsi" w:eastAsiaTheme="minorEastAsia" w:hAnsiTheme="minorHAnsi" w:cstheme="minorBidi"/>
          <w:noProof/>
          <w:sz w:val="22"/>
          <w:szCs w:val="22"/>
          <w:lang w:eastAsia="en-AU"/>
        </w:rPr>
      </w:pPr>
      <w:r w:rsidRPr="008F38B5">
        <w:rPr>
          <w:noProof/>
        </w:rPr>
        <w:t>1</w:t>
      </w:r>
      <w:r>
        <w:rPr>
          <w:rFonts w:asciiTheme="minorHAnsi" w:eastAsiaTheme="minorEastAsia" w:hAnsiTheme="minorHAnsi" w:cstheme="minorBidi"/>
          <w:noProof/>
          <w:sz w:val="22"/>
          <w:szCs w:val="22"/>
          <w:lang w:eastAsia="en-AU"/>
        </w:rPr>
        <w:tab/>
      </w:r>
      <w:r>
        <w:rPr>
          <w:noProof/>
        </w:rPr>
        <w:t>Prevalence of forms of disadvantage for vulnerable groups, 2010</w:t>
      </w:r>
      <w:r>
        <w:rPr>
          <w:noProof/>
        </w:rPr>
        <w:tab/>
        <w:t>12</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8F38B5">
        <w:rPr>
          <w:noProof/>
        </w:rPr>
        <w:t>2.1</w:t>
      </w:r>
      <w:r>
        <w:rPr>
          <w:rFonts w:asciiTheme="minorHAnsi" w:eastAsiaTheme="minorEastAsia" w:hAnsiTheme="minorHAnsi" w:cstheme="minorBidi"/>
          <w:noProof/>
          <w:sz w:val="22"/>
          <w:szCs w:val="22"/>
          <w:lang w:eastAsia="en-AU"/>
        </w:rPr>
        <w:tab/>
      </w:r>
      <w:r>
        <w:rPr>
          <w:noProof/>
        </w:rPr>
        <w:t>Equivalence scales and corresponding elasticities</w:t>
      </w:r>
      <w:r>
        <w:rPr>
          <w:noProof/>
        </w:rPr>
        <w:tab/>
        <w:t>34</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8F38B5">
        <w:rPr>
          <w:noProof/>
        </w:rPr>
        <w:t>3.1</w:t>
      </w:r>
      <w:r>
        <w:rPr>
          <w:rFonts w:asciiTheme="minorHAnsi" w:eastAsiaTheme="minorEastAsia" w:hAnsiTheme="minorHAnsi" w:cstheme="minorBidi"/>
          <w:noProof/>
          <w:sz w:val="22"/>
          <w:szCs w:val="22"/>
          <w:lang w:eastAsia="en-AU"/>
        </w:rPr>
        <w:tab/>
      </w:r>
      <w:r>
        <w:rPr>
          <w:noProof/>
        </w:rPr>
        <w:t>Estimates of relative income poverty in Australia</w:t>
      </w:r>
      <w:r>
        <w:rPr>
          <w:noProof/>
        </w:rPr>
        <w:tab/>
        <w:t>59</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8F38B5">
        <w:rPr>
          <w:noProof/>
        </w:rPr>
        <w:t>3.2</w:t>
      </w:r>
      <w:r>
        <w:rPr>
          <w:rFonts w:asciiTheme="minorHAnsi" w:eastAsiaTheme="minorEastAsia" w:hAnsiTheme="minorHAnsi" w:cstheme="minorBidi"/>
          <w:noProof/>
          <w:sz w:val="22"/>
          <w:szCs w:val="22"/>
          <w:lang w:eastAsia="en-AU"/>
        </w:rPr>
        <w:tab/>
      </w:r>
      <w:r>
        <w:rPr>
          <w:noProof/>
        </w:rPr>
        <w:t>Two-year income poverty status</w:t>
      </w:r>
      <w:r>
        <w:rPr>
          <w:noProof/>
        </w:rPr>
        <w:tab/>
        <w:t>67</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8F38B5">
        <w:rPr>
          <w:noProof/>
        </w:rPr>
        <w:t>3.3</w:t>
      </w:r>
      <w:r>
        <w:rPr>
          <w:rFonts w:asciiTheme="minorHAnsi" w:eastAsiaTheme="minorEastAsia" w:hAnsiTheme="minorHAnsi" w:cstheme="minorBidi"/>
          <w:noProof/>
          <w:sz w:val="22"/>
          <w:szCs w:val="22"/>
          <w:lang w:eastAsia="en-AU"/>
        </w:rPr>
        <w:tab/>
      </w:r>
      <w:r>
        <w:rPr>
          <w:noProof/>
        </w:rPr>
        <w:t>Different estimates for financial poverty, 2007</w:t>
      </w:r>
      <w:r>
        <w:rPr>
          <w:noProof/>
        </w:rPr>
        <w:tab/>
        <w:t>68</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8F38B5">
        <w:rPr>
          <w:noProof/>
        </w:rPr>
        <w:t>3.4</w:t>
      </w:r>
      <w:r>
        <w:rPr>
          <w:rFonts w:asciiTheme="minorHAnsi" w:eastAsiaTheme="minorEastAsia" w:hAnsiTheme="minorHAnsi" w:cstheme="minorBidi"/>
          <w:noProof/>
          <w:sz w:val="22"/>
          <w:szCs w:val="22"/>
          <w:lang w:eastAsia="en-AU"/>
        </w:rPr>
        <w:tab/>
      </w:r>
      <w:r>
        <w:rPr>
          <w:noProof/>
        </w:rPr>
        <w:t>Items regarded as essential, who has them, and who does not have them because they cannot afford them, 2006</w:t>
      </w:r>
      <w:r>
        <w:rPr>
          <w:noProof/>
        </w:rPr>
        <w:tab/>
        <w:t>70</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8F38B5">
        <w:rPr>
          <w:noProof/>
        </w:rPr>
        <w:t>3.5</w:t>
      </w:r>
      <w:r>
        <w:rPr>
          <w:rFonts w:asciiTheme="minorHAnsi" w:eastAsiaTheme="minorEastAsia" w:hAnsiTheme="minorHAnsi" w:cstheme="minorBidi"/>
          <w:noProof/>
          <w:sz w:val="22"/>
          <w:szCs w:val="22"/>
          <w:lang w:eastAsia="en-AU"/>
        </w:rPr>
        <w:tab/>
      </w:r>
      <w:r>
        <w:rPr>
          <w:noProof/>
        </w:rPr>
        <w:t>Prevalence of multiple deprivation, 2006 and 2010</w:t>
      </w:r>
      <w:r>
        <w:rPr>
          <w:noProof/>
        </w:rPr>
        <w:tab/>
        <w:t>72</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8F38B5">
        <w:rPr>
          <w:noProof/>
        </w:rPr>
        <w:t>3.6</w:t>
      </w:r>
      <w:r>
        <w:rPr>
          <w:rFonts w:asciiTheme="minorHAnsi" w:eastAsiaTheme="minorEastAsia" w:hAnsiTheme="minorHAnsi" w:cstheme="minorBidi"/>
          <w:noProof/>
          <w:sz w:val="22"/>
          <w:szCs w:val="22"/>
          <w:lang w:eastAsia="en-AU"/>
        </w:rPr>
        <w:tab/>
      </w:r>
      <w:r>
        <w:rPr>
          <w:noProof/>
        </w:rPr>
        <w:t>Degree of overlap between income poverty, deprivation and social exclusion</w:t>
      </w:r>
      <w:r>
        <w:rPr>
          <w:noProof/>
        </w:rPr>
        <w:tab/>
        <w:t>78</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8F38B5">
        <w:rPr>
          <w:noProof/>
        </w:rPr>
        <w:t>3.7</w:t>
      </w:r>
      <w:r>
        <w:rPr>
          <w:rFonts w:asciiTheme="minorHAnsi" w:eastAsiaTheme="minorEastAsia" w:hAnsiTheme="minorHAnsi" w:cstheme="minorBidi"/>
          <w:noProof/>
          <w:sz w:val="22"/>
          <w:szCs w:val="22"/>
          <w:lang w:eastAsia="en-AU"/>
        </w:rPr>
        <w:tab/>
      </w:r>
      <w:r>
        <w:rPr>
          <w:noProof/>
        </w:rPr>
        <w:t>Rates of transition between states of exclusion</w:t>
      </w:r>
      <w:r>
        <w:rPr>
          <w:noProof/>
        </w:rPr>
        <w:tab/>
        <w:t>82</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8F38B5">
        <w:rPr>
          <w:noProof/>
        </w:rPr>
        <w:t>3.8</w:t>
      </w:r>
      <w:r>
        <w:rPr>
          <w:rFonts w:asciiTheme="minorHAnsi" w:eastAsiaTheme="minorEastAsia" w:hAnsiTheme="minorHAnsi" w:cstheme="minorBidi"/>
          <w:noProof/>
          <w:sz w:val="22"/>
          <w:szCs w:val="22"/>
          <w:lang w:eastAsia="en-AU"/>
        </w:rPr>
        <w:tab/>
      </w:r>
      <w:r>
        <w:rPr>
          <w:noProof/>
        </w:rPr>
        <w:t>Prevalence of forms of dis</w:t>
      </w:r>
      <w:r w:rsidR="00C01CD1">
        <w:rPr>
          <w:noProof/>
        </w:rPr>
        <w:t>advantage for vulnerable groups</w:t>
      </w:r>
      <w:r>
        <w:rPr>
          <w:noProof/>
        </w:rPr>
        <w:tab/>
        <w:t>83</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8F38B5">
        <w:rPr>
          <w:noProof/>
        </w:rPr>
        <w:t>3.9</w:t>
      </w:r>
      <w:r>
        <w:rPr>
          <w:rFonts w:asciiTheme="minorHAnsi" w:eastAsiaTheme="minorEastAsia" w:hAnsiTheme="minorHAnsi" w:cstheme="minorBidi"/>
          <w:noProof/>
          <w:sz w:val="22"/>
          <w:szCs w:val="22"/>
          <w:lang w:eastAsia="en-AU"/>
        </w:rPr>
        <w:tab/>
      </w:r>
      <w:r>
        <w:rPr>
          <w:noProof/>
        </w:rPr>
        <w:t>Distribution of residents in bottom quintile of distribution of relative socioeconomic disadvantage, 2006</w:t>
      </w:r>
      <w:r>
        <w:rPr>
          <w:noProof/>
        </w:rPr>
        <w:tab/>
        <w:t>89</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8F38B5">
        <w:rPr>
          <w:noProof/>
        </w:rPr>
        <w:t>4.1</w:t>
      </w:r>
      <w:r>
        <w:rPr>
          <w:rFonts w:asciiTheme="minorHAnsi" w:eastAsiaTheme="minorEastAsia" w:hAnsiTheme="minorHAnsi" w:cstheme="minorBidi"/>
          <w:noProof/>
          <w:sz w:val="22"/>
          <w:szCs w:val="22"/>
          <w:lang w:eastAsia="en-AU"/>
        </w:rPr>
        <w:tab/>
      </w:r>
      <w:r>
        <w:rPr>
          <w:noProof/>
        </w:rPr>
        <w:t>Average development scores by child characteristics, age 4-5</w:t>
      </w:r>
      <w:r>
        <w:rPr>
          <w:noProof/>
        </w:rPr>
        <w:tab/>
        <w:t>106</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8F38B5">
        <w:rPr>
          <w:noProof/>
        </w:rPr>
        <w:t>4.2</w:t>
      </w:r>
      <w:r>
        <w:rPr>
          <w:rFonts w:asciiTheme="minorHAnsi" w:eastAsiaTheme="minorEastAsia" w:hAnsiTheme="minorHAnsi" w:cstheme="minorBidi"/>
          <w:noProof/>
          <w:sz w:val="22"/>
          <w:szCs w:val="22"/>
          <w:lang w:eastAsia="en-AU"/>
        </w:rPr>
        <w:tab/>
      </w:r>
      <w:r>
        <w:rPr>
          <w:noProof/>
        </w:rPr>
        <w:t>Son’s earnings compared with father’s earnings</w:t>
      </w:r>
      <w:r>
        <w:rPr>
          <w:noProof/>
        </w:rPr>
        <w:tab/>
        <w:t>125</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8F38B5">
        <w:rPr>
          <w:noProof/>
        </w:rPr>
        <w:t>4.3</w:t>
      </w:r>
      <w:r>
        <w:rPr>
          <w:rFonts w:asciiTheme="minorHAnsi" w:eastAsiaTheme="minorEastAsia" w:hAnsiTheme="minorHAnsi" w:cstheme="minorBidi"/>
          <w:noProof/>
          <w:sz w:val="22"/>
          <w:szCs w:val="22"/>
          <w:lang w:eastAsia="en-AU"/>
        </w:rPr>
        <w:tab/>
      </w:r>
      <w:r>
        <w:rPr>
          <w:noProof/>
        </w:rPr>
        <w:t>Intergenerational mobility across the earnings distribution</w:t>
      </w:r>
      <w:r>
        <w:rPr>
          <w:noProof/>
        </w:rPr>
        <w:tab/>
        <w:t>125</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8F38B5">
        <w:rPr>
          <w:noProof/>
        </w:rPr>
        <w:t>4.4</w:t>
      </w:r>
      <w:r>
        <w:rPr>
          <w:rFonts w:asciiTheme="minorHAnsi" w:eastAsiaTheme="minorEastAsia" w:hAnsiTheme="minorHAnsi" w:cstheme="minorBidi"/>
          <w:noProof/>
          <w:sz w:val="22"/>
          <w:szCs w:val="22"/>
          <w:lang w:eastAsia="en-AU"/>
        </w:rPr>
        <w:tab/>
      </w:r>
      <w:r>
        <w:rPr>
          <w:noProof/>
        </w:rPr>
        <w:t>Years in jobless/job-poor household, 2001 to 2009</w:t>
      </w:r>
      <w:r>
        <w:rPr>
          <w:noProof/>
        </w:rPr>
        <w:tab/>
        <w:t>129</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8F38B5">
        <w:rPr>
          <w:noProof/>
        </w:rPr>
        <w:t>4.5</w:t>
      </w:r>
      <w:r>
        <w:rPr>
          <w:rFonts w:asciiTheme="minorHAnsi" w:eastAsiaTheme="minorEastAsia" w:hAnsiTheme="minorHAnsi" w:cstheme="minorBidi"/>
          <w:noProof/>
          <w:sz w:val="22"/>
          <w:szCs w:val="22"/>
          <w:lang w:eastAsia="en-AU"/>
        </w:rPr>
        <w:tab/>
      </w:r>
      <w:r>
        <w:rPr>
          <w:noProof/>
        </w:rPr>
        <w:t>Journeys home respondents – labour force status and incidence of mental health</w:t>
      </w:r>
      <w:r>
        <w:rPr>
          <w:noProof/>
        </w:rPr>
        <w:tab/>
        <w:t>134</w:t>
      </w:r>
    </w:p>
    <w:p w:rsidR="008D1F73" w:rsidRDefault="008D1F73">
      <w:pPr>
        <w:pStyle w:val="TOC2"/>
        <w:tabs>
          <w:tab w:val="left" w:pos="1770"/>
        </w:tabs>
        <w:rPr>
          <w:rFonts w:asciiTheme="minorHAnsi" w:eastAsiaTheme="minorEastAsia" w:hAnsiTheme="minorHAnsi" w:cstheme="minorBidi"/>
          <w:noProof/>
          <w:sz w:val="22"/>
          <w:szCs w:val="22"/>
          <w:lang w:eastAsia="en-AU"/>
        </w:rPr>
      </w:pPr>
      <w:r w:rsidRPr="008F38B5">
        <w:rPr>
          <w:noProof/>
        </w:rPr>
        <w:t>A.1</w:t>
      </w:r>
      <w:r>
        <w:rPr>
          <w:rFonts w:asciiTheme="minorHAnsi" w:eastAsiaTheme="minorEastAsia" w:hAnsiTheme="minorHAnsi" w:cstheme="minorBidi"/>
          <w:noProof/>
          <w:sz w:val="22"/>
          <w:szCs w:val="22"/>
          <w:lang w:eastAsia="en-AU"/>
        </w:rPr>
        <w:tab/>
      </w:r>
      <w:r>
        <w:rPr>
          <w:noProof/>
        </w:rPr>
        <w:t>Prevalence and composition of relative income poverty, 2009</w:t>
      </w:r>
      <w:r>
        <w:rPr>
          <w:noProof/>
        </w:rPr>
        <w:noBreakHyphen/>
        <w:t>10</w:t>
      </w:r>
      <w:r>
        <w:rPr>
          <w:noProof/>
        </w:rPr>
        <w:tab/>
        <w:t>204</w:t>
      </w:r>
    </w:p>
    <w:p w:rsidR="008D1F73" w:rsidRDefault="008D1F73">
      <w:pPr>
        <w:pStyle w:val="TOC2"/>
        <w:tabs>
          <w:tab w:val="left" w:pos="1770"/>
        </w:tabs>
        <w:rPr>
          <w:rFonts w:asciiTheme="minorHAnsi" w:eastAsiaTheme="minorEastAsia" w:hAnsiTheme="minorHAnsi" w:cstheme="minorBidi"/>
          <w:noProof/>
          <w:sz w:val="22"/>
          <w:szCs w:val="22"/>
          <w:lang w:eastAsia="en-AU"/>
        </w:rPr>
      </w:pPr>
      <w:r w:rsidRPr="008F38B5">
        <w:rPr>
          <w:noProof/>
        </w:rPr>
        <w:t>A.2</w:t>
      </w:r>
      <w:r>
        <w:rPr>
          <w:rFonts w:asciiTheme="minorHAnsi" w:eastAsiaTheme="minorEastAsia" w:hAnsiTheme="minorHAnsi" w:cstheme="minorBidi"/>
          <w:noProof/>
          <w:sz w:val="22"/>
          <w:szCs w:val="22"/>
          <w:lang w:eastAsia="en-AU"/>
        </w:rPr>
        <w:tab/>
      </w:r>
      <w:r>
        <w:rPr>
          <w:noProof/>
        </w:rPr>
        <w:t>Profile of deprivation and poverty</w:t>
      </w:r>
      <w:r>
        <w:rPr>
          <w:noProof/>
        </w:rPr>
        <w:tab/>
        <w:t>205</w:t>
      </w:r>
    </w:p>
    <w:p w:rsidR="008D1F73" w:rsidRDefault="008D1F73">
      <w:pPr>
        <w:pStyle w:val="TOC2"/>
        <w:tabs>
          <w:tab w:val="left" w:pos="1770"/>
        </w:tabs>
        <w:rPr>
          <w:rFonts w:asciiTheme="minorHAnsi" w:eastAsiaTheme="minorEastAsia" w:hAnsiTheme="minorHAnsi" w:cstheme="minorBidi"/>
          <w:noProof/>
          <w:sz w:val="22"/>
          <w:szCs w:val="22"/>
          <w:lang w:eastAsia="en-AU"/>
        </w:rPr>
      </w:pPr>
      <w:r w:rsidRPr="008F38B5">
        <w:rPr>
          <w:noProof/>
        </w:rPr>
        <w:t>A.3</w:t>
      </w:r>
      <w:r>
        <w:rPr>
          <w:rFonts w:asciiTheme="minorHAnsi" w:eastAsiaTheme="minorEastAsia" w:hAnsiTheme="minorHAnsi" w:cstheme="minorBidi"/>
          <w:noProof/>
          <w:sz w:val="22"/>
          <w:szCs w:val="22"/>
          <w:lang w:eastAsia="en-AU"/>
        </w:rPr>
        <w:tab/>
      </w:r>
      <w:r>
        <w:rPr>
          <w:noProof/>
        </w:rPr>
        <w:t>Prevalence of depth of social exclusion</w:t>
      </w:r>
      <w:r>
        <w:rPr>
          <w:noProof/>
        </w:rPr>
        <w:tab/>
        <w:t>207</w:t>
      </w:r>
    </w:p>
    <w:p w:rsidR="008D1F73" w:rsidRDefault="008D1F73">
      <w:pPr>
        <w:pStyle w:val="TOC2"/>
        <w:tabs>
          <w:tab w:val="left" w:pos="1770"/>
        </w:tabs>
        <w:rPr>
          <w:rFonts w:asciiTheme="minorHAnsi" w:eastAsiaTheme="minorEastAsia" w:hAnsiTheme="minorHAnsi" w:cstheme="minorBidi"/>
          <w:noProof/>
          <w:sz w:val="22"/>
          <w:szCs w:val="22"/>
          <w:lang w:eastAsia="en-AU"/>
        </w:rPr>
      </w:pPr>
      <w:r w:rsidRPr="008F38B5">
        <w:rPr>
          <w:noProof/>
        </w:rPr>
        <w:t>A.4</w:t>
      </w:r>
      <w:r>
        <w:rPr>
          <w:rFonts w:asciiTheme="minorHAnsi" w:eastAsiaTheme="minorEastAsia" w:hAnsiTheme="minorHAnsi" w:cstheme="minorBidi"/>
          <w:noProof/>
          <w:sz w:val="22"/>
          <w:szCs w:val="22"/>
          <w:lang w:eastAsia="en-AU"/>
        </w:rPr>
        <w:tab/>
      </w:r>
      <w:r>
        <w:rPr>
          <w:noProof/>
        </w:rPr>
        <w:t>Years in relative income poverty by household type, 2001 to 2010</w:t>
      </w:r>
      <w:r>
        <w:rPr>
          <w:noProof/>
        </w:rPr>
        <w:tab/>
        <w:t>209</w:t>
      </w:r>
    </w:p>
    <w:p w:rsidR="008D1F73" w:rsidRDefault="008D1F73">
      <w:pPr>
        <w:pStyle w:val="TOC2"/>
        <w:tabs>
          <w:tab w:val="left" w:pos="1770"/>
        </w:tabs>
        <w:rPr>
          <w:rFonts w:asciiTheme="minorHAnsi" w:eastAsiaTheme="minorEastAsia" w:hAnsiTheme="minorHAnsi" w:cstheme="minorBidi"/>
          <w:noProof/>
          <w:sz w:val="22"/>
          <w:szCs w:val="22"/>
          <w:lang w:eastAsia="en-AU"/>
        </w:rPr>
      </w:pPr>
      <w:r w:rsidRPr="008F38B5">
        <w:rPr>
          <w:noProof/>
        </w:rPr>
        <w:t>A.5</w:t>
      </w:r>
      <w:r>
        <w:rPr>
          <w:rFonts w:asciiTheme="minorHAnsi" w:eastAsiaTheme="minorEastAsia" w:hAnsiTheme="minorHAnsi" w:cstheme="minorBidi"/>
          <w:noProof/>
          <w:sz w:val="22"/>
          <w:szCs w:val="22"/>
          <w:lang w:eastAsia="en-AU"/>
        </w:rPr>
        <w:tab/>
      </w:r>
      <w:r>
        <w:rPr>
          <w:noProof/>
        </w:rPr>
        <w:t>Characteristics of those deeply and persistently excluded</w:t>
      </w:r>
      <w:r>
        <w:rPr>
          <w:noProof/>
        </w:rPr>
        <w:tab/>
        <w:t>211</w:t>
      </w:r>
    </w:p>
    <w:p w:rsidR="008D1F73" w:rsidRDefault="008D1F73">
      <w:pPr>
        <w:pStyle w:val="TOC2"/>
        <w:tabs>
          <w:tab w:val="left" w:pos="1760"/>
        </w:tabs>
        <w:rPr>
          <w:rFonts w:asciiTheme="minorHAnsi" w:eastAsiaTheme="minorEastAsia" w:hAnsiTheme="minorHAnsi" w:cstheme="minorBidi"/>
          <w:noProof/>
          <w:sz w:val="22"/>
          <w:szCs w:val="22"/>
          <w:lang w:eastAsia="en-AU"/>
        </w:rPr>
      </w:pPr>
      <w:r w:rsidRPr="008F38B5">
        <w:rPr>
          <w:noProof/>
        </w:rPr>
        <w:t>B.1</w:t>
      </w:r>
      <w:r>
        <w:rPr>
          <w:rFonts w:asciiTheme="minorHAnsi" w:eastAsiaTheme="minorEastAsia" w:hAnsiTheme="minorHAnsi" w:cstheme="minorBidi"/>
          <w:noProof/>
          <w:sz w:val="22"/>
          <w:szCs w:val="22"/>
          <w:lang w:eastAsia="en-AU"/>
        </w:rPr>
        <w:tab/>
      </w:r>
      <w:r>
        <w:rPr>
          <w:noProof/>
        </w:rPr>
        <w:t>Characteristics of different measures of disadvantage</w:t>
      </w:r>
      <w:r>
        <w:rPr>
          <w:noProof/>
        </w:rPr>
        <w:tab/>
      </w:r>
      <w:r w:rsidR="00082E6A">
        <w:rPr>
          <w:noProof/>
        </w:rPr>
        <w:t>215</w:t>
      </w:r>
    </w:p>
    <w:p w:rsidR="00D37FEF" w:rsidRPr="00D37FEF" w:rsidRDefault="00D37FEF" w:rsidP="002C255F">
      <w:pPr>
        <w:pStyle w:val="TOC2"/>
        <w:tabs>
          <w:tab w:val="left" w:pos="1760"/>
        </w:tabs>
      </w:pPr>
    </w:p>
    <w:p w:rsidR="00735FEA" w:rsidRDefault="00735FEA">
      <w:pPr>
        <w:pStyle w:val="BodyText"/>
        <w:sectPr w:rsidR="00735FEA" w:rsidSect="005537F6">
          <w:headerReference w:type="even" r:id="rId9"/>
          <w:headerReference w:type="default" r:id="rId10"/>
          <w:footerReference w:type="even" r:id="rId11"/>
          <w:footerReference w:type="default" r:id="rId12"/>
          <w:type w:val="oddPage"/>
          <w:pgSz w:w="11907" w:h="16840" w:code="9"/>
          <w:pgMar w:top="1985" w:right="1304" w:bottom="1418" w:left="1814" w:header="1701" w:footer="567" w:gutter="0"/>
          <w:pgNumType w:fmt="lowerRoman"/>
          <w:cols w:space="720"/>
        </w:sectPr>
      </w:pPr>
    </w:p>
    <w:p w:rsidR="0070402B" w:rsidRDefault="0070402B">
      <w:pPr>
        <w:pStyle w:val="Heading1"/>
      </w:pPr>
      <w:bookmarkStart w:id="6" w:name="Abbreviations"/>
      <w:bookmarkStart w:id="7" w:name="RDnote"/>
      <w:bookmarkStart w:id="8" w:name="_Toc360708857"/>
      <w:bookmarkEnd w:id="6"/>
      <w:bookmarkEnd w:id="7"/>
      <w:r>
        <w:lastRenderedPageBreak/>
        <w:t>Acknowledgments</w:t>
      </w:r>
      <w:bookmarkEnd w:id="8"/>
    </w:p>
    <w:p w:rsidR="0070402B" w:rsidRDefault="0070402B" w:rsidP="0070402B">
      <w:pPr>
        <w:pStyle w:val="BodyText"/>
      </w:pPr>
      <w:r>
        <w:t xml:space="preserve">The authors wish to thank the following people for their help and advice in the production of the paper: Peter </w:t>
      </w:r>
      <w:proofErr w:type="spellStart"/>
      <w:r>
        <w:t>Whiteford</w:t>
      </w:r>
      <w:proofErr w:type="spellEnd"/>
      <w:r>
        <w:t xml:space="preserve"> (</w:t>
      </w:r>
      <w:proofErr w:type="spellStart"/>
      <w:r>
        <w:t>ANU</w:t>
      </w:r>
      <w:proofErr w:type="spellEnd"/>
      <w:r>
        <w:t>), Sue Richardson (</w:t>
      </w:r>
      <w:r w:rsidR="00E07FBC">
        <w:t>Flinders University</w:t>
      </w:r>
      <w:r>
        <w:t xml:space="preserve">), Francisco </w:t>
      </w:r>
      <w:proofErr w:type="spellStart"/>
      <w:r>
        <w:t>Azpitarte</w:t>
      </w:r>
      <w:proofErr w:type="spellEnd"/>
      <w:r>
        <w:t xml:space="preserve"> (Brotherhood of St Laurence and Melbourne Institute), Roger Wilkins and Rosanna </w:t>
      </w:r>
      <w:proofErr w:type="spellStart"/>
      <w:r>
        <w:t>Scutella</w:t>
      </w:r>
      <w:proofErr w:type="spellEnd"/>
      <w:r>
        <w:t xml:space="preserve"> (Melbourne Institute), Peter Saunders and Melissa Wong (</w:t>
      </w:r>
      <w:proofErr w:type="spellStart"/>
      <w:r>
        <w:t>SPRC</w:t>
      </w:r>
      <w:proofErr w:type="spellEnd"/>
      <w:r>
        <w:t xml:space="preserve">), John </w:t>
      </w:r>
      <w:proofErr w:type="spellStart"/>
      <w:r>
        <w:t>Landt</w:t>
      </w:r>
      <w:proofErr w:type="spellEnd"/>
      <w:r>
        <w:t xml:space="preserve"> (Prime Minister and Cabinet), Mike Woods, Alison McClelland, Les Andrews, Frank Nugent, </w:t>
      </w:r>
      <w:r w:rsidR="00A0194D">
        <w:t>Dominique</w:t>
      </w:r>
      <w:r>
        <w:t xml:space="preserve"> Lowe, </w:t>
      </w:r>
      <w:r w:rsidR="00ED1FFC">
        <w:t xml:space="preserve">Jared Greenville, </w:t>
      </w:r>
      <w:r>
        <w:t>Lisa Gropp and Alan Johnston (Productivity Commission).</w:t>
      </w:r>
    </w:p>
    <w:p w:rsidR="0070402B" w:rsidRDefault="0070402B" w:rsidP="0070402B">
      <w:pPr>
        <w:pStyle w:val="BodyText"/>
      </w:pPr>
      <w:r>
        <w:t xml:space="preserve">The views in this paper remain those of the authors and do not necessarily reflect the views of the Productivity Commission or of the external organisations and people who provided assistance.  </w:t>
      </w:r>
    </w:p>
    <w:p w:rsidR="0070402B" w:rsidRPr="0070402B" w:rsidRDefault="0070402B" w:rsidP="0070402B">
      <w:pPr>
        <w:pStyle w:val="BodyText"/>
      </w:pPr>
    </w:p>
    <w:p w:rsidR="0070402B" w:rsidRDefault="0070402B">
      <w:pPr>
        <w:pStyle w:val="BodyText"/>
        <w:sectPr w:rsidR="0070402B" w:rsidSect="00162D3B">
          <w:headerReference w:type="even" r:id="rId13"/>
          <w:headerReference w:type="default" r:id="rId14"/>
          <w:footerReference w:type="even" r:id="rId15"/>
          <w:footerReference w:type="default" r:id="rId16"/>
          <w:pgSz w:w="11906" w:h="16838" w:code="9"/>
          <w:pgMar w:top="1985" w:right="1304" w:bottom="1418" w:left="1814" w:header="1701" w:footer="567" w:gutter="0"/>
          <w:pgNumType w:fmt="lowerRoman"/>
          <w:cols w:space="708"/>
          <w:docGrid w:linePitch="360"/>
        </w:sectPr>
      </w:pPr>
    </w:p>
    <w:p w:rsidR="00735FEA" w:rsidRDefault="00735FEA" w:rsidP="00F7477E">
      <w:pPr>
        <w:pStyle w:val="Heading1"/>
      </w:pPr>
      <w:bookmarkStart w:id="9" w:name="EndContents"/>
      <w:bookmarkStart w:id="10" w:name="_Toc360708858"/>
      <w:bookmarkEnd w:id="9"/>
      <w:r>
        <w:lastRenderedPageBreak/>
        <w:t>Abbreviations</w:t>
      </w:r>
      <w:bookmarkEnd w:id="10"/>
    </w:p>
    <w:p w:rsidR="0070402B" w:rsidRDefault="0070402B" w:rsidP="00D37FEF">
      <w:pPr>
        <w:pStyle w:val="Abbreviation"/>
        <w:spacing w:before="60"/>
        <w:ind w:left="1843" w:hanging="1843"/>
      </w:pPr>
      <w:r>
        <w:t>ABS</w:t>
      </w:r>
      <w:r>
        <w:tab/>
        <w:t>Australian Bureau of Statistics</w:t>
      </w:r>
    </w:p>
    <w:p w:rsidR="0070402B" w:rsidRDefault="0070402B" w:rsidP="00D37FEF">
      <w:pPr>
        <w:pStyle w:val="Abbreviation"/>
        <w:spacing w:before="60"/>
        <w:ind w:left="1843" w:hanging="1843"/>
      </w:pPr>
      <w:proofErr w:type="spellStart"/>
      <w:r>
        <w:t>AEDI</w:t>
      </w:r>
      <w:proofErr w:type="spellEnd"/>
      <w:r>
        <w:tab/>
        <w:t>Australian Early Development Index</w:t>
      </w:r>
    </w:p>
    <w:p w:rsidR="0070402B" w:rsidRDefault="0070402B" w:rsidP="00D37FEF">
      <w:pPr>
        <w:pStyle w:val="Abbreviation"/>
        <w:spacing w:before="60"/>
        <w:ind w:left="1843" w:hanging="1843"/>
      </w:pPr>
      <w:proofErr w:type="spellStart"/>
      <w:r>
        <w:t>AIHW</w:t>
      </w:r>
      <w:proofErr w:type="spellEnd"/>
      <w:r>
        <w:tab/>
        <w:t>Australian Institute of Health and Welfare</w:t>
      </w:r>
    </w:p>
    <w:p w:rsidR="0070402B" w:rsidRDefault="0070402B" w:rsidP="00D37FEF">
      <w:pPr>
        <w:pStyle w:val="Abbreviation"/>
        <w:spacing w:before="60"/>
        <w:ind w:left="1843" w:hanging="1843"/>
      </w:pPr>
      <w:proofErr w:type="spellStart"/>
      <w:r>
        <w:t>ANU</w:t>
      </w:r>
      <w:proofErr w:type="spellEnd"/>
      <w:r>
        <w:tab/>
        <w:t>Australian National University</w:t>
      </w:r>
    </w:p>
    <w:p w:rsidR="0070402B" w:rsidRDefault="0070402B" w:rsidP="00D37FEF">
      <w:pPr>
        <w:pStyle w:val="Abbreviation"/>
        <w:spacing w:before="60"/>
        <w:ind w:left="1843" w:hanging="1843"/>
      </w:pPr>
      <w:proofErr w:type="spellStart"/>
      <w:r>
        <w:t>CUPSE</w:t>
      </w:r>
      <w:proofErr w:type="spellEnd"/>
      <w:r>
        <w:tab/>
        <w:t>Community Understanding of Parenting and Social Exclusion</w:t>
      </w:r>
    </w:p>
    <w:p w:rsidR="0070402B" w:rsidRDefault="0070402B" w:rsidP="00D37FEF">
      <w:pPr>
        <w:pStyle w:val="Abbreviation"/>
        <w:spacing w:before="60"/>
        <w:ind w:left="1843" w:hanging="1843"/>
      </w:pPr>
      <w:proofErr w:type="spellStart"/>
      <w:r>
        <w:t>DEEWR</w:t>
      </w:r>
      <w:proofErr w:type="spellEnd"/>
      <w:r>
        <w:tab/>
        <w:t>Department of Education, Employment and Workplace Relations</w:t>
      </w:r>
    </w:p>
    <w:p w:rsidR="0070402B" w:rsidRDefault="0070402B" w:rsidP="00D37FEF">
      <w:pPr>
        <w:pStyle w:val="Abbreviation"/>
        <w:spacing w:before="60"/>
        <w:ind w:left="1843" w:hanging="1843"/>
      </w:pPr>
      <w:proofErr w:type="spellStart"/>
      <w:r>
        <w:t>DHS</w:t>
      </w:r>
      <w:proofErr w:type="spellEnd"/>
      <w:r>
        <w:tab/>
        <w:t>Department of Human Services</w:t>
      </w:r>
    </w:p>
    <w:p w:rsidR="00162D3B" w:rsidRDefault="00162D3B" w:rsidP="00D37FEF">
      <w:pPr>
        <w:pStyle w:val="Abbreviation"/>
        <w:spacing w:before="60"/>
        <w:ind w:left="1843" w:hanging="1843"/>
      </w:pPr>
      <w:proofErr w:type="spellStart"/>
      <w:r>
        <w:t>DIAC</w:t>
      </w:r>
      <w:proofErr w:type="spellEnd"/>
      <w:r>
        <w:tab/>
        <w:t>Department of Immigration and Citizenship</w:t>
      </w:r>
    </w:p>
    <w:p w:rsidR="0070402B" w:rsidRDefault="0070402B" w:rsidP="00D37FEF">
      <w:pPr>
        <w:pStyle w:val="Abbreviation"/>
        <w:spacing w:before="60"/>
        <w:ind w:left="1843" w:hanging="1843"/>
      </w:pPr>
      <w:r>
        <w:t>EU</w:t>
      </w:r>
      <w:r>
        <w:tab/>
        <w:t>European Union</w:t>
      </w:r>
    </w:p>
    <w:p w:rsidR="0070402B" w:rsidRDefault="0070402B" w:rsidP="00D37FEF">
      <w:pPr>
        <w:pStyle w:val="Abbreviation"/>
        <w:spacing w:before="60"/>
        <w:ind w:left="1843" w:hanging="1843"/>
      </w:pPr>
      <w:proofErr w:type="spellStart"/>
      <w:r>
        <w:t>FaHCSIA</w:t>
      </w:r>
      <w:proofErr w:type="spellEnd"/>
      <w:r>
        <w:tab/>
        <w:t>Department of Families, Housing, Community Services and Indigenous Affairs</w:t>
      </w:r>
    </w:p>
    <w:p w:rsidR="0070402B" w:rsidRDefault="0070402B" w:rsidP="00D37FEF">
      <w:pPr>
        <w:pStyle w:val="Abbreviation"/>
        <w:spacing w:before="60"/>
        <w:ind w:left="1843" w:hanging="1843"/>
      </w:pPr>
      <w:r>
        <w:t>GDP</w:t>
      </w:r>
      <w:r>
        <w:tab/>
        <w:t>Gross Domestic Product</w:t>
      </w:r>
    </w:p>
    <w:p w:rsidR="0070402B" w:rsidRDefault="0070402B" w:rsidP="00D37FEF">
      <w:pPr>
        <w:pStyle w:val="Abbreviation"/>
        <w:spacing w:before="60"/>
        <w:ind w:left="1843" w:hanging="1843"/>
      </w:pPr>
      <w:r>
        <w:t>HILDA</w:t>
      </w:r>
      <w:r>
        <w:tab/>
        <w:t>Household Income and Labour Dynamics in Australia</w:t>
      </w:r>
    </w:p>
    <w:p w:rsidR="0070402B" w:rsidRDefault="0070402B" w:rsidP="00D37FEF">
      <w:pPr>
        <w:pStyle w:val="Abbreviation"/>
        <w:spacing w:before="60"/>
        <w:ind w:left="1843" w:hanging="1843"/>
      </w:pPr>
      <w:proofErr w:type="spellStart"/>
      <w:r>
        <w:t>IAC</w:t>
      </w:r>
      <w:proofErr w:type="spellEnd"/>
      <w:r>
        <w:tab/>
        <w:t>Industries Assistance Commission</w:t>
      </w:r>
    </w:p>
    <w:p w:rsidR="0070402B" w:rsidRDefault="0070402B" w:rsidP="00D37FEF">
      <w:pPr>
        <w:pStyle w:val="Abbreviation"/>
        <w:spacing w:before="60"/>
        <w:ind w:left="1843" w:hanging="1843"/>
      </w:pPr>
      <w:r>
        <w:t>IC</w:t>
      </w:r>
      <w:r>
        <w:tab/>
        <w:t>Industry Commission</w:t>
      </w:r>
    </w:p>
    <w:p w:rsidR="0070402B" w:rsidRDefault="0070402B" w:rsidP="00D37FEF">
      <w:pPr>
        <w:pStyle w:val="Abbreviation"/>
        <w:spacing w:before="60"/>
        <w:ind w:left="1843" w:hanging="1843"/>
      </w:pPr>
      <w:proofErr w:type="spellStart"/>
      <w:r>
        <w:t>LSAC</w:t>
      </w:r>
      <w:proofErr w:type="spellEnd"/>
      <w:r>
        <w:tab/>
        <w:t>Longitudinal Study of Australian Children</w:t>
      </w:r>
    </w:p>
    <w:p w:rsidR="0070402B" w:rsidRDefault="0070402B" w:rsidP="00D37FEF">
      <w:pPr>
        <w:pStyle w:val="Abbreviation"/>
        <w:spacing w:before="60"/>
        <w:ind w:left="1843" w:hanging="1843"/>
      </w:pPr>
      <w:proofErr w:type="spellStart"/>
      <w:r>
        <w:t>LSAY</w:t>
      </w:r>
      <w:proofErr w:type="spellEnd"/>
      <w:r>
        <w:t xml:space="preserve"> </w:t>
      </w:r>
      <w:r>
        <w:tab/>
        <w:t>Longitudinal Survey</w:t>
      </w:r>
      <w:r w:rsidR="00900E87">
        <w:t>s</w:t>
      </w:r>
      <w:r>
        <w:t xml:space="preserve"> of Australian Youth</w:t>
      </w:r>
    </w:p>
    <w:p w:rsidR="0070402B" w:rsidRDefault="0070402B" w:rsidP="00D37FEF">
      <w:pPr>
        <w:pStyle w:val="Abbreviation"/>
        <w:spacing w:before="60"/>
        <w:ind w:left="1843" w:hanging="1843"/>
      </w:pPr>
      <w:proofErr w:type="spellStart"/>
      <w:r>
        <w:t>NATSEM</w:t>
      </w:r>
      <w:proofErr w:type="spellEnd"/>
      <w:r>
        <w:tab/>
        <w:t>National Centre for Social and Economic Modelling</w:t>
      </w:r>
    </w:p>
    <w:p w:rsidR="00E803D4" w:rsidRDefault="00E803D4" w:rsidP="00D37FEF">
      <w:pPr>
        <w:pStyle w:val="Abbreviation"/>
        <w:spacing w:before="60"/>
        <w:ind w:left="1843" w:hanging="1843"/>
      </w:pPr>
      <w:proofErr w:type="spellStart"/>
      <w:r>
        <w:t>NESB</w:t>
      </w:r>
      <w:proofErr w:type="spellEnd"/>
      <w:r>
        <w:tab/>
        <w:t>Non</w:t>
      </w:r>
      <w:r>
        <w:noBreakHyphen/>
        <w:t>English Speaking Background</w:t>
      </w:r>
    </w:p>
    <w:p w:rsidR="0070402B" w:rsidRDefault="0070402B" w:rsidP="00D37FEF">
      <w:pPr>
        <w:pStyle w:val="Abbreviation"/>
        <w:spacing w:before="60"/>
        <w:ind w:left="1843" w:hanging="1843"/>
      </w:pPr>
      <w:r>
        <w:t>OECD</w:t>
      </w:r>
      <w:r>
        <w:tab/>
      </w:r>
      <w:r w:rsidR="001D4655">
        <w:rPr>
          <w:szCs w:val="26"/>
        </w:rPr>
        <w:t xml:space="preserve">Organization for Economic Cooperation and Development </w:t>
      </w:r>
    </w:p>
    <w:p w:rsidR="0070402B" w:rsidRDefault="0070402B" w:rsidP="00D37FEF">
      <w:pPr>
        <w:pStyle w:val="Abbreviation"/>
        <w:spacing w:before="60"/>
        <w:ind w:left="1843" w:hanging="1843"/>
      </w:pPr>
      <w:r>
        <w:t>PC</w:t>
      </w:r>
      <w:r>
        <w:tab/>
        <w:t>Productivity Commission</w:t>
      </w:r>
    </w:p>
    <w:p w:rsidR="0070402B" w:rsidRDefault="0070402B" w:rsidP="00D37FEF">
      <w:pPr>
        <w:pStyle w:val="Abbreviation"/>
        <w:spacing w:before="60"/>
        <w:ind w:left="1843" w:hanging="1843"/>
      </w:pPr>
      <w:proofErr w:type="spellStart"/>
      <w:r>
        <w:t>PEMA</w:t>
      </w:r>
      <w:proofErr w:type="spellEnd"/>
      <w:r>
        <w:tab/>
        <w:t>Poverty and Exclusion in Modern Australia</w:t>
      </w:r>
    </w:p>
    <w:p w:rsidR="0070402B" w:rsidRDefault="0070402B" w:rsidP="00D37FEF">
      <w:pPr>
        <w:pStyle w:val="Abbreviation"/>
        <w:spacing w:before="60"/>
        <w:ind w:left="1843" w:hanging="1843"/>
      </w:pPr>
      <w:r>
        <w:t>PISA</w:t>
      </w:r>
      <w:r>
        <w:tab/>
      </w:r>
      <w:proofErr w:type="spellStart"/>
      <w:r>
        <w:t>Programme</w:t>
      </w:r>
      <w:proofErr w:type="spellEnd"/>
      <w:r>
        <w:t xml:space="preserve"> of International Student Assessment</w:t>
      </w:r>
    </w:p>
    <w:p w:rsidR="00162D3B" w:rsidRDefault="00162D3B" w:rsidP="00D37FEF">
      <w:pPr>
        <w:pStyle w:val="Abbreviation"/>
        <w:spacing w:before="60"/>
        <w:ind w:left="1843" w:hanging="1843"/>
      </w:pPr>
      <w:r>
        <w:t>RED</w:t>
      </w:r>
      <w:r>
        <w:tab/>
        <w:t>Research Evaluation Database</w:t>
      </w:r>
    </w:p>
    <w:p w:rsidR="00162D3B" w:rsidRDefault="00162D3B" w:rsidP="00D37FEF">
      <w:pPr>
        <w:pStyle w:val="Abbreviation"/>
        <w:spacing w:before="60"/>
        <w:ind w:left="1843" w:hanging="1843"/>
      </w:pPr>
      <w:proofErr w:type="spellStart"/>
      <w:r>
        <w:t>SEIFA</w:t>
      </w:r>
      <w:proofErr w:type="spellEnd"/>
      <w:r>
        <w:tab/>
        <w:t>Socio-Economic Index for Areas</w:t>
      </w:r>
    </w:p>
    <w:p w:rsidR="0070402B" w:rsidRDefault="0070402B" w:rsidP="00D37FEF">
      <w:pPr>
        <w:pStyle w:val="Abbreviation"/>
        <w:spacing w:before="60"/>
        <w:ind w:left="1843" w:hanging="1843"/>
      </w:pPr>
      <w:proofErr w:type="spellStart"/>
      <w:r>
        <w:t>SEM</w:t>
      </w:r>
      <w:proofErr w:type="spellEnd"/>
      <w:r>
        <w:tab/>
        <w:t>Social Exclusion Monitor</w:t>
      </w:r>
    </w:p>
    <w:p w:rsidR="00162D3B" w:rsidRDefault="00162D3B" w:rsidP="00D37FEF">
      <w:pPr>
        <w:pStyle w:val="Abbreviation"/>
        <w:spacing w:before="60"/>
        <w:ind w:left="1843" w:hanging="1843"/>
      </w:pPr>
      <w:r>
        <w:t>SLA</w:t>
      </w:r>
      <w:r>
        <w:tab/>
        <w:t>Statistical Local Areas</w:t>
      </w:r>
    </w:p>
    <w:p w:rsidR="00162D3B" w:rsidRDefault="00162D3B" w:rsidP="00D37FEF">
      <w:pPr>
        <w:pStyle w:val="Abbreviation"/>
        <w:spacing w:before="60"/>
        <w:ind w:left="1843" w:hanging="1843"/>
      </w:pPr>
      <w:proofErr w:type="spellStart"/>
      <w:r>
        <w:t>SLCD</w:t>
      </w:r>
      <w:proofErr w:type="spellEnd"/>
      <w:r>
        <w:tab/>
        <w:t xml:space="preserve">Statistical Longitudinal Census Dataset </w:t>
      </w:r>
    </w:p>
    <w:p w:rsidR="008D1F73" w:rsidRPr="00381859" w:rsidRDefault="0070402B" w:rsidP="00381859">
      <w:pPr>
        <w:pStyle w:val="Abbreviation"/>
        <w:spacing w:before="60"/>
        <w:ind w:left="1843" w:hanging="1843"/>
        <w:rPr>
          <w:b/>
          <w:vanish/>
        </w:rPr>
      </w:pPr>
      <w:proofErr w:type="spellStart"/>
      <w:r>
        <w:t>SPRC</w:t>
      </w:r>
      <w:proofErr w:type="spellEnd"/>
      <w:r>
        <w:tab/>
        <w:t>Social Policy Research Centre</w:t>
      </w:r>
    </w:p>
    <w:sectPr w:rsidR="008D1F73" w:rsidRPr="00381859" w:rsidSect="00C55A45">
      <w:headerReference w:type="even" r:id="rId17"/>
      <w:headerReference w:type="default" r:id="rId18"/>
      <w:footerReference w:type="even" r:id="rId19"/>
      <w:footerReference w:type="default" r:id="rId20"/>
      <w:pgSz w:w="11907" w:h="16840" w:code="9"/>
      <w:pgMar w:top="1332" w:right="1304" w:bottom="1418" w:left="1814" w:header="1701" w:footer="567"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187" w:rsidRDefault="00AA4187">
      <w:r>
        <w:separator/>
      </w:r>
    </w:p>
    <w:p w:rsidR="00AA4187" w:rsidRDefault="00AA4187"/>
    <w:p w:rsidR="00AA4187" w:rsidRDefault="00AA4187"/>
  </w:endnote>
  <w:endnote w:type="continuationSeparator" w:id="0">
    <w:p w:rsidR="00AA4187" w:rsidRDefault="00AA4187">
      <w:r>
        <w:continuationSeparator/>
      </w:r>
    </w:p>
    <w:p w:rsidR="00AA4187" w:rsidRDefault="00AA4187"/>
    <w:p w:rsidR="00AA4187" w:rsidRDefault="00AA4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oudyOlSt BT">
    <w:altName w:val="Georgia"/>
    <w:charset w:val="00"/>
    <w:family w:val="roman"/>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AA4187">
      <w:trPr>
        <w:trHeight w:hRule="exact" w:val="740"/>
      </w:trPr>
      <w:tc>
        <w:tcPr>
          <w:tcW w:w="510" w:type="dxa"/>
          <w:tcBorders>
            <w:top w:val="single" w:sz="6" w:space="0" w:color="auto"/>
          </w:tcBorders>
        </w:tcPr>
        <w:p w:rsidR="00AA4187" w:rsidRPr="008206EE" w:rsidRDefault="00AA4187">
          <w:pPr>
            <w:pStyle w:val="Footer"/>
            <w:rPr>
              <w:rStyle w:val="PageNumber"/>
              <w:caps w:val="0"/>
            </w:rPr>
          </w:pPr>
          <w:r w:rsidRPr="008206EE">
            <w:rPr>
              <w:rStyle w:val="PageNumber"/>
              <w:caps w:val="0"/>
            </w:rPr>
            <w:fldChar w:fldCharType="begin"/>
          </w:r>
          <w:r w:rsidRPr="008206EE">
            <w:rPr>
              <w:rStyle w:val="PageNumber"/>
              <w:caps w:val="0"/>
            </w:rPr>
            <w:instrText xml:space="preserve"> PAGE   \* MERGEFORMAT </w:instrText>
          </w:r>
          <w:r w:rsidRPr="008206EE">
            <w:rPr>
              <w:rStyle w:val="PageNumber"/>
              <w:caps w:val="0"/>
            </w:rPr>
            <w:fldChar w:fldCharType="separate"/>
          </w:r>
          <w:r w:rsidR="003E1C1D">
            <w:rPr>
              <w:rStyle w:val="PageNumber"/>
              <w:caps w:val="0"/>
              <w:noProof/>
            </w:rPr>
            <w:t>vi</w:t>
          </w:r>
          <w:r w:rsidRPr="008206EE">
            <w:rPr>
              <w:rStyle w:val="PageNumber"/>
              <w:caps w:val="0"/>
              <w:noProof/>
            </w:rPr>
            <w:fldChar w:fldCharType="end"/>
          </w:r>
        </w:p>
      </w:tc>
      <w:tc>
        <w:tcPr>
          <w:tcW w:w="1644" w:type="dxa"/>
          <w:tcBorders>
            <w:top w:val="single" w:sz="6" w:space="0" w:color="auto"/>
          </w:tcBorders>
        </w:tcPr>
        <w:p w:rsidR="00AA4187" w:rsidRDefault="00E17450">
          <w:pPr>
            <w:pStyle w:val="Footer"/>
          </w:pPr>
          <w:fldSimple w:instr=" STYLEREF &quot;Heading 1 Not TOC&quot; \* MERGEFORMAT ">
            <w:r w:rsidR="003E1C1D">
              <w:rPr>
                <w:noProof/>
              </w:rPr>
              <w:t>Contents</w:t>
            </w:r>
          </w:fldSimple>
        </w:p>
      </w:tc>
      <w:tc>
        <w:tcPr>
          <w:tcW w:w="6634" w:type="dxa"/>
        </w:tcPr>
        <w:p w:rsidR="00AA4187" w:rsidRDefault="00AA4187">
          <w:pPr>
            <w:pStyle w:val="Footer"/>
            <w:rPr>
              <w:caps w:val="0"/>
            </w:rPr>
          </w:pPr>
        </w:p>
      </w:tc>
    </w:tr>
  </w:tbl>
  <w:p w:rsidR="00AA4187" w:rsidRDefault="00AA4187">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AA4187" w:rsidTr="008F7DB7">
      <w:trPr>
        <w:trHeight w:hRule="exact" w:val="740"/>
      </w:trPr>
      <w:tc>
        <w:tcPr>
          <w:tcW w:w="6634" w:type="dxa"/>
        </w:tcPr>
        <w:p w:rsidR="00AA4187" w:rsidRDefault="00AA4187">
          <w:pPr>
            <w:pStyle w:val="Footer"/>
          </w:pPr>
        </w:p>
      </w:tc>
      <w:tc>
        <w:tcPr>
          <w:tcW w:w="1644" w:type="dxa"/>
          <w:tcBorders>
            <w:top w:val="single" w:sz="6" w:space="0" w:color="auto"/>
          </w:tcBorders>
        </w:tcPr>
        <w:p w:rsidR="00AA4187" w:rsidRPr="008F7DB7" w:rsidRDefault="00AA4187">
          <w:pPr>
            <w:pStyle w:val="Footer"/>
            <w:rPr>
              <w:rStyle w:val="PageNumber"/>
              <w:noProof/>
            </w:rPr>
          </w:pPr>
          <w:r w:rsidRPr="008F7DB7">
            <w:rPr>
              <w:noProof/>
            </w:rPr>
            <w:fldChar w:fldCharType="begin"/>
          </w:r>
          <w:r w:rsidRPr="008F7DB7">
            <w:rPr>
              <w:noProof/>
            </w:rPr>
            <w:instrText xml:space="preserve"> STYLEREF "Heading 1 Not TOC" \* MERGEFORMAT </w:instrText>
          </w:r>
          <w:r w:rsidRPr="008F7DB7">
            <w:rPr>
              <w:noProof/>
            </w:rPr>
            <w:fldChar w:fldCharType="separate"/>
          </w:r>
          <w:r w:rsidR="003E1C1D">
            <w:rPr>
              <w:noProof/>
            </w:rPr>
            <w:t>Contents</w:t>
          </w:r>
          <w:r w:rsidRPr="008F7DB7">
            <w:rPr>
              <w:noProof/>
            </w:rPr>
            <w:fldChar w:fldCharType="end"/>
          </w:r>
        </w:p>
      </w:tc>
      <w:tc>
        <w:tcPr>
          <w:tcW w:w="510" w:type="dxa"/>
          <w:tcBorders>
            <w:top w:val="single" w:sz="6" w:space="0" w:color="auto"/>
          </w:tcBorders>
        </w:tcPr>
        <w:p w:rsidR="00AA4187" w:rsidRPr="00C55A45" w:rsidRDefault="00AA4187">
          <w:pPr>
            <w:pStyle w:val="Footer"/>
            <w:jc w:val="right"/>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3E1C1D">
            <w:rPr>
              <w:rStyle w:val="PageNumber"/>
              <w:caps w:val="0"/>
              <w:noProof/>
            </w:rPr>
            <w:t>vii</w:t>
          </w:r>
          <w:r w:rsidRPr="00C55A45">
            <w:rPr>
              <w:rStyle w:val="PageNumber"/>
              <w:caps w:val="0"/>
              <w:noProof/>
            </w:rPr>
            <w:fldChar w:fldCharType="end"/>
          </w:r>
        </w:p>
      </w:tc>
    </w:tr>
  </w:tbl>
  <w:p w:rsidR="00AA4187" w:rsidRDefault="00AA4187">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830"/>
      <w:gridCol w:w="6448"/>
    </w:tblGrid>
    <w:tr w:rsidR="00AA4187">
      <w:trPr>
        <w:trHeight w:hRule="exact" w:val="740"/>
      </w:trPr>
      <w:tc>
        <w:tcPr>
          <w:tcW w:w="510" w:type="dxa"/>
          <w:tcBorders>
            <w:top w:val="single" w:sz="4" w:space="0" w:color="auto"/>
          </w:tcBorders>
        </w:tcPr>
        <w:p w:rsidR="00AA4187" w:rsidRPr="00381859" w:rsidRDefault="00AA4187">
          <w:pPr>
            <w:pStyle w:val="Footer"/>
            <w:tabs>
              <w:tab w:val="left" w:pos="0"/>
            </w:tabs>
            <w:ind w:right="0"/>
            <w:rPr>
              <w:rStyle w:val="PageNumber"/>
              <w:caps w:val="0"/>
            </w:rPr>
          </w:pPr>
          <w:r w:rsidRPr="00381859">
            <w:rPr>
              <w:rStyle w:val="PageNumber"/>
              <w:caps w:val="0"/>
            </w:rPr>
            <w:fldChar w:fldCharType="begin"/>
          </w:r>
          <w:r w:rsidRPr="00381859">
            <w:rPr>
              <w:rStyle w:val="PageNumber"/>
              <w:caps w:val="0"/>
            </w:rPr>
            <w:instrText xml:space="preserve">PAGE  </w:instrText>
          </w:r>
          <w:r w:rsidRPr="00381859">
            <w:rPr>
              <w:rStyle w:val="PageNumber"/>
              <w:caps w:val="0"/>
            </w:rPr>
            <w:fldChar w:fldCharType="separate"/>
          </w:r>
          <w:r w:rsidR="003E1C1D">
            <w:rPr>
              <w:rStyle w:val="PageNumber"/>
              <w:caps w:val="0"/>
              <w:noProof/>
            </w:rPr>
            <w:t>viii</w:t>
          </w:r>
          <w:r w:rsidRPr="00381859">
            <w:rPr>
              <w:rStyle w:val="PageNumber"/>
              <w:caps w:val="0"/>
            </w:rPr>
            <w:fldChar w:fldCharType="end"/>
          </w:r>
        </w:p>
      </w:tc>
      <w:tc>
        <w:tcPr>
          <w:tcW w:w="1830" w:type="dxa"/>
          <w:tcBorders>
            <w:top w:val="single" w:sz="6" w:space="0" w:color="auto"/>
          </w:tcBorders>
        </w:tcPr>
        <w:p w:rsidR="00AA4187" w:rsidRDefault="00E17450">
          <w:pPr>
            <w:pStyle w:val="Footer"/>
          </w:pPr>
          <w:fldSimple w:instr=" STYLEREF &quot;Heading 1&quot; \* MERGEFORMAT ">
            <w:r w:rsidR="003E1C1D">
              <w:rPr>
                <w:noProof/>
              </w:rPr>
              <w:t>Acknowledgments</w:t>
            </w:r>
          </w:fldSimple>
        </w:p>
      </w:tc>
      <w:tc>
        <w:tcPr>
          <w:tcW w:w="6448" w:type="dxa"/>
        </w:tcPr>
        <w:p w:rsidR="00AA4187" w:rsidRDefault="00AA4187">
          <w:pPr>
            <w:pStyle w:val="Footer"/>
          </w:pPr>
        </w:p>
      </w:tc>
    </w:tr>
  </w:tbl>
  <w:p w:rsidR="00AA4187" w:rsidRDefault="00AA4187">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480"/>
      <w:gridCol w:w="1798"/>
      <w:gridCol w:w="510"/>
    </w:tblGrid>
    <w:tr w:rsidR="00AA4187">
      <w:trPr>
        <w:trHeight w:hRule="exact" w:val="740"/>
      </w:trPr>
      <w:tc>
        <w:tcPr>
          <w:tcW w:w="6480" w:type="dxa"/>
        </w:tcPr>
        <w:p w:rsidR="00AA4187" w:rsidRDefault="00AA4187">
          <w:pPr>
            <w:pStyle w:val="Footer"/>
          </w:pPr>
        </w:p>
      </w:tc>
      <w:tc>
        <w:tcPr>
          <w:tcW w:w="1798" w:type="dxa"/>
          <w:tcBorders>
            <w:top w:val="single" w:sz="6" w:space="0" w:color="auto"/>
          </w:tcBorders>
        </w:tcPr>
        <w:p w:rsidR="00AA4187" w:rsidRDefault="00E17450">
          <w:pPr>
            <w:pStyle w:val="Footer"/>
            <w:rPr>
              <w:rStyle w:val="PageNumber"/>
              <w:b w:val="0"/>
            </w:rPr>
          </w:pPr>
          <w:fldSimple w:instr=" STYLEREF &quot;Heading 1&quot; \* MERGEFORMAT ">
            <w:r w:rsidR="00CA54C0">
              <w:rPr>
                <w:noProof/>
              </w:rPr>
              <w:t>Acknowledgments</w:t>
            </w:r>
          </w:fldSimple>
        </w:p>
      </w:tc>
      <w:tc>
        <w:tcPr>
          <w:tcW w:w="510" w:type="dxa"/>
          <w:tcBorders>
            <w:top w:val="single" w:sz="6" w:space="0" w:color="auto"/>
          </w:tcBorders>
        </w:tcPr>
        <w:p w:rsidR="00AA4187" w:rsidRPr="00A10FFE" w:rsidRDefault="00AA4187" w:rsidP="00162D3B">
          <w:pPr>
            <w:pStyle w:val="PartTitle"/>
            <w:spacing w:before="80" w:after="0" w:line="200" w:lineRule="exact"/>
            <w:ind w:right="6"/>
            <w:rPr>
              <w:rStyle w:val="PageNumber"/>
              <w:smallCaps w:val="0"/>
            </w:rPr>
          </w:pPr>
          <w:r w:rsidRPr="00A10FFE">
            <w:rPr>
              <w:rStyle w:val="PageNumber"/>
              <w:smallCaps w:val="0"/>
            </w:rPr>
            <w:fldChar w:fldCharType="begin"/>
          </w:r>
          <w:r w:rsidRPr="00A10FFE">
            <w:rPr>
              <w:rStyle w:val="PageNumber"/>
              <w:smallCaps w:val="0"/>
            </w:rPr>
            <w:instrText xml:space="preserve">PAGE  </w:instrText>
          </w:r>
          <w:r w:rsidRPr="00A10FFE">
            <w:rPr>
              <w:rStyle w:val="PageNumber"/>
              <w:smallCaps w:val="0"/>
            </w:rPr>
            <w:fldChar w:fldCharType="separate"/>
          </w:r>
          <w:r>
            <w:rPr>
              <w:rStyle w:val="PageNumber"/>
              <w:smallCaps w:val="0"/>
              <w:noProof/>
            </w:rPr>
            <w:t>ix</w:t>
          </w:r>
          <w:r w:rsidRPr="00A10FFE">
            <w:rPr>
              <w:rStyle w:val="PageNumber"/>
              <w:smallCaps w:val="0"/>
            </w:rPr>
            <w:fldChar w:fldCharType="end"/>
          </w:r>
        </w:p>
      </w:tc>
    </w:tr>
  </w:tbl>
  <w:p w:rsidR="00AA4187" w:rsidRDefault="00AA4187">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758"/>
      <w:gridCol w:w="6634"/>
    </w:tblGrid>
    <w:tr w:rsidR="00AA4187" w:rsidTr="008F7DB7">
      <w:trPr>
        <w:trHeight w:hRule="exact" w:val="740"/>
      </w:trPr>
      <w:tc>
        <w:tcPr>
          <w:tcW w:w="510" w:type="dxa"/>
          <w:tcBorders>
            <w:top w:val="single" w:sz="6" w:space="0" w:color="auto"/>
          </w:tcBorders>
        </w:tcPr>
        <w:p w:rsidR="00AA4187" w:rsidRPr="00C55A45" w:rsidRDefault="00AA4187">
          <w:pPr>
            <w:pStyle w:val="Footer"/>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Pr>
              <w:rStyle w:val="PageNumber"/>
              <w:caps w:val="0"/>
              <w:noProof/>
            </w:rPr>
            <w:t>x</w:t>
          </w:r>
          <w:r w:rsidRPr="00C55A45">
            <w:rPr>
              <w:rStyle w:val="PageNumber"/>
              <w:caps w:val="0"/>
              <w:noProof/>
            </w:rPr>
            <w:fldChar w:fldCharType="end"/>
          </w:r>
        </w:p>
      </w:tc>
      <w:tc>
        <w:tcPr>
          <w:tcW w:w="1758" w:type="dxa"/>
          <w:tcBorders>
            <w:top w:val="single" w:sz="6" w:space="0" w:color="auto"/>
          </w:tcBorders>
        </w:tcPr>
        <w:p w:rsidR="00AA4187" w:rsidRDefault="00AA4187">
          <w:pPr>
            <w:pStyle w:val="Footer"/>
            <w:rPr>
              <w:noProof/>
            </w:rPr>
          </w:pPr>
          <w:r>
            <w:rPr>
              <w:noProof/>
            </w:rPr>
            <w:fldChar w:fldCharType="begin"/>
          </w:r>
          <w:r>
            <w:rPr>
              <w:noProof/>
            </w:rPr>
            <w:instrText xml:space="preserve"> STYLEREF "Heading 1" \* MERGEFORMAT </w:instrText>
          </w:r>
          <w:r>
            <w:rPr>
              <w:noProof/>
            </w:rPr>
            <w:fldChar w:fldCharType="separate"/>
          </w:r>
          <w:r w:rsidR="00CA54C0">
            <w:rPr>
              <w:noProof/>
            </w:rPr>
            <w:t>Acknowledgments</w:t>
          </w:r>
          <w:r>
            <w:rPr>
              <w:noProof/>
            </w:rPr>
            <w:fldChar w:fldCharType="end"/>
          </w:r>
        </w:p>
      </w:tc>
      <w:tc>
        <w:tcPr>
          <w:tcW w:w="6634" w:type="dxa"/>
        </w:tcPr>
        <w:p w:rsidR="00AA4187" w:rsidRDefault="00AA4187">
          <w:pPr>
            <w:pStyle w:val="Footer"/>
            <w:rPr>
              <w:caps w:val="0"/>
            </w:rPr>
          </w:pPr>
        </w:p>
      </w:tc>
    </w:tr>
  </w:tbl>
  <w:p w:rsidR="00AA4187" w:rsidRDefault="00AA4187">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63"/>
      <w:gridCol w:w="1615"/>
      <w:gridCol w:w="510"/>
    </w:tblGrid>
    <w:tr w:rsidR="00AA4187">
      <w:trPr>
        <w:trHeight w:hRule="exact" w:val="740"/>
      </w:trPr>
      <w:tc>
        <w:tcPr>
          <w:tcW w:w="6663" w:type="dxa"/>
        </w:tcPr>
        <w:p w:rsidR="00AA4187" w:rsidRDefault="00AA4187">
          <w:pPr>
            <w:pStyle w:val="Footer"/>
          </w:pPr>
        </w:p>
      </w:tc>
      <w:tc>
        <w:tcPr>
          <w:tcW w:w="1615" w:type="dxa"/>
          <w:tcBorders>
            <w:top w:val="single" w:sz="6" w:space="0" w:color="auto"/>
          </w:tcBorders>
        </w:tcPr>
        <w:p w:rsidR="00AA4187" w:rsidRDefault="00E17450">
          <w:pPr>
            <w:pStyle w:val="Footer"/>
            <w:rPr>
              <w:rStyle w:val="PageNumber"/>
              <w:b w:val="0"/>
            </w:rPr>
          </w:pPr>
          <w:fldSimple w:instr=" STYLEREF &quot;Heading 1&quot; \* MERGEFORMAT ">
            <w:r w:rsidR="003E1C1D">
              <w:rPr>
                <w:noProof/>
              </w:rPr>
              <w:t>Abbreviations</w:t>
            </w:r>
          </w:fldSimple>
        </w:p>
      </w:tc>
      <w:tc>
        <w:tcPr>
          <w:tcW w:w="510" w:type="dxa"/>
          <w:tcBorders>
            <w:top w:val="single" w:sz="6" w:space="0" w:color="auto"/>
          </w:tcBorders>
        </w:tcPr>
        <w:p w:rsidR="00AA4187" w:rsidRPr="00E15FDC" w:rsidRDefault="00AA4187">
          <w:pPr>
            <w:pStyle w:val="Footer"/>
            <w:jc w:val="right"/>
            <w:rPr>
              <w:rStyle w:val="PageNumber"/>
              <w:caps w:val="0"/>
            </w:rPr>
          </w:pPr>
          <w:r w:rsidRPr="00E15FDC">
            <w:rPr>
              <w:rStyle w:val="PageNumber"/>
              <w:caps w:val="0"/>
            </w:rPr>
            <w:fldChar w:fldCharType="begin"/>
          </w:r>
          <w:r w:rsidRPr="00E15FDC">
            <w:rPr>
              <w:rStyle w:val="PageNumber"/>
              <w:caps w:val="0"/>
            </w:rPr>
            <w:instrText xml:space="preserve"> PAGE   \* MERGEFORMAT </w:instrText>
          </w:r>
          <w:r w:rsidRPr="00E15FDC">
            <w:rPr>
              <w:rStyle w:val="PageNumber"/>
              <w:caps w:val="0"/>
            </w:rPr>
            <w:fldChar w:fldCharType="separate"/>
          </w:r>
          <w:r w:rsidR="003E1C1D">
            <w:rPr>
              <w:rStyle w:val="PageNumber"/>
              <w:caps w:val="0"/>
              <w:noProof/>
            </w:rPr>
            <w:t>ix</w:t>
          </w:r>
          <w:r w:rsidRPr="00E15FDC">
            <w:rPr>
              <w:rStyle w:val="PageNumber"/>
              <w:caps w:val="0"/>
              <w:noProof/>
            </w:rPr>
            <w:fldChar w:fldCharType="end"/>
          </w:r>
        </w:p>
      </w:tc>
    </w:tr>
  </w:tbl>
  <w:p w:rsidR="00AA4187" w:rsidRDefault="00AA4187" w:rsidP="00B953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187" w:rsidRDefault="00AA4187">
      <w:r>
        <w:separator/>
      </w:r>
    </w:p>
    <w:p w:rsidR="00AA4187" w:rsidRDefault="00AA4187"/>
    <w:p w:rsidR="00AA4187" w:rsidRDefault="00AA4187"/>
  </w:footnote>
  <w:footnote w:type="continuationSeparator" w:id="0">
    <w:p w:rsidR="00AA4187" w:rsidRDefault="00AA4187">
      <w:r>
        <w:continuationSeparator/>
      </w:r>
    </w:p>
    <w:p w:rsidR="00AA4187" w:rsidRDefault="00AA4187"/>
    <w:p w:rsidR="00AA4187" w:rsidRDefault="00AA41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AA4187">
      <w:tc>
        <w:tcPr>
          <w:tcW w:w="2155" w:type="dxa"/>
          <w:tcBorders>
            <w:top w:val="single" w:sz="24" w:space="0" w:color="auto"/>
          </w:tcBorders>
        </w:tcPr>
        <w:p w:rsidR="00AA4187" w:rsidRDefault="00AA4187">
          <w:pPr>
            <w:pStyle w:val="Header"/>
          </w:pPr>
        </w:p>
      </w:tc>
      <w:tc>
        <w:tcPr>
          <w:tcW w:w="6634" w:type="dxa"/>
          <w:tcBorders>
            <w:top w:val="single" w:sz="6" w:space="0" w:color="auto"/>
          </w:tcBorders>
        </w:tcPr>
        <w:p w:rsidR="00AA4187" w:rsidRDefault="00AA4187">
          <w:pPr>
            <w:pStyle w:val="Header"/>
          </w:pPr>
        </w:p>
      </w:tc>
    </w:tr>
  </w:tbl>
  <w:p w:rsidR="00AA4187" w:rsidRDefault="00AA4187">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AA4187" w:rsidTr="005C68FE">
      <w:tc>
        <w:tcPr>
          <w:tcW w:w="6634" w:type="dxa"/>
          <w:tcBorders>
            <w:top w:val="single" w:sz="6" w:space="0" w:color="auto"/>
          </w:tcBorders>
        </w:tcPr>
        <w:p w:rsidR="00AA4187" w:rsidRDefault="00AA4187" w:rsidP="005C68FE">
          <w:pPr>
            <w:pStyle w:val="HeaderOdd"/>
          </w:pPr>
        </w:p>
      </w:tc>
      <w:tc>
        <w:tcPr>
          <w:tcW w:w="2155" w:type="dxa"/>
          <w:tcBorders>
            <w:top w:val="single" w:sz="24" w:space="0" w:color="auto"/>
          </w:tcBorders>
        </w:tcPr>
        <w:p w:rsidR="00AA4187" w:rsidRDefault="00AA4187" w:rsidP="005C68FE">
          <w:pPr>
            <w:pStyle w:val="HeaderOdd"/>
          </w:pPr>
        </w:p>
      </w:tc>
    </w:tr>
  </w:tbl>
  <w:p w:rsidR="00AA4187" w:rsidRPr="005C68FE" w:rsidRDefault="00AA4187" w:rsidP="005C68FE">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AA4187">
      <w:tc>
        <w:tcPr>
          <w:tcW w:w="2155" w:type="dxa"/>
          <w:tcBorders>
            <w:top w:val="single" w:sz="24" w:space="0" w:color="auto"/>
          </w:tcBorders>
        </w:tcPr>
        <w:p w:rsidR="00AA4187" w:rsidRDefault="00AA4187">
          <w:pPr>
            <w:pStyle w:val="HeaderEven"/>
          </w:pPr>
        </w:p>
      </w:tc>
      <w:tc>
        <w:tcPr>
          <w:tcW w:w="6634" w:type="dxa"/>
          <w:tcBorders>
            <w:top w:val="single" w:sz="6" w:space="0" w:color="auto"/>
          </w:tcBorders>
        </w:tcPr>
        <w:p w:rsidR="00AA4187" w:rsidRDefault="00AA4187">
          <w:pPr>
            <w:pStyle w:val="HeaderEven"/>
          </w:pPr>
        </w:p>
      </w:tc>
    </w:tr>
  </w:tbl>
  <w:p w:rsidR="00AA4187" w:rsidRDefault="00AA4187">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AA4187">
      <w:tc>
        <w:tcPr>
          <w:tcW w:w="6634" w:type="dxa"/>
          <w:tcBorders>
            <w:top w:val="single" w:sz="6" w:space="0" w:color="auto"/>
          </w:tcBorders>
        </w:tcPr>
        <w:p w:rsidR="00AA4187" w:rsidRDefault="00AA4187">
          <w:pPr>
            <w:pStyle w:val="HeaderOdd"/>
          </w:pPr>
        </w:p>
      </w:tc>
      <w:tc>
        <w:tcPr>
          <w:tcW w:w="2155" w:type="dxa"/>
          <w:tcBorders>
            <w:top w:val="single" w:sz="24" w:space="0" w:color="auto"/>
            <w:bottom w:val="nil"/>
          </w:tcBorders>
        </w:tcPr>
        <w:p w:rsidR="00AA4187" w:rsidRDefault="00AA4187">
          <w:pPr>
            <w:pStyle w:val="HeaderOdd"/>
          </w:pPr>
        </w:p>
      </w:tc>
    </w:tr>
  </w:tbl>
  <w:p w:rsidR="00AA4187" w:rsidRDefault="00AA4187">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AA4187" w:rsidTr="005C68FE">
      <w:tc>
        <w:tcPr>
          <w:tcW w:w="2155" w:type="dxa"/>
          <w:tcBorders>
            <w:top w:val="single" w:sz="24" w:space="0" w:color="auto"/>
          </w:tcBorders>
        </w:tcPr>
        <w:p w:rsidR="00AA4187" w:rsidRDefault="00AA4187" w:rsidP="005C68FE">
          <w:pPr>
            <w:pStyle w:val="HeaderEven"/>
          </w:pPr>
        </w:p>
      </w:tc>
      <w:tc>
        <w:tcPr>
          <w:tcW w:w="6634" w:type="dxa"/>
          <w:tcBorders>
            <w:top w:val="single" w:sz="6" w:space="0" w:color="auto"/>
          </w:tcBorders>
        </w:tcPr>
        <w:p w:rsidR="00AA4187" w:rsidRDefault="00AA4187" w:rsidP="005C68FE">
          <w:pPr>
            <w:pStyle w:val="HeaderEven"/>
          </w:pPr>
        </w:p>
      </w:tc>
    </w:tr>
  </w:tbl>
  <w:p w:rsidR="00AA4187" w:rsidRDefault="00AA4187" w:rsidP="00D732FE">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AA4187">
      <w:tc>
        <w:tcPr>
          <w:tcW w:w="6634" w:type="dxa"/>
          <w:tcBorders>
            <w:top w:val="single" w:sz="6" w:space="0" w:color="auto"/>
          </w:tcBorders>
        </w:tcPr>
        <w:p w:rsidR="00AA4187" w:rsidRDefault="00AA4187">
          <w:pPr>
            <w:pStyle w:val="HeaderOdd"/>
          </w:pPr>
        </w:p>
      </w:tc>
      <w:tc>
        <w:tcPr>
          <w:tcW w:w="2155" w:type="dxa"/>
          <w:tcBorders>
            <w:top w:val="single" w:sz="24" w:space="0" w:color="auto"/>
          </w:tcBorders>
        </w:tcPr>
        <w:p w:rsidR="00AA4187" w:rsidRDefault="00AA4187">
          <w:pPr>
            <w:pStyle w:val="HeaderOdd"/>
          </w:pPr>
        </w:p>
      </w:tc>
    </w:tr>
  </w:tbl>
  <w:p w:rsidR="00AA4187" w:rsidRDefault="00AA4187" w:rsidP="00B95339">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DEC02068"/>
    <w:lvl w:ilvl="0">
      <w:numFmt w:val="bullet"/>
      <w:pStyle w:val="ListBullet2"/>
      <w:lvlText w:val="–"/>
      <w:lvlJc w:val="left"/>
      <w:pPr>
        <w:tabs>
          <w:tab w:val="num" w:pos="644"/>
        </w:tabs>
        <w:ind w:left="340" w:hanging="56"/>
      </w:pPr>
      <w:rPr>
        <w:rFonts w:ascii="Times New Roman" w:hAnsi="Times New Roman" w:hint="default"/>
      </w:rPr>
    </w:lvl>
  </w:abstractNum>
  <w:abstractNum w:abstractNumId="8">
    <w:nsid w:val="06214B87"/>
    <w:multiLevelType w:val="singleLevel"/>
    <w:tmpl w:val="E7705C56"/>
    <w:lvl w:ilvl="0">
      <w:numFmt w:val="bullet"/>
      <w:pStyle w:val="BoxListBullet2"/>
      <w:lvlText w:val="–"/>
      <w:lvlJc w:val="left"/>
      <w:pPr>
        <w:tabs>
          <w:tab w:val="num" w:pos="360"/>
        </w:tabs>
        <w:ind w:left="284" w:hanging="284"/>
      </w:pPr>
      <w:rPr>
        <w:rFonts w:ascii="Times New Roman" w:hAnsi="Times New Roman" w:hint="default"/>
      </w:rPr>
    </w:lvl>
  </w:abstractNum>
  <w:abstractNum w:abstractNumId="9">
    <w:nsid w:val="0E116344"/>
    <w:multiLevelType w:val="multilevel"/>
    <w:tmpl w:val="3B188B36"/>
    <w:lvl w:ilvl="0">
      <w:start w:val="1"/>
      <w:numFmt w:val="decimal"/>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2">
    <w:nsid w:val="1AB25CDE"/>
    <w:multiLevelType w:val="singleLevel"/>
    <w:tmpl w:val="3086CA22"/>
    <w:lvl w:ilvl="0">
      <w:start w:val="1"/>
      <w:numFmt w:val="decimal"/>
      <w:lvlText w:val="%1."/>
      <w:legacy w:legacy="1" w:legacySpace="0" w:legacyIndent="340"/>
      <w:lvlJc w:val="left"/>
      <w:pPr>
        <w:ind w:left="340" w:hanging="340"/>
      </w:pPr>
    </w:lvl>
  </w:abstractNum>
  <w:abstractNum w:abstractNumId="13">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4">
    <w:nsid w:val="2F1F7586"/>
    <w:multiLevelType w:val="hybridMultilevel"/>
    <w:tmpl w:val="C956622A"/>
    <w:lvl w:ilvl="0" w:tplc="8D90534E">
      <w:start w:val="1"/>
      <w:numFmt w:val="decimal"/>
      <w:pStyle w:val="BoxListNumb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30E90CE4"/>
    <w:multiLevelType w:val="singleLevel"/>
    <w:tmpl w:val="5FA21F84"/>
    <w:lvl w:ilvl="0">
      <w:start w:val="1"/>
      <w:numFmt w:val="bullet"/>
      <w:pStyle w:val="BoxListBullet"/>
      <w:lvlText w:val=""/>
      <w:lvlJc w:val="left"/>
      <w:pPr>
        <w:tabs>
          <w:tab w:val="num" w:pos="360"/>
        </w:tabs>
        <w:ind w:left="284" w:hanging="284"/>
      </w:pPr>
      <w:rPr>
        <w:rFonts w:ascii="Symbol" w:hAnsi="Symbol" w:hint="default"/>
        <w:sz w:val="18"/>
      </w:rPr>
    </w:lvl>
  </w:abstractNum>
  <w:abstractNum w:abstractNumId="16">
    <w:nsid w:val="54382D6E"/>
    <w:multiLevelType w:val="singleLevel"/>
    <w:tmpl w:val="B7BC21DE"/>
    <w:lvl w:ilvl="0">
      <w:numFmt w:val="bullet"/>
      <w:pStyle w:val="ListBullet"/>
      <w:lvlText w:val=""/>
      <w:lvlJc w:val="left"/>
      <w:pPr>
        <w:tabs>
          <w:tab w:val="num" w:pos="360"/>
        </w:tabs>
        <w:ind w:left="340" w:hanging="340"/>
      </w:pPr>
      <w:rPr>
        <w:rFonts w:ascii="Symbol" w:hAnsi="Symbol" w:hint="default"/>
        <w:sz w:val="18"/>
      </w:rPr>
    </w:lvl>
  </w:abstractNum>
  <w:abstractNum w:abstractNumId="17">
    <w:nsid w:val="543E1FD6"/>
    <w:multiLevelType w:val="singleLevel"/>
    <w:tmpl w:val="D4A092D6"/>
    <w:lvl w:ilvl="0">
      <w:start w:val="1"/>
      <w:numFmt w:val="bullet"/>
      <w:pStyle w:val="TableBullet"/>
      <w:lvlText w:val=""/>
      <w:lvlJc w:val="left"/>
      <w:pPr>
        <w:tabs>
          <w:tab w:val="num" w:pos="360"/>
        </w:tabs>
        <w:ind w:left="170" w:hanging="170"/>
      </w:pPr>
      <w:rPr>
        <w:rFonts w:ascii="Symbol" w:hAnsi="Symbol" w:hint="default"/>
        <w:b w:val="0"/>
        <w:i w:val="0"/>
        <w:sz w:val="18"/>
      </w:rPr>
    </w:lvl>
  </w:abstractNum>
  <w:abstractNum w:abstractNumId="18">
    <w:nsid w:val="56107838"/>
    <w:multiLevelType w:val="singleLevel"/>
    <w:tmpl w:val="98765266"/>
    <w:lvl w:ilvl="0">
      <w:start w:val="1"/>
      <w:numFmt w:val="bullet"/>
      <w:pStyle w:val="QuoteBullet"/>
      <w:lvlText w:val=""/>
      <w:lvlJc w:val="left"/>
      <w:pPr>
        <w:tabs>
          <w:tab w:val="num" w:pos="360"/>
        </w:tabs>
        <w:ind w:left="360" w:hanging="360"/>
      </w:pPr>
      <w:rPr>
        <w:rFonts w:ascii="Symbol" w:hAnsi="Symbol" w:hint="default"/>
        <w:sz w:val="18"/>
      </w:rPr>
    </w:lvl>
  </w:abstractNum>
  <w:abstractNum w:abstractNumId="19">
    <w:nsid w:val="643516F3"/>
    <w:multiLevelType w:val="singleLevel"/>
    <w:tmpl w:val="456CB25C"/>
    <w:lvl w:ilvl="0">
      <w:start w:val="1"/>
      <w:numFmt w:val="bullet"/>
      <w:pStyle w:val="ListBullet3"/>
      <w:lvlText w:val=""/>
      <w:lvlJc w:val="left"/>
      <w:pPr>
        <w:tabs>
          <w:tab w:val="num" w:pos="360"/>
        </w:tabs>
        <w:ind w:left="340" w:hanging="340"/>
      </w:pPr>
      <w:rPr>
        <w:rFonts w:ascii="MT Extra" w:hAnsi="MT Extra" w:hint="default"/>
        <w:b w:val="0"/>
        <w:i w:val="0"/>
        <w:sz w:val="16"/>
      </w:rPr>
    </w:lvl>
  </w:abstractNum>
  <w:abstractNum w:abstractNumId="20">
    <w:nsid w:val="6B740744"/>
    <w:multiLevelType w:val="singleLevel"/>
    <w:tmpl w:val="B4744B66"/>
    <w:lvl w:ilvl="0">
      <w:start w:val="1"/>
      <w:numFmt w:val="decimal"/>
      <w:lvlText w:val="%1."/>
      <w:legacy w:legacy="1" w:legacySpace="0" w:legacyIndent="340"/>
      <w:lvlJc w:val="left"/>
      <w:pPr>
        <w:ind w:left="340" w:hanging="340"/>
      </w:pPr>
    </w:lvl>
  </w:abstractNum>
  <w:abstractNum w:abstractNumId="21">
    <w:nsid w:val="7A1373DF"/>
    <w:multiLevelType w:val="singleLevel"/>
    <w:tmpl w:val="798200E0"/>
    <w:lvl w:ilvl="0">
      <w:start w:val="1"/>
      <w:numFmt w:val="bullet"/>
      <w:pStyle w:val="FindingBullet"/>
      <w:lvlText w:val=""/>
      <w:lvlJc w:val="left"/>
      <w:pPr>
        <w:tabs>
          <w:tab w:val="num" w:pos="360"/>
        </w:tabs>
        <w:ind w:left="340" w:hanging="340"/>
      </w:pPr>
      <w:rPr>
        <w:rFonts w:ascii="Symbol" w:hAnsi="Symbol" w:hint="default"/>
        <w:b w:val="0"/>
        <w:i w:val="0"/>
        <w:sz w:val="18"/>
      </w:rPr>
    </w:lvl>
  </w:abstractNum>
  <w:abstractNum w:abstractNumId="22">
    <w:nsid w:val="7BFA7D75"/>
    <w:multiLevelType w:val="singleLevel"/>
    <w:tmpl w:val="FE48DC38"/>
    <w:lvl w:ilvl="0">
      <w:start w:val="1"/>
      <w:numFmt w:val="bullet"/>
      <w:pStyle w:val="RecBullet"/>
      <w:lvlText w:val=""/>
      <w:lvlJc w:val="left"/>
      <w:pPr>
        <w:tabs>
          <w:tab w:val="num" w:pos="36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0"/>
  </w:num>
  <w:num w:numId="13">
    <w:abstractNumId w:val="15"/>
  </w:num>
  <w:num w:numId="14">
    <w:abstractNumId w:val="8"/>
  </w:num>
  <w:num w:numId="15">
    <w:abstractNumId w:val="21"/>
  </w:num>
  <w:num w:numId="16">
    <w:abstractNumId w:val="16"/>
  </w:num>
  <w:num w:numId="17">
    <w:abstractNumId w:val="7"/>
  </w:num>
  <w:num w:numId="18">
    <w:abstractNumId w:val="19"/>
  </w:num>
  <w:num w:numId="19">
    <w:abstractNumId w:val="18"/>
  </w:num>
  <w:num w:numId="20">
    <w:abstractNumId w:val="22"/>
  </w:num>
  <w:num w:numId="21">
    <w:abstractNumId w:val="13"/>
  </w:num>
  <w:num w:numId="22">
    <w:abstractNumId w:val="11"/>
  </w:num>
  <w:num w:numId="23">
    <w:abstractNumId w:val="17"/>
  </w:num>
  <w:num w:numId="24">
    <w:abstractNumId w:val="12"/>
  </w:num>
  <w:num w:numId="25">
    <w:abstractNumId w:val="10"/>
  </w:num>
  <w:num w:numId="26">
    <w:abstractNumId w:val="10"/>
  </w:num>
  <w:num w:numId="27">
    <w:abstractNumId w:val="10"/>
  </w:num>
  <w:num w:numId="28">
    <w:abstractNumId w:val="10"/>
  </w:num>
  <w:num w:numId="29">
    <w:abstractNumId w:val="14"/>
  </w:num>
  <w:num w:numId="30">
    <w:abstractNumId w:val="9"/>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mirrorMargins/>
  <w:proofState w:spelling="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02B"/>
    <w:rsid w:val="00002E28"/>
    <w:rsid w:val="00017AFC"/>
    <w:rsid w:val="00025878"/>
    <w:rsid w:val="00026B38"/>
    <w:rsid w:val="000502D3"/>
    <w:rsid w:val="000623BF"/>
    <w:rsid w:val="00072345"/>
    <w:rsid w:val="00082E6A"/>
    <w:rsid w:val="00095EEA"/>
    <w:rsid w:val="00097C15"/>
    <w:rsid w:val="000B416E"/>
    <w:rsid w:val="000B5B93"/>
    <w:rsid w:val="000F185F"/>
    <w:rsid w:val="000F2F5F"/>
    <w:rsid w:val="0010027F"/>
    <w:rsid w:val="00106041"/>
    <w:rsid w:val="0013399B"/>
    <w:rsid w:val="00162D3B"/>
    <w:rsid w:val="00181F4B"/>
    <w:rsid w:val="00196FB3"/>
    <w:rsid w:val="001A5071"/>
    <w:rsid w:val="001B4E73"/>
    <w:rsid w:val="001B7F1E"/>
    <w:rsid w:val="001D4655"/>
    <w:rsid w:val="001D4B1F"/>
    <w:rsid w:val="001D6629"/>
    <w:rsid w:val="001F2270"/>
    <w:rsid w:val="00203E63"/>
    <w:rsid w:val="00205A82"/>
    <w:rsid w:val="00211BEE"/>
    <w:rsid w:val="002179C6"/>
    <w:rsid w:val="00261607"/>
    <w:rsid w:val="00263DD1"/>
    <w:rsid w:val="00264D3B"/>
    <w:rsid w:val="00265685"/>
    <w:rsid w:val="00281D5F"/>
    <w:rsid w:val="002923AD"/>
    <w:rsid w:val="00296592"/>
    <w:rsid w:val="002A0A4B"/>
    <w:rsid w:val="002B636E"/>
    <w:rsid w:val="002B64D6"/>
    <w:rsid w:val="002C12F5"/>
    <w:rsid w:val="002C255F"/>
    <w:rsid w:val="002D6FCE"/>
    <w:rsid w:val="002E5E17"/>
    <w:rsid w:val="00323E95"/>
    <w:rsid w:val="00381859"/>
    <w:rsid w:val="003B41E0"/>
    <w:rsid w:val="003D624D"/>
    <w:rsid w:val="003E1C1D"/>
    <w:rsid w:val="003E7802"/>
    <w:rsid w:val="0040426A"/>
    <w:rsid w:val="00433C81"/>
    <w:rsid w:val="0044312C"/>
    <w:rsid w:val="00446D6B"/>
    <w:rsid w:val="00457B3F"/>
    <w:rsid w:val="00463022"/>
    <w:rsid w:val="004631D1"/>
    <w:rsid w:val="00481CF0"/>
    <w:rsid w:val="004B492A"/>
    <w:rsid w:val="004C0B0C"/>
    <w:rsid w:val="004E52E2"/>
    <w:rsid w:val="004E6BB4"/>
    <w:rsid w:val="00515D43"/>
    <w:rsid w:val="0052544D"/>
    <w:rsid w:val="00551FB8"/>
    <w:rsid w:val="005537F6"/>
    <w:rsid w:val="00560F43"/>
    <w:rsid w:val="005654D0"/>
    <w:rsid w:val="005A3794"/>
    <w:rsid w:val="005B17AB"/>
    <w:rsid w:val="005C68FE"/>
    <w:rsid w:val="00602523"/>
    <w:rsid w:val="00604351"/>
    <w:rsid w:val="00607D8A"/>
    <w:rsid w:val="0061590F"/>
    <w:rsid w:val="00636497"/>
    <w:rsid w:val="00641AE2"/>
    <w:rsid w:val="0064456A"/>
    <w:rsid w:val="006477E8"/>
    <w:rsid w:val="00650DDA"/>
    <w:rsid w:val="0065126A"/>
    <w:rsid w:val="006802D4"/>
    <w:rsid w:val="00683849"/>
    <w:rsid w:val="00691AB5"/>
    <w:rsid w:val="006B4739"/>
    <w:rsid w:val="006E1E6B"/>
    <w:rsid w:val="006F0EAC"/>
    <w:rsid w:val="006F6A85"/>
    <w:rsid w:val="0070328D"/>
    <w:rsid w:val="0070402B"/>
    <w:rsid w:val="00731F96"/>
    <w:rsid w:val="00734127"/>
    <w:rsid w:val="00735FEA"/>
    <w:rsid w:val="00743460"/>
    <w:rsid w:val="00743A27"/>
    <w:rsid w:val="00753DC6"/>
    <w:rsid w:val="0075578C"/>
    <w:rsid w:val="00766DFB"/>
    <w:rsid w:val="007734B5"/>
    <w:rsid w:val="007809B8"/>
    <w:rsid w:val="007974FB"/>
    <w:rsid w:val="00806E54"/>
    <w:rsid w:val="008206EE"/>
    <w:rsid w:val="008214B1"/>
    <w:rsid w:val="00836ED7"/>
    <w:rsid w:val="008453AC"/>
    <w:rsid w:val="00860D09"/>
    <w:rsid w:val="00862044"/>
    <w:rsid w:val="008C305F"/>
    <w:rsid w:val="008C3AD2"/>
    <w:rsid w:val="008C7C3D"/>
    <w:rsid w:val="008D1F73"/>
    <w:rsid w:val="008D6F66"/>
    <w:rsid w:val="008E1BEA"/>
    <w:rsid w:val="008E43D2"/>
    <w:rsid w:val="008F04C9"/>
    <w:rsid w:val="008F7C50"/>
    <w:rsid w:val="008F7DB7"/>
    <w:rsid w:val="00900E87"/>
    <w:rsid w:val="009064D3"/>
    <w:rsid w:val="00915300"/>
    <w:rsid w:val="00933B0C"/>
    <w:rsid w:val="00935676"/>
    <w:rsid w:val="0098401D"/>
    <w:rsid w:val="009A789F"/>
    <w:rsid w:val="009B12EF"/>
    <w:rsid w:val="009B6185"/>
    <w:rsid w:val="009E1E78"/>
    <w:rsid w:val="00A0194D"/>
    <w:rsid w:val="00A1597D"/>
    <w:rsid w:val="00A20D96"/>
    <w:rsid w:val="00A26988"/>
    <w:rsid w:val="00A46989"/>
    <w:rsid w:val="00A71CE9"/>
    <w:rsid w:val="00A72A19"/>
    <w:rsid w:val="00A75A30"/>
    <w:rsid w:val="00A93C82"/>
    <w:rsid w:val="00AA4187"/>
    <w:rsid w:val="00AA60EC"/>
    <w:rsid w:val="00AB0E38"/>
    <w:rsid w:val="00AB2A48"/>
    <w:rsid w:val="00AC3236"/>
    <w:rsid w:val="00AD4874"/>
    <w:rsid w:val="00AE1F8A"/>
    <w:rsid w:val="00AE5B39"/>
    <w:rsid w:val="00B036B2"/>
    <w:rsid w:val="00B04D19"/>
    <w:rsid w:val="00B153C3"/>
    <w:rsid w:val="00B22087"/>
    <w:rsid w:val="00B722F2"/>
    <w:rsid w:val="00B95339"/>
    <w:rsid w:val="00BB334E"/>
    <w:rsid w:val="00BB5DCF"/>
    <w:rsid w:val="00BF59EA"/>
    <w:rsid w:val="00BF79CD"/>
    <w:rsid w:val="00C01CD1"/>
    <w:rsid w:val="00C0721B"/>
    <w:rsid w:val="00C34C8C"/>
    <w:rsid w:val="00C50792"/>
    <w:rsid w:val="00C55A45"/>
    <w:rsid w:val="00C904D9"/>
    <w:rsid w:val="00C94C06"/>
    <w:rsid w:val="00CA48BF"/>
    <w:rsid w:val="00CA54C0"/>
    <w:rsid w:val="00CB3ACC"/>
    <w:rsid w:val="00CB4745"/>
    <w:rsid w:val="00CD2163"/>
    <w:rsid w:val="00CD4FE7"/>
    <w:rsid w:val="00CD5E6B"/>
    <w:rsid w:val="00CE5D96"/>
    <w:rsid w:val="00CE7344"/>
    <w:rsid w:val="00CF26EE"/>
    <w:rsid w:val="00D310F0"/>
    <w:rsid w:val="00D37AC2"/>
    <w:rsid w:val="00D37FEF"/>
    <w:rsid w:val="00D500A9"/>
    <w:rsid w:val="00D50158"/>
    <w:rsid w:val="00D64121"/>
    <w:rsid w:val="00D705BC"/>
    <w:rsid w:val="00D732FE"/>
    <w:rsid w:val="00D772E9"/>
    <w:rsid w:val="00DA31AB"/>
    <w:rsid w:val="00DA3281"/>
    <w:rsid w:val="00DA6D3E"/>
    <w:rsid w:val="00DC02E8"/>
    <w:rsid w:val="00DC75C7"/>
    <w:rsid w:val="00DC78D3"/>
    <w:rsid w:val="00DF4592"/>
    <w:rsid w:val="00E07FBC"/>
    <w:rsid w:val="00E15FDC"/>
    <w:rsid w:val="00E17450"/>
    <w:rsid w:val="00E2651B"/>
    <w:rsid w:val="00E6632E"/>
    <w:rsid w:val="00E80298"/>
    <w:rsid w:val="00E803D4"/>
    <w:rsid w:val="00E90CF2"/>
    <w:rsid w:val="00ED0F61"/>
    <w:rsid w:val="00ED1FFC"/>
    <w:rsid w:val="00EE73E1"/>
    <w:rsid w:val="00F12107"/>
    <w:rsid w:val="00F13165"/>
    <w:rsid w:val="00F4234E"/>
    <w:rsid w:val="00F7477E"/>
    <w:rsid w:val="00F85393"/>
    <w:rsid w:val="00FA4A24"/>
    <w:rsid w:val="00FC41B4"/>
    <w:rsid w:val="00FC5A6B"/>
    <w:rsid w:val="00FD4728"/>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D37AC2"/>
    <w:pPr>
      <w:spacing w:before="240" w:line="320" w:lineRule="atLeas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rsid w:val="00DC78D3"/>
    <w:pPr>
      <w:numPr>
        <w:numId w:val="13"/>
      </w:numPr>
      <w:tabs>
        <w:tab w:val="clear" w:pos="360"/>
        <w:tab w:val="left" w:pos="284"/>
      </w:tabs>
      <w:spacing w:before="60"/>
      <w:ind w:left="0" w:firstLine="0"/>
    </w:pPr>
  </w:style>
  <w:style w:type="paragraph" w:customStyle="1" w:styleId="BoxListBullet2">
    <w:name w:val="Box List Bullet 2"/>
    <w:basedOn w:val="Box"/>
    <w:pPr>
      <w:numPr>
        <w:numId w:val="14"/>
      </w:numPr>
      <w:tabs>
        <w:tab w:val="left" w:pos="284"/>
        <w:tab w:val="left" w:pos="567"/>
      </w:tabs>
      <w:spacing w:before="60"/>
      <w:ind w:left="568" w:firstLine="0"/>
    </w:pPr>
  </w:style>
  <w:style w:type="paragraph" w:customStyle="1" w:styleId="BoxListNumber">
    <w:name w:val="Box List Number"/>
    <w:basedOn w:val="Box"/>
    <w:rsid w:val="00DC78D3"/>
    <w:pPr>
      <w:numPr>
        <w:numId w:val="29"/>
      </w:numPr>
      <w:tabs>
        <w:tab w:val="num" w:pos="360"/>
      </w:tabs>
      <w:spacing w:before="60"/>
      <w:ind w:left="357" w:hanging="357"/>
    </w:pPr>
  </w:style>
  <w:style w:type="paragraph" w:customStyle="1" w:styleId="BoxListNumber2">
    <w:name w:val="Box List Number 2"/>
    <w:basedOn w:val="Normal"/>
    <w:rsid w:val="00743A27"/>
    <w:pPr>
      <w:keepNext/>
      <w:numPr>
        <w:ilvl w:val="1"/>
        <w:numId w:val="30"/>
      </w:numPr>
      <w:spacing w:before="60" w:line="280" w:lineRule="atLeast"/>
      <w:jc w:val="both"/>
    </w:pPr>
    <w:rPr>
      <w:rFonts w:ascii="Arial" w:hAnsi="Arial"/>
      <w:sz w:val="22"/>
      <w:lang w:eastAsia="en-AU"/>
    </w:r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041"/>
    <w:pPr>
      <w:spacing w:before="120" w:after="0"/>
      <w:ind w:left="1304" w:hanging="1304"/>
    </w:pPr>
    <w:rPr>
      <w:b w:val="0"/>
    </w:rPr>
  </w:style>
  <w:style w:type="paragraph" w:customStyle="1" w:styleId="BoxSubtitle">
    <w:name w:val="Box Subtitle"/>
    <w:basedOn w:val="BoxTitle"/>
    <w:next w:val="Box"/>
    <w:pPr>
      <w:spacing w:after="80" w:line="200" w:lineRule="exact"/>
      <w:ind w:firstLine="0"/>
    </w:pPr>
    <w:rPr>
      <w:b/>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pPr>
      <w:spacing w:before="80" w:line="200" w:lineRule="exact"/>
      <w:ind w:right="6"/>
    </w:pPr>
    <w:rPr>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041"/>
    <w:rPr>
      <w:b w:val="0"/>
    </w:rPr>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rsid w:val="00D37AC2"/>
    <w:pPr>
      <w:numPr>
        <w:numId w:val="16"/>
      </w:numPr>
      <w:spacing w:before="120"/>
    </w:pPr>
  </w:style>
  <w:style w:type="paragraph" w:styleId="ListBullet2">
    <w:name w:val="List Bullet 2"/>
    <w:basedOn w:val="BodyText"/>
    <w:rsid w:val="00D37AC2"/>
    <w:pPr>
      <w:numPr>
        <w:numId w:val="17"/>
      </w:numPr>
      <w:tabs>
        <w:tab w:val="clear" w:pos="644"/>
        <w:tab w:val="left" w:pos="680"/>
      </w:tabs>
      <w:spacing w:before="120"/>
      <w:ind w:left="680" w:hanging="340"/>
    </w:pPr>
  </w:style>
  <w:style w:type="paragraph" w:styleId="ListBullet3">
    <w:name w:val="List Bullet 3"/>
    <w:basedOn w:val="BodyText"/>
    <w:rsid w:val="00D37AC2"/>
    <w:pPr>
      <w:numPr>
        <w:numId w:val="18"/>
      </w:numPr>
      <w:tabs>
        <w:tab w:val="clear" w:pos="360"/>
        <w:tab w:val="left" w:pos="1021"/>
      </w:tabs>
      <w:spacing w:before="120"/>
      <w:ind w:left="1020"/>
    </w:pPr>
  </w:style>
  <w:style w:type="paragraph" w:styleId="ListNumber">
    <w:name w:val="List Number"/>
    <w:basedOn w:val="BodyText"/>
    <w:rsid w:val="005654D0"/>
    <w:pPr>
      <w:numPr>
        <w:numId w:val="28"/>
      </w:numPr>
      <w:tabs>
        <w:tab w:val="clear" w:pos="340"/>
        <w:tab w:val="num" w:pos="360"/>
      </w:tabs>
      <w:spacing w:before="120"/>
      <w:ind w:left="0" w:firstLine="0"/>
    </w:pPr>
    <w:rPr>
      <w:lang w:eastAsia="en-AU"/>
    </w:rPr>
  </w:style>
  <w:style w:type="paragraph" w:styleId="ListNumber2">
    <w:name w:val="List Number 2"/>
    <w:basedOn w:val="ListNumber"/>
    <w:rsid w:val="000F2F5F"/>
    <w:pPr>
      <w:numPr>
        <w:ilvl w:val="1"/>
      </w:numPr>
      <w:tabs>
        <w:tab w:val="num" w:pos="360"/>
        <w:tab w:val="left" w:pos="794"/>
      </w:tabs>
      <w:ind w:left="0" w:firstLine="0"/>
    </w:pPr>
  </w:style>
  <w:style w:type="paragraph" w:styleId="ListNumber3">
    <w:name w:val="List Number 3"/>
    <w:basedOn w:val="ListNumber2"/>
    <w:rsid w:val="00D37AC2"/>
    <w:pPr>
      <w:numPr>
        <w:ilvl w:val="2"/>
      </w:numPr>
      <w:tabs>
        <w:tab w:val="clear" w:pos="794"/>
      </w:tabs>
    </w:pPr>
  </w:style>
  <w:style w:type="character" w:customStyle="1" w:styleId="NoteLabel">
    <w:name w:val="Note Label"/>
    <w:rPr>
      <w:rFonts w:ascii="Arial" w:hAnsi="Arial"/>
      <w:b/>
      <w:position w:val="6"/>
      <w:sz w:val="18"/>
    </w:rPr>
  </w:style>
  <w:style w:type="character" w:styleId="PageNumber">
    <w:name w:val="page number"/>
    <w:rsid w:val="00C0721B"/>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TOC1"/>
    <w:uiPriority w:val="39"/>
    <w:rsid w:val="00433C81"/>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rsid w:val="00106041"/>
    <w:rPr>
      <w:b w:val="0"/>
    </w:rPr>
  </w:style>
  <w:style w:type="paragraph" w:customStyle="1" w:styleId="TableUnitsRow">
    <w:name w:val="Table Units Row"/>
    <w:basedOn w:val="TableBodyText"/>
    <w:pPr>
      <w:spacing w:before="80" w:after="80"/>
    </w:pPr>
  </w:style>
  <w:style w:type="paragraph" w:styleId="TOC1">
    <w:name w:val="toc 1"/>
    <w:basedOn w:val="Normal"/>
    <w:next w:val="TOC2"/>
    <w:uiPriority w:val="39"/>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link w:val="BodyText"/>
    <w:locked/>
    <w:rsid w:val="00D37AC2"/>
    <w:rPr>
      <w:sz w:val="26"/>
      <w:lang w:eastAsia="en-US"/>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3B41E0"/>
    <w:pPr>
      <w:tabs>
        <w:tab w:val="left" w:pos="866"/>
      </w:tabs>
      <w:spacing w:after="60"/>
    </w:pPr>
    <w:rPr>
      <w:rFonts w:ascii="GoudyOlSt BT" w:hAnsi="GoudyOlSt BT"/>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rPr>
      <w:sz w:val="24"/>
      <w:lang w:eastAsia="en-AU"/>
    </w:rPr>
  </w:style>
  <w:style w:type="paragraph" w:customStyle="1" w:styleId="LetterAddress">
    <w:name w:val="Letter Address"/>
    <w:basedOn w:val="BodyText"/>
    <w:rsid w:val="003B41E0"/>
    <w:pPr>
      <w:spacing w:before="0" w:line="240" w:lineRule="auto"/>
      <w:jc w:val="left"/>
    </w:pPr>
    <w:rPr>
      <w:sz w:val="24"/>
      <w:lang w:eastAsia="en-AU"/>
    </w:rPr>
  </w:style>
  <w:style w:type="paragraph" w:customStyle="1" w:styleId="PCBoxHeading">
    <w:name w:val="PC Box Heading"/>
    <w:basedOn w:val="BodyText"/>
    <w:link w:val="PCBoxHeadingChar"/>
    <w:qFormat/>
    <w:rsid w:val="00F4234E"/>
    <w:pPr>
      <w:pBdr>
        <w:top w:val="single" w:sz="4" w:space="5" w:color="auto"/>
        <w:left w:val="single" w:sz="4" w:space="8" w:color="auto"/>
        <w:bottom w:val="single" w:sz="4" w:space="14" w:color="auto"/>
        <w:right w:val="single" w:sz="4" w:space="8" w:color="auto"/>
      </w:pBdr>
      <w:spacing w:before="120" w:line="240" w:lineRule="auto"/>
      <w:ind w:left="284" w:right="284"/>
    </w:pPr>
    <w:rPr>
      <w:b/>
      <w:i/>
      <w:sz w:val="24"/>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 w:val="24"/>
      <w:szCs w:val="24"/>
    </w:rPr>
  </w:style>
  <w:style w:type="character" w:customStyle="1" w:styleId="PCBoxHeadingChar">
    <w:name w:val="PC Box Heading Char"/>
    <w:basedOn w:val="BodyTextChar"/>
    <w:link w:val="PCBoxHeading"/>
    <w:rsid w:val="00F4234E"/>
    <w:rPr>
      <w:b/>
      <w:i/>
      <w:sz w:val="24"/>
      <w:szCs w:val="24"/>
      <w:lang w:eastAsia="en-US"/>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character" w:customStyle="1" w:styleId="FooterChar">
    <w:name w:val="Footer Char"/>
    <w:basedOn w:val="DefaultParagraphFont"/>
    <w:link w:val="Footer"/>
    <w:rsid w:val="0070402B"/>
    <w:rPr>
      <w:caps/>
      <w:spacing w:val="-4"/>
      <w:sz w:val="16"/>
      <w:lang w:eastAsia="en-US"/>
    </w:rPr>
  </w:style>
  <w:style w:type="character" w:customStyle="1" w:styleId="Heading1Char">
    <w:name w:val="Heading 1 Char"/>
    <w:basedOn w:val="DefaultParagraphFont"/>
    <w:link w:val="Heading1"/>
    <w:rsid w:val="0070402B"/>
    <w:rPr>
      <w:kern w:val="28"/>
      <w:sz w:val="5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D37AC2"/>
    <w:pPr>
      <w:spacing w:before="240" w:line="320" w:lineRule="atLeas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rsid w:val="00DC78D3"/>
    <w:pPr>
      <w:numPr>
        <w:numId w:val="13"/>
      </w:numPr>
      <w:tabs>
        <w:tab w:val="clear" w:pos="360"/>
        <w:tab w:val="left" w:pos="284"/>
      </w:tabs>
      <w:spacing w:before="60"/>
      <w:ind w:left="0" w:firstLine="0"/>
    </w:pPr>
  </w:style>
  <w:style w:type="paragraph" w:customStyle="1" w:styleId="BoxListBullet2">
    <w:name w:val="Box List Bullet 2"/>
    <w:basedOn w:val="Box"/>
    <w:pPr>
      <w:numPr>
        <w:numId w:val="14"/>
      </w:numPr>
      <w:tabs>
        <w:tab w:val="left" w:pos="284"/>
        <w:tab w:val="left" w:pos="567"/>
      </w:tabs>
      <w:spacing w:before="60"/>
      <w:ind w:left="568" w:firstLine="0"/>
    </w:pPr>
  </w:style>
  <w:style w:type="paragraph" w:customStyle="1" w:styleId="BoxListNumber">
    <w:name w:val="Box List Number"/>
    <w:basedOn w:val="Box"/>
    <w:rsid w:val="00DC78D3"/>
    <w:pPr>
      <w:numPr>
        <w:numId w:val="29"/>
      </w:numPr>
      <w:tabs>
        <w:tab w:val="num" w:pos="360"/>
      </w:tabs>
      <w:spacing w:before="60"/>
      <w:ind w:left="357" w:hanging="357"/>
    </w:pPr>
  </w:style>
  <w:style w:type="paragraph" w:customStyle="1" w:styleId="BoxListNumber2">
    <w:name w:val="Box List Number 2"/>
    <w:basedOn w:val="Normal"/>
    <w:rsid w:val="00743A27"/>
    <w:pPr>
      <w:keepNext/>
      <w:numPr>
        <w:ilvl w:val="1"/>
        <w:numId w:val="30"/>
      </w:numPr>
      <w:spacing w:before="60" w:line="280" w:lineRule="atLeast"/>
      <w:jc w:val="both"/>
    </w:pPr>
    <w:rPr>
      <w:rFonts w:ascii="Arial" w:hAnsi="Arial"/>
      <w:sz w:val="22"/>
      <w:lang w:eastAsia="en-AU"/>
    </w:r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041"/>
    <w:pPr>
      <w:spacing w:before="120" w:after="0"/>
      <w:ind w:left="1304" w:hanging="1304"/>
    </w:pPr>
    <w:rPr>
      <w:b w:val="0"/>
    </w:rPr>
  </w:style>
  <w:style w:type="paragraph" w:customStyle="1" w:styleId="BoxSubtitle">
    <w:name w:val="Box Subtitle"/>
    <w:basedOn w:val="BoxTitle"/>
    <w:next w:val="Box"/>
    <w:pPr>
      <w:spacing w:after="80" w:line="200" w:lineRule="exact"/>
      <w:ind w:firstLine="0"/>
    </w:pPr>
    <w:rPr>
      <w:b/>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pPr>
      <w:spacing w:before="80" w:line="200" w:lineRule="exact"/>
      <w:ind w:right="6"/>
    </w:pPr>
    <w:rPr>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041"/>
    <w:rPr>
      <w:b w:val="0"/>
    </w:rPr>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rsid w:val="00D37AC2"/>
    <w:pPr>
      <w:numPr>
        <w:numId w:val="16"/>
      </w:numPr>
      <w:spacing w:before="120"/>
    </w:pPr>
  </w:style>
  <w:style w:type="paragraph" w:styleId="ListBullet2">
    <w:name w:val="List Bullet 2"/>
    <w:basedOn w:val="BodyText"/>
    <w:rsid w:val="00D37AC2"/>
    <w:pPr>
      <w:numPr>
        <w:numId w:val="17"/>
      </w:numPr>
      <w:tabs>
        <w:tab w:val="clear" w:pos="644"/>
        <w:tab w:val="left" w:pos="680"/>
      </w:tabs>
      <w:spacing w:before="120"/>
      <w:ind w:left="680" w:hanging="340"/>
    </w:pPr>
  </w:style>
  <w:style w:type="paragraph" w:styleId="ListBullet3">
    <w:name w:val="List Bullet 3"/>
    <w:basedOn w:val="BodyText"/>
    <w:rsid w:val="00D37AC2"/>
    <w:pPr>
      <w:numPr>
        <w:numId w:val="18"/>
      </w:numPr>
      <w:tabs>
        <w:tab w:val="clear" w:pos="360"/>
        <w:tab w:val="left" w:pos="1021"/>
      </w:tabs>
      <w:spacing w:before="120"/>
      <w:ind w:left="1020"/>
    </w:pPr>
  </w:style>
  <w:style w:type="paragraph" w:styleId="ListNumber">
    <w:name w:val="List Number"/>
    <w:basedOn w:val="BodyText"/>
    <w:rsid w:val="005654D0"/>
    <w:pPr>
      <w:numPr>
        <w:numId w:val="28"/>
      </w:numPr>
      <w:tabs>
        <w:tab w:val="clear" w:pos="340"/>
        <w:tab w:val="num" w:pos="360"/>
      </w:tabs>
      <w:spacing w:before="120"/>
      <w:ind w:left="0" w:firstLine="0"/>
    </w:pPr>
    <w:rPr>
      <w:lang w:eastAsia="en-AU"/>
    </w:rPr>
  </w:style>
  <w:style w:type="paragraph" w:styleId="ListNumber2">
    <w:name w:val="List Number 2"/>
    <w:basedOn w:val="ListNumber"/>
    <w:rsid w:val="000F2F5F"/>
    <w:pPr>
      <w:numPr>
        <w:ilvl w:val="1"/>
      </w:numPr>
      <w:tabs>
        <w:tab w:val="num" w:pos="360"/>
        <w:tab w:val="left" w:pos="794"/>
      </w:tabs>
      <w:ind w:left="0" w:firstLine="0"/>
    </w:pPr>
  </w:style>
  <w:style w:type="paragraph" w:styleId="ListNumber3">
    <w:name w:val="List Number 3"/>
    <w:basedOn w:val="ListNumber2"/>
    <w:rsid w:val="00D37AC2"/>
    <w:pPr>
      <w:numPr>
        <w:ilvl w:val="2"/>
      </w:numPr>
      <w:tabs>
        <w:tab w:val="clear" w:pos="794"/>
      </w:tabs>
    </w:pPr>
  </w:style>
  <w:style w:type="character" w:customStyle="1" w:styleId="NoteLabel">
    <w:name w:val="Note Label"/>
    <w:rPr>
      <w:rFonts w:ascii="Arial" w:hAnsi="Arial"/>
      <w:b/>
      <w:position w:val="6"/>
      <w:sz w:val="18"/>
    </w:rPr>
  </w:style>
  <w:style w:type="character" w:styleId="PageNumber">
    <w:name w:val="page number"/>
    <w:rsid w:val="00C0721B"/>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TOC1"/>
    <w:uiPriority w:val="39"/>
    <w:rsid w:val="00433C81"/>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rsid w:val="00106041"/>
    <w:rPr>
      <w:b w:val="0"/>
    </w:rPr>
  </w:style>
  <w:style w:type="paragraph" w:customStyle="1" w:styleId="TableUnitsRow">
    <w:name w:val="Table Units Row"/>
    <w:basedOn w:val="TableBodyText"/>
    <w:pPr>
      <w:spacing w:before="80" w:after="80"/>
    </w:pPr>
  </w:style>
  <w:style w:type="paragraph" w:styleId="TOC1">
    <w:name w:val="toc 1"/>
    <w:basedOn w:val="Normal"/>
    <w:next w:val="TOC2"/>
    <w:uiPriority w:val="39"/>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link w:val="BodyText"/>
    <w:locked/>
    <w:rsid w:val="00D37AC2"/>
    <w:rPr>
      <w:sz w:val="26"/>
      <w:lang w:eastAsia="en-US"/>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3B41E0"/>
    <w:pPr>
      <w:tabs>
        <w:tab w:val="left" w:pos="866"/>
      </w:tabs>
      <w:spacing w:after="60"/>
    </w:pPr>
    <w:rPr>
      <w:rFonts w:ascii="GoudyOlSt BT" w:hAnsi="GoudyOlSt BT"/>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rPr>
      <w:sz w:val="24"/>
      <w:lang w:eastAsia="en-AU"/>
    </w:rPr>
  </w:style>
  <w:style w:type="paragraph" w:customStyle="1" w:styleId="LetterAddress">
    <w:name w:val="Letter Address"/>
    <w:basedOn w:val="BodyText"/>
    <w:rsid w:val="003B41E0"/>
    <w:pPr>
      <w:spacing w:before="0" w:line="240" w:lineRule="auto"/>
      <w:jc w:val="left"/>
    </w:pPr>
    <w:rPr>
      <w:sz w:val="24"/>
      <w:lang w:eastAsia="en-AU"/>
    </w:rPr>
  </w:style>
  <w:style w:type="paragraph" w:customStyle="1" w:styleId="PCBoxHeading">
    <w:name w:val="PC Box Heading"/>
    <w:basedOn w:val="BodyText"/>
    <w:link w:val="PCBoxHeadingChar"/>
    <w:qFormat/>
    <w:rsid w:val="00F4234E"/>
    <w:pPr>
      <w:pBdr>
        <w:top w:val="single" w:sz="4" w:space="5" w:color="auto"/>
        <w:left w:val="single" w:sz="4" w:space="8" w:color="auto"/>
        <w:bottom w:val="single" w:sz="4" w:space="14" w:color="auto"/>
        <w:right w:val="single" w:sz="4" w:space="8" w:color="auto"/>
      </w:pBdr>
      <w:spacing w:before="120" w:line="240" w:lineRule="auto"/>
      <w:ind w:left="284" w:right="284"/>
    </w:pPr>
    <w:rPr>
      <w:b/>
      <w:i/>
      <w:sz w:val="24"/>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 w:val="24"/>
      <w:szCs w:val="24"/>
    </w:rPr>
  </w:style>
  <w:style w:type="character" w:customStyle="1" w:styleId="PCBoxHeadingChar">
    <w:name w:val="PC Box Heading Char"/>
    <w:basedOn w:val="BodyTextChar"/>
    <w:link w:val="PCBoxHeading"/>
    <w:rsid w:val="00F4234E"/>
    <w:rPr>
      <w:b/>
      <w:i/>
      <w:sz w:val="24"/>
      <w:szCs w:val="24"/>
      <w:lang w:eastAsia="en-US"/>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character" w:customStyle="1" w:styleId="FooterChar">
    <w:name w:val="Footer Char"/>
    <w:basedOn w:val="DefaultParagraphFont"/>
    <w:link w:val="Footer"/>
    <w:rsid w:val="0070402B"/>
    <w:rPr>
      <w:caps/>
      <w:spacing w:val="-4"/>
      <w:sz w:val="16"/>
      <w:lang w:eastAsia="en-US"/>
    </w:rPr>
  </w:style>
  <w:style w:type="character" w:customStyle="1" w:styleId="Heading1Char">
    <w:name w:val="Heading 1 Char"/>
    <w:basedOn w:val="DefaultParagraphFont"/>
    <w:link w:val="Heading1"/>
    <w:rsid w:val="0070402B"/>
    <w:rPr>
      <w:kern w:val="28"/>
      <w:sz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 w:id="453527041">
      <w:bodyDiv w:val="1"/>
      <w:marLeft w:val="0"/>
      <w:marRight w:val="0"/>
      <w:marTop w:val="0"/>
      <w:marBottom w:val="0"/>
      <w:divBdr>
        <w:top w:val="none" w:sz="0" w:space="0" w:color="auto"/>
        <w:left w:val="none" w:sz="0" w:space="0" w:color="auto"/>
        <w:bottom w:val="none" w:sz="0" w:space="0" w:color="auto"/>
        <w:right w:val="none" w:sz="0" w:space="0" w:color="auto"/>
      </w:divBdr>
    </w:div>
    <w:div w:id="73951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prelim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prelims.dotm</Template>
  <TotalTime>0</TotalTime>
  <Pages>9</Pages>
  <Words>1665</Words>
  <Characters>9494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Productivity Commission</vt:lpstr>
    </vt:vector>
  </TitlesOfParts>
  <Company>Productivity Commission</Company>
  <LinksUpToDate>false</LinksUpToDate>
  <CharactersWithSpaces>11137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Productivity Commission</dc:title>
  <dc:creator>Productivity Commission</dc:creator>
  <cp:lastModifiedBy>Productivity Commission</cp:lastModifiedBy>
  <cp:revision>2</cp:revision>
  <cp:lastPrinted>2013-07-16T05:19:00Z</cp:lastPrinted>
  <dcterms:created xsi:type="dcterms:W3CDTF">2013-07-17T00:58:00Z</dcterms:created>
  <dcterms:modified xsi:type="dcterms:W3CDTF">2013-07-17T00:58:00Z</dcterms:modified>
</cp:coreProperties>
</file>