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013" w:rsidRDefault="00F23013">
      <w:pPr>
        <w:pStyle w:val="PartNumber"/>
      </w:pPr>
      <w:bookmarkStart w:id="0" w:name="_Overview"/>
      <w:bookmarkStart w:id="1" w:name="ChapterNumber"/>
      <w:bookmarkEnd w:id="0"/>
    </w:p>
    <w:tbl>
      <w:tblPr>
        <w:tblW w:w="0" w:type="auto"/>
        <w:tblLayout w:type="fixed"/>
        <w:tblCellMar>
          <w:left w:w="0" w:type="dxa"/>
          <w:right w:w="0" w:type="dxa"/>
        </w:tblCellMar>
        <w:tblLook w:val="0000" w:firstRow="0" w:lastRow="0" w:firstColumn="0" w:lastColumn="0" w:noHBand="0" w:noVBand="0"/>
      </w:tblPr>
      <w:tblGrid>
        <w:gridCol w:w="6634"/>
        <w:gridCol w:w="2155"/>
      </w:tblGrid>
      <w:tr w:rsidR="00F23013">
        <w:tc>
          <w:tcPr>
            <w:tcW w:w="6634" w:type="dxa"/>
            <w:tcBorders>
              <w:top w:val="single" w:sz="6" w:space="0" w:color="auto"/>
            </w:tcBorders>
          </w:tcPr>
          <w:p w:rsidR="00F23013" w:rsidRDefault="00F23013">
            <w:pPr>
              <w:pStyle w:val="PartDivider"/>
            </w:pPr>
          </w:p>
        </w:tc>
        <w:tc>
          <w:tcPr>
            <w:tcW w:w="2155" w:type="dxa"/>
            <w:tcBorders>
              <w:top w:val="single" w:sz="24" w:space="0" w:color="auto"/>
            </w:tcBorders>
          </w:tcPr>
          <w:p w:rsidR="00F23013" w:rsidRDefault="00F23013">
            <w:pPr>
              <w:pStyle w:val="PartDivider"/>
            </w:pPr>
          </w:p>
        </w:tc>
      </w:tr>
    </w:tbl>
    <w:p w:rsidR="00F23013" w:rsidRDefault="00F23013">
      <w:pPr>
        <w:pStyle w:val="PartDivider"/>
      </w:pPr>
    </w:p>
    <w:p w:rsidR="00F23013" w:rsidRDefault="00F23013">
      <w:pPr>
        <w:pStyle w:val="PartTitle"/>
      </w:pPr>
      <w:r>
        <w:t>Overview</w:t>
      </w:r>
    </w:p>
    <w:p w:rsidR="00F23013" w:rsidRDefault="00F23013">
      <w:pPr>
        <w:rPr>
          <w:sz w:val="52"/>
          <w:szCs w:val="20"/>
        </w:rPr>
      </w:pPr>
      <w:r>
        <w:br w:type="page"/>
      </w:r>
    </w:p>
    <w:p w:rsidR="00F23013" w:rsidRPr="009F2F4E" w:rsidRDefault="00F23013">
      <w:pPr>
        <w:rPr>
          <w:color w:val="000000" w:themeColor="text1"/>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89"/>
      </w:tblGrid>
      <w:tr w:rsidR="00F23013">
        <w:tc>
          <w:tcPr>
            <w:tcW w:w="8789" w:type="dxa"/>
            <w:tcBorders>
              <w:bottom w:val="nil"/>
            </w:tcBorders>
          </w:tcPr>
          <w:p w:rsidR="00F23013" w:rsidRDefault="00F23013">
            <w:pPr>
              <w:pStyle w:val="BoxTitle"/>
            </w:pPr>
            <w:r>
              <w:t>Key points</w:t>
            </w:r>
          </w:p>
        </w:tc>
      </w:tr>
      <w:tr w:rsidR="00F23013">
        <w:tc>
          <w:tcPr>
            <w:tcW w:w="8789" w:type="dxa"/>
            <w:tcBorders>
              <w:top w:val="nil"/>
              <w:left w:val="single" w:sz="4" w:space="0" w:color="auto"/>
              <w:bottom w:val="nil"/>
              <w:right w:val="single" w:sz="4" w:space="0" w:color="auto"/>
            </w:tcBorders>
          </w:tcPr>
          <w:p w:rsidR="00790A4B" w:rsidRDefault="00790A4B" w:rsidP="00790A4B">
            <w:pPr>
              <w:pStyle w:val="BoxListBullet"/>
            </w:pPr>
            <w:r>
              <w:t xml:space="preserve">Australia has experienced two decades of economic growth and rising average incomes, but some </w:t>
            </w:r>
            <w:r w:rsidR="009F7C09">
              <w:t>in the community</w:t>
            </w:r>
            <w:r w:rsidR="003300E1">
              <w:t xml:space="preserve"> </w:t>
            </w:r>
            <w:r>
              <w:t xml:space="preserve">continue to be </w:t>
            </w:r>
            <w:r w:rsidR="003300E1">
              <w:t>‘</w:t>
            </w:r>
            <w:r>
              <w:t>left behind</w:t>
            </w:r>
            <w:r w:rsidR="003300E1">
              <w:t>’</w:t>
            </w:r>
            <w:r>
              <w:t xml:space="preserve">. </w:t>
            </w:r>
          </w:p>
          <w:p w:rsidR="00790A4B" w:rsidRDefault="00790A4B" w:rsidP="000C6BF4">
            <w:pPr>
              <w:pStyle w:val="BoxListBullet"/>
            </w:pPr>
            <w:r>
              <w:t xml:space="preserve">Disadvantage is </w:t>
            </w:r>
            <w:r w:rsidR="002D4D53">
              <w:t xml:space="preserve">a multi-dimensional concept. It is </w:t>
            </w:r>
            <w:r>
              <w:t>about ‘impoverished lives’ (including a lack of opportunities)</w:t>
            </w:r>
            <w:r w:rsidR="00F067A6">
              <w:t>, not just low income. P</w:t>
            </w:r>
            <w:r>
              <w:t>overty, deprivation</w:t>
            </w:r>
            <w:r w:rsidR="00F067A6">
              <w:t>, capabilities</w:t>
            </w:r>
            <w:r>
              <w:t xml:space="preserve"> and social exclusion </w:t>
            </w:r>
            <w:r w:rsidR="00F067A6">
              <w:t xml:space="preserve">are different lenses to view and measure disadvantage. </w:t>
            </w:r>
          </w:p>
          <w:p w:rsidR="00237CF9" w:rsidRDefault="00237CF9" w:rsidP="00237CF9">
            <w:pPr>
              <w:pStyle w:val="BoxListBullet"/>
              <w:spacing w:before="120"/>
            </w:pPr>
            <w:r>
              <w:t>A number of researchers produce e</w:t>
            </w:r>
            <w:r w:rsidRPr="0048482B">
              <w:t xml:space="preserve">stimates </w:t>
            </w:r>
            <w:r>
              <w:t>of the extent</w:t>
            </w:r>
            <w:r w:rsidRPr="0048482B">
              <w:t xml:space="preserve"> of disadvantage</w:t>
            </w:r>
            <w:r>
              <w:t xml:space="preserve"> in Australia. Each relies on contestable assumptions and thresholds.</w:t>
            </w:r>
          </w:p>
          <w:p w:rsidR="00D76B9D" w:rsidRDefault="00B350E7" w:rsidP="00237CF9">
            <w:pPr>
              <w:pStyle w:val="BoxListBullet"/>
            </w:pPr>
            <w:r>
              <w:t>A</w:t>
            </w:r>
            <w:r w:rsidR="003E562C">
              <w:t>round</w:t>
            </w:r>
            <w:r>
              <w:t xml:space="preserve"> </w:t>
            </w:r>
            <w:r w:rsidR="00237CF9">
              <w:t xml:space="preserve">5 per cent of Australians </w:t>
            </w:r>
            <w:r w:rsidR="006A519D">
              <w:t xml:space="preserve">aged 15 plus </w:t>
            </w:r>
            <w:r w:rsidR="00D76B9D">
              <w:t xml:space="preserve">are estimated to have </w:t>
            </w:r>
            <w:r w:rsidR="00237CF9" w:rsidRPr="008965CA">
              <w:t>experience</w:t>
            </w:r>
            <w:r w:rsidR="00D76B9D">
              <w:t>d</w:t>
            </w:r>
            <w:r w:rsidR="00237CF9" w:rsidRPr="008965CA">
              <w:t xml:space="preserve"> deep </w:t>
            </w:r>
            <w:r w:rsidR="003F48FF">
              <w:t xml:space="preserve">social exclusion </w:t>
            </w:r>
            <w:r w:rsidR="00D76B9D">
              <w:t>in 20</w:t>
            </w:r>
            <w:r w:rsidR="002848F6">
              <w:t>10</w:t>
            </w:r>
            <w:r w:rsidR="00D76B9D">
              <w:t>, fewer than in 2001 (7 per cent</w:t>
            </w:r>
            <w:r w:rsidR="00586FE2">
              <w:t>)</w:t>
            </w:r>
            <w:r w:rsidR="00237CF9">
              <w:t xml:space="preserve">. </w:t>
            </w:r>
            <w:r w:rsidR="00D76B9D">
              <w:t>The rate of very deep exclusion was stable at around 1 per cent</w:t>
            </w:r>
            <w:r w:rsidR="00A060A0">
              <w:t xml:space="preserve"> (Social Exclusion Monitor)</w:t>
            </w:r>
            <w:r w:rsidR="00D76B9D">
              <w:t xml:space="preserve">. </w:t>
            </w:r>
          </w:p>
          <w:p w:rsidR="00237CF9" w:rsidRDefault="00B350E7" w:rsidP="00237CF9">
            <w:pPr>
              <w:pStyle w:val="BoxListBullet"/>
            </w:pPr>
            <w:r>
              <w:t xml:space="preserve">Fewer people </w:t>
            </w:r>
            <w:r w:rsidR="00237CF9">
              <w:t xml:space="preserve">experience </w:t>
            </w:r>
            <w:r>
              <w:t>ongoing d</w:t>
            </w:r>
            <w:r w:rsidR="00237CF9">
              <w:t xml:space="preserve">isadvantage </w:t>
            </w:r>
            <w:r w:rsidR="00D76B9D">
              <w:t xml:space="preserve">— </w:t>
            </w:r>
            <w:r w:rsidR="003D0ABF">
              <w:t>3</w:t>
            </w:r>
            <w:r w:rsidR="00237CF9">
              <w:t xml:space="preserve"> per cent of Australians experienced deep social exclusion for </w:t>
            </w:r>
            <w:r w:rsidR="007B7715">
              <w:t xml:space="preserve">five </w:t>
            </w:r>
            <w:r w:rsidR="00237CF9">
              <w:t>or more</w:t>
            </w:r>
            <w:r w:rsidR="007B7715">
              <w:t xml:space="preserve"> years</w:t>
            </w:r>
            <w:r w:rsidR="00237CF9">
              <w:t xml:space="preserve"> </w:t>
            </w:r>
            <w:r w:rsidR="007B7715">
              <w:t>(between 2001 and 20</w:t>
            </w:r>
            <w:r w:rsidR="003D0ABF">
              <w:t>10</w:t>
            </w:r>
            <w:r w:rsidR="007B7715">
              <w:t>)</w:t>
            </w:r>
            <w:r w:rsidR="00D76B9D">
              <w:t xml:space="preserve"> </w:t>
            </w:r>
            <w:r w:rsidR="00237CF9">
              <w:t>and just under 1 per cent for seven or more years.</w:t>
            </w:r>
          </w:p>
          <w:p w:rsidR="00E64210" w:rsidRDefault="00B350E7" w:rsidP="000C6BF4">
            <w:pPr>
              <w:pStyle w:val="BoxListBullet"/>
            </w:pPr>
            <w:r>
              <w:t xml:space="preserve">People </w:t>
            </w:r>
            <w:r w:rsidR="007B7715">
              <w:t xml:space="preserve">who are </w:t>
            </w:r>
            <w:r w:rsidR="00E64210">
              <w:t>mo</w:t>
            </w:r>
            <w:r>
              <w:t xml:space="preserve">re </w:t>
            </w:r>
            <w:r w:rsidR="00E64210">
              <w:t>likely to experience deep and persistent disadvantage include: lone parents</w:t>
            </w:r>
            <w:r w:rsidR="00BC1DCA">
              <w:t>;</w:t>
            </w:r>
            <w:r w:rsidR="00E64210">
              <w:t xml:space="preserve"> Indigenous Australians</w:t>
            </w:r>
            <w:r w:rsidR="00BC1DCA">
              <w:t>;</w:t>
            </w:r>
            <w:r w:rsidR="00E64210">
              <w:t xml:space="preserve"> people with a long-term health condition or disability</w:t>
            </w:r>
            <w:r w:rsidR="00BC1DCA">
              <w:t>;</w:t>
            </w:r>
            <w:r w:rsidR="00E64210">
              <w:t xml:space="preserve"> and people with low educational attainment</w:t>
            </w:r>
            <w:r w:rsidR="00D243DC">
              <w:t>.</w:t>
            </w:r>
            <w:r w:rsidR="003D4263">
              <w:t xml:space="preserve"> </w:t>
            </w:r>
            <w:r w:rsidR="00D86785">
              <w:t xml:space="preserve">Many are public housing tenants and are weakly attached to the labour market. </w:t>
            </w:r>
          </w:p>
          <w:p w:rsidR="007B7715" w:rsidRDefault="002D4D53" w:rsidP="00D86785">
            <w:pPr>
              <w:pStyle w:val="BoxListBullet"/>
            </w:pPr>
            <w:r>
              <w:t xml:space="preserve">Disadvantage has its roots in </w:t>
            </w:r>
            <w:r w:rsidR="00D86785">
              <w:t>a complex interplay of factors</w:t>
            </w:r>
            <w:r w:rsidR="00324AF2">
              <w:t xml:space="preserve">. </w:t>
            </w:r>
            <w:r w:rsidR="003E562C">
              <w:t xml:space="preserve">Many of these factors, </w:t>
            </w:r>
            <w:r w:rsidR="00324AF2">
              <w:t>when combined</w:t>
            </w:r>
            <w:r w:rsidR="003E562C">
              <w:t>,</w:t>
            </w:r>
            <w:r w:rsidR="00324AF2">
              <w:t xml:space="preserve"> can </w:t>
            </w:r>
            <w:r w:rsidR="0008766A">
              <w:t>have a compounding effect</w:t>
            </w:r>
            <w:r w:rsidR="00D86785">
              <w:t xml:space="preserve">. </w:t>
            </w:r>
            <w:r w:rsidR="007B7715" w:rsidRPr="002A664A">
              <w:t xml:space="preserve">The probability that </w:t>
            </w:r>
            <w:r w:rsidR="00B350E7">
              <w:t xml:space="preserve">any one person </w:t>
            </w:r>
            <w:r w:rsidR="007B7715" w:rsidRPr="002A664A">
              <w:t xml:space="preserve">will experience disadvantage is influenced </w:t>
            </w:r>
            <w:r w:rsidR="007B7715">
              <w:t xml:space="preserve">by: </w:t>
            </w:r>
            <w:r w:rsidR="007B7715" w:rsidRPr="002A664A">
              <w:t>their personal capabilities</w:t>
            </w:r>
            <w:r w:rsidR="00D86785">
              <w:t xml:space="preserve"> and </w:t>
            </w:r>
            <w:r w:rsidR="007B7715" w:rsidRPr="002A664A">
              <w:t xml:space="preserve">family circumstances; the </w:t>
            </w:r>
            <w:r w:rsidR="007B7715">
              <w:t xml:space="preserve">support they receive; the </w:t>
            </w:r>
            <w:r w:rsidR="007B7715" w:rsidRPr="002A664A">
              <w:t xml:space="preserve">community where they live (and the opportunities it offers); </w:t>
            </w:r>
            <w:r w:rsidR="007B7715">
              <w:t xml:space="preserve">life events; </w:t>
            </w:r>
            <w:r w:rsidR="007B7715" w:rsidRPr="002A664A">
              <w:t xml:space="preserve">and the </w:t>
            </w:r>
            <w:r w:rsidR="007B7715">
              <w:t xml:space="preserve">broader economic and social </w:t>
            </w:r>
            <w:r w:rsidR="007B7715" w:rsidRPr="002A664A">
              <w:t xml:space="preserve">environment. </w:t>
            </w:r>
          </w:p>
          <w:p w:rsidR="00DA1A2B" w:rsidRDefault="00D243DC" w:rsidP="00A353D4">
            <w:pPr>
              <w:pStyle w:val="BoxListBullet"/>
            </w:pPr>
            <w:r w:rsidRPr="003B7F77">
              <w:t>A child’s earl</w:t>
            </w:r>
            <w:r w:rsidR="00A353D4" w:rsidRPr="003B7F77">
              <w:t xml:space="preserve">iest </w:t>
            </w:r>
            <w:r w:rsidRPr="003B7F77">
              <w:t>years fundamental</w:t>
            </w:r>
            <w:r w:rsidR="00A353D4" w:rsidRPr="003B7F77">
              <w:t xml:space="preserve">ly shape their life chances. </w:t>
            </w:r>
            <w:r w:rsidR="006A519D">
              <w:t xml:space="preserve">Gaps in capabilities between children from socioeconomically disadvantaged families and their more advantaged peers appear early in life. </w:t>
            </w:r>
            <w:r w:rsidR="00D80E6F" w:rsidRPr="003B7F77">
              <w:t xml:space="preserve">Starting school ‘behind the eight ball’ can begin a cycle of disadvantage </w:t>
            </w:r>
            <w:r w:rsidR="00D602DF">
              <w:t>that sets a trajectory for poorer outcomes later in life.</w:t>
            </w:r>
          </w:p>
          <w:p w:rsidR="00A353D4" w:rsidRDefault="00A353D4" w:rsidP="00DA1A2B">
            <w:pPr>
              <w:pStyle w:val="BoxListBullet"/>
            </w:pPr>
            <w:r>
              <w:t xml:space="preserve">Education is a foundation capability. </w:t>
            </w:r>
            <w:r w:rsidR="00BB3400">
              <w:t xml:space="preserve">It improves a person’s employment prospects and earning capacity, </w:t>
            </w:r>
            <w:r w:rsidR="00D602DF">
              <w:t xml:space="preserve">and </w:t>
            </w:r>
            <w:r w:rsidR="00BB3400">
              <w:t xml:space="preserve">the evidence points to a relationship between education and better health and raised civic and social engagement. </w:t>
            </w:r>
          </w:p>
          <w:p w:rsidR="00A353D4" w:rsidRPr="003B7F77" w:rsidRDefault="00A353D4" w:rsidP="003B7F77">
            <w:pPr>
              <w:pStyle w:val="BoxListBullet"/>
            </w:pPr>
            <w:r w:rsidRPr="003B7F77">
              <w:t>Employment is the route out of disadvantage for most people</w:t>
            </w:r>
            <w:r w:rsidR="00A476CD" w:rsidRPr="003B7F77">
              <w:t xml:space="preserve"> of working age</w:t>
            </w:r>
            <w:r w:rsidRPr="003B7F77">
              <w:t>.</w:t>
            </w:r>
            <w:r w:rsidR="003B7F77" w:rsidRPr="003B7F77">
              <w:t xml:space="preserve"> </w:t>
            </w:r>
          </w:p>
          <w:p w:rsidR="000C6BF4" w:rsidRDefault="00B141D4" w:rsidP="000C6BF4">
            <w:pPr>
              <w:pStyle w:val="BoxListBullet"/>
              <w:rPr>
                <w:lang w:eastAsia="en-US"/>
              </w:rPr>
            </w:pPr>
            <w:r>
              <w:t xml:space="preserve">Disadvantage imposes </w:t>
            </w:r>
            <w:r w:rsidR="0008766A">
              <w:t>c</w:t>
            </w:r>
            <w:r>
              <w:t>osts on people and families who experience it and on the broader community.</w:t>
            </w:r>
            <w:r w:rsidR="0008766A">
              <w:t xml:space="preserve"> </w:t>
            </w:r>
            <w:r w:rsidR="003E562C">
              <w:t>O</w:t>
            </w:r>
            <w:r w:rsidR="00022521">
              <w:t>nly avoidable costs (reductions in disadvantage that are realistically possible) should be included</w:t>
            </w:r>
            <w:r w:rsidR="003E562C">
              <w:t xml:space="preserve"> when estimating the costs of disadvantage</w:t>
            </w:r>
            <w:r w:rsidR="00022521">
              <w:t xml:space="preserve">. </w:t>
            </w:r>
          </w:p>
          <w:p w:rsidR="002E3DDC" w:rsidRDefault="00D80E6F" w:rsidP="00414177">
            <w:pPr>
              <w:pStyle w:val="BoxListBullet"/>
            </w:pPr>
            <w:r>
              <w:t>Longitudinal data is critical to understand</w:t>
            </w:r>
            <w:r w:rsidR="00414177">
              <w:t>ing the d</w:t>
            </w:r>
            <w:r>
              <w:t xml:space="preserve">ynamics of disadvantage. But people who are most disadvantaged are often not well represented in such studies. Administrative data has the potential to provide new knowledge to inform researchers and policy makers about deep and persistent disadvantage. </w:t>
            </w:r>
          </w:p>
        </w:tc>
      </w:tr>
      <w:tr w:rsidR="00F23013">
        <w:tc>
          <w:tcPr>
            <w:tcW w:w="8789" w:type="dxa"/>
            <w:tcBorders>
              <w:top w:val="nil"/>
              <w:bottom w:val="single" w:sz="4" w:space="0" w:color="auto"/>
            </w:tcBorders>
          </w:tcPr>
          <w:p w:rsidR="00F23013" w:rsidRDefault="00F23013">
            <w:pPr>
              <w:pStyle w:val="Box"/>
              <w:spacing w:before="0" w:line="120" w:lineRule="exact"/>
            </w:pPr>
          </w:p>
        </w:tc>
      </w:tr>
      <w:tr w:rsidR="00F23013">
        <w:tc>
          <w:tcPr>
            <w:tcW w:w="8789" w:type="dxa"/>
            <w:tcBorders>
              <w:top w:val="nil"/>
              <w:left w:val="nil"/>
              <w:bottom w:val="nil"/>
              <w:right w:val="nil"/>
            </w:tcBorders>
          </w:tcPr>
          <w:p w:rsidR="00F23013" w:rsidRDefault="00F23013">
            <w:pPr>
              <w:pStyle w:val="Box"/>
              <w:keepNext w:val="0"/>
              <w:spacing w:before="60" w:after="60" w:line="80" w:lineRule="exact"/>
            </w:pPr>
          </w:p>
        </w:tc>
      </w:tr>
    </w:tbl>
    <w:p w:rsidR="00A33DFF" w:rsidRDefault="00F23013" w:rsidP="00F23013">
      <w:pPr>
        <w:pStyle w:val="Heading1"/>
      </w:pPr>
      <w:bookmarkStart w:id="2" w:name="ChapterTitle"/>
      <w:bookmarkEnd w:id="1"/>
      <w:r>
        <w:lastRenderedPageBreak/>
        <w:t>Overview</w:t>
      </w:r>
      <w:bookmarkEnd w:id="2"/>
    </w:p>
    <w:p w:rsidR="00F23013" w:rsidRDefault="00F23013" w:rsidP="00F23013">
      <w:pPr>
        <w:pStyle w:val="BodyText"/>
      </w:pPr>
      <w:r>
        <w:t xml:space="preserve">This </w:t>
      </w:r>
      <w:r w:rsidR="009F7C09">
        <w:t xml:space="preserve">paper </w:t>
      </w:r>
      <w:r>
        <w:t xml:space="preserve">is about disadvantage in Australia, and in particular, about Australians who experience deep and persistent disadvantage. </w:t>
      </w:r>
    </w:p>
    <w:p w:rsidR="00F23013" w:rsidRDefault="00F23013" w:rsidP="00F23013">
      <w:pPr>
        <w:pStyle w:val="BodyText"/>
      </w:pPr>
      <w:r>
        <w:t>Strong economic growth is a way of increasing living standards and opportunities</w:t>
      </w:r>
      <w:r w:rsidR="009F7C09">
        <w:t>. Yet d</w:t>
      </w:r>
      <w:r>
        <w:t xml:space="preserve">espite growing levels of prosperity over the last two decades, and the unemployment rate more than halving, there are concerns within the community that some Australians are being ‘left behind’. </w:t>
      </w:r>
    </w:p>
    <w:p w:rsidR="009B57EB" w:rsidRDefault="00F23013" w:rsidP="00F23013">
      <w:pPr>
        <w:pStyle w:val="BodyText"/>
      </w:pPr>
      <w:r>
        <w:t xml:space="preserve">Headline statistics on Australia’s most disadvantaged people frequently appear in the media, </w:t>
      </w:r>
      <w:r w:rsidR="00B350E7">
        <w:t xml:space="preserve">with the number </w:t>
      </w:r>
      <w:r>
        <w:t>of Australians living below the poverty line</w:t>
      </w:r>
      <w:r w:rsidR="00B350E7">
        <w:t xml:space="preserve"> being often quoted</w:t>
      </w:r>
      <w:r>
        <w:t xml:space="preserve">. </w:t>
      </w:r>
      <w:r w:rsidR="009B57EB">
        <w:t xml:space="preserve">But </w:t>
      </w:r>
      <w:r w:rsidR="007A2188">
        <w:t xml:space="preserve">little </w:t>
      </w:r>
      <w:r w:rsidR="009B57EB">
        <w:t xml:space="preserve">attention </w:t>
      </w:r>
      <w:r w:rsidR="007A2188">
        <w:t xml:space="preserve">is </w:t>
      </w:r>
      <w:r w:rsidR="009B57EB">
        <w:t>given to explaining w</w:t>
      </w:r>
      <w:r>
        <w:t>hat lies behind these statistics, how much of the story they tell</w:t>
      </w:r>
      <w:r w:rsidR="00B84EA2">
        <w:t>,</w:t>
      </w:r>
      <w:r>
        <w:t xml:space="preserve"> </w:t>
      </w:r>
      <w:r w:rsidR="009B57EB">
        <w:t xml:space="preserve">and the judgments that sit behind them. Poverty, </w:t>
      </w:r>
      <w:r>
        <w:t xml:space="preserve">for example, focuses on just one facet of disadvantage </w:t>
      </w:r>
      <w:r w:rsidR="009B57EB">
        <w:t>and the b</w:t>
      </w:r>
      <w:r>
        <w:t xml:space="preserve">asis </w:t>
      </w:r>
      <w:r w:rsidR="009B57EB">
        <w:t xml:space="preserve">for drawing a line between </w:t>
      </w:r>
      <w:r>
        <w:t>those living in poverty and those who are not</w:t>
      </w:r>
      <w:r w:rsidR="009B57EB">
        <w:t xml:space="preserve"> is not always clear. </w:t>
      </w:r>
    </w:p>
    <w:p w:rsidR="00823D4A" w:rsidRDefault="00F23013" w:rsidP="00F23013">
      <w:pPr>
        <w:pStyle w:val="BodyText"/>
      </w:pPr>
      <w:r>
        <w:t xml:space="preserve">Nor is it often explained that many of the headline statistics provide a static picture of disadvantage. But what happens over time matters. For example, people can move in and out of disadvantage relatively quickly — such as when they first enter the workforce — while others can remain disadvantaged for extended periods of time. </w:t>
      </w:r>
      <w:r w:rsidR="00175A7F">
        <w:t>F</w:t>
      </w:r>
      <w:r>
        <w:t xml:space="preserve">ollowing the same people over a number of years is critical to understanding deep and persistent disadvantage. </w:t>
      </w:r>
    </w:p>
    <w:p w:rsidR="00F23013" w:rsidRDefault="00F23013" w:rsidP="00F23013">
      <w:pPr>
        <w:pStyle w:val="BodyText"/>
      </w:pPr>
      <w:r>
        <w:t>Un</w:t>
      </w:r>
      <w:r w:rsidR="00B84EA2">
        <w:t xml:space="preserve">derstanding </w:t>
      </w:r>
      <w:r>
        <w:t>why people become (and remain) disadvantaged</w:t>
      </w:r>
      <w:r w:rsidR="00DB3EC3">
        <w:t>,</w:t>
      </w:r>
      <w:r>
        <w:t xml:space="preserve"> and the consequences of </w:t>
      </w:r>
      <w:r w:rsidR="00DB3EC3">
        <w:t xml:space="preserve">disadvantage, </w:t>
      </w:r>
      <w:r>
        <w:t>is challenging</w:t>
      </w:r>
      <w:r w:rsidR="00A83C3B">
        <w:t>. M</w:t>
      </w:r>
      <w:r>
        <w:t xml:space="preserve">any of the factors are interlinked, and when combined, can have a compounding effect. </w:t>
      </w:r>
      <w:r w:rsidR="00B84EA2">
        <w:t xml:space="preserve">Measuring </w:t>
      </w:r>
      <w:r>
        <w:t xml:space="preserve">the costs of disadvantage, and who bears them, is also far from straightforward. </w:t>
      </w:r>
    </w:p>
    <w:p w:rsidR="00F23013" w:rsidRDefault="00F23013" w:rsidP="00F23013">
      <w:pPr>
        <w:pStyle w:val="BodyText"/>
      </w:pPr>
      <w:r>
        <w:t xml:space="preserve">A lack of understanding about disadvantage can contribute to </w:t>
      </w:r>
      <w:r w:rsidR="00DB3EC3">
        <w:t xml:space="preserve">misplaced </w:t>
      </w:r>
      <w:r>
        <w:t>community concerns</w:t>
      </w:r>
      <w:r w:rsidR="00B84EA2">
        <w:t xml:space="preserve">. It </w:t>
      </w:r>
      <w:r w:rsidR="00823D4A">
        <w:t xml:space="preserve">can </w:t>
      </w:r>
      <w:r w:rsidR="00B84EA2">
        <w:t xml:space="preserve">also </w:t>
      </w:r>
      <w:r>
        <w:t xml:space="preserve">be an impediment to good public policy. </w:t>
      </w:r>
      <w:r w:rsidR="00A83C3B">
        <w:t>Sound p</w:t>
      </w:r>
      <w:r>
        <w:t xml:space="preserve">olicy </w:t>
      </w:r>
      <w:r w:rsidR="00A83C3B">
        <w:t>development should be built on a</w:t>
      </w:r>
      <w:r w:rsidR="009F7C09">
        <w:t>n evidence</w:t>
      </w:r>
      <w:r w:rsidR="009F7C09">
        <w:noBreakHyphen/>
        <w:t xml:space="preserve">based </w:t>
      </w:r>
      <w:r>
        <w:t>understand</w:t>
      </w:r>
      <w:r w:rsidR="00823D4A">
        <w:t>ing</w:t>
      </w:r>
      <w:r>
        <w:t xml:space="preserve"> </w:t>
      </w:r>
      <w:r w:rsidR="00A83C3B">
        <w:t xml:space="preserve">of </w:t>
      </w:r>
      <w:r>
        <w:t>the nature, depth and persistence of disadvantage a</w:t>
      </w:r>
      <w:r w:rsidR="00A83C3B">
        <w:t xml:space="preserve">nd the </w:t>
      </w:r>
      <w:r>
        <w:t>costs</w:t>
      </w:r>
      <w:r w:rsidR="00A83C3B">
        <w:t xml:space="preserve"> it imposes on individuals </w:t>
      </w:r>
      <w:r w:rsidR="000D141D">
        <w:t xml:space="preserve">and the broader </w:t>
      </w:r>
      <w:r>
        <w:t xml:space="preserve">Australian </w:t>
      </w:r>
      <w:r w:rsidR="000D141D">
        <w:t xml:space="preserve">community. </w:t>
      </w:r>
      <w:r>
        <w:t xml:space="preserve">Support for people who are disadvantaged and the funding of programs to overcome disadvantage </w:t>
      </w:r>
      <w:r w:rsidR="00DB3EC3">
        <w:t xml:space="preserve">can </w:t>
      </w:r>
      <w:r>
        <w:t>also involve large amounts of taxpayers</w:t>
      </w:r>
      <w:r w:rsidR="00A476CD">
        <w:t>’</w:t>
      </w:r>
      <w:r>
        <w:t xml:space="preserve"> money.</w:t>
      </w:r>
    </w:p>
    <w:p w:rsidR="00641A43" w:rsidRDefault="00641A43">
      <w:pPr>
        <w:rPr>
          <w:szCs w:val="20"/>
        </w:rPr>
      </w:pPr>
      <w:r>
        <w:br w:type="page"/>
      </w:r>
    </w:p>
    <w:p w:rsidR="00F23013" w:rsidRDefault="00F23013" w:rsidP="00F23013">
      <w:pPr>
        <w:pStyle w:val="BodyText"/>
      </w:pPr>
      <w:r>
        <w:lastRenderedPageBreak/>
        <w:t xml:space="preserve">Against this backdrop, this research </w:t>
      </w:r>
      <w:r w:rsidR="009F7C09">
        <w:t xml:space="preserve">paper </w:t>
      </w:r>
      <w:r>
        <w:t xml:space="preserve">has sought to find answers to a number of questions, including: </w:t>
      </w:r>
    </w:p>
    <w:p w:rsidR="00F23013" w:rsidRDefault="00F23013" w:rsidP="00F23013">
      <w:pPr>
        <w:pStyle w:val="ListBullet"/>
      </w:pPr>
      <w:r>
        <w:t>what does it mean to be disadvantaged?</w:t>
      </w:r>
    </w:p>
    <w:p w:rsidR="00F23013" w:rsidRDefault="00F23013" w:rsidP="00F23013">
      <w:pPr>
        <w:pStyle w:val="ListBullet"/>
      </w:pPr>
      <w:r>
        <w:t>how many Australians are disadvantaged and who are</w:t>
      </w:r>
      <w:r w:rsidR="00A83C3B">
        <w:t xml:space="preserve"> they</w:t>
      </w:r>
      <w:r>
        <w:t xml:space="preserve">? </w:t>
      </w:r>
    </w:p>
    <w:p w:rsidR="00F23013" w:rsidRDefault="00F23013" w:rsidP="00F23013">
      <w:pPr>
        <w:pStyle w:val="ListBullet"/>
      </w:pPr>
      <w:r>
        <w:t>what is the depth and persistence of disadvantage in Australia?</w:t>
      </w:r>
    </w:p>
    <w:p w:rsidR="00F23013" w:rsidRDefault="00F23013" w:rsidP="00F23013">
      <w:pPr>
        <w:pStyle w:val="ListBullet"/>
      </w:pPr>
      <w:r>
        <w:t>where do Australians experiencing disadvantage live?</w:t>
      </w:r>
    </w:p>
    <w:p w:rsidR="00F23013" w:rsidRDefault="00F23013" w:rsidP="00F23013">
      <w:pPr>
        <w:pStyle w:val="ListBullet"/>
      </w:pPr>
      <w:r>
        <w:t xml:space="preserve">what factors influence a person’s risk of experiencing disadvantage? </w:t>
      </w:r>
    </w:p>
    <w:p w:rsidR="00F23013" w:rsidRDefault="00F23013" w:rsidP="00F23013">
      <w:pPr>
        <w:pStyle w:val="ListBullet"/>
      </w:pPr>
      <w:r>
        <w:t xml:space="preserve">what are the costs of disadvantage and who bears them? </w:t>
      </w:r>
    </w:p>
    <w:p w:rsidR="00F23013" w:rsidRPr="003C3686" w:rsidRDefault="00F23013" w:rsidP="00641A43">
      <w:pPr>
        <w:pStyle w:val="Heading2"/>
        <w:spacing w:before="520"/>
      </w:pPr>
      <w:r w:rsidRPr="003C3686">
        <w:t>What does it mean to be disadvantaged?</w:t>
      </w:r>
    </w:p>
    <w:p w:rsidR="000403A0" w:rsidRDefault="00DB3EC3" w:rsidP="00F23013">
      <w:pPr>
        <w:pStyle w:val="BodyText"/>
      </w:pPr>
      <w:r>
        <w:t xml:space="preserve">What it means to be disadvantaged and how to measure it are </w:t>
      </w:r>
      <w:r w:rsidR="000403A0">
        <w:t xml:space="preserve">challenging and </w:t>
      </w:r>
      <w:r w:rsidR="00F23013">
        <w:t xml:space="preserve">contentious issues. </w:t>
      </w:r>
      <w:r>
        <w:t xml:space="preserve">There is no one agreed way to </w:t>
      </w:r>
      <w:r w:rsidR="009F7C09">
        <w:t xml:space="preserve">define </w:t>
      </w:r>
      <w:r>
        <w:t xml:space="preserve">and measure disadvantage. </w:t>
      </w:r>
      <w:r w:rsidR="000403A0">
        <w:t xml:space="preserve">This is </w:t>
      </w:r>
      <w:r w:rsidR="00823D4A">
        <w:t xml:space="preserve">in part </w:t>
      </w:r>
      <w:r w:rsidR="000403A0">
        <w:t xml:space="preserve">because </w:t>
      </w:r>
      <w:r w:rsidR="00F23013">
        <w:t xml:space="preserve">disadvantage involves many aspects of people’s lives and </w:t>
      </w:r>
      <w:r>
        <w:t xml:space="preserve">it </w:t>
      </w:r>
      <w:r w:rsidR="00F23013">
        <w:t xml:space="preserve">is influenced by the values and priorities of different societies. </w:t>
      </w:r>
    </w:p>
    <w:p w:rsidR="00F23013" w:rsidRDefault="006109BA" w:rsidP="00F23013">
      <w:pPr>
        <w:pStyle w:val="BodyText"/>
      </w:pPr>
      <w:r>
        <w:t>R</w:t>
      </w:r>
      <w:r w:rsidR="00F23013">
        <w:t xml:space="preserve">esearchers and policy analysts </w:t>
      </w:r>
      <w:r>
        <w:t xml:space="preserve">adopt a variety of </w:t>
      </w:r>
      <w:r w:rsidR="00F23013">
        <w:t>lens</w:t>
      </w:r>
      <w:r>
        <w:t>es</w:t>
      </w:r>
      <w:r w:rsidR="00F23013">
        <w:t xml:space="preserve"> through which to view and understand this complex phenomenon. </w:t>
      </w:r>
      <w:r w:rsidR="00292D8A">
        <w:t xml:space="preserve">The approaches complement each other </w:t>
      </w:r>
      <w:r w:rsidR="00324AF2">
        <w:t xml:space="preserve">to </w:t>
      </w:r>
      <w:r w:rsidR="00292D8A">
        <w:t>reflect the multi</w:t>
      </w:r>
      <w:r w:rsidR="00CD7241">
        <w:noBreakHyphen/>
      </w:r>
      <w:r w:rsidR="00292D8A">
        <w:t>dimensional nature of disadvantage and the experiences of people</w:t>
      </w:r>
      <w:r w:rsidR="00A83C3B">
        <w:t xml:space="preserve">. </w:t>
      </w:r>
    </w:p>
    <w:p w:rsidR="00F23013" w:rsidRDefault="00F23013" w:rsidP="00641A43">
      <w:pPr>
        <w:pStyle w:val="Heading3"/>
        <w:spacing w:before="500"/>
      </w:pPr>
      <w:r>
        <w:t>Income measures and their limitations</w:t>
      </w:r>
    </w:p>
    <w:p w:rsidR="00F23013" w:rsidRDefault="00F23013" w:rsidP="00F23013">
      <w:pPr>
        <w:pStyle w:val="BodyText"/>
      </w:pPr>
      <w:r>
        <w:t xml:space="preserve">Disadvantage was traditionally </w:t>
      </w:r>
      <w:r w:rsidR="00AB1497">
        <w:t xml:space="preserve">understood as poverty, and </w:t>
      </w:r>
      <w:r>
        <w:t>poverty</w:t>
      </w:r>
      <w:r w:rsidR="00AB1497">
        <w:t xml:space="preserve"> as inadequate resources or low income. </w:t>
      </w:r>
      <w:r>
        <w:t xml:space="preserve">But low income, while relatively easy to measure (and </w:t>
      </w:r>
      <w:r w:rsidR="008F3B37">
        <w:t xml:space="preserve">used </w:t>
      </w:r>
      <w:r>
        <w:t>widely), does not necessarily establish disadvantage. The limitations of income as a measure of disadvantage are well-known. It:</w:t>
      </w:r>
    </w:p>
    <w:p w:rsidR="00F23013" w:rsidRDefault="00F23013" w:rsidP="00F23013">
      <w:pPr>
        <w:pStyle w:val="ListBullet"/>
      </w:pPr>
      <w:r>
        <w:t>is a partial measure taken at a point in time</w:t>
      </w:r>
    </w:p>
    <w:p w:rsidR="00F23013" w:rsidRDefault="00F23013" w:rsidP="00F23013">
      <w:pPr>
        <w:pStyle w:val="ListBullet"/>
      </w:pPr>
      <w:r>
        <w:t>does not capture a household’s access to other resources (</w:t>
      </w:r>
      <w:r w:rsidR="00324AF2">
        <w:t xml:space="preserve">such as </w:t>
      </w:r>
      <w:r w:rsidR="008F3B37">
        <w:t xml:space="preserve">their home, any savings or other </w:t>
      </w:r>
      <w:r>
        <w:t>wealth or support from family and friends) or subsidised goods and services (</w:t>
      </w:r>
      <w:r w:rsidR="00324AF2">
        <w:t xml:space="preserve">such as </w:t>
      </w:r>
      <w:r>
        <w:t>public housing)</w:t>
      </w:r>
    </w:p>
    <w:p w:rsidR="00F23013" w:rsidRDefault="00F23013" w:rsidP="00F23013">
      <w:pPr>
        <w:pStyle w:val="ListBullet"/>
      </w:pPr>
      <w:r>
        <w:t>does not account for varying needs. A threshold level of income that is minimally adequate for most people could leave some with insufficient resources because of special needs (such as the result of sickness or disability), high work-related expenses (such as childcare or transport costs)</w:t>
      </w:r>
      <w:r w:rsidR="00B84EA2">
        <w:t>,</w:t>
      </w:r>
      <w:r>
        <w:t xml:space="preserve"> or where they live </w:t>
      </w:r>
    </w:p>
    <w:p w:rsidR="00F23013" w:rsidRDefault="00F23013" w:rsidP="00F23013">
      <w:pPr>
        <w:pStyle w:val="ListBullet"/>
      </w:pPr>
      <w:r>
        <w:t>fails to capture a range of other circumstances that can contribute to disadvantage, such as poor health</w:t>
      </w:r>
      <w:r w:rsidR="00336BF0">
        <w:t xml:space="preserve"> or </w:t>
      </w:r>
      <w:r w:rsidR="008F0AFA">
        <w:t>a lack of c</w:t>
      </w:r>
      <w:r w:rsidR="00336BF0">
        <w:t xml:space="preserve">onnections with people. </w:t>
      </w:r>
    </w:p>
    <w:p w:rsidR="00F23013" w:rsidRDefault="00F23013" w:rsidP="00F23013">
      <w:pPr>
        <w:pStyle w:val="BodyText"/>
      </w:pPr>
      <w:r>
        <w:lastRenderedPageBreak/>
        <w:t xml:space="preserve">The measurement of relative </w:t>
      </w:r>
      <w:r w:rsidR="006A519D">
        <w:t xml:space="preserve">income </w:t>
      </w:r>
      <w:r>
        <w:t>poverty</w:t>
      </w:r>
      <w:r w:rsidR="0016188B">
        <w:t xml:space="preserve"> (box 1)</w:t>
      </w:r>
      <w:r>
        <w:t xml:space="preserve">, as a proxy for disadvantage, requires the choice of a specific threshold or distance from median income. The specific threshold chosen is somewhat arbitrary. </w:t>
      </w:r>
    </w:p>
    <w:p w:rsidR="0016188B" w:rsidRDefault="0016188B">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16188B">
        <w:tc>
          <w:tcPr>
            <w:tcW w:w="8771" w:type="dxa"/>
            <w:tcBorders>
              <w:top w:val="single" w:sz="6" w:space="0" w:color="auto"/>
              <w:bottom w:val="nil"/>
            </w:tcBorders>
          </w:tcPr>
          <w:p w:rsidR="0016188B" w:rsidRDefault="0016188B" w:rsidP="003B396D">
            <w:pPr>
              <w:pStyle w:val="BoxTitle"/>
            </w:pPr>
            <w:r>
              <w:rPr>
                <w:b w:val="0"/>
              </w:rPr>
              <w:t xml:space="preserve">Box </w:t>
            </w:r>
            <w:r>
              <w:rPr>
                <w:b w:val="0"/>
              </w:rPr>
              <w:fldChar w:fldCharType="begin"/>
            </w:r>
            <w:r>
              <w:rPr>
                <w:b w:val="0"/>
              </w:rPr>
              <w:instrText xml:space="preserve"> COMMENTS  \* MERGEFORMAT </w:instrText>
            </w:r>
            <w:r>
              <w:rPr>
                <w:b w:val="0"/>
              </w:rPr>
              <w:fldChar w:fldCharType="separate"/>
            </w:r>
            <w:r>
              <w:rPr>
                <w:b w:val="0"/>
              </w:rPr>
              <w:t>1</w:t>
            </w:r>
            <w:r>
              <w:rPr>
                <w:b w:val="0"/>
              </w:rPr>
              <w:fldChar w:fldCharType="end"/>
            </w:r>
            <w:r>
              <w:tab/>
            </w:r>
            <w:r w:rsidR="003B396D">
              <w:t xml:space="preserve">Measuring </w:t>
            </w:r>
            <w:r w:rsidR="00A475AB">
              <w:t xml:space="preserve">relative </w:t>
            </w:r>
            <w:r>
              <w:t xml:space="preserve">income poverty </w:t>
            </w:r>
          </w:p>
        </w:tc>
      </w:tr>
      <w:tr w:rsidR="0016188B">
        <w:trPr>
          <w:cantSplit/>
        </w:trPr>
        <w:tc>
          <w:tcPr>
            <w:tcW w:w="8771" w:type="dxa"/>
            <w:tcBorders>
              <w:top w:val="nil"/>
              <w:left w:val="single" w:sz="6" w:space="0" w:color="auto"/>
              <w:bottom w:val="nil"/>
              <w:right w:val="single" w:sz="6" w:space="0" w:color="auto"/>
            </w:tcBorders>
          </w:tcPr>
          <w:p w:rsidR="003B396D" w:rsidRDefault="003B396D" w:rsidP="0016188B">
            <w:pPr>
              <w:pStyle w:val="Box"/>
            </w:pPr>
            <w:r>
              <w:t xml:space="preserve">Identifying ‘who’ </w:t>
            </w:r>
            <w:r w:rsidR="00B61C4E">
              <w:t xml:space="preserve">is </w:t>
            </w:r>
            <w:r>
              <w:t xml:space="preserve">living in poverty requires a measure </w:t>
            </w:r>
            <w:r w:rsidR="006102CE">
              <w:t xml:space="preserve">that uses a threshold </w:t>
            </w:r>
            <w:r>
              <w:t xml:space="preserve">that separates the </w:t>
            </w:r>
            <w:r w:rsidR="003B7F77">
              <w:t xml:space="preserve">disadvantaged </w:t>
            </w:r>
            <w:r>
              <w:t>from the rest of the population.</w:t>
            </w:r>
          </w:p>
          <w:p w:rsidR="00C656A0" w:rsidRDefault="0016188B" w:rsidP="003B396D">
            <w:pPr>
              <w:pStyle w:val="Box"/>
            </w:pPr>
            <w:r>
              <w:t>The relative income poverty approach considers that people are living in poverty if their income is below a certain percentage of middle</w:t>
            </w:r>
            <w:r>
              <w:noBreakHyphen/>
              <w:t xml:space="preserve">level (or median) household income. </w:t>
            </w:r>
          </w:p>
          <w:p w:rsidR="003B396D" w:rsidRDefault="00B35E31" w:rsidP="00DA4723">
            <w:pPr>
              <w:pStyle w:val="Box"/>
            </w:pPr>
            <w:r>
              <w:t xml:space="preserve">The main threshold used by the </w:t>
            </w:r>
            <w:r w:rsidR="000D03A1" w:rsidRPr="000D03A1">
              <w:t>Organi</w:t>
            </w:r>
            <w:r w:rsidR="0040221E">
              <w:t>s</w:t>
            </w:r>
            <w:r w:rsidR="000D03A1" w:rsidRPr="000D03A1">
              <w:t xml:space="preserve">ation for Economic Cooperation and Development </w:t>
            </w:r>
            <w:r w:rsidR="00C656A0" w:rsidRPr="000D03A1">
              <w:t xml:space="preserve">(OECD) </w:t>
            </w:r>
            <w:r>
              <w:t xml:space="preserve">is 50 per cent of median </w:t>
            </w:r>
            <w:proofErr w:type="spellStart"/>
            <w:r>
              <w:t>equivalised</w:t>
            </w:r>
            <w:proofErr w:type="spellEnd"/>
            <w:r>
              <w:t xml:space="preserve"> household income (that is, household income adjust</w:t>
            </w:r>
            <w:r w:rsidR="0040221E">
              <w:t>ed for</w:t>
            </w:r>
            <w:r>
              <w:t xml:space="preserve"> the size and composition of the household). The European Union countries most commonly use a poverty line set at 60 per cent of median income. For this report, a person is said to be in relative income poverty if </w:t>
            </w:r>
            <w:r w:rsidR="006A519D">
              <w:t xml:space="preserve">their </w:t>
            </w:r>
            <w:r>
              <w:t xml:space="preserve">household </w:t>
            </w:r>
            <w:proofErr w:type="spellStart"/>
            <w:r>
              <w:t>equivalised</w:t>
            </w:r>
            <w:proofErr w:type="spellEnd"/>
            <w:r>
              <w:t xml:space="preserve"> income is less than 50 per cent of the median household </w:t>
            </w:r>
            <w:proofErr w:type="spellStart"/>
            <w:r>
              <w:t>equivalised</w:t>
            </w:r>
            <w:proofErr w:type="spellEnd"/>
            <w:r>
              <w:t xml:space="preserve"> income. </w:t>
            </w:r>
            <w:r w:rsidR="00C656A0" w:rsidRPr="000D03A1">
              <w:t xml:space="preserve"> </w:t>
            </w:r>
          </w:p>
        </w:tc>
      </w:tr>
      <w:tr w:rsidR="0016188B">
        <w:trPr>
          <w:cantSplit/>
        </w:trPr>
        <w:tc>
          <w:tcPr>
            <w:tcW w:w="8771" w:type="dxa"/>
            <w:tcBorders>
              <w:top w:val="nil"/>
              <w:left w:val="single" w:sz="6" w:space="0" w:color="auto"/>
              <w:bottom w:val="single" w:sz="6" w:space="0" w:color="auto"/>
              <w:right w:val="single" w:sz="6" w:space="0" w:color="auto"/>
            </w:tcBorders>
          </w:tcPr>
          <w:p w:rsidR="0016188B" w:rsidRDefault="0016188B">
            <w:pPr>
              <w:pStyle w:val="Box"/>
              <w:spacing w:before="0" w:line="120" w:lineRule="exact"/>
            </w:pPr>
          </w:p>
        </w:tc>
      </w:tr>
      <w:tr w:rsidR="0016188B" w:rsidRPr="000863A5">
        <w:tc>
          <w:tcPr>
            <w:tcW w:w="8771" w:type="dxa"/>
            <w:tcBorders>
              <w:top w:val="nil"/>
              <w:left w:val="nil"/>
              <w:bottom w:val="nil"/>
              <w:right w:val="nil"/>
            </w:tcBorders>
          </w:tcPr>
          <w:p w:rsidR="0016188B" w:rsidRPr="00626D32" w:rsidRDefault="0016188B" w:rsidP="0016188B">
            <w:pPr>
              <w:pStyle w:val="BoxSpaceBelow"/>
            </w:pPr>
          </w:p>
        </w:tc>
      </w:tr>
    </w:tbl>
    <w:p w:rsidR="00DA4723" w:rsidRDefault="00DA4723" w:rsidP="00DA4723">
      <w:pPr>
        <w:pStyle w:val="BodyText"/>
      </w:pPr>
      <w:bookmarkStart w:id="3" w:name="begin"/>
      <w:bookmarkEnd w:id="3"/>
      <w:r>
        <w:t xml:space="preserve">Taking household wealth and consumption, as well as income, into account gives a more accurate picture of a household’s command over financial resources. Examining changes over time provides an understanding of how long people experience income poverty. </w:t>
      </w:r>
    </w:p>
    <w:p w:rsidR="00DA4723" w:rsidRDefault="00DA4723" w:rsidP="00DA4723">
      <w:pPr>
        <w:pStyle w:val="BodyText"/>
      </w:pPr>
      <w:r>
        <w:t xml:space="preserve">But the test for disadvantage is really about insufficient outcomes. As Sen (2000) argued, while income has an ‘enormous influence’ on lives, it is ‘impoverished lives, and not just depleted wallets’ that matter. </w:t>
      </w:r>
    </w:p>
    <w:p w:rsidR="000403A0" w:rsidRPr="00CC62A4" w:rsidRDefault="000403A0" w:rsidP="000403A0">
      <w:pPr>
        <w:pStyle w:val="Heading3"/>
      </w:pPr>
      <w:r>
        <w:t>Some broader concepts with a focus on ‘impoverished lives’</w:t>
      </w:r>
    </w:p>
    <w:p w:rsidR="000403A0" w:rsidRDefault="000403A0" w:rsidP="009A6854">
      <w:pPr>
        <w:pStyle w:val="BodyText"/>
      </w:pPr>
      <w:r>
        <w:t>In recognition of the need for a richer conceptualisation of disadvantage, a number of broader concepts have been used</w:t>
      </w:r>
      <w:r w:rsidR="00775158">
        <w:t xml:space="preserve"> </w:t>
      </w:r>
      <w:r>
        <w:t xml:space="preserve">— deprivation, </w:t>
      </w:r>
      <w:r w:rsidR="00856440">
        <w:t xml:space="preserve">capabilities and </w:t>
      </w:r>
      <w:r>
        <w:t>social exclusion (and inclusion)</w:t>
      </w:r>
      <w:r w:rsidR="00856440">
        <w:t xml:space="preserve">. </w:t>
      </w:r>
    </w:p>
    <w:p w:rsidR="000403A0" w:rsidRDefault="000403A0" w:rsidP="000403A0">
      <w:pPr>
        <w:pStyle w:val="Heading4"/>
      </w:pPr>
      <w:r>
        <w:t>Deprivation</w:t>
      </w:r>
    </w:p>
    <w:p w:rsidR="000403A0" w:rsidRDefault="000403A0" w:rsidP="009A6854">
      <w:pPr>
        <w:pStyle w:val="BodyText"/>
        <w:rPr>
          <w:snapToGrid w:val="0"/>
          <w:lang w:val="en-US"/>
        </w:rPr>
      </w:pPr>
      <w:r>
        <w:t xml:space="preserve">Deprivation can be understood as exclusion from the minimum acceptable </w:t>
      </w:r>
      <w:r w:rsidR="008F3B37">
        <w:t xml:space="preserve">standard </w:t>
      </w:r>
      <w:r w:rsidR="00324AF2">
        <w:t xml:space="preserve">of </w:t>
      </w:r>
      <w:r>
        <w:t>li</w:t>
      </w:r>
      <w:r w:rsidR="008F3B37">
        <w:t xml:space="preserve">ving </w:t>
      </w:r>
      <w:r>
        <w:t xml:space="preserve">in one’s own society because of inadequate </w:t>
      </w:r>
      <w:r w:rsidR="00CD7241">
        <w:t xml:space="preserve">access to </w:t>
      </w:r>
      <w:r w:rsidR="00061CED">
        <w:t xml:space="preserve">necessary </w:t>
      </w:r>
      <w:r w:rsidR="00CD7241">
        <w:t xml:space="preserve">items. </w:t>
      </w:r>
      <w:r>
        <w:rPr>
          <w:snapToGrid w:val="0"/>
          <w:lang w:val="en-US"/>
        </w:rPr>
        <w:t>Deprivation measures look at wh</w:t>
      </w:r>
      <w:r w:rsidR="0040221E">
        <w:rPr>
          <w:snapToGrid w:val="0"/>
          <w:lang w:val="en-US"/>
        </w:rPr>
        <w:t>ich</w:t>
      </w:r>
      <w:r>
        <w:rPr>
          <w:snapToGrid w:val="0"/>
          <w:lang w:val="en-US"/>
        </w:rPr>
        <w:t xml:space="preserve"> </w:t>
      </w:r>
      <w:r w:rsidR="00A33D9B">
        <w:rPr>
          <w:snapToGrid w:val="0"/>
          <w:lang w:val="en-US"/>
        </w:rPr>
        <w:t xml:space="preserve">essential items, activities and services </w:t>
      </w:r>
      <w:r>
        <w:rPr>
          <w:snapToGrid w:val="0"/>
          <w:lang w:val="en-US"/>
        </w:rPr>
        <w:t>people do not have</w:t>
      </w:r>
      <w:r w:rsidR="00F545E1">
        <w:rPr>
          <w:snapToGrid w:val="0"/>
          <w:lang w:val="en-US"/>
        </w:rPr>
        <w:t>,</w:t>
      </w:r>
      <w:r>
        <w:rPr>
          <w:snapToGrid w:val="0"/>
          <w:lang w:val="en-US"/>
        </w:rPr>
        <w:t xml:space="preserve"> </w:t>
      </w:r>
      <w:r w:rsidR="00A33D9B">
        <w:rPr>
          <w:snapToGrid w:val="0"/>
          <w:lang w:val="en-US"/>
        </w:rPr>
        <w:t xml:space="preserve">or </w:t>
      </w:r>
      <w:r w:rsidR="008F3B37">
        <w:rPr>
          <w:snapToGrid w:val="0"/>
          <w:lang w:val="en-US"/>
        </w:rPr>
        <w:t xml:space="preserve">are </w:t>
      </w:r>
      <w:r w:rsidR="00F545E1">
        <w:rPr>
          <w:snapToGrid w:val="0"/>
          <w:lang w:val="en-US"/>
        </w:rPr>
        <w:t xml:space="preserve">not </w:t>
      </w:r>
      <w:r w:rsidR="008F3B37">
        <w:rPr>
          <w:snapToGrid w:val="0"/>
          <w:lang w:val="en-US"/>
        </w:rPr>
        <w:t xml:space="preserve">able to </w:t>
      </w:r>
      <w:r w:rsidR="00A33D9B">
        <w:rPr>
          <w:snapToGrid w:val="0"/>
          <w:lang w:val="en-US"/>
        </w:rPr>
        <w:t>access</w:t>
      </w:r>
      <w:r w:rsidR="00F545E1">
        <w:rPr>
          <w:snapToGrid w:val="0"/>
          <w:lang w:val="en-US"/>
        </w:rPr>
        <w:t>,</w:t>
      </w:r>
      <w:r w:rsidR="00A33D9B">
        <w:rPr>
          <w:snapToGrid w:val="0"/>
          <w:lang w:val="en-US"/>
        </w:rPr>
        <w:t xml:space="preserve"> </w:t>
      </w:r>
      <w:r>
        <w:rPr>
          <w:snapToGrid w:val="0"/>
          <w:lang w:val="en-US"/>
        </w:rPr>
        <w:t xml:space="preserve">because they cannot afford </w:t>
      </w:r>
      <w:r w:rsidR="00F545E1">
        <w:rPr>
          <w:snapToGrid w:val="0"/>
          <w:lang w:val="en-US"/>
        </w:rPr>
        <w:t>them</w:t>
      </w:r>
      <w:r>
        <w:rPr>
          <w:snapToGrid w:val="0"/>
          <w:lang w:val="en-US"/>
        </w:rPr>
        <w:t xml:space="preserve">. Social </w:t>
      </w:r>
      <w:r>
        <w:rPr>
          <w:snapToGrid w:val="0"/>
          <w:lang w:val="en-US"/>
        </w:rPr>
        <w:lastRenderedPageBreak/>
        <w:t xml:space="preserve">norms, rather than an arbitrary proportion of median income, are used to define an unacceptable standard of living. </w:t>
      </w:r>
    </w:p>
    <w:p w:rsidR="000403A0" w:rsidRDefault="000403A0" w:rsidP="009A6854">
      <w:pPr>
        <w:pStyle w:val="BodyText"/>
        <w:rPr>
          <w:snapToGrid w:val="0"/>
          <w:lang w:val="en-US"/>
        </w:rPr>
      </w:pPr>
      <w:r>
        <w:rPr>
          <w:snapToGrid w:val="0"/>
          <w:lang w:val="en-US"/>
        </w:rPr>
        <w:t>There are a number of concerns about the deprivation approach</w:t>
      </w:r>
      <w:r w:rsidR="006109BA">
        <w:rPr>
          <w:snapToGrid w:val="0"/>
          <w:lang w:val="en-US"/>
        </w:rPr>
        <w:t xml:space="preserve"> </w:t>
      </w:r>
      <w:r w:rsidR="00324AF2">
        <w:rPr>
          <w:snapToGrid w:val="0"/>
          <w:lang w:val="en-US"/>
        </w:rPr>
        <w:t>and the interpretation of results. S</w:t>
      </w:r>
      <w:r w:rsidR="006109BA">
        <w:rPr>
          <w:snapToGrid w:val="0"/>
          <w:lang w:val="en-US"/>
        </w:rPr>
        <w:t xml:space="preserve">ome </w:t>
      </w:r>
      <w:r w:rsidR="008F3B37">
        <w:rPr>
          <w:snapToGrid w:val="0"/>
          <w:lang w:val="en-US"/>
        </w:rPr>
        <w:t xml:space="preserve">researchers </w:t>
      </w:r>
      <w:r w:rsidR="006109BA">
        <w:rPr>
          <w:snapToGrid w:val="0"/>
          <w:lang w:val="en-US"/>
        </w:rPr>
        <w:t xml:space="preserve">question </w:t>
      </w:r>
      <w:r w:rsidR="008F3B37">
        <w:rPr>
          <w:snapToGrid w:val="0"/>
          <w:lang w:val="en-US"/>
        </w:rPr>
        <w:t xml:space="preserve">whether </w:t>
      </w:r>
      <w:r w:rsidR="009F7C09">
        <w:rPr>
          <w:snapToGrid w:val="0"/>
          <w:lang w:val="en-US"/>
        </w:rPr>
        <w:t xml:space="preserve">it </w:t>
      </w:r>
      <w:r w:rsidR="008F3B37">
        <w:rPr>
          <w:snapToGrid w:val="0"/>
          <w:lang w:val="en-US"/>
        </w:rPr>
        <w:t xml:space="preserve">adds much value </w:t>
      </w:r>
      <w:r w:rsidR="006109BA">
        <w:rPr>
          <w:snapToGrid w:val="0"/>
          <w:lang w:val="en-US"/>
        </w:rPr>
        <w:t>over and above income measures</w:t>
      </w:r>
      <w:r>
        <w:rPr>
          <w:snapToGrid w:val="0"/>
          <w:lang w:val="en-US"/>
        </w:rPr>
        <w:t xml:space="preserve">. </w:t>
      </w:r>
      <w:r w:rsidR="00324AF2">
        <w:rPr>
          <w:snapToGrid w:val="0"/>
          <w:lang w:val="en-US"/>
        </w:rPr>
        <w:t>C</w:t>
      </w:r>
      <w:r w:rsidR="008F3B37">
        <w:rPr>
          <w:snapToGrid w:val="0"/>
          <w:lang w:val="en-US"/>
        </w:rPr>
        <w:t>oncern</w:t>
      </w:r>
      <w:r w:rsidR="00324AF2">
        <w:rPr>
          <w:snapToGrid w:val="0"/>
          <w:lang w:val="en-US"/>
        </w:rPr>
        <w:t xml:space="preserve">s relate to value judgments required about the choice of deprivation items </w:t>
      </w:r>
      <w:r w:rsidR="008F0AFA">
        <w:rPr>
          <w:snapToGrid w:val="0"/>
          <w:lang w:val="en-US"/>
        </w:rPr>
        <w:t xml:space="preserve">developed to calculate the degree of deprivation </w:t>
      </w:r>
      <w:r>
        <w:rPr>
          <w:snapToGrid w:val="0"/>
          <w:lang w:val="en-US"/>
        </w:rPr>
        <w:t xml:space="preserve">and the weightings placed on different forms of deprivation — </w:t>
      </w:r>
      <w:r w:rsidR="008F0AFA">
        <w:rPr>
          <w:snapToGrid w:val="0"/>
          <w:lang w:val="en-US"/>
        </w:rPr>
        <w:t xml:space="preserve">the list of </w:t>
      </w:r>
      <w:r w:rsidR="000D141D">
        <w:rPr>
          <w:snapToGrid w:val="0"/>
          <w:lang w:val="en-US"/>
        </w:rPr>
        <w:t xml:space="preserve">items </w:t>
      </w:r>
      <w:r w:rsidR="00324AF2">
        <w:rPr>
          <w:snapToGrid w:val="0"/>
          <w:lang w:val="en-US"/>
        </w:rPr>
        <w:t xml:space="preserve">can </w:t>
      </w:r>
      <w:r>
        <w:rPr>
          <w:snapToGrid w:val="0"/>
          <w:lang w:val="en-US"/>
        </w:rPr>
        <w:t>rang</w:t>
      </w:r>
      <w:r w:rsidR="008F0AFA">
        <w:rPr>
          <w:snapToGrid w:val="0"/>
          <w:lang w:val="en-US"/>
        </w:rPr>
        <w:t xml:space="preserve">e </w:t>
      </w:r>
      <w:r>
        <w:rPr>
          <w:snapToGrid w:val="0"/>
          <w:lang w:val="en-US"/>
        </w:rPr>
        <w:t xml:space="preserve">from not being able to afford dental treatment </w:t>
      </w:r>
      <w:r w:rsidR="00324AF2">
        <w:rPr>
          <w:snapToGrid w:val="0"/>
          <w:lang w:val="en-US"/>
        </w:rPr>
        <w:t xml:space="preserve">and </w:t>
      </w:r>
      <w:r>
        <w:rPr>
          <w:snapToGrid w:val="0"/>
          <w:lang w:val="en-US"/>
        </w:rPr>
        <w:t>prescribed drugs to not having a</w:t>
      </w:r>
      <w:r w:rsidR="008F0AFA">
        <w:rPr>
          <w:snapToGrid w:val="0"/>
          <w:lang w:val="en-US"/>
        </w:rPr>
        <w:t>ccess to a</w:t>
      </w:r>
      <w:r>
        <w:rPr>
          <w:snapToGrid w:val="0"/>
          <w:lang w:val="en-US"/>
        </w:rPr>
        <w:t xml:space="preserve"> television. </w:t>
      </w:r>
    </w:p>
    <w:p w:rsidR="000403A0" w:rsidRDefault="00CB468F" w:rsidP="009A6854">
      <w:pPr>
        <w:pStyle w:val="BodyText"/>
      </w:pPr>
      <w:r>
        <w:t xml:space="preserve">Another </w:t>
      </w:r>
      <w:r w:rsidR="009F7C09">
        <w:t xml:space="preserve">limitation </w:t>
      </w:r>
      <w:r>
        <w:t>is that m</w:t>
      </w:r>
      <w:r w:rsidR="000403A0">
        <w:t xml:space="preserve">aterial deprivation measures do not lend themselves well to longitudinal analysis, given that the list of </w:t>
      </w:r>
      <w:r w:rsidR="007B37D3">
        <w:t xml:space="preserve">items </w:t>
      </w:r>
      <w:r w:rsidR="000403A0">
        <w:t>is a function of society’s expectations and these change over time. Comparisons across countries are also complicated by cultural and other differences that result in different lists of essential items</w:t>
      </w:r>
      <w:r w:rsidR="00A33D9B">
        <w:t>, activities and services</w:t>
      </w:r>
      <w:r w:rsidR="000403A0">
        <w:t>.</w:t>
      </w:r>
    </w:p>
    <w:p w:rsidR="000403A0" w:rsidRDefault="009F7C09" w:rsidP="009A6854">
      <w:pPr>
        <w:pStyle w:val="BodyText"/>
      </w:pPr>
      <w:r>
        <w:t>Notwithstanding these methodological concerns, d</w:t>
      </w:r>
      <w:r w:rsidR="000403A0">
        <w:t xml:space="preserve">eprivation measures have </w:t>
      </w:r>
      <w:r w:rsidR="000D141D">
        <w:t xml:space="preserve">been adopted by </w:t>
      </w:r>
      <w:r w:rsidR="008F3B37">
        <w:t xml:space="preserve">a number of </w:t>
      </w:r>
      <w:r w:rsidR="000403A0">
        <w:t>researchers and policy makers. In Australia, the most substantial surveys of deprivation have been undertaken by the Social Policy Research Centre</w:t>
      </w:r>
      <w:r w:rsidR="005077FA">
        <w:t xml:space="preserve"> (</w:t>
      </w:r>
      <w:proofErr w:type="spellStart"/>
      <w:r w:rsidR="005077FA">
        <w:t>SPRC</w:t>
      </w:r>
      <w:proofErr w:type="spellEnd"/>
      <w:r w:rsidR="005077FA">
        <w:t>)</w:t>
      </w:r>
      <w:r w:rsidR="008F3B37">
        <w:t xml:space="preserve"> at the University of New South Wales</w:t>
      </w:r>
      <w:r w:rsidR="000403A0">
        <w:t xml:space="preserve">. </w:t>
      </w:r>
    </w:p>
    <w:p w:rsidR="00856440" w:rsidRDefault="00856440" w:rsidP="00856440">
      <w:pPr>
        <w:pStyle w:val="Heading4"/>
      </w:pPr>
      <w:r>
        <w:t>Capability approach</w:t>
      </w:r>
    </w:p>
    <w:p w:rsidR="00856440" w:rsidRDefault="00856440" w:rsidP="009A6854">
      <w:pPr>
        <w:pStyle w:val="BodyText"/>
      </w:pPr>
      <w:proofErr w:type="spellStart"/>
      <w:r>
        <w:t>Amartya</w:t>
      </w:r>
      <w:proofErr w:type="spellEnd"/>
      <w:r>
        <w:t xml:space="preserve"> </w:t>
      </w:r>
      <w:proofErr w:type="spellStart"/>
      <w:r>
        <w:t>Sen</w:t>
      </w:r>
      <w:proofErr w:type="spellEnd"/>
      <w:r>
        <w:t xml:space="preserve"> has been prominent in identifying a broader approach to understanding disadvantage. He defines poverty in terms of </w:t>
      </w:r>
      <w:r>
        <w:rPr>
          <w:i/>
          <w:iCs/>
        </w:rPr>
        <w:t xml:space="preserve">low capabilities </w:t>
      </w:r>
      <w:r w:rsidRPr="00601043">
        <w:rPr>
          <w:i/>
        </w:rPr>
        <w:t xml:space="preserve">and </w:t>
      </w:r>
      <w:proofErr w:type="spellStart"/>
      <w:r>
        <w:rPr>
          <w:i/>
          <w:iCs/>
        </w:rPr>
        <w:t>functionings</w:t>
      </w:r>
      <w:proofErr w:type="spellEnd"/>
      <w:r w:rsidRPr="007A6CDD">
        <w:rPr>
          <w:iCs/>
        </w:rPr>
        <w:t>.</w:t>
      </w:r>
      <w:r>
        <w:rPr>
          <w:iCs/>
        </w:rPr>
        <w:t xml:space="preserve"> Sen argues that poverty </w:t>
      </w:r>
      <w:r w:rsidR="008F3B37">
        <w:rPr>
          <w:iCs/>
        </w:rPr>
        <w:t xml:space="preserve">ensues </w:t>
      </w:r>
      <w:r>
        <w:rPr>
          <w:iCs/>
        </w:rPr>
        <w:t xml:space="preserve">when individuals </w:t>
      </w:r>
      <w:r w:rsidR="008F3B37">
        <w:rPr>
          <w:iCs/>
        </w:rPr>
        <w:t xml:space="preserve">lack </w:t>
      </w:r>
      <w:r>
        <w:rPr>
          <w:iCs/>
        </w:rPr>
        <w:t>certain minimum capabilities. Low capabilities can translate into outcomes such as inadequate income or education, poor health, low self</w:t>
      </w:r>
      <w:r>
        <w:rPr>
          <w:iCs/>
        </w:rPr>
        <w:noBreakHyphen/>
        <w:t xml:space="preserve">confidence, or a sense of powerlessness. </w:t>
      </w:r>
      <w:r>
        <w:t>In analysing wellbeing, Sen argues that the focus should be shifted from ‘the means of living’ to the ‘opportunities a person has’</w:t>
      </w:r>
      <w:r w:rsidR="00D142B8">
        <w:t xml:space="preserve">. </w:t>
      </w:r>
    </w:p>
    <w:p w:rsidR="00856440" w:rsidRDefault="00856440" w:rsidP="009A6854">
      <w:pPr>
        <w:pStyle w:val="BodyText"/>
        <w:rPr>
          <w:iCs/>
        </w:rPr>
      </w:pPr>
      <w:r>
        <w:t>An advantage of this approach is that it shifts the focus from a comparison of outcomes to the right or opportunity to achieve such outcomes. However, as it is an opportunity</w:t>
      </w:r>
      <w:r w:rsidR="003C7645">
        <w:noBreakHyphen/>
      </w:r>
      <w:r>
        <w:t xml:space="preserve">based theory, the concept is not easy to </w:t>
      </w:r>
      <w:proofErr w:type="spellStart"/>
      <w:r>
        <w:t>operationalise</w:t>
      </w:r>
      <w:proofErr w:type="spellEnd"/>
      <w:r>
        <w:t xml:space="preserve">. </w:t>
      </w:r>
    </w:p>
    <w:p w:rsidR="009A6854" w:rsidRDefault="009A6854">
      <w:pPr>
        <w:rPr>
          <w:szCs w:val="20"/>
        </w:rPr>
      </w:pPr>
      <w:r>
        <w:br w:type="page"/>
      </w:r>
    </w:p>
    <w:p w:rsidR="00856440" w:rsidRDefault="00856440" w:rsidP="009A6854">
      <w:pPr>
        <w:pStyle w:val="BodyText"/>
      </w:pPr>
      <w:proofErr w:type="spellStart"/>
      <w:r>
        <w:lastRenderedPageBreak/>
        <w:t>Sen’s</w:t>
      </w:r>
      <w:proofErr w:type="spellEnd"/>
      <w:r>
        <w:t xml:space="preserve"> work has shaped the European Union’s Social Inclusion Agenda. It has also been influential </w:t>
      </w:r>
      <w:r w:rsidR="006A519D">
        <w:t xml:space="preserve">in shaping </w:t>
      </w:r>
      <w:r>
        <w:t xml:space="preserve">the way in which economic progress is measured internationally, including </w:t>
      </w:r>
      <w:r w:rsidR="00BF6911">
        <w:t xml:space="preserve">the </w:t>
      </w:r>
      <w:proofErr w:type="spellStart"/>
      <w:r w:rsidR="00BF6911">
        <w:t>Stiglitz-Sen-Fitoussi</w:t>
      </w:r>
      <w:proofErr w:type="spellEnd"/>
      <w:r w:rsidR="00BF6911">
        <w:t xml:space="preserve"> Commission’s report on the measurement of economic performance and social progress and </w:t>
      </w:r>
      <w:r>
        <w:t>the OECD’s ‘</w:t>
      </w:r>
      <w:r w:rsidRPr="00340750">
        <w:rPr>
          <w:i/>
        </w:rPr>
        <w:t>How’s Life?</w:t>
      </w:r>
      <w:r>
        <w:t xml:space="preserve">’ framework for measuring wellbeing and progress. The OECD framework has three pillars — material living conditions, quality of life and sustainability — and </w:t>
      </w:r>
      <w:r w:rsidR="00B84EA2">
        <w:t xml:space="preserve">includes </w:t>
      </w:r>
      <w:r>
        <w:t xml:space="preserve">both objective and subjective </w:t>
      </w:r>
      <w:r w:rsidR="00B84EA2">
        <w:t xml:space="preserve">measures. </w:t>
      </w:r>
    </w:p>
    <w:p w:rsidR="00856440" w:rsidRDefault="00856440" w:rsidP="00856440">
      <w:pPr>
        <w:pStyle w:val="BodyText"/>
      </w:pPr>
      <w:r>
        <w:t xml:space="preserve">The Australian Treasury has also developed a wellbeing framework, built on elements of </w:t>
      </w:r>
      <w:proofErr w:type="spellStart"/>
      <w:r>
        <w:t>Sen’s</w:t>
      </w:r>
      <w:proofErr w:type="spellEnd"/>
      <w:r>
        <w:t xml:space="preserve"> capabilities framework, as a descriptive tool to provide context for </w:t>
      </w:r>
      <w:r w:rsidR="008F3B37">
        <w:t xml:space="preserve">its </w:t>
      </w:r>
      <w:r>
        <w:t xml:space="preserve">public policy advice. </w:t>
      </w:r>
    </w:p>
    <w:p w:rsidR="000403A0" w:rsidRDefault="000403A0" w:rsidP="000403A0">
      <w:pPr>
        <w:pStyle w:val="Heading4"/>
      </w:pPr>
      <w:r>
        <w:t>Social exclusion and inclusion</w:t>
      </w:r>
    </w:p>
    <w:p w:rsidR="009F7C09" w:rsidRDefault="000D141D" w:rsidP="00641A43">
      <w:pPr>
        <w:pStyle w:val="BodyText"/>
        <w:spacing w:before="200"/>
      </w:pPr>
      <w:r>
        <w:t>While t</w:t>
      </w:r>
      <w:r w:rsidR="000403A0">
        <w:t>here is no generally accepted definition of what constitutes ‘social exclusion’, a common theme is the need to recognise the multi-dimensional nature of disadvantage</w:t>
      </w:r>
      <w:r w:rsidR="006D4FE9">
        <w:t xml:space="preserve"> (box </w:t>
      </w:r>
      <w:r w:rsidR="003B396D">
        <w:t>2</w:t>
      </w:r>
      <w:r w:rsidR="006D4FE9">
        <w:t>)</w:t>
      </w:r>
      <w:r w:rsidR="000403A0">
        <w:t xml:space="preserve">. </w:t>
      </w:r>
      <w:r>
        <w:t>Social exclusion i</w:t>
      </w:r>
      <w:r w:rsidR="000403A0">
        <w:t xml:space="preserve">ncludes more traditional concepts such as income and financial poverty and material deprivation, </w:t>
      </w:r>
      <w:r w:rsidR="00775158">
        <w:t xml:space="preserve">but </w:t>
      </w:r>
      <w:r>
        <w:t xml:space="preserve">it </w:t>
      </w:r>
      <w:r w:rsidR="000403A0">
        <w:t xml:space="preserve">extends to a wider range of life domains </w:t>
      </w:r>
      <w:r>
        <w:t xml:space="preserve">with </w:t>
      </w:r>
      <w:r w:rsidR="000403A0">
        <w:t>a particular focus on participation and social connections</w:t>
      </w:r>
      <w:r w:rsidR="006D4FE9">
        <w:t xml:space="preserve">. </w:t>
      </w:r>
    </w:p>
    <w:p w:rsidR="009F7C09" w:rsidRDefault="009F7C09">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9F7C09">
        <w:tc>
          <w:tcPr>
            <w:tcW w:w="8771" w:type="dxa"/>
            <w:tcBorders>
              <w:top w:val="single" w:sz="6" w:space="0" w:color="auto"/>
              <w:bottom w:val="nil"/>
            </w:tcBorders>
          </w:tcPr>
          <w:p w:rsidR="009F7C09" w:rsidRDefault="009F7C09" w:rsidP="003B396D">
            <w:pPr>
              <w:pStyle w:val="BoxTitle"/>
            </w:pPr>
            <w:r>
              <w:rPr>
                <w:b w:val="0"/>
              </w:rPr>
              <w:t xml:space="preserve">Box </w:t>
            </w:r>
            <w:r w:rsidR="003B396D">
              <w:rPr>
                <w:b w:val="0"/>
              </w:rPr>
              <w:t>2</w:t>
            </w:r>
            <w:r>
              <w:tab/>
              <w:t>Social exclusion/inclusion — some definitions</w:t>
            </w:r>
          </w:p>
        </w:tc>
      </w:tr>
      <w:tr w:rsidR="009F7C09">
        <w:trPr>
          <w:cantSplit/>
        </w:trPr>
        <w:tc>
          <w:tcPr>
            <w:tcW w:w="8771" w:type="dxa"/>
            <w:tcBorders>
              <w:top w:val="nil"/>
              <w:left w:val="single" w:sz="6" w:space="0" w:color="auto"/>
              <w:bottom w:val="nil"/>
              <w:right w:val="single" w:sz="6" w:space="0" w:color="auto"/>
            </w:tcBorders>
          </w:tcPr>
          <w:p w:rsidR="009F7C09" w:rsidRDefault="009F7C09" w:rsidP="009F7C09">
            <w:pPr>
              <w:pStyle w:val="Box"/>
            </w:pPr>
            <w:r>
              <w:t xml:space="preserve">The United Kingdom Social Exclusion </w:t>
            </w:r>
            <w:r w:rsidR="001A5A55">
              <w:t xml:space="preserve">Unit (2004): </w:t>
            </w:r>
          </w:p>
          <w:p w:rsidR="001A5A55" w:rsidRDefault="001A5A55" w:rsidP="001A5A55">
            <w:pPr>
              <w:pStyle w:val="BoxQuote"/>
            </w:pPr>
            <w:r>
              <w:t>Social exclusion is about more than income poverty. It is a shorthand term for what can happen when people or areas face a combination of linked problems such as unemployment, discrimination, poor skills, low incomes, poor housing, high crime, bad health and family breakdown. These problems are linked and mutually reinforcing so that they can create a vicious cycle in people’s lives. (p. 3)</w:t>
            </w:r>
          </w:p>
          <w:p w:rsidR="009F7C09" w:rsidRDefault="009F7C09" w:rsidP="009F7C09">
            <w:pPr>
              <w:pStyle w:val="Box"/>
            </w:pPr>
            <w:r>
              <w:t xml:space="preserve">The Australian Social Inclusion Board </w:t>
            </w:r>
            <w:r w:rsidR="006D4FE9">
              <w:t xml:space="preserve">(2012) </w:t>
            </w:r>
            <w:r>
              <w:t xml:space="preserve">defines social inclusion as follows: </w:t>
            </w:r>
          </w:p>
          <w:p w:rsidR="009F7C09" w:rsidRDefault="009F7C09" w:rsidP="009F7C09">
            <w:pPr>
              <w:pStyle w:val="BoxQuote"/>
            </w:pPr>
            <w:r>
              <w:t>Being socially included means that people have the resources, opportunities and capabilities they need to:</w:t>
            </w:r>
          </w:p>
          <w:p w:rsidR="009F7C09" w:rsidRDefault="009F7C09" w:rsidP="009F7C09">
            <w:pPr>
              <w:pStyle w:val="BoxQuote"/>
            </w:pPr>
            <w:r w:rsidRPr="00DF718E">
              <w:rPr>
                <w:b/>
              </w:rPr>
              <w:t xml:space="preserve">Learn </w:t>
            </w:r>
            <w:r>
              <w:t>(participate in education and training);</w:t>
            </w:r>
          </w:p>
          <w:p w:rsidR="009F7C09" w:rsidRDefault="009F7C09" w:rsidP="009F7C09">
            <w:pPr>
              <w:pStyle w:val="BoxQuote"/>
            </w:pPr>
            <w:r w:rsidRPr="00DF718E">
              <w:rPr>
                <w:b/>
              </w:rPr>
              <w:t xml:space="preserve">Work </w:t>
            </w:r>
            <w:r>
              <w:t>(participate in employment, unpaid or voluntary work including family and carer responsibilities);</w:t>
            </w:r>
          </w:p>
          <w:p w:rsidR="009F7C09" w:rsidRDefault="009F7C09" w:rsidP="009F7C09">
            <w:pPr>
              <w:pStyle w:val="BoxQuote"/>
            </w:pPr>
            <w:r w:rsidRPr="00DF718E">
              <w:rPr>
                <w:b/>
              </w:rPr>
              <w:t>Engage</w:t>
            </w:r>
            <w:r>
              <w:t xml:space="preserve"> (connect with people, use local services and participate in local, cultural, civic and recreational activities); and</w:t>
            </w:r>
          </w:p>
          <w:p w:rsidR="009F7C09" w:rsidRDefault="009F7C09" w:rsidP="006A519D">
            <w:pPr>
              <w:pStyle w:val="BoxQuote"/>
            </w:pPr>
            <w:r w:rsidRPr="00DF718E">
              <w:rPr>
                <w:b/>
              </w:rPr>
              <w:t>Have a voice</w:t>
            </w:r>
            <w:r>
              <w:t xml:space="preserve"> (influence decisions that affect them).</w:t>
            </w:r>
            <w:r w:rsidR="006A519D">
              <w:t xml:space="preserve"> (p. 12)</w:t>
            </w:r>
          </w:p>
        </w:tc>
      </w:tr>
      <w:tr w:rsidR="009F7C09">
        <w:trPr>
          <w:cantSplit/>
        </w:trPr>
        <w:tc>
          <w:tcPr>
            <w:tcW w:w="8771" w:type="dxa"/>
            <w:tcBorders>
              <w:top w:val="nil"/>
              <w:left w:val="single" w:sz="6" w:space="0" w:color="auto"/>
              <w:bottom w:val="single" w:sz="6" w:space="0" w:color="auto"/>
              <w:right w:val="single" w:sz="6" w:space="0" w:color="auto"/>
            </w:tcBorders>
          </w:tcPr>
          <w:p w:rsidR="009F7C09" w:rsidRDefault="009F7C09">
            <w:pPr>
              <w:pStyle w:val="Box"/>
              <w:spacing w:before="0" w:line="120" w:lineRule="exact"/>
            </w:pPr>
          </w:p>
        </w:tc>
      </w:tr>
      <w:tr w:rsidR="009F7C09" w:rsidRPr="000863A5">
        <w:tc>
          <w:tcPr>
            <w:tcW w:w="8771" w:type="dxa"/>
            <w:tcBorders>
              <w:top w:val="nil"/>
              <w:left w:val="nil"/>
              <w:bottom w:val="nil"/>
              <w:right w:val="nil"/>
            </w:tcBorders>
          </w:tcPr>
          <w:p w:rsidR="009F7C09" w:rsidRPr="00626D32" w:rsidRDefault="009F7C09" w:rsidP="009F7C09">
            <w:pPr>
              <w:pStyle w:val="BoxSpaceBelow"/>
            </w:pPr>
          </w:p>
        </w:tc>
      </w:tr>
    </w:tbl>
    <w:p w:rsidR="009A6854" w:rsidRDefault="009A6854" w:rsidP="000403A0">
      <w:pPr>
        <w:pStyle w:val="BodyText"/>
      </w:pPr>
    </w:p>
    <w:p w:rsidR="009A6854" w:rsidRDefault="009A6854" w:rsidP="009A6854">
      <w:pPr>
        <w:pStyle w:val="BodyText"/>
      </w:pPr>
      <w:r>
        <w:br w:type="page"/>
      </w:r>
    </w:p>
    <w:p w:rsidR="000403A0" w:rsidRDefault="000403A0" w:rsidP="000403A0">
      <w:pPr>
        <w:pStyle w:val="BodyText"/>
      </w:pPr>
      <w:r>
        <w:lastRenderedPageBreak/>
        <w:t xml:space="preserve">The multi-dimensional nature of social inclusion (or exclusion) as a concept is one of its strengths but it also poses significant challenges for measurement and evaluation. One approach is to develop a </w:t>
      </w:r>
      <w:r w:rsidR="000D141D">
        <w:t xml:space="preserve">composite index </w:t>
      </w:r>
      <w:r>
        <w:t xml:space="preserve">that can be used for comparative headline analysis, but indicators </w:t>
      </w:r>
      <w:r w:rsidR="000D141D">
        <w:t xml:space="preserve">making up the index </w:t>
      </w:r>
      <w:r>
        <w:t xml:space="preserve">can move in different directions and a </w:t>
      </w:r>
      <w:r w:rsidR="000D141D">
        <w:t xml:space="preserve">composite index </w:t>
      </w:r>
      <w:r>
        <w:t xml:space="preserve">can mask such changes. </w:t>
      </w:r>
      <w:r w:rsidR="00775158">
        <w:t xml:space="preserve">While this can be overcome by providing a </w:t>
      </w:r>
      <w:r>
        <w:t>‘dashboard’ of indicators</w:t>
      </w:r>
      <w:r w:rsidR="00775158">
        <w:t xml:space="preserve">, this </w:t>
      </w:r>
      <w:r>
        <w:t xml:space="preserve">can be confusing and </w:t>
      </w:r>
      <w:r w:rsidR="00250799">
        <w:t xml:space="preserve">does not make </w:t>
      </w:r>
      <w:r w:rsidR="007B37D3">
        <w:t xml:space="preserve">weightings </w:t>
      </w:r>
      <w:r w:rsidR="00250799">
        <w:t xml:space="preserve">between </w:t>
      </w:r>
      <w:r w:rsidR="007B37D3">
        <w:t>t</w:t>
      </w:r>
      <w:r>
        <w:t xml:space="preserve">he various dimensions explicit. </w:t>
      </w:r>
    </w:p>
    <w:p w:rsidR="000403A0" w:rsidRDefault="00775158" w:rsidP="000403A0">
      <w:pPr>
        <w:pStyle w:val="BodyText"/>
      </w:pPr>
      <w:r>
        <w:t>T</w:t>
      </w:r>
      <w:r w:rsidR="000403A0">
        <w:t xml:space="preserve">he weighting of particular questions or domains to calculate a multi-dimensional indicator is a matter </w:t>
      </w:r>
      <w:r w:rsidR="00DA4723">
        <w:t>o</w:t>
      </w:r>
      <w:r w:rsidR="000403A0">
        <w:t>f ju</w:t>
      </w:r>
      <w:r w:rsidR="007B37D3">
        <w:t>dg</w:t>
      </w:r>
      <w:r w:rsidR="000403A0">
        <w:t>ment</w:t>
      </w:r>
      <w:r w:rsidR="0044564A">
        <w:t>. D</w:t>
      </w:r>
      <w:r w:rsidR="000403A0">
        <w:t xml:space="preserve">ifferent approaches can lead to divergent conclusions about the </w:t>
      </w:r>
      <w:r w:rsidR="000D141D">
        <w:t xml:space="preserve">extent </w:t>
      </w:r>
      <w:r w:rsidR="000403A0">
        <w:t>of disadvantage.</w:t>
      </w:r>
    </w:p>
    <w:p w:rsidR="000403A0" w:rsidRDefault="001F3A69" w:rsidP="000403A0">
      <w:pPr>
        <w:pStyle w:val="BodyText"/>
      </w:pPr>
      <w:r>
        <w:t>T</w:t>
      </w:r>
      <w:r w:rsidR="000403A0">
        <w:t xml:space="preserve">he </w:t>
      </w:r>
      <w:r>
        <w:t xml:space="preserve">Australian </w:t>
      </w:r>
      <w:r w:rsidR="000403A0">
        <w:t>Social Inclusion Board has produced a compendium of social inclusion indicators and a Social Exclusion Monitor (</w:t>
      </w:r>
      <w:proofErr w:type="spellStart"/>
      <w:r w:rsidR="000403A0">
        <w:t>SEM</w:t>
      </w:r>
      <w:proofErr w:type="spellEnd"/>
      <w:r w:rsidR="000403A0">
        <w:t xml:space="preserve">) has been developed by the Melbourne Institute </w:t>
      </w:r>
      <w:r w:rsidR="00BF6911">
        <w:t xml:space="preserve">of Applied Economic and Social Research </w:t>
      </w:r>
      <w:r w:rsidR="003722B6">
        <w:t xml:space="preserve">(Melbourne Institute) </w:t>
      </w:r>
      <w:r w:rsidR="000403A0">
        <w:t xml:space="preserve">and </w:t>
      </w:r>
      <w:r w:rsidR="0044564A">
        <w:t xml:space="preserve">the </w:t>
      </w:r>
      <w:r w:rsidR="000403A0">
        <w:t xml:space="preserve">Brotherhood of St Laurence. The </w:t>
      </w:r>
      <w:proofErr w:type="spellStart"/>
      <w:r w:rsidR="000403A0">
        <w:t>SEM</w:t>
      </w:r>
      <w:proofErr w:type="spellEnd"/>
      <w:r w:rsidR="000403A0">
        <w:t xml:space="preserve"> draws on data available from the Household Income and Labour Dynamics in Australia (HILDA) survey and covers various life domains</w:t>
      </w:r>
      <w:r w:rsidR="0044564A">
        <w:t xml:space="preserve"> such as personal capabilities</w:t>
      </w:r>
      <w:r>
        <w:t xml:space="preserve"> (education and health)</w:t>
      </w:r>
      <w:r w:rsidR="0044564A">
        <w:t xml:space="preserve">, social connections, attachment to the labour market and material resources. </w:t>
      </w:r>
    </w:p>
    <w:p w:rsidR="00292D8A" w:rsidRDefault="00292D8A" w:rsidP="00292D8A">
      <w:pPr>
        <w:pStyle w:val="Heading2"/>
      </w:pPr>
      <w:r>
        <w:t xml:space="preserve">How many Australians are disadvantaged? </w:t>
      </w:r>
    </w:p>
    <w:p w:rsidR="00EA2939" w:rsidRDefault="00A33D9B" w:rsidP="00120072">
      <w:pPr>
        <w:pStyle w:val="BodyText"/>
      </w:pPr>
      <w:r>
        <w:t>There is no one over</w:t>
      </w:r>
      <w:r>
        <w:noBreakHyphen/>
        <w:t xml:space="preserve">arching uncontested estimate of disadvantage. Each measure sheds light on different aspects of disadvantage. The estimates are based on </w:t>
      </w:r>
      <w:r w:rsidR="00061CED">
        <w:t xml:space="preserve">contestable assumptions and thresholds. </w:t>
      </w:r>
    </w:p>
    <w:p w:rsidR="00EA2939" w:rsidRDefault="00EA2939" w:rsidP="00EA2939">
      <w:pPr>
        <w:pStyle w:val="BodyText"/>
      </w:pPr>
      <w:r>
        <w:t>Estimates based on broad proxies of disadvantage, including income poverty, deprivation and social exclusion, show a number of Australians experience disadvantage at some point in their lives:</w:t>
      </w:r>
    </w:p>
    <w:p w:rsidR="00EA2939" w:rsidRDefault="00EA2939" w:rsidP="00EA2939">
      <w:pPr>
        <w:pStyle w:val="ListBullet"/>
      </w:pPr>
      <w:r>
        <w:t>between 10 and 13 per cent of Australians (or between 2.</w:t>
      </w:r>
      <w:r w:rsidR="006962FA">
        <w:t>3</w:t>
      </w:r>
      <w:r>
        <w:t xml:space="preserve"> and 2.</w:t>
      </w:r>
      <w:r w:rsidR="006962FA">
        <w:t>8</w:t>
      </w:r>
      <w:r>
        <w:t xml:space="preserve"> million) were estimated to be </w:t>
      </w:r>
      <w:r w:rsidRPr="006B3BAA">
        <w:t>income poor</w:t>
      </w:r>
      <w:r>
        <w:t xml:space="preserve"> </w:t>
      </w:r>
      <w:r w:rsidR="00A33D9B">
        <w:t xml:space="preserve">(living in households earning below 50 per cent of median household income) </w:t>
      </w:r>
      <w:r>
        <w:t xml:space="preserve">in 2010 (PC, </w:t>
      </w:r>
      <w:proofErr w:type="spellStart"/>
      <w:r>
        <w:t>SPRC</w:t>
      </w:r>
      <w:proofErr w:type="spellEnd"/>
      <w:r>
        <w:t>, Melbourne Institute)</w:t>
      </w:r>
    </w:p>
    <w:p w:rsidR="00EA2939" w:rsidRDefault="00EA2939" w:rsidP="00EA2939">
      <w:pPr>
        <w:pStyle w:val="ListBullet"/>
      </w:pPr>
      <w:r>
        <w:t xml:space="preserve">17 per cent of adult </w:t>
      </w:r>
      <w:r w:rsidR="00A33D9B">
        <w:t xml:space="preserve">Australians (2.9 million) were estimated to be </w:t>
      </w:r>
      <w:r>
        <w:t>experienc</w:t>
      </w:r>
      <w:r w:rsidR="00A33D9B">
        <w:t xml:space="preserve">ing </w:t>
      </w:r>
      <w:r>
        <w:t xml:space="preserve">multiple deprivation in 2010 </w:t>
      </w:r>
      <w:r w:rsidR="000E3857">
        <w:t xml:space="preserve">— </w:t>
      </w:r>
      <w:r>
        <w:t xml:space="preserve">the main </w:t>
      </w:r>
      <w:r w:rsidR="008F3B37">
        <w:t xml:space="preserve">indicator </w:t>
      </w:r>
      <w:r>
        <w:t xml:space="preserve">of deprivation being going without dental services </w:t>
      </w:r>
      <w:r w:rsidRPr="00C77AC1">
        <w:t xml:space="preserve">due to </w:t>
      </w:r>
      <w:r>
        <w:t xml:space="preserve">a lack of </w:t>
      </w:r>
      <w:r w:rsidRPr="00C77AC1">
        <w:t>affordability</w:t>
      </w:r>
      <w:r w:rsidR="000E3857">
        <w:t xml:space="preserve"> (</w:t>
      </w:r>
      <w:proofErr w:type="spellStart"/>
      <w:r w:rsidR="005077FA">
        <w:t>SPRC</w:t>
      </w:r>
      <w:proofErr w:type="spellEnd"/>
      <w:r>
        <w:t>)</w:t>
      </w:r>
    </w:p>
    <w:p w:rsidR="00EA2939" w:rsidRDefault="00EA2939" w:rsidP="00EA2939">
      <w:pPr>
        <w:pStyle w:val="ListBullet"/>
      </w:pPr>
      <w:r>
        <w:t>a quarter of Australians aged 15 years plus (4.</w:t>
      </w:r>
      <w:r w:rsidR="0024349D">
        <w:t>5</w:t>
      </w:r>
      <w:r>
        <w:t> million) experienced some degree of social exclusion in 20</w:t>
      </w:r>
      <w:r w:rsidR="002848F6">
        <w:t>10</w:t>
      </w:r>
      <w:r w:rsidR="005077FA">
        <w:t xml:space="preserve"> (</w:t>
      </w:r>
      <w:proofErr w:type="spellStart"/>
      <w:r w:rsidR="005077FA">
        <w:t>SEM</w:t>
      </w:r>
      <w:proofErr w:type="spellEnd"/>
      <w:r w:rsidR="005077FA">
        <w:t>)</w:t>
      </w:r>
      <w:r>
        <w:t xml:space="preserve">. </w:t>
      </w:r>
      <w:r w:rsidR="00A33D9B">
        <w:t xml:space="preserve">This group included people who were marginally excluded, as well as people who </w:t>
      </w:r>
      <w:r w:rsidR="00601043">
        <w:t xml:space="preserve">experienced </w:t>
      </w:r>
      <w:r w:rsidR="00A33D9B">
        <w:t>deeper forms of exclusion (box </w:t>
      </w:r>
      <w:r w:rsidR="002F3541">
        <w:t>3</w:t>
      </w:r>
      <w:r w:rsidR="00A33D9B">
        <w:t>).</w:t>
      </w:r>
    </w:p>
    <w:p w:rsidR="00145357" w:rsidRDefault="00145357" w:rsidP="00145357">
      <w:pPr>
        <w:pStyle w:val="ListBullet"/>
        <w:numPr>
          <w:ilvl w:val="0"/>
          <w:numId w:val="0"/>
        </w:numPr>
        <w:ind w:left="340" w:hanging="340"/>
      </w:pPr>
    </w:p>
    <w:p w:rsidR="00145357" w:rsidRDefault="00145357" w:rsidP="00145357">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145357" w:rsidRPr="00145357" w:rsidTr="00145357">
        <w:tc>
          <w:tcPr>
            <w:tcW w:w="8771" w:type="dxa"/>
            <w:tcBorders>
              <w:top w:val="single" w:sz="6" w:space="0" w:color="auto"/>
              <w:bottom w:val="nil"/>
            </w:tcBorders>
          </w:tcPr>
          <w:p w:rsidR="00145357" w:rsidRPr="00145357" w:rsidRDefault="00145357" w:rsidP="00145357">
            <w:pPr>
              <w:pStyle w:val="BoxTitle"/>
            </w:pPr>
            <w:r w:rsidRPr="00145357">
              <w:t>Box 3</w:t>
            </w:r>
            <w:r w:rsidRPr="00145357">
              <w:tab/>
              <w:t>What is meant by marginal, deep, and very deep exclusion?</w:t>
            </w:r>
          </w:p>
        </w:tc>
      </w:tr>
      <w:tr w:rsidR="00145357" w:rsidTr="00145357">
        <w:trPr>
          <w:cantSplit/>
        </w:trPr>
        <w:tc>
          <w:tcPr>
            <w:tcW w:w="8771" w:type="dxa"/>
            <w:tcBorders>
              <w:top w:val="nil"/>
              <w:left w:val="single" w:sz="6" w:space="0" w:color="auto"/>
              <w:bottom w:val="nil"/>
              <w:right w:val="single" w:sz="6" w:space="0" w:color="auto"/>
            </w:tcBorders>
          </w:tcPr>
          <w:p w:rsidR="00145357" w:rsidRPr="00B82337" w:rsidRDefault="00145357" w:rsidP="00145357">
            <w:pPr>
              <w:pStyle w:val="Box"/>
            </w:pPr>
            <w:r w:rsidRPr="00B82337">
              <w:t>The Social Exclusion Monitor (</w:t>
            </w:r>
            <w:proofErr w:type="spellStart"/>
            <w:r w:rsidRPr="00B82337">
              <w:t>SEM</w:t>
            </w:r>
            <w:proofErr w:type="spellEnd"/>
            <w:r w:rsidRPr="00B82337">
              <w:t>) captures information on the level of exclusion of Australians aged 15 years and over. Responses to a set of HILDA survey questions are used to construct 29 indicators across seven key life domains (including material resources, employment, education and skills, health and disability, social connection, community and personal safety). A sum</w:t>
            </w:r>
            <w:r w:rsidRPr="00B82337">
              <w:noBreakHyphen/>
              <w:t>score approach is used, with responses for each domain assumed to be of equal importance.</w:t>
            </w:r>
          </w:p>
          <w:p w:rsidR="00145357" w:rsidRPr="00B82337" w:rsidRDefault="00145357" w:rsidP="00145357">
            <w:pPr>
              <w:pStyle w:val="Box"/>
              <w:spacing w:before="100"/>
            </w:pPr>
            <w:r w:rsidRPr="00B82337">
              <w:t xml:space="preserve">For example, the material resources domain has four indicators each worth 0.25. If an individual reported experiencing all four (low income, low net worth, low consumption and financial hardship) they would receive a score of 1. If they only experienced low income they would score 0.25 for that domain. </w:t>
            </w:r>
          </w:p>
          <w:p w:rsidR="00145357" w:rsidRDefault="00145357" w:rsidP="00145357">
            <w:pPr>
              <w:pStyle w:val="Box"/>
            </w:pPr>
            <w:r w:rsidRPr="00B82337">
              <w:t xml:space="preserve">With 7 life domains all accorded a value of 1, the highest score an individual can receive is 7 and the lowest 0. A score of 1 or more signifies some level of exclusion. If respondents receive a cumulative score of between 1 and 2 they are regarded as </w:t>
            </w:r>
            <w:r w:rsidRPr="00B82337">
              <w:rPr>
                <w:i/>
              </w:rPr>
              <w:t>marginally excluded</w:t>
            </w:r>
            <w:r w:rsidRPr="00B82337">
              <w:t xml:space="preserve">, a score of 2 or more signifies </w:t>
            </w:r>
            <w:r w:rsidRPr="00B82337">
              <w:rPr>
                <w:i/>
              </w:rPr>
              <w:t>deep exclusion</w:t>
            </w:r>
            <w:r w:rsidRPr="00B82337">
              <w:t xml:space="preserve"> and a score of 3 or more equates to </w:t>
            </w:r>
            <w:r w:rsidRPr="00B82337">
              <w:rPr>
                <w:i/>
              </w:rPr>
              <w:t>very deep exclusion</w:t>
            </w:r>
            <w:r w:rsidRPr="00B82337">
              <w:t>.</w:t>
            </w:r>
          </w:p>
        </w:tc>
      </w:tr>
      <w:tr w:rsidR="00145357" w:rsidTr="00145357">
        <w:trPr>
          <w:cantSplit/>
        </w:trPr>
        <w:tc>
          <w:tcPr>
            <w:tcW w:w="8771" w:type="dxa"/>
            <w:tcBorders>
              <w:top w:val="nil"/>
              <w:left w:val="single" w:sz="6" w:space="0" w:color="auto"/>
              <w:bottom w:val="nil"/>
              <w:right w:val="single" w:sz="6" w:space="0" w:color="auto"/>
            </w:tcBorders>
          </w:tcPr>
          <w:p w:rsidR="00145357" w:rsidRDefault="00145357" w:rsidP="00145357">
            <w:pPr>
              <w:pStyle w:val="BoxSource"/>
            </w:pPr>
            <w:r>
              <w:rPr>
                <w:i/>
              </w:rPr>
              <w:t>Source</w:t>
            </w:r>
            <w:r w:rsidR="003C7645">
              <w:rPr>
                <w:i/>
              </w:rPr>
              <w:t>s</w:t>
            </w:r>
            <w:r w:rsidRPr="00167F06">
              <w:t xml:space="preserve">: </w:t>
            </w:r>
            <w:proofErr w:type="spellStart"/>
            <w:r>
              <w:t>Azpitarte</w:t>
            </w:r>
            <w:proofErr w:type="spellEnd"/>
            <w:r>
              <w:t xml:space="preserve"> (</w:t>
            </w:r>
            <w:proofErr w:type="spellStart"/>
            <w:r>
              <w:t>2012b</w:t>
            </w:r>
            <w:proofErr w:type="spellEnd"/>
            <w:r>
              <w:t xml:space="preserve">); </w:t>
            </w:r>
            <w:proofErr w:type="spellStart"/>
            <w:r>
              <w:t>Scutella</w:t>
            </w:r>
            <w:proofErr w:type="spellEnd"/>
            <w:r>
              <w:t xml:space="preserve">, Wilkins and </w:t>
            </w:r>
            <w:proofErr w:type="spellStart"/>
            <w:r>
              <w:t>Kostenko</w:t>
            </w:r>
            <w:proofErr w:type="spellEnd"/>
            <w:r>
              <w:t xml:space="preserve"> (2009).</w:t>
            </w:r>
          </w:p>
        </w:tc>
      </w:tr>
      <w:tr w:rsidR="00145357" w:rsidTr="00145357">
        <w:trPr>
          <w:cantSplit/>
        </w:trPr>
        <w:tc>
          <w:tcPr>
            <w:tcW w:w="8771" w:type="dxa"/>
            <w:tcBorders>
              <w:top w:val="nil"/>
              <w:left w:val="single" w:sz="6" w:space="0" w:color="auto"/>
              <w:bottom w:val="single" w:sz="6" w:space="0" w:color="auto"/>
              <w:right w:val="single" w:sz="6" w:space="0" w:color="auto"/>
            </w:tcBorders>
          </w:tcPr>
          <w:p w:rsidR="00145357" w:rsidRDefault="00145357" w:rsidP="00145357">
            <w:pPr>
              <w:pStyle w:val="Box"/>
              <w:spacing w:before="0" w:line="120" w:lineRule="exact"/>
            </w:pPr>
          </w:p>
        </w:tc>
      </w:tr>
      <w:tr w:rsidR="00145357" w:rsidRPr="000863A5" w:rsidTr="00145357">
        <w:tc>
          <w:tcPr>
            <w:tcW w:w="8771" w:type="dxa"/>
            <w:tcBorders>
              <w:top w:val="nil"/>
              <w:left w:val="nil"/>
              <w:bottom w:val="nil"/>
              <w:right w:val="nil"/>
            </w:tcBorders>
          </w:tcPr>
          <w:p w:rsidR="00145357" w:rsidRPr="00626D32" w:rsidRDefault="00145357" w:rsidP="00145357">
            <w:pPr>
              <w:pStyle w:val="BoxSpaceBelow"/>
            </w:pPr>
          </w:p>
        </w:tc>
      </w:tr>
    </w:tbl>
    <w:p w:rsidR="00EA2939" w:rsidRDefault="00EA2939" w:rsidP="00EA2939">
      <w:pPr>
        <w:pStyle w:val="Heading3"/>
      </w:pPr>
      <w:r>
        <w:t>What is the depth and persistence of disadvantage in Australia?</w:t>
      </w:r>
    </w:p>
    <w:p w:rsidR="00EA2939" w:rsidRDefault="0018413A" w:rsidP="00EA2939">
      <w:pPr>
        <w:pStyle w:val="BodyText"/>
      </w:pPr>
      <w:r>
        <w:t>A</w:t>
      </w:r>
      <w:r w:rsidR="00EA2939" w:rsidRPr="008965CA">
        <w:t xml:space="preserve"> </w:t>
      </w:r>
      <w:r w:rsidR="00EA2939">
        <w:t xml:space="preserve">much </w:t>
      </w:r>
      <w:r w:rsidR="00EA2939" w:rsidRPr="008965CA">
        <w:t>smaller proportion of Australian</w:t>
      </w:r>
      <w:r>
        <w:t xml:space="preserve">s are estimated to be </w:t>
      </w:r>
      <w:r w:rsidR="00EA2939" w:rsidRPr="008965CA">
        <w:t>experienc</w:t>
      </w:r>
      <w:r>
        <w:t xml:space="preserve">ing </w:t>
      </w:r>
      <w:r w:rsidR="00EA2939" w:rsidRPr="008965CA">
        <w:t>deep</w:t>
      </w:r>
      <w:r w:rsidR="00EA2939">
        <w:t>er</w:t>
      </w:r>
      <w:r w:rsidR="00EA2939" w:rsidRPr="008965CA">
        <w:t xml:space="preserve"> or multiple forms of disadvantage</w:t>
      </w:r>
      <w:r w:rsidR="00EA2939">
        <w:t>:</w:t>
      </w:r>
    </w:p>
    <w:p w:rsidR="00EA2939" w:rsidRDefault="00EA2939" w:rsidP="00EA2939">
      <w:pPr>
        <w:pStyle w:val="ListBullet"/>
      </w:pPr>
      <w:r>
        <w:t>just over 3 per cent of Australians (670 000) experienced a combination of low income, low consumption and low net wealth in 2007</w:t>
      </w:r>
      <w:r w:rsidR="005077FA">
        <w:t xml:space="preserve"> </w:t>
      </w:r>
      <w:r w:rsidR="008F3B37">
        <w:t>(</w:t>
      </w:r>
      <w:proofErr w:type="spellStart"/>
      <w:r w:rsidR="005077FA">
        <w:t>Headey</w:t>
      </w:r>
      <w:proofErr w:type="spellEnd"/>
      <w:r w:rsidR="005077FA">
        <w:t>, Krause and Wagner 2007)</w:t>
      </w:r>
    </w:p>
    <w:p w:rsidR="0018413A" w:rsidRDefault="00BF6911" w:rsidP="0018413A">
      <w:pPr>
        <w:pStyle w:val="ListBullet"/>
      </w:pPr>
      <w:r>
        <w:t>j</w:t>
      </w:r>
      <w:r w:rsidR="003D0ABF">
        <w:t xml:space="preserve">ust under </w:t>
      </w:r>
      <w:r w:rsidR="0018413A">
        <w:t>5 per cent of those aged 15 years plus (</w:t>
      </w:r>
      <w:r w:rsidR="00445D91">
        <w:t>86</w:t>
      </w:r>
      <w:r w:rsidR="0018413A">
        <w:t xml:space="preserve">0 000) experienced </w:t>
      </w:r>
      <w:r w:rsidR="0018413A" w:rsidRPr="00777D58">
        <w:t>deep</w:t>
      </w:r>
      <w:r w:rsidR="0018413A">
        <w:t xml:space="preserve"> social exclusion and </w:t>
      </w:r>
      <w:r w:rsidR="003D0ABF">
        <w:t xml:space="preserve">nearly </w:t>
      </w:r>
      <w:r w:rsidR="0018413A">
        <w:t>1 per cent (</w:t>
      </w:r>
      <w:r w:rsidR="003D0ABF">
        <w:t>145</w:t>
      </w:r>
      <w:r w:rsidR="0018413A">
        <w:t xml:space="preserve"> 000) </w:t>
      </w:r>
      <w:r w:rsidR="0018413A" w:rsidRPr="00FD0670">
        <w:t>very deep</w:t>
      </w:r>
      <w:r w:rsidR="0018413A">
        <w:t xml:space="preserve"> social exclusion in 20</w:t>
      </w:r>
      <w:r w:rsidR="002848F6">
        <w:t>10</w:t>
      </w:r>
      <w:r w:rsidR="0018413A">
        <w:t xml:space="preserve"> (</w:t>
      </w:r>
      <w:proofErr w:type="spellStart"/>
      <w:r w:rsidR="0018413A">
        <w:t>SEM</w:t>
      </w:r>
      <w:proofErr w:type="spellEnd"/>
      <w:r w:rsidR="0018413A">
        <w:t xml:space="preserve">). </w:t>
      </w:r>
    </w:p>
    <w:p w:rsidR="005077FA" w:rsidRDefault="005077FA" w:rsidP="005077FA">
      <w:pPr>
        <w:pStyle w:val="Heading4"/>
      </w:pPr>
      <w:r>
        <w:t>It is also important to look at the dynamics of disadvantage</w:t>
      </w:r>
    </w:p>
    <w:p w:rsidR="002140D0" w:rsidRDefault="008F3B37" w:rsidP="002140D0">
      <w:pPr>
        <w:pStyle w:val="BodyText"/>
      </w:pPr>
      <w:r>
        <w:t xml:space="preserve">Many people </w:t>
      </w:r>
      <w:r w:rsidR="0018413A">
        <w:t>move</w:t>
      </w:r>
      <w:r>
        <w:t xml:space="preserve"> </w:t>
      </w:r>
      <w:r w:rsidR="0018413A">
        <w:t>in and out of disadvantage</w:t>
      </w:r>
      <w:r w:rsidR="002140D0">
        <w:t xml:space="preserve">. </w:t>
      </w:r>
      <w:r w:rsidR="0059536E">
        <w:t xml:space="preserve">The highly dynamic nature of disadvantage </w:t>
      </w:r>
      <w:r w:rsidR="002140D0">
        <w:t xml:space="preserve">is </w:t>
      </w:r>
      <w:r w:rsidR="002140D0" w:rsidRPr="00D91BEB">
        <w:t xml:space="preserve">illustrated by the finding that between 5 and 6 per cent of </w:t>
      </w:r>
      <w:r w:rsidR="002140D0">
        <w:t xml:space="preserve">Australians </w:t>
      </w:r>
      <w:r w:rsidR="002140D0" w:rsidRPr="00D91BEB">
        <w:t>enter income poverty in any given year, and a similar proportion exit (Melbourne Institute 201</w:t>
      </w:r>
      <w:r w:rsidR="00BF6911">
        <w:t>3</w:t>
      </w:r>
      <w:r w:rsidR="002140D0" w:rsidRPr="00D91BEB">
        <w:t>).</w:t>
      </w:r>
      <w:r w:rsidR="002140D0">
        <w:t xml:space="preserve"> </w:t>
      </w:r>
    </w:p>
    <w:p w:rsidR="0018413A" w:rsidRDefault="0018413A" w:rsidP="002140D0">
      <w:pPr>
        <w:pStyle w:val="BodyText"/>
      </w:pPr>
      <w:r>
        <w:t xml:space="preserve">But the risk of a person remaining in disadvantage increases with its duration. For example, the likelihood of an Australian exiting income poverty who had experienced poverty for six or more years (in the previous nine years) is around two </w:t>
      </w:r>
      <w:r>
        <w:lastRenderedPageBreak/>
        <w:t>thirds less than someone who had experienced income poverty for one or two years</w:t>
      </w:r>
      <w:r w:rsidR="0016188B">
        <w:t xml:space="preserve"> (Melbourne Institute 2013)</w:t>
      </w:r>
      <w:r>
        <w:t>.</w:t>
      </w:r>
    </w:p>
    <w:p w:rsidR="00EA2939" w:rsidRDefault="002140D0" w:rsidP="00EA2939">
      <w:pPr>
        <w:pStyle w:val="BodyText"/>
      </w:pPr>
      <w:r>
        <w:t xml:space="preserve">A relatively large share of Australians (just under 40 per cent) experienced relative income poverty </w:t>
      </w:r>
      <w:r w:rsidR="003C29AE">
        <w:t>for at least one year</w:t>
      </w:r>
      <w:r w:rsidR="00243EBE">
        <w:t xml:space="preserve"> </w:t>
      </w:r>
      <w:r>
        <w:t>between 2001 and 20</w:t>
      </w:r>
      <w:r w:rsidR="00445D91">
        <w:t>10</w:t>
      </w:r>
      <w:r>
        <w:t xml:space="preserve"> (Melbourne Institute 201</w:t>
      </w:r>
      <w:r w:rsidR="00445D91">
        <w:t>3</w:t>
      </w:r>
      <w:r>
        <w:t xml:space="preserve">). </w:t>
      </w:r>
      <w:r w:rsidRPr="00967F98">
        <w:t xml:space="preserve">But a closer look at the length of time </w:t>
      </w:r>
      <w:r>
        <w:t xml:space="preserve">Australians </w:t>
      </w:r>
      <w:r w:rsidRPr="00967F98">
        <w:t>spen</w:t>
      </w:r>
      <w:r>
        <w:t xml:space="preserve">d </w:t>
      </w:r>
      <w:r w:rsidRPr="00967F98">
        <w:t>in poverty reveals much smaller numbers experience persistent poverty.</w:t>
      </w:r>
      <w:r>
        <w:t xml:space="preserve"> </w:t>
      </w:r>
      <w:r w:rsidR="00520509">
        <w:t xml:space="preserve">Similarly a smaller share experience persistent deep social exclusion. </w:t>
      </w:r>
      <w:r w:rsidR="003722B6">
        <w:t>B</w:t>
      </w:r>
      <w:r w:rsidR="00EA2939">
        <w:t>etween 2001 and 20</w:t>
      </w:r>
      <w:r w:rsidR="00445D91">
        <w:t>10</w:t>
      </w:r>
      <w:r w:rsidR="00EA2939">
        <w:t>:</w:t>
      </w:r>
    </w:p>
    <w:p w:rsidR="00EA2939" w:rsidRDefault="0018413A" w:rsidP="00EA2939">
      <w:pPr>
        <w:pStyle w:val="ListBullet"/>
      </w:pPr>
      <w:r>
        <w:t xml:space="preserve">almost </w:t>
      </w:r>
      <w:r w:rsidR="00445D91">
        <w:t>10</w:t>
      </w:r>
      <w:r w:rsidR="00EA2939">
        <w:t> per cent of Australians experienced relative income poverty for at least five years</w:t>
      </w:r>
      <w:r>
        <w:t xml:space="preserve">, </w:t>
      </w:r>
      <w:r w:rsidR="00445D91">
        <w:t>5</w:t>
      </w:r>
      <w:r w:rsidR="00EA2939">
        <w:t xml:space="preserve"> per cent </w:t>
      </w:r>
      <w:r w:rsidR="003722B6">
        <w:t>f</w:t>
      </w:r>
      <w:r w:rsidR="00EA2939">
        <w:t>or seven or more years</w:t>
      </w:r>
      <w:r w:rsidR="005077FA">
        <w:t xml:space="preserve"> </w:t>
      </w:r>
      <w:r>
        <w:t xml:space="preserve">and just over 1 per cent for all nine years </w:t>
      </w:r>
      <w:r w:rsidR="005077FA">
        <w:t>(Melbourne Institute 201</w:t>
      </w:r>
      <w:r w:rsidR="003722B6">
        <w:t>3</w:t>
      </w:r>
      <w:r w:rsidR="005077FA">
        <w:t>)</w:t>
      </w:r>
    </w:p>
    <w:p w:rsidR="00EA2939" w:rsidRDefault="0018413A" w:rsidP="00EA2939">
      <w:pPr>
        <w:pStyle w:val="ListBullet"/>
      </w:pPr>
      <w:r>
        <w:t xml:space="preserve">just </w:t>
      </w:r>
      <w:r w:rsidR="00445D91">
        <w:t>under</w:t>
      </w:r>
      <w:r>
        <w:t xml:space="preserve"> </w:t>
      </w:r>
      <w:r w:rsidR="00445D91">
        <w:t>3</w:t>
      </w:r>
      <w:r w:rsidR="00EA2939">
        <w:t xml:space="preserve"> per cent of Australians </w:t>
      </w:r>
      <w:r w:rsidR="00445D91">
        <w:t>aged 15 years plus</w:t>
      </w:r>
      <w:r w:rsidR="00EA2939">
        <w:t xml:space="preserve"> experienced deep social exclusion for five or more years and under 1 per cent for seven years or more</w:t>
      </w:r>
      <w:r w:rsidR="00B25DE7">
        <w:t xml:space="preserve"> (</w:t>
      </w:r>
      <w:proofErr w:type="spellStart"/>
      <w:r w:rsidR="00B25DE7">
        <w:t>SEM</w:t>
      </w:r>
      <w:proofErr w:type="spellEnd"/>
      <w:r w:rsidR="00B25DE7">
        <w:t>)</w:t>
      </w:r>
      <w:r>
        <w:t>.</w:t>
      </w:r>
      <w:r w:rsidR="005077FA">
        <w:t xml:space="preserve"> </w:t>
      </w:r>
    </w:p>
    <w:p w:rsidR="009F2240" w:rsidRDefault="00C21C20" w:rsidP="00C21C20">
      <w:pPr>
        <w:pStyle w:val="Heading3"/>
      </w:pPr>
      <w:r>
        <w:t xml:space="preserve">Trends in disadvantage </w:t>
      </w:r>
    </w:p>
    <w:p w:rsidR="00E55535" w:rsidRDefault="00C21C20" w:rsidP="00C21C20">
      <w:pPr>
        <w:pStyle w:val="BodyText"/>
      </w:pPr>
      <w:r>
        <w:t>Sustained economic growth between 2001 and 20</w:t>
      </w:r>
      <w:r w:rsidR="003D0ABF">
        <w:t>10</w:t>
      </w:r>
      <w:r>
        <w:t xml:space="preserve"> </w:t>
      </w:r>
      <w:r w:rsidR="0018413A">
        <w:t xml:space="preserve">had little </w:t>
      </w:r>
      <w:r>
        <w:t xml:space="preserve">impact on the estimated proportion of Australians </w:t>
      </w:r>
      <w:r w:rsidR="0059536E">
        <w:t xml:space="preserve">who were experiencing </w:t>
      </w:r>
      <w:r w:rsidR="00343092" w:rsidRPr="00250799">
        <w:rPr>
          <w:i/>
        </w:rPr>
        <w:t>rel</w:t>
      </w:r>
      <w:r w:rsidR="007E79B9" w:rsidRPr="00250799">
        <w:rPr>
          <w:i/>
        </w:rPr>
        <w:t>ative</w:t>
      </w:r>
      <w:r w:rsidR="007E79B9">
        <w:t xml:space="preserve"> </w:t>
      </w:r>
      <w:r>
        <w:t xml:space="preserve">income poverty </w:t>
      </w:r>
      <w:r w:rsidR="00606CCB">
        <w:t>—</w:t>
      </w:r>
      <w:r w:rsidR="00343092">
        <w:t xml:space="preserve"> </w:t>
      </w:r>
      <w:r w:rsidR="00FB428F">
        <w:t xml:space="preserve">which ranged between </w:t>
      </w:r>
      <w:r w:rsidR="00606CCB">
        <w:t xml:space="preserve">12 </w:t>
      </w:r>
      <w:r w:rsidR="00FB428F">
        <w:t xml:space="preserve">and </w:t>
      </w:r>
      <w:r w:rsidR="00606CCB">
        <w:t>1</w:t>
      </w:r>
      <w:r w:rsidR="00756DC1">
        <w:t>4</w:t>
      </w:r>
      <w:r w:rsidR="00606CCB">
        <w:t> per cent over th</w:t>
      </w:r>
      <w:r w:rsidR="00343092">
        <w:t xml:space="preserve">e </w:t>
      </w:r>
      <w:r w:rsidR="00606CCB">
        <w:t xml:space="preserve">period </w:t>
      </w:r>
      <w:r>
        <w:t xml:space="preserve">(figure 1). </w:t>
      </w:r>
      <w:r w:rsidR="00FB428F">
        <w:t xml:space="preserve">The relative income poverty rate for Australia did not fall because households with median incomes experienced slightly higher annual income growth than households at the bottom of the income distribution. </w:t>
      </w:r>
    </w:p>
    <w:p w:rsidR="00FB428F" w:rsidRDefault="00E55535" w:rsidP="00C21C20">
      <w:pPr>
        <w:pStyle w:val="BodyText"/>
      </w:pPr>
      <w:r>
        <w:t xml:space="preserve">This outcome masks the extent of growth in real incomes for those at the bottom of the income distribution in Australia. OECD data show real household income for the bottom </w:t>
      </w:r>
      <w:proofErr w:type="spellStart"/>
      <w:r>
        <w:t>decile</w:t>
      </w:r>
      <w:proofErr w:type="spellEnd"/>
      <w:r>
        <w:t xml:space="preserve"> </w:t>
      </w:r>
      <w:r w:rsidR="00520509">
        <w:t xml:space="preserve">(or bottom </w:t>
      </w:r>
      <w:r w:rsidR="00EF1A33">
        <w:t>1</w:t>
      </w:r>
      <w:r w:rsidR="00520509">
        <w:t xml:space="preserve">0 per cent) </w:t>
      </w:r>
      <w:r>
        <w:t>of Australian households grew by an annual average of 3 per cent between the mid</w:t>
      </w:r>
      <w:r>
        <w:noBreakHyphen/>
      </w:r>
      <w:proofErr w:type="spellStart"/>
      <w:r>
        <w:t>1980s</w:t>
      </w:r>
      <w:proofErr w:type="spellEnd"/>
      <w:r>
        <w:t xml:space="preserve"> and the late </w:t>
      </w:r>
      <w:proofErr w:type="spellStart"/>
      <w:r>
        <w:t>2000s</w:t>
      </w:r>
      <w:proofErr w:type="spellEnd"/>
      <w:r>
        <w:t xml:space="preserve">. This is more than twice the growth rate for the bottom </w:t>
      </w:r>
      <w:proofErr w:type="spellStart"/>
      <w:r>
        <w:t>decile</w:t>
      </w:r>
      <w:proofErr w:type="spellEnd"/>
      <w:r>
        <w:t xml:space="preserve"> of the OECD average and six times the growth rate for the bottom </w:t>
      </w:r>
      <w:proofErr w:type="spellStart"/>
      <w:r>
        <w:t>decile</w:t>
      </w:r>
      <w:proofErr w:type="spellEnd"/>
      <w:r>
        <w:t xml:space="preserve"> in the United States</w:t>
      </w:r>
      <w:r w:rsidR="00A00D9A">
        <w:t xml:space="preserve">. </w:t>
      </w:r>
    </w:p>
    <w:p w:rsidR="00606CCB" w:rsidRDefault="00A00D9A" w:rsidP="00606CCB">
      <w:pPr>
        <w:pStyle w:val="BodyText"/>
      </w:pPr>
      <w:r>
        <w:t xml:space="preserve">Changes in absolute poverty gives a </w:t>
      </w:r>
      <w:r w:rsidR="00606CCB">
        <w:t xml:space="preserve">sense of the change in the proportion of Australians </w:t>
      </w:r>
      <w:r w:rsidR="00D142B8">
        <w:t xml:space="preserve">who </w:t>
      </w:r>
      <w:r w:rsidR="00606CCB">
        <w:t xml:space="preserve">would fall below </w:t>
      </w:r>
      <w:r>
        <w:t xml:space="preserve">a </w:t>
      </w:r>
      <w:r w:rsidR="00606CCB">
        <w:t xml:space="preserve">poverty line </w:t>
      </w:r>
      <w:r>
        <w:t xml:space="preserve">that has its real value held constant over time </w:t>
      </w:r>
      <w:r w:rsidR="003F48FF">
        <w:t xml:space="preserve">rather </w:t>
      </w:r>
      <w:r>
        <w:t xml:space="preserve">than </w:t>
      </w:r>
      <w:r w:rsidR="003F48FF">
        <w:t xml:space="preserve">having it </w:t>
      </w:r>
      <w:r>
        <w:t>adjust</w:t>
      </w:r>
      <w:r w:rsidR="003F48FF">
        <w:t xml:space="preserve">ed </w:t>
      </w:r>
      <w:r>
        <w:t xml:space="preserve">for changes in average </w:t>
      </w:r>
      <w:r w:rsidR="005825BF">
        <w:t xml:space="preserve">incomes </w:t>
      </w:r>
      <w:r w:rsidR="00FE5761">
        <w:t>(</w:t>
      </w:r>
      <w:r w:rsidR="003F48FF">
        <w:t>as is the case for relative income poverty estimates</w:t>
      </w:r>
      <w:r w:rsidR="00FE5761">
        <w:t>)</w:t>
      </w:r>
      <w:r>
        <w:t xml:space="preserve">. </w:t>
      </w:r>
      <w:r w:rsidR="0059536E">
        <w:t>Taking 20</w:t>
      </w:r>
      <w:r w:rsidR="00756DC1">
        <w:t>0</w:t>
      </w:r>
      <w:r w:rsidR="0059536E">
        <w:t>1 as the base year, t</w:t>
      </w:r>
      <w:r w:rsidR="00606CCB">
        <w:t>h</w:t>
      </w:r>
      <w:r w:rsidR="00CF78E4">
        <w:t>e</w:t>
      </w:r>
      <w:r w:rsidR="00606CCB">
        <w:t xml:space="preserve"> absolute poverty </w:t>
      </w:r>
      <w:r w:rsidR="00CD2BEC">
        <w:t xml:space="preserve">rate </w:t>
      </w:r>
      <w:r w:rsidR="00606CCB">
        <w:t xml:space="preserve">more than halved </w:t>
      </w:r>
      <w:r w:rsidR="0083468E">
        <w:t>over the period 2001 to 20</w:t>
      </w:r>
      <w:r w:rsidR="00756DC1">
        <w:t>10</w:t>
      </w:r>
      <w:r w:rsidR="0083468E">
        <w:t xml:space="preserve"> </w:t>
      </w:r>
      <w:r w:rsidR="00606CCB">
        <w:t xml:space="preserve">— from </w:t>
      </w:r>
      <w:r w:rsidR="00756DC1">
        <w:t xml:space="preserve">just over </w:t>
      </w:r>
      <w:r w:rsidR="00606CCB">
        <w:t xml:space="preserve">13 per cent to </w:t>
      </w:r>
      <w:r w:rsidR="00756DC1">
        <w:t xml:space="preserve">just under </w:t>
      </w:r>
      <w:r w:rsidR="00606CCB">
        <w:t xml:space="preserve">6 per cent (figure 1). </w:t>
      </w:r>
    </w:p>
    <w:p w:rsidR="007F5EC8" w:rsidRDefault="007F5EC8" w:rsidP="007F5EC8">
      <w:pPr>
        <w:pStyle w:val="FigureTitle"/>
      </w:pPr>
      <w:r>
        <w:rPr>
          <w:b w:val="0"/>
        </w:rPr>
        <w:lastRenderedPageBreak/>
        <w:t xml:space="preserve">Figure </w:t>
      </w:r>
      <w:r>
        <w:rPr>
          <w:b w:val="0"/>
        </w:rPr>
        <w:fldChar w:fldCharType="begin"/>
      </w:r>
      <w:r>
        <w:rPr>
          <w:b w:val="0"/>
        </w:rPr>
        <w:instrText xml:space="preserve"> COMMENTS  \* MERGEFORMAT </w:instrText>
      </w:r>
      <w:r>
        <w:rPr>
          <w:b w:val="0"/>
        </w:rPr>
        <w:fldChar w:fldCharType="separate"/>
      </w:r>
      <w:r>
        <w:rPr>
          <w:b w:val="0"/>
        </w:rPr>
        <w:t>1</w:t>
      </w:r>
      <w:r>
        <w:rPr>
          <w:b w:val="0"/>
        </w:rPr>
        <w:fldChar w:fldCharType="end"/>
      </w:r>
      <w:r>
        <w:tab/>
        <w:t>Trends in income poverty and social exclusion, 2001 to 20</w:t>
      </w:r>
      <w:r w:rsidR="00FF01E1">
        <w:t>10</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4388"/>
        <w:gridCol w:w="4389"/>
      </w:tblGrid>
      <w:tr w:rsidR="007F5EC8" w:rsidTr="007E2280">
        <w:trPr>
          <w:trHeight w:val="3918"/>
        </w:trPr>
        <w:tc>
          <w:tcPr>
            <w:tcW w:w="4388" w:type="dxa"/>
          </w:tcPr>
          <w:p w:rsidR="007F5EC8" w:rsidRDefault="00D3539A" w:rsidP="00823D4A">
            <w:pPr>
              <w:pStyle w:val="Figur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The chart on the left hand side shows that the rate of relative income poverty for all Australians has ranged between 12 and 14 per cent between 2001 and 2010. In contrast the rate of absolute poverty has more than halved from just over 13 per cent to just under 6 per cent.  " style="width:208.5pt;height:191.8pt;mso-position-horizontal:absolute">
                  <v:imagedata r:id="rId9" o:title=""/>
                </v:shape>
              </w:pict>
            </w:r>
          </w:p>
        </w:tc>
        <w:tc>
          <w:tcPr>
            <w:tcW w:w="4389" w:type="dxa"/>
          </w:tcPr>
          <w:p w:rsidR="007F5EC8" w:rsidRDefault="00D3539A" w:rsidP="00823D4A">
            <w:pPr>
              <w:pStyle w:val="Figure"/>
            </w:pPr>
            <w:r>
              <w:rPr>
                <w:noProof/>
              </w:rPr>
              <w:pict>
                <v:shape id="_x0000_i1026" type="#_x0000_t75" alt="The chart on the right hand side for trends in social exclusion show a steady reduction in the rate of deep social exclusion from  just over 7 per cent in 2001 to just under 5 per cent in 2010. The rate of very deep exclusion has remained relatively stable at around 1 per cent." style="width:206.8pt;height:189.5pt">
                  <v:imagedata r:id="rId10" o:title=""/>
                </v:shape>
              </w:pict>
            </w:r>
          </w:p>
        </w:tc>
      </w:tr>
    </w:tbl>
    <w:p w:rsidR="007F5EC8" w:rsidRDefault="007F5EC8" w:rsidP="007F5EC8">
      <w:pPr>
        <w:pStyle w:val="Source"/>
      </w:pPr>
      <w:r>
        <w:rPr>
          <w:i/>
        </w:rPr>
        <w:t>Data source</w:t>
      </w:r>
      <w:r w:rsidRPr="00167F06">
        <w:t xml:space="preserve">: </w:t>
      </w:r>
      <w:r>
        <w:t>Melbourne Institute of Applied Economic and Social Research (201</w:t>
      </w:r>
      <w:r w:rsidR="001F1F99">
        <w:t>3</w:t>
      </w:r>
      <w:r w:rsidR="00EC0421">
        <w:t>)</w:t>
      </w:r>
      <w:r w:rsidR="00E274DF">
        <w:t>;</w:t>
      </w:r>
      <w:r w:rsidR="00EC0421">
        <w:t xml:space="preserve"> </w:t>
      </w:r>
      <w:proofErr w:type="spellStart"/>
      <w:r w:rsidR="00EC0421">
        <w:t>Azpitarte</w:t>
      </w:r>
      <w:proofErr w:type="spellEnd"/>
      <w:r w:rsidR="00EC0421">
        <w:t xml:space="preserve"> (</w:t>
      </w:r>
      <w:proofErr w:type="spellStart"/>
      <w:r w:rsidR="00EC0421">
        <w:t>2012b</w:t>
      </w:r>
      <w:proofErr w:type="spellEnd"/>
      <w:r w:rsidR="00EC0421">
        <w:t>).</w:t>
      </w:r>
    </w:p>
    <w:p w:rsidR="00C21C20" w:rsidRDefault="0083468E" w:rsidP="0098712C">
      <w:pPr>
        <w:pStyle w:val="BodyText"/>
      </w:pPr>
      <w:r>
        <w:t>T</w:t>
      </w:r>
      <w:r w:rsidR="00606CCB">
        <w:t>he rate of social exclusion, which is more of an absolute than a relative measure, declined over the period 2001 to 20</w:t>
      </w:r>
      <w:r w:rsidR="00756DC1">
        <w:t>10</w:t>
      </w:r>
      <w:r w:rsidR="00606CCB">
        <w:t xml:space="preserve"> (figure 1). The proportion of </w:t>
      </w:r>
      <w:r w:rsidR="00FE5761">
        <w:t xml:space="preserve">adult </w:t>
      </w:r>
      <w:r w:rsidR="00343092">
        <w:t xml:space="preserve">Australians </w:t>
      </w:r>
      <w:r w:rsidR="00606CCB">
        <w:t xml:space="preserve">experiencing </w:t>
      </w:r>
      <w:r w:rsidR="00606CCB" w:rsidRPr="00343092">
        <w:rPr>
          <w:i/>
        </w:rPr>
        <w:t>deep</w:t>
      </w:r>
      <w:r w:rsidR="00606CCB">
        <w:t xml:space="preserve"> exclusion fell from </w:t>
      </w:r>
      <w:r w:rsidR="00756DC1">
        <w:t xml:space="preserve">a little </w:t>
      </w:r>
      <w:r w:rsidR="00A00D9A">
        <w:t xml:space="preserve">over </w:t>
      </w:r>
      <w:r w:rsidR="00606CCB">
        <w:t xml:space="preserve">7 per cent in 2001 to </w:t>
      </w:r>
      <w:r w:rsidR="00756DC1">
        <w:t xml:space="preserve">just under </w:t>
      </w:r>
      <w:r w:rsidR="00606CCB">
        <w:t>5 per cent in 20</w:t>
      </w:r>
      <w:r w:rsidR="003D0ABF">
        <w:t>10</w:t>
      </w:r>
      <w:r w:rsidR="00606CCB">
        <w:t xml:space="preserve">. </w:t>
      </w:r>
    </w:p>
    <w:p w:rsidR="00C21C20" w:rsidRDefault="00A00D9A" w:rsidP="00C21C20">
      <w:pPr>
        <w:pStyle w:val="BodyText"/>
      </w:pPr>
      <w:r>
        <w:t>T</w:t>
      </w:r>
      <w:r w:rsidR="00C21C20">
        <w:t xml:space="preserve">he proportion </w:t>
      </w:r>
      <w:r w:rsidR="00CD3AC7">
        <w:t xml:space="preserve">of </w:t>
      </w:r>
      <w:r w:rsidR="00FE5761">
        <w:t xml:space="preserve">adult </w:t>
      </w:r>
      <w:r w:rsidR="00CD3AC7">
        <w:t xml:space="preserve">Australians </w:t>
      </w:r>
      <w:r w:rsidR="00C21C20">
        <w:t xml:space="preserve">experiencing </w:t>
      </w:r>
      <w:r w:rsidR="00C21C20" w:rsidRPr="007F5EC8">
        <w:rPr>
          <w:i/>
        </w:rPr>
        <w:t>very deep</w:t>
      </w:r>
      <w:r w:rsidR="00C21C20">
        <w:t xml:space="preserve"> exclusion remained relatively stable </w:t>
      </w:r>
      <w:r w:rsidR="007F5EC8">
        <w:t xml:space="preserve">over the period </w:t>
      </w:r>
      <w:r w:rsidR="008907F9">
        <w:t>at around 1 per cent</w:t>
      </w:r>
      <w:r w:rsidR="0092755A">
        <w:t xml:space="preserve"> (figure 1)</w:t>
      </w:r>
      <w:r w:rsidR="00CD3AC7">
        <w:t xml:space="preserve">. </w:t>
      </w:r>
      <w:r>
        <w:t>Th</w:t>
      </w:r>
      <w:r w:rsidR="0059536E">
        <w:t>is</w:t>
      </w:r>
      <w:r>
        <w:t xml:space="preserve"> relative stab</w:t>
      </w:r>
      <w:r w:rsidR="0059536E">
        <w:t xml:space="preserve">ility suggests that </w:t>
      </w:r>
      <w:r w:rsidR="008907F9">
        <w:t xml:space="preserve">economic </w:t>
      </w:r>
      <w:r w:rsidR="00756DC1">
        <w:t xml:space="preserve">and employment </w:t>
      </w:r>
      <w:r w:rsidR="008907F9">
        <w:t xml:space="preserve">growth is </w:t>
      </w:r>
      <w:r w:rsidR="00756DC1">
        <w:t xml:space="preserve">not </w:t>
      </w:r>
      <w:r w:rsidR="002A2DCB">
        <w:t xml:space="preserve">sufficient </w:t>
      </w:r>
      <w:r w:rsidR="008907F9">
        <w:t xml:space="preserve">to improve the position of </w:t>
      </w:r>
      <w:r w:rsidR="0059536E">
        <w:t xml:space="preserve">those </w:t>
      </w:r>
      <w:r w:rsidR="00CD3AC7">
        <w:t>Australia</w:t>
      </w:r>
      <w:r w:rsidR="001D18EC">
        <w:t xml:space="preserve">ns </w:t>
      </w:r>
      <w:r w:rsidR="0059536E">
        <w:t xml:space="preserve">who have the most </w:t>
      </w:r>
      <w:r w:rsidR="001D18EC">
        <w:t xml:space="preserve">complex needs. </w:t>
      </w:r>
    </w:p>
    <w:p w:rsidR="008907F9" w:rsidRDefault="008907F9" w:rsidP="008907F9">
      <w:pPr>
        <w:pStyle w:val="Heading3"/>
      </w:pPr>
      <w:r>
        <w:t>Who is at greatest risk of experiencing deep and persistent disadvantage?</w:t>
      </w:r>
    </w:p>
    <w:p w:rsidR="008907F9" w:rsidRDefault="0059536E" w:rsidP="008907F9">
      <w:pPr>
        <w:pStyle w:val="BodyText"/>
      </w:pPr>
      <w:r>
        <w:t xml:space="preserve">People </w:t>
      </w:r>
      <w:r w:rsidR="008907F9">
        <w:t>at highest risk of e</w:t>
      </w:r>
      <w:r w:rsidR="008907F9" w:rsidRPr="000677AE">
        <w:t>xperienc</w:t>
      </w:r>
      <w:r w:rsidR="008907F9">
        <w:t xml:space="preserve">ing </w:t>
      </w:r>
      <w:r w:rsidR="008907F9" w:rsidRPr="000677AE">
        <w:t>deep</w:t>
      </w:r>
      <w:r w:rsidR="00213F79">
        <w:t xml:space="preserve">er or multiple forms of disadvantage </w:t>
      </w:r>
      <w:r w:rsidR="008907F9" w:rsidRPr="000677AE">
        <w:t xml:space="preserve">include </w:t>
      </w:r>
      <w:r w:rsidR="00FA6ECE">
        <w:t xml:space="preserve">those who are dependent on income support, </w:t>
      </w:r>
      <w:r w:rsidR="00213F79">
        <w:t xml:space="preserve">unemployed people, </w:t>
      </w:r>
      <w:r w:rsidR="00B40A55">
        <w:t xml:space="preserve">Indigenous </w:t>
      </w:r>
      <w:r w:rsidR="008907F9" w:rsidRPr="000677AE">
        <w:t>Australians, people with a long-term health condition or disability</w:t>
      </w:r>
      <w:r w:rsidR="008907F9">
        <w:t xml:space="preserve">, </w:t>
      </w:r>
      <w:r w:rsidR="008907F9" w:rsidRPr="000677AE">
        <w:t>lone parents</w:t>
      </w:r>
      <w:r w:rsidR="008907F9">
        <w:t xml:space="preserve"> and</w:t>
      </w:r>
      <w:r w:rsidR="008907F9" w:rsidRPr="000677AE">
        <w:t xml:space="preserve"> people with low educational attainment</w:t>
      </w:r>
      <w:r w:rsidR="008907F9">
        <w:t xml:space="preserve"> (table 1)</w:t>
      </w:r>
      <w:r w:rsidR="008907F9" w:rsidRPr="000677AE">
        <w:t xml:space="preserve">. </w:t>
      </w:r>
    </w:p>
    <w:p w:rsidR="009A6854" w:rsidRDefault="009A6854" w:rsidP="009A6854">
      <w:pPr>
        <w:pStyle w:val="BodyText"/>
      </w:pPr>
      <w:r>
        <w:t>Public housing tenants have high rates of deep and persistent social exclusion. A high proportion of public housing tenants are dependent on income support, many are lone parents, and a large proportion have low educational attainment or a long</w:t>
      </w:r>
      <w:r w:rsidR="003C7645">
        <w:noBreakHyphen/>
      </w:r>
      <w:r>
        <w:t>term illness or disability.</w:t>
      </w:r>
    </w:p>
    <w:p w:rsidR="009A6854" w:rsidRDefault="009A6854" w:rsidP="008907F9">
      <w:pPr>
        <w:pStyle w:val="BodyText"/>
      </w:pPr>
    </w:p>
    <w:p w:rsidR="008907F9" w:rsidRDefault="008907F9" w:rsidP="008907F9">
      <w:pPr>
        <w:pStyle w:val="TableTitle"/>
      </w:pPr>
      <w:r>
        <w:rPr>
          <w:b w:val="0"/>
        </w:rPr>
        <w:lastRenderedPageBreak/>
        <w:t>Table 1</w:t>
      </w:r>
      <w:r>
        <w:tab/>
      </w:r>
      <w:r w:rsidR="00EC50A1">
        <w:t xml:space="preserve">Prevalence </w:t>
      </w:r>
      <w:r>
        <w:t>of forms of disadvantage for vulnerable groups</w:t>
      </w:r>
      <w:r w:rsidR="005246C5">
        <w:t xml:space="preserve">, </w:t>
      </w:r>
    </w:p>
    <w:tbl>
      <w:tblPr>
        <w:tblW w:w="5000" w:type="pct"/>
        <w:tblCellMar>
          <w:left w:w="0" w:type="dxa"/>
          <w:right w:w="0" w:type="dxa"/>
        </w:tblCellMar>
        <w:tblLook w:val="0000" w:firstRow="0" w:lastRow="0" w:firstColumn="0" w:lastColumn="0" w:noHBand="0" w:noVBand="0"/>
      </w:tblPr>
      <w:tblGrid>
        <w:gridCol w:w="2835"/>
        <w:gridCol w:w="1489"/>
        <w:gridCol w:w="1489"/>
        <w:gridCol w:w="1489"/>
        <w:gridCol w:w="1487"/>
      </w:tblGrid>
      <w:tr w:rsidR="00E837FE" w:rsidTr="00CC5131">
        <w:tc>
          <w:tcPr>
            <w:tcW w:w="1613" w:type="pct"/>
            <w:tcBorders>
              <w:top w:val="single" w:sz="4" w:space="0" w:color="auto"/>
            </w:tcBorders>
            <w:shd w:val="clear" w:color="auto" w:fill="auto"/>
            <w:vAlign w:val="bottom"/>
          </w:tcPr>
          <w:p w:rsidR="00E837FE" w:rsidRDefault="00E837FE" w:rsidP="00CC5131">
            <w:pPr>
              <w:pStyle w:val="TableColumnHeading"/>
              <w:jc w:val="left"/>
            </w:pPr>
          </w:p>
        </w:tc>
        <w:tc>
          <w:tcPr>
            <w:tcW w:w="2541" w:type="pct"/>
            <w:gridSpan w:val="3"/>
            <w:tcBorders>
              <w:top w:val="single" w:sz="4" w:space="0" w:color="auto"/>
              <w:bottom w:val="single" w:sz="4" w:space="0" w:color="auto"/>
            </w:tcBorders>
            <w:shd w:val="clear" w:color="auto" w:fill="auto"/>
            <w:vAlign w:val="center"/>
          </w:tcPr>
          <w:p w:rsidR="00E837FE" w:rsidRDefault="00E837FE" w:rsidP="00CC5131">
            <w:pPr>
              <w:pStyle w:val="TableColumnHeading"/>
              <w:jc w:val="center"/>
            </w:pPr>
            <w:r>
              <w:t>2010</w:t>
            </w:r>
          </w:p>
        </w:tc>
        <w:tc>
          <w:tcPr>
            <w:tcW w:w="846" w:type="pct"/>
            <w:tcBorders>
              <w:top w:val="single" w:sz="4" w:space="0" w:color="auto"/>
              <w:bottom w:val="single" w:sz="4" w:space="0" w:color="auto"/>
            </w:tcBorders>
            <w:shd w:val="clear" w:color="auto" w:fill="auto"/>
            <w:vAlign w:val="bottom"/>
          </w:tcPr>
          <w:p w:rsidR="00E837FE" w:rsidRDefault="00E837FE" w:rsidP="00CC5131">
            <w:pPr>
              <w:pStyle w:val="TableColumnHeading"/>
            </w:pPr>
            <w:r>
              <w:t>2001 to 2010</w:t>
            </w:r>
          </w:p>
        </w:tc>
      </w:tr>
      <w:tr w:rsidR="00E837FE" w:rsidTr="00CC5131">
        <w:tc>
          <w:tcPr>
            <w:tcW w:w="1613" w:type="pct"/>
            <w:tcBorders>
              <w:bottom w:val="single" w:sz="4" w:space="0" w:color="auto"/>
            </w:tcBorders>
            <w:shd w:val="clear" w:color="auto" w:fill="auto"/>
            <w:vAlign w:val="bottom"/>
          </w:tcPr>
          <w:p w:rsidR="00E837FE" w:rsidRDefault="00E837FE" w:rsidP="00CC5131">
            <w:pPr>
              <w:pStyle w:val="TableColumnHeading"/>
              <w:jc w:val="left"/>
            </w:pPr>
            <w:r>
              <w:t>Group or characteristic</w:t>
            </w:r>
          </w:p>
        </w:tc>
        <w:tc>
          <w:tcPr>
            <w:tcW w:w="847" w:type="pct"/>
            <w:tcBorders>
              <w:top w:val="single" w:sz="4" w:space="0" w:color="auto"/>
              <w:bottom w:val="single" w:sz="4" w:space="0" w:color="auto"/>
            </w:tcBorders>
            <w:shd w:val="clear" w:color="auto" w:fill="auto"/>
            <w:vAlign w:val="bottom"/>
          </w:tcPr>
          <w:p w:rsidR="00E837FE" w:rsidRDefault="00E837FE" w:rsidP="00CC5131">
            <w:pPr>
              <w:pStyle w:val="TableColumnHeading"/>
            </w:pPr>
            <w:r>
              <w:t xml:space="preserve">Relative income poverty </w:t>
            </w:r>
          </w:p>
        </w:tc>
        <w:tc>
          <w:tcPr>
            <w:tcW w:w="847" w:type="pct"/>
            <w:tcBorders>
              <w:top w:val="single" w:sz="4" w:space="0" w:color="auto"/>
              <w:bottom w:val="single" w:sz="4" w:space="0" w:color="auto"/>
            </w:tcBorders>
            <w:vAlign w:val="bottom"/>
          </w:tcPr>
          <w:p w:rsidR="00E837FE" w:rsidRDefault="00E837FE" w:rsidP="00CC5131">
            <w:pPr>
              <w:pStyle w:val="TableColumnHeading"/>
            </w:pPr>
            <w:r>
              <w:t xml:space="preserve">Multiple deprivation </w:t>
            </w:r>
          </w:p>
        </w:tc>
        <w:tc>
          <w:tcPr>
            <w:tcW w:w="847" w:type="pct"/>
            <w:tcBorders>
              <w:top w:val="single" w:sz="4" w:space="0" w:color="auto"/>
              <w:bottom w:val="single" w:sz="4" w:space="0" w:color="auto"/>
            </w:tcBorders>
            <w:vAlign w:val="bottom"/>
          </w:tcPr>
          <w:p w:rsidR="00E837FE" w:rsidRDefault="00E837FE" w:rsidP="00CC5131">
            <w:pPr>
              <w:pStyle w:val="TableColumnHeading"/>
            </w:pPr>
            <w:r>
              <w:t xml:space="preserve">Deep social exclusion </w:t>
            </w:r>
          </w:p>
        </w:tc>
        <w:tc>
          <w:tcPr>
            <w:tcW w:w="846" w:type="pct"/>
            <w:tcBorders>
              <w:top w:val="single" w:sz="4" w:space="0" w:color="auto"/>
              <w:bottom w:val="single" w:sz="4" w:space="0" w:color="auto"/>
            </w:tcBorders>
            <w:shd w:val="clear" w:color="auto" w:fill="auto"/>
            <w:vAlign w:val="bottom"/>
          </w:tcPr>
          <w:p w:rsidR="00E837FE" w:rsidRDefault="00E837FE" w:rsidP="00CC5131">
            <w:pPr>
              <w:pStyle w:val="TableColumnHeading"/>
            </w:pPr>
            <w:r>
              <w:t xml:space="preserve">Deep and persistent social exclusion </w:t>
            </w:r>
          </w:p>
        </w:tc>
      </w:tr>
      <w:tr w:rsidR="005246C5" w:rsidTr="005246C5">
        <w:tc>
          <w:tcPr>
            <w:tcW w:w="1613" w:type="pct"/>
            <w:tcBorders>
              <w:top w:val="single" w:sz="4" w:space="0" w:color="auto"/>
            </w:tcBorders>
            <w:shd w:val="clear" w:color="auto" w:fill="auto"/>
          </w:tcPr>
          <w:p w:rsidR="005246C5" w:rsidRDefault="005246C5" w:rsidP="0054619C">
            <w:pPr>
              <w:pStyle w:val="TableBodyText"/>
              <w:spacing w:before="120"/>
              <w:jc w:val="left"/>
            </w:pPr>
          </w:p>
        </w:tc>
        <w:tc>
          <w:tcPr>
            <w:tcW w:w="847" w:type="pct"/>
            <w:tcBorders>
              <w:top w:val="single" w:sz="4" w:space="0" w:color="auto"/>
            </w:tcBorders>
            <w:shd w:val="clear" w:color="auto" w:fill="auto"/>
          </w:tcPr>
          <w:p w:rsidR="005246C5" w:rsidRDefault="005246C5" w:rsidP="00641A43">
            <w:pPr>
              <w:pStyle w:val="TableBodyText"/>
              <w:spacing w:before="120"/>
            </w:pPr>
            <w:r>
              <w:t>% rate</w:t>
            </w:r>
          </w:p>
        </w:tc>
        <w:tc>
          <w:tcPr>
            <w:tcW w:w="847" w:type="pct"/>
            <w:tcBorders>
              <w:top w:val="single" w:sz="4" w:space="0" w:color="auto"/>
            </w:tcBorders>
          </w:tcPr>
          <w:p w:rsidR="005246C5" w:rsidRDefault="005246C5" w:rsidP="00641A43">
            <w:pPr>
              <w:pStyle w:val="TableBodyText"/>
              <w:spacing w:before="120"/>
              <w:ind w:right="28"/>
            </w:pPr>
            <w:r>
              <w:t>% rate</w:t>
            </w:r>
          </w:p>
        </w:tc>
        <w:tc>
          <w:tcPr>
            <w:tcW w:w="847" w:type="pct"/>
            <w:tcBorders>
              <w:top w:val="single" w:sz="4" w:space="0" w:color="auto"/>
            </w:tcBorders>
          </w:tcPr>
          <w:p w:rsidR="005246C5" w:rsidRDefault="005246C5" w:rsidP="00641A43">
            <w:pPr>
              <w:pStyle w:val="TableBodyText"/>
              <w:spacing w:before="120"/>
              <w:ind w:right="28"/>
            </w:pPr>
            <w:r>
              <w:t>% rate</w:t>
            </w:r>
          </w:p>
        </w:tc>
        <w:tc>
          <w:tcPr>
            <w:tcW w:w="846" w:type="pct"/>
            <w:tcBorders>
              <w:top w:val="single" w:sz="4" w:space="0" w:color="auto"/>
            </w:tcBorders>
            <w:shd w:val="clear" w:color="auto" w:fill="auto"/>
          </w:tcPr>
          <w:p w:rsidR="005246C5" w:rsidRDefault="005246C5" w:rsidP="00641A43">
            <w:pPr>
              <w:pStyle w:val="TableBodyText"/>
              <w:spacing w:before="120"/>
              <w:ind w:right="28"/>
            </w:pPr>
            <w:r>
              <w:t>% rate</w:t>
            </w:r>
          </w:p>
        </w:tc>
      </w:tr>
      <w:tr w:rsidR="005246C5" w:rsidTr="001D18EC">
        <w:tc>
          <w:tcPr>
            <w:tcW w:w="1613" w:type="pct"/>
            <w:shd w:val="clear" w:color="auto" w:fill="auto"/>
          </w:tcPr>
          <w:p w:rsidR="005246C5" w:rsidRDefault="005246C5" w:rsidP="0054619C">
            <w:pPr>
              <w:pStyle w:val="TableBodyText"/>
              <w:spacing w:before="120"/>
              <w:jc w:val="left"/>
            </w:pPr>
            <w:r>
              <w:t>Single (18 to 64 years)</w:t>
            </w:r>
          </w:p>
        </w:tc>
        <w:tc>
          <w:tcPr>
            <w:tcW w:w="847" w:type="pct"/>
            <w:shd w:val="clear" w:color="auto" w:fill="auto"/>
          </w:tcPr>
          <w:p w:rsidR="005246C5" w:rsidRDefault="005246C5" w:rsidP="0054619C">
            <w:pPr>
              <w:pStyle w:val="TableBodyText"/>
              <w:spacing w:before="120"/>
            </w:pPr>
            <w:r>
              <w:t>26.4</w:t>
            </w:r>
          </w:p>
        </w:tc>
        <w:tc>
          <w:tcPr>
            <w:tcW w:w="847" w:type="pct"/>
          </w:tcPr>
          <w:p w:rsidR="005246C5" w:rsidRDefault="005246C5" w:rsidP="0054619C">
            <w:pPr>
              <w:pStyle w:val="TableBodyText"/>
              <w:spacing w:before="120"/>
              <w:ind w:right="28"/>
            </w:pPr>
            <w:r>
              <w:t>8.2</w:t>
            </w:r>
          </w:p>
        </w:tc>
        <w:tc>
          <w:tcPr>
            <w:tcW w:w="847" w:type="pct"/>
          </w:tcPr>
          <w:p w:rsidR="005246C5" w:rsidRDefault="005246C5" w:rsidP="0054619C">
            <w:pPr>
              <w:pStyle w:val="TableBodyText"/>
              <w:spacing w:before="120"/>
              <w:ind w:right="28"/>
            </w:pPr>
            <w:r>
              <w:t>7.1</w:t>
            </w:r>
          </w:p>
        </w:tc>
        <w:tc>
          <w:tcPr>
            <w:tcW w:w="846" w:type="pct"/>
            <w:shd w:val="clear" w:color="auto" w:fill="auto"/>
          </w:tcPr>
          <w:p w:rsidR="005246C5" w:rsidRDefault="005246C5" w:rsidP="0054619C">
            <w:pPr>
              <w:pStyle w:val="TableBodyText"/>
              <w:spacing w:before="120"/>
              <w:ind w:right="28"/>
            </w:pPr>
            <w:r>
              <w:t>7.1</w:t>
            </w:r>
          </w:p>
        </w:tc>
      </w:tr>
      <w:tr w:rsidR="005246C5" w:rsidTr="001D18EC">
        <w:tc>
          <w:tcPr>
            <w:tcW w:w="1613" w:type="pct"/>
            <w:shd w:val="clear" w:color="auto" w:fill="auto"/>
          </w:tcPr>
          <w:p w:rsidR="005246C5" w:rsidRDefault="005246C5" w:rsidP="001D18EC">
            <w:pPr>
              <w:pStyle w:val="TableBodyText"/>
              <w:jc w:val="left"/>
            </w:pPr>
            <w:r>
              <w:t>Lone parents</w:t>
            </w:r>
          </w:p>
        </w:tc>
        <w:tc>
          <w:tcPr>
            <w:tcW w:w="847" w:type="pct"/>
            <w:shd w:val="clear" w:color="auto" w:fill="auto"/>
          </w:tcPr>
          <w:p w:rsidR="005246C5" w:rsidRDefault="005246C5" w:rsidP="001D18EC">
            <w:pPr>
              <w:pStyle w:val="TableBodyText"/>
            </w:pPr>
            <w:r>
              <w:t>25.0</w:t>
            </w:r>
          </w:p>
        </w:tc>
        <w:tc>
          <w:tcPr>
            <w:tcW w:w="847" w:type="pct"/>
          </w:tcPr>
          <w:p w:rsidR="005246C5" w:rsidRDefault="005246C5" w:rsidP="001D18EC">
            <w:pPr>
              <w:pStyle w:val="TableBodyText"/>
              <w:ind w:right="28"/>
            </w:pPr>
            <w:r>
              <w:t>10.0</w:t>
            </w:r>
          </w:p>
        </w:tc>
        <w:tc>
          <w:tcPr>
            <w:tcW w:w="847" w:type="pct"/>
          </w:tcPr>
          <w:p w:rsidR="005246C5" w:rsidRDefault="005246C5" w:rsidP="00407523">
            <w:pPr>
              <w:pStyle w:val="TableBodyText"/>
              <w:ind w:right="28"/>
            </w:pPr>
            <w:r>
              <w:t>10.</w:t>
            </w:r>
            <w:r w:rsidR="00407523">
              <w:t>1</w:t>
            </w:r>
          </w:p>
        </w:tc>
        <w:tc>
          <w:tcPr>
            <w:tcW w:w="846" w:type="pct"/>
            <w:shd w:val="clear" w:color="auto" w:fill="auto"/>
          </w:tcPr>
          <w:p w:rsidR="005246C5" w:rsidRDefault="005246C5" w:rsidP="001D18EC">
            <w:pPr>
              <w:pStyle w:val="TableBodyText"/>
              <w:ind w:right="28"/>
            </w:pPr>
            <w:r>
              <w:t>11.3</w:t>
            </w:r>
          </w:p>
        </w:tc>
      </w:tr>
      <w:tr w:rsidR="005246C5" w:rsidTr="001D18EC">
        <w:tc>
          <w:tcPr>
            <w:tcW w:w="1613" w:type="pct"/>
            <w:shd w:val="clear" w:color="auto" w:fill="auto"/>
          </w:tcPr>
          <w:p w:rsidR="005246C5" w:rsidRDefault="005246C5" w:rsidP="001D18EC">
            <w:pPr>
              <w:pStyle w:val="TableBodyText"/>
              <w:jc w:val="left"/>
            </w:pPr>
            <w:r>
              <w:t>Single adults over 65 years</w:t>
            </w:r>
          </w:p>
        </w:tc>
        <w:tc>
          <w:tcPr>
            <w:tcW w:w="847" w:type="pct"/>
            <w:shd w:val="clear" w:color="auto" w:fill="auto"/>
          </w:tcPr>
          <w:p w:rsidR="005246C5" w:rsidRDefault="005246C5" w:rsidP="001D18EC">
            <w:pPr>
              <w:pStyle w:val="TableBodyText"/>
            </w:pPr>
            <w:r>
              <w:t>23.6</w:t>
            </w:r>
          </w:p>
        </w:tc>
        <w:tc>
          <w:tcPr>
            <w:tcW w:w="847" w:type="pct"/>
          </w:tcPr>
          <w:p w:rsidR="005246C5" w:rsidRDefault="005246C5" w:rsidP="001D18EC">
            <w:pPr>
              <w:pStyle w:val="TableBodyText"/>
              <w:ind w:right="28"/>
            </w:pPr>
            <w:r>
              <w:t>3.3</w:t>
            </w:r>
          </w:p>
        </w:tc>
        <w:tc>
          <w:tcPr>
            <w:tcW w:w="847" w:type="pct"/>
          </w:tcPr>
          <w:p w:rsidR="005246C5" w:rsidRDefault="005246C5" w:rsidP="001D18EC">
            <w:pPr>
              <w:pStyle w:val="TableBodyText"/>
              <w:ind w:right="28"/>
            </w:pPr>
            <w:r>
              <w:t>11.9</w:t>
            </w:r>
          </w:p>
        </w:tc>
        <w:tc>
          <w:tcPr>
            <w:tcW w:w="846" w:type="pct"/>
            <w:shd w:val="clear" w:color="auto" w:fill="auto"/>
          </w:tcPr>
          <w:p w:rsidR="005246C5" w:rsidRDefault="005246C5" w:rsidP="001D18EC">
            <w:pPr>
              <w:pStyle w:val="TableBodyText"/>
              <w:ind w:right="28"/>
            </w:pPr>
            <w:r>
              <w:t>6.3</w:t>
            </w:r>
          </w:p>
        </w:tc>
      </w:tr>
      <w:tr w:rsidR="005246C5" w:rsidTr="001D18EC">
        <w:tc>
          <w:tcPr>
            <w:tcW w:w="1613" w:type="pct"/>
            <w:shd w:val="clear" w:color="auto" w:fill="auto"/>
          </w:tcPr>
          <w:p w:rsidR="005246C5" w:rsidRDefault="005246C5" w:rsidP="001D18EC">
            <w:pPr>
              <w:pStyle w:val="TableBodyText"/>
              <w:jc w:val="left"/>
            </w:pPr>
            <w:r>
              <w:t>65 years plus (total)</w:t>
            </w:r>
          </w:p>
        </w:tc>
        <w:tc>
          <w:tcPr>
            <w:tcW w:w="847" w:type="pct"/>
            <w:shd w:val="clear" w:color="auto" w:fill="auto"/>
          </w:tcPr>
          <w:p w:rsidR="005246C5" w:rsidRDefault="005246C5" w:rsidP="001D18EC">
            <w:pPr>
              <w:pStyle w:val="TableBodyText"/>
            </w:pPr>
            <w:r>
              <w:t>13.2</w:t>
            </w:r>
          </w:p>
        </w:tc>
        <w:tc>
          <w:tcPr>
            <w:tcW w:w="847" w:type="pct"/>
          </w:tcPr>
          <w:p w:rsidR="005246C5" w:rsidRDefault="005246C5" w:rsidP="001D18EC">
            <w:pPr>
              <w:pStyle w:val="TableBodyText"/>
              <w:ind w:right="28"/>
            </w:pPr>
            <w:r>
              <w:t>7.9</w:t>
            </w:r>
          </w:p>
        </w:tc>
        <w:tc>
          <w:tcPr>
            <w:tcW w:w="847" w:type="pct"/>
          </w:tcPr>
          <w:p w:rsidR="005246C5" w:rsidRDefault="005246C5" w:rsidP="001D18EC">
            <w:pPr>
              <w:pStyle w:val="TableBodyText"/>
              <w:ind w:right="28"/>
            </w:pPr>
            <w:r>
              <w:t>7.6</w:t>
            </w:r>
          </w:p>
        </w:tc>
        <w:tc>
          <w:tcPr>
            <w:tcW w:w="846" w:type="pct"/>
            <w:shd w:val="clear" w:color="auto" w:fill="auto"/>
          </w:tcPr>
          <w:p w:rsidR="005246C5" w:rsidRDefault="005246C5" w:rsidP="001D18EC">
            <w:pPr>
              <w:pStyle w:val="TableBodyText"/>
              <w:ind w:right="28"/>
            </w:pPr>
            <w:r>
              <w:t>6.3</w:t>
            </w:r>
          </w:p>
        </w:tc>
      </w:tr>
      <w:tr w:rsidR="005246C5" w:rsidTr="001D18EC">
        <w:tc>
          <w:tcPr>
            <w:tcW w:w="1613" w:type="pct"/>
            <w:shd w:val="clear" w:color="auto" w:fill="auto"/>
          </w:tcPr>
          <w:p w:rsidR="005246C5" w:rsidRDefault="005246C5" w:rsidP="00DE7C60">
            <w:pPr>
              <w:pStyle w:val="TableBodyText"/>
              <w:jc w:val="left"/>
            </w:pPr>
            <w:r>
              <w:t xml:space="preserve">Indigenous Australians </w:t>
            </w:r>
          </w:p>
        </w:tc>
        <w:tc>
          <w:tcPr>
            <w:tcW w:w="847" w:type="pct"/>
            <w:shd w:val="clear" w:color="auto" w:fill="auto"/>
          </w:tcPr>
          <w:p w:rsidR="005246C5" w:rsidRPr="009E3D38" w:rsidRDefault="005246C5" w:rsidP="00FA6ECE">
            <w:pPr>
              <w:pStyle w:val="TableBodyText"/>
            </w:pPr>
            <w:proofErr w:type="spellStart"/>
            <w:r w:rsidRPr="009E3D38">
              <w:t>n</w:t>
            </w:r>
            <w:r>
              <w:t>.</w:t>
            </w:r>
            <w:r w:rsidRPr="009E3D38">
              <w:t>a</w:t>
            </w:r>
            <w:proofErr w:type="spellEnd"/>
            <w:r>
              <w:t>.</w:t>
            </w:r>
          </w:p>
        </w:tc>
        <w:tc>
          <w:tcPr>
            <w:tcW w:w="847" w:type="pct"/>
          </w:tcPr>
          <w:p w:rsidR="005246C5" w:rsidRDefault="005246C5" w:rsidP="00FA6ECE">
            <w:pPr>
              <w:pStyle w:val="TableBodyText"/>
              <w:ind w:right="28"/>
            </w:pPr>
            <w:proofErr w:type="spellStart"/>
            <w:r>
              <w:t>n.a</w:t>
            </w:r>
            <w:proofErr w:type="spellEnd"/>
            <w:r>
              <w:t>.</w:t>
            </w:r>
          </w:p>
        </w:tc>
        <w:tc>
          <w:tcPr>
            <w:tcW w:w="847" w:type="pct"/>
          </w:tcPr>
          <w:p w:rsidR="005246C5" w:rsidRDefault="005246C5" w:rsidP="00097C2E">
            <w:pPr>
              <w:pStyle w:val="TableBodyText"/>
              <w:ind w:right="28"/>
            </w:pPr>
            <w:r>
              <w:t>9.</w:t>
            </w:r>
            <w:r w:rsidR="00097C2E">
              <w:t>1</w:t>
            </w:r>
          </w:p>
        </w:tc>
        <w:tc>
          <w:tcPr>
            <w:tcW w:w="846" w:type="pct"/>
            <w:shd w:val="clear" w:color="auto" w:fill="auto"/>
          </w:tcPr>
          <w:p w:rsidR="005246C5" w:rsidRDefault="005246C5" w:rsidP="001D18EC">
            <w:pPr>
              <w:pStyle w:val="TableBodyText"/>
              <w:ind w:right="28"/>
            </w:pPr>
            <w:r>
              <w:t>10.8</w:t>
            </w:r>
          </w:p>
        </w:tc>
      </w:tr>
      <w:tr w:rsidR="005246C5" w:rsidTr="001D18EC">
        <w:tc>
          <w:tcPr>
            <w:tcW w:w="1613" w:type="pct"/>
            <w:shd w:val="clear" w:color="auto" w:fill="auto"/>
          </w:tcPr>
          <w:p w:rsidR="005246C5" w:rsidRDefault="005246C5" w:rsidP="00503A6E">
            <w:pPr>
              <w:pStyle w:val="TableBodyText"/>
              <w:jc w:val="left"/>
            </w:pPr>
            <w:r>
              <w:t>Migrants (</w:t>
            </w:r>
            <w:proofErr w:type="spellStart"/>
            <w:r>
              <w:t>NESB</w:t>
            </w:r>
            <w:proofErr w:type="spellEnd"/>
            <w:r>
              <w:t>)</w:t>
            </w:r>
          </w:p>
        </w:tc>
        <w:tc>
          <w:tcPr>
            <w:tcW w:w="847" w:type="pct"/>
            <w:shd w:val="clear" w:color="auto" w:fill="auto"/>
          </w:tcPr>
          <w:p w:rsidR="005246C5" w:rsidRDefault="005246C5" w:rsidP="001D18EC">
            <w:pPr>
              <w:pStyle w:val="TableBodyText"/>
            </w:pPr>
            <w:r>
              <w:t>15.8</w:t>
            </w:r>
          </w:p>
        </w:tc>
        <w:tc>
          <w:tcPr>
            <w:tcW w:w="847" w:type="pct"/>
          </w:tcPr>
          <w:p w:rsidR="005246C5" w:rsidRPr="009E3D38" w:rsidRDefault="005246C5" w:rsidP="00FA6ECE">
            <w:pPr>
              <w:pStyle w:val="TableBodyText"/>
              <w:ind w:right="28"/>
            </w:pPr>
            <w:proofErr w:type="spellStart"/>
            <w:r>
              <w:t>n.a</w:t>
            </w:r>
            <w:proofErr w:type="spellEnd"/>
            <w:r>
              <w:t>.</w:t>
            </w:r>
          </w:p>
        </w:tc>
        <w:tc>
          <w:tcPr>
            <w:tcW w:w="847" w:type="pct"/>
          </w:tcPr>
          <w:p w:rsidR="005246C5" w:rsidRDefault="005246C5" w:rsidP="001D18EC">
            <w:pPr>
              <w:pStyle w:val="TableBodyText"/>
              <w:ind w:right="28"/>
            </w:pPr>
            <w:r>
              <w:t>5.7</w:t>
            </w:r>
          </w:p>
        </w:tc>
        <w:tc>
          <w:tcPr>
            <w:tcW w:w="846" w:type="pct"/>
            <w:shd w:val="clear" w:color="auto" w:fill="auto"/>
          </w:tcPr>
          <w:p w:rsidR="005246C5" w:rsidRDefault="005246C5" w:rsidP="001D18EC">
            <w:pPr>
              <w:pStyle w:val="TableBodyText"/>
              <w:ind w:right="28"/>
            </w:pPr>
            <w:r>
              <w:t>5.6</w:t>
            </w:r>
          </w:p>
        </w:tc>
      </w:tr>
      <w:tr w:rsidR="005246C5" w:rsidTr="001D18EC">
        <w:tc>
          <w:tcPr>
            <w:tcW w:w="1613" w:type="pct"/>
            <w:shd w:val="clear" w:color="auto" w:fill="auto"/>
          </w:tcPr>
          <w:p w:rsidR="005246C5" w:rsidRDefault="005246C5" w:rsidP="001D18EC">
            <w:pPr>
              <w:pStyle w:val="TableBodyText"/>
              <w:jc w:val="left"/>
            </w:pPr>
            <w:r>
              <w:t>Unemployed</w:t>
            </w:r>
          </w:p>
        </w:tc>
        <w:tc>
          <w:tcPr>
            <w:tcW w:w="847" w:type="pct"/>
            <w:shd w:val="clear" w:color="auto" w:fill="auto"/>
          </w:tcPr>
          <w:p w:rsidR="005246C5" w:rsidRPr="009E3D38" w:rsidRDefault="005246C5" w:rsidP="001D18EC">
            <w:pPr>
              <w:pStyle w:val="TableBodyText"/>
            </w:pPr>
            <w:r>
              <w:t>63.3</w:t>
            </w:r>
          </w:p>
        </w:tc>
        <w:tc>
          <w:tcPr>
            <w:tcW w:w="847" w:type="pct"/>
          </w:tcPr>
          <w:p w:rsidR="005246C5" w:rsidRDefault="005246C5" w:rsidP="00FA6ECE">
            <w:pPr>
              <w:pStyle w:val="TableBodyText"/>
              <w:ind w:right="28"/>
            </w:pPr>
            <w:proofErr w:type="spellStart"/>
            <w:r w:rsidRPr="009E3D38">
              <w:t>n</w:t>
            </w:r>
            <w:r>
              <w:t>.</w:t>
            </w:r>
            <w:r w:rsidRPr="009E3D38">
              <w:t>a</w:t>
            </w:r>
            <w:proofErr w:type="spellEnd"/>
            <w:r>
              <w:t>.</w:t>
            </w:r>
          </w:p>
        </w:tc>
        <w:tc>
          <w:tcPr>
            <w:tcW w:w="847" w:type="pct"/>
          </w:tcPr>
          <w:p w:rsidR="005246C5" w:rsidRDefault="005246C5" w:rsidP="00097C2E">
            <w:pPr>
              <w:pStyle w:val="TableBodyText"/>
              <w:ind w:right="28"/>
            </w:pPr>
            <w:r>
              <w:t>31.</w:t>
            </w:r>
            <w:r w:rsidR="00097C2E">
              <w:t>4</w:t>
            </w:r>
          </w:p>
        </w:tc>
        <w:tc>
          <w:tcPr>
            <w:tcW w:w="846" w:type="pct"/>
            <w:shd w:val="clear" w:color="auto" w:fill="auto"/>
          </w:tcPr>
          <w:p w:rsidR="005246C5" w:rsidRDefault="005246C5" w:rsidP="001D18EC">
            <w:pPr>
              <w:pStyle w:val="TableBodyText"/>
              <w:ind w:right="28"/>
            </w:pPr>
            <w:r>
              <w:t>11.5</w:t>
            </w:r>
          </w:p>
        </w:tc>
      </w:tr>
      <w:tr w:rsidR="005246C5" w:rsidTr="001D18EC">
        <w:tc>
          <w:tcPr>
            <w:tcW w:w="1613" w:type="pct"/>
            <w:shd w:val="clear" w:color="auto" w:fill="auto"/>
          </w:tcPr>
          <w:p w:rsidR="005246C5" w:rsidRDefault="005246C5" w:rsidP="001D18EC">
            <w:pPr>
              <w:pStyle w:val="TableBodyText"/>
              <w:jc w:val="left"/>
            </w:pPr>
            <w:r>
              <w:t>Dependent on income support</w:t>
            </w:r>
          </w:p>
        </w:tc>
        <w:tc>
          <w:tcPr>
            <w:tcW w:w="847" w:type="pct"/>
            <w:shd w:val="clear" w:color="auto" w:fill="auto"/>
          </w:tcPr>
          <w:p w:rsidR="005246C5" w:rsidRPr="009E3D38" w:rsidRDefault="005246C5" w:rsidP="001D18EC">
            <w:pPr>
              <w:pStyle w:val="TableBodyText"/>
            </w:pPr>
            <w:r>
              <w:t>36.5</w:t>
            </w:r>
          </w:p>
        </w:tc>
        <w:tc>
          <w:tcPr>
            <w:tcW w:w="847" w:type="pct"/>
          </w:tcPr>
          <w:p w:rsidR="005246C5" w:rsidRDefault="005246C5" w:rsidP="001D18EC">
            <w:pPr>
              <w:pStyle w:val="TableBodyText"/>
              <w:ind w:right="28"/>
            </w:pPr>
            <w:r>
              <w:t>33.6</w:t>
            </w:r>
          </w:p>
        </w:tc>
        <w:tc>
          <w:tcPr>
            <w:tcW w:w="847" w:type="pct"/>
          </w:tcPr>
          <w:p w:rsidR="005246C5" w:rsidRDefault="005246C5" w:rsidP="001D18EC">
            <w:pPr>
              <w:pStyle w:val="TableBodyText"/>
              <w:ind w:right="28"/>
            </w:pPr>
            <w:r>
              <w:t>18.7</w:t>
            </w:r>
          </w:p>
        </w:tc>
        <w:tc>
          <w:tcPr>
            <w:tcW w:w="846" w:type="pct"/>
            <w:shd w:val="clear" w:color="auto" w:fill="auto"/>
          </w:tcPr>
          <w:p w:rsidR="005246C5" w:rsidRDefault="005246C5" w:rsidP="001D18EC">
            <w:pPr>
              <w:pStyle w:val="TableBodyText"/>
              <w:ind w:right="28"/>
            </w:pPr>
            <w:r>
              <w:t>15.3</w:t>
            </w:r>
          </w:p>
        </w:tc>
      </w:tr>
      <w:tr w:rsidR="005246C5" w:rsidTr="0054619C">
        <w:tc>
          <w:tcPr>
            <w:tcW w:w="1613" w:type="pct"/>
            <w:shd w:val="clear" w:color="auto" w:fill="auto"/>
          </w:tcPr>
          <w:p w:rsidR="005246C5" w:rsidRDefault="005246C5" w:rsidP="001D18EC">
            <w:pPr>
              <w:pStyle w:val="TableBodyText"/>
              <w:jc w:val="left"/>
            </w:pPr>
            <w:r>
              <w:t>People with a long-term health condition or disability</w:t>
            </w:r>
          </w:p>
        </w:tc>
        <w:tc>
          <w:tcPr>
            <w:tcW w:w="847" w:type="pct"/>
            <w:shd w:val="clear" w:color="auto" w:fill="auto"/>
            <w:vAlign w:val="center"/>
          </w:tcPr>
          <w:p w:rsidR="005246C5" w:rsidRPr="009E3D38" w:rsidRDefault="005246C5" w:rsidP="0054619C">
            <w:pPr>
              <w:pStyle w:val="TableBodyText"/>
            </w:pPr>
            <w:r w:rsidRPr="009E3D38">
              <w:t>27.4</w:t>
            </w:r>
          </w:p>
        </w:tc>
        <w:tc>
          <w:tcPr>
            <w:tcW w:w="847" w:type="pct"/>
            <w:vAlign w:val="center"/>
          </w:tcPr>
          <w:p w:rsidR="005246C5" w:rsidRDefault="005246C5" w:rsidP="0054619C">
            <w:pPr>
              <w:pStyle w:val="TableBodyText"/>
              <w:ind w:right="28"/>
            </w:pPr>
            <w:r>
              <w:t>28.9</w:t>
            </w:r>
          </w:p>
        </w:tc>
        <w:tc>
          <w:tcPr>
            <w:tcW w:w="847" w:type="pct"/>
            <w:vAlign w:val="center"/>
          </w:tcPr>
          <w:p w:rsidR="005246C5" w:rsidRDefault="005246C5" w:rsidP="00097C2E">
            <w:pPr>
              <w:pStyle w:val="TableBodyText"/>
              <w:ind w:right="28"/>
            </w:pPr>
            <w:r>
              <w:t>13.</w:t>
            </w:r>
            <w:r w:rsidR="00097C2E">
              <w:t>3</w:t>
            </w:r>
          </w:p>
        </w:tc>
        <w:tc>
          <w:tcPr>
            <w:tcW w:w="846" w:type="pct"/>
            <w:shd w:val="clear" w:color="auto" w:fill="auto"/>
            <w:vAlign w:val="center"/>
          </w:tcPr>
          <w:p w:rsidR="005246C5" w:rsidRDefault="005246C5" w:rsidP="0054619C">
            <w:pPr>
              <w:pStyle w:val="TableBodyText"/>
              <w:ind w:right="28"/>
            </w:pPr>
            <w:r>
              <w:t>11.2</w:t>
            </w:r>
          </w:p>
        </w:tc>
      </w:tr>
      <w:tr w:rsidR="005246C5" w:rsidTr="001D18EC">
        <w:tc>
          <w:tcPr>
            <w:tcW w:w="1613" w:type="pct"/>
            <w:shd w:val="clear" w:color="auto" w:fill="auto"/>
          </w:tcPr>
          <w:p w:rsidR="005246C5" w:rsidRDefault="005246C5" w:rsidP="00250799">
            <w:pPr>
              <w:pStyle w:val="TableBodyText"/>
              <w:jc w:val="left"/>
            </w:pPr>
            <w:r>
              <w:t>Low educational attainment</w:t>
            </w:r>
          </w:p>
        </w:tc>
        <w:tc>
          <w:tcPr>
            <w:tcW w:w="847" w:type="pct"/>
            <w:shd w:val="clear" w:color="auto" w:fill="auto"/>
          </w:tcPr>
          <w:p w:rsidR="005246C5" w:rsidRPr="009E3D38" w:rsidRDefault="005246C5" w:rsidP="00FA6ECE">
            <w:pPr>
              <w:pStyle w:val="TableBodyText"/>
            </w:pPr>
            <w:proofErr w:type="spellStart"/>
            <w:r w:rsidRPr="009E3D38">
              <w:t>n</w:t>
            </w:r>
            <w:r>
              <w:t>.</w:t>
            </w:r>
            <w:r w:rsidRPr="009E3D38">
              <w:t>a</w:t>
            </w:r>
            <w:proofErr w:type="spellEnd"/>
            <w:r>
              <w:t>.</w:t>
            </w:r>
          </w:p>
        </w:tc>
        <w:tc>
          <w:tcPr>
            <w:tcW w:w="847" w:type="pct"/>
          </w:tcPr>
          <w:p w:rsidR="005246C5" w:rsidRDefault="005246C5" w:rsidP="001D18EC">
            <w:pPr>
              <w:pStyle w:val="TableBodyText"/>
              <w:ind w:right="28"/>
            </w:pPr>
            <w:r>
              <w:t>32.1</w:t>
            </w:r>
          </w:p>
        </w:tc>
        <w:tc>
          <w:tcPr>
            <w:tcW w:w="847" w:type="pct"/>
          </w:tcPr>
          <w:p w:rsidR="005246C5" w:rsidRDefault="005246C5" w:rsidP="001D18EC">
            <w:pPr>
              <w:pStyle w:val="TableBodyText"/>
              <w:ind w:right="28"/>
            </w:pPr>
            <w:r>
              <w:t>9.9</w:t>
            </w:r>
          </w:p>
        </w:tc>
        <w:tc>
          <w:tcPr>
            <w:tcW w:w="846" w:type="pct"/>
            <w:shd w:val="clear" w:color="auto" w:fill="auto"/>
          </w:tcPr>
          <w:p w:rsidR="005246C5" w:rsidRDefault="005246C5" w:rsidP="001D18EC">
            <w:pPr>
              <w:pStyle w:val="TableBodyText"/>
              <w:ind w:right="28"/>
            </w:pPr>
            <w:r>
              <w:t>9.3</w:t>
            </w:r>
          </w:p>
        </w:tc>
      </w:tr>
      <w:tr w:rsidR="005246C5" w:rsidTr="001D18EC">
        <w:tc>
          <w:tcPr>
            <w:tcW w:w="1613" w:type="pct"/>
            <w:shd w:val="clear" w:color="auto" w:fill="auto"/>
          </w:tcPr>
          <w:p w:rsidR="005246C5" w:rsidRDefault="005246C5" w:rsidP="001D18EC">
            <w:pPr>
              <w:pStyle w:val="TableBodyText"/>
              <w:jc w:val="left"/>
            </w:pPr>
            <w:r>
              <w:t>Public housing tenants</w:t>
            </w:r>
          </w:p>
        </w:tc>
        <w:tc>
          <w:tcPr>
            <w:tcW w:w="847" w:type="pct"/>
            <w:shd w:val="clear" w:color="auto" w:fill="auto"/>
          </w:tcPr>
          <w:p w:rsidR="005246C5" w:rsidRPr="009E3D38" w:rsidRDefault="005246C5" w:rsidP="00FA6ECE">
            <w:pPr>
              <w:pStyle w:val="TableBodyText"/>
            </w:pPr>
            <w:proofErr w:type="spellStart"/>
            <w:r w:rsidRPr="009E3D38">
              <w:t>n</w:t>
            </w:r>
            <w:r>
              <w:t>.</w:t>
            </w:r>
            <w:r w:rsidRPr="009E3D38">
              <w:t>a</w:t>
            </w:r>
            <w:proofErr w:type="spellEnd"/>
            <w:r>
              <w:t>.</w:t>
            </w:r>
          </w:p>
        </w:tc>
        <w:tc>
          <w:tcPr>
            <w:tcW w:w="847" w:type="pct"/>
          </w:tcPr>
          <w:p w:rsidR="005246C5" w:rsidRDefault="005246C5" w:rsidP="00FA6ECE">
            <w:pPr>
              <w:pStyle w:val="TableBodyText"/>
              <w:ind w:right="28"/>
            </w:pPr>
            <w:proofErr w:type="spellStart"/>
            <w:r>
              <w:t>n.a</w:t>
            </w:r>
            <w:proofErr w:type="spellEnd"/>
            <w:r>
              <w:t>.</w:t>
            </w:r>
          </w:p>
        </w:tc>
        <w:tc>
          <w:tcPr>
            <w:tcW w:w="847" w:type="pct"/>
          </w:tcPr>
          <w:p w:rsidR="005246C5" w:rsidRDefault="005246C5" w:rsidP="001D18EC">
            <w:pPr>
              <w:pStyle w:val="TableBodyText"/>
              <w:ind w:right="28"/>
            </w:pPr>
            <w:r>
              <w:t>21.1</w:t>
            </w:r>
          </w:p>
        </w:tc>
        <w:tc>
          <w:tcPr>
            <w:tcW w:w="846" w:type="pct"/>
            <w:shd w:val="clear" w:color="auto" w:fill="auto"/>
          </w:tcPr>
          <w:p w:rsidR="005246C5" w:rsidRDefault="005246C5" w:rsidP="001D18EC">
            <w:pPr>
              <w:pStyle w:val="TableBodyText"/>
              <w:ind w:right="28"/>
            </w:pPr>
            <w:r>
              <w:t>23.6</w:t>
            </w:r>
          </w:p>
        </w:tc>
      </w:tr>
      <w:tr w:rsidR="005246C5" w:rsidTr="001D18EC">
        <w:tc>
          <w:tcPr>
            <w:tcW w:w="1613" w:type="pct"/>
            <w:tcBorders>
              <w:bottom w:val="single" w:sz="4" w:space="0" w:color="auto"/>
            </w:tcBorders>
            <w:shd w:val="clear" w:color="auto" w:fill="auto"/>
          </w:tcPr>
          <w:p w:rsidR="005246C5" w:rsidRDefault="005246C5" w:rsidP="001D18EC">
            <w:pPr>
              <w:pStyle w:val="TableBodyText"/>
              <w:spacing w:before="120"/>
              <w:jc w:val="left"/>
            </w:pPr>
            <w:r w:rsidRPr="00426A3D">
              <w:rPr>
                <w:b/>
              </w:rPr>
              <w:t>T</w:t>
            </w:r>
            <w:r>
              <w:rPr>
                <w:b/>
              </w:rPr>
              <w:t>otal</w:t>
            </w:r>
          </w:p>
        </w:tc>
        <w:tc>
          <w:tcPr>
            <w:tcW w:w="847" w:type="pct"/>
            <w:tcBorders>
              <w:bottom w:val="single" w:sz="4" w:space="0" w:color="auto"/>
            </w:tcBorders>
            <w:shd w:val="clear" w:color="auto" w:fill="auto"/>
          </w:tcPr>
          <w:p w:rsidR="005246C5" w:rsidRDefault="005246C5" w:rsidP="001D18EC">
            <w:pPr>
              <w:pStyle w:val="TableBodyText"/>
              <w:spacing w:before="120"/>
            </w:pPr>
            <w:r w:rsidRPr="00426A3D">
              <w:rPr>
                <w:b/>
              </w:rPr>
              <w:t>12.8</w:t>
            </w:r>
          </w:p>
        </w:tc>
        <w:tc>
          <w:tcPr>
            <w:tcW w:w="847" w:type="pct"/>
            <w:tcBorders>
              <w:bottom w:val="single" w:sz="4" w:space="0" w:color="auto"/>
            </w:tcBorders>
          </w:tcPr>
          <w:p w:rsidR="005246C5" w:rsidRDefault="005246C5" w:rsidP="001D18EC">
            <w:pPr>
              <w:pStyle w:val="TableBodyText"/>
              <w:spacing w:before="120"/>
              <w:ind w:right="28"/>
            </w:pPr>
            <w:r>
              <w:rPr>
                <w:b/>
              </w:rPr>
              <w:t>13.2</w:t>
            </w:r>
          </w:p>
        </w:tc>
        <w:tc>
          <w:tcPr>
            <w:tcW w:w="847" w:type="pct"/>
            <w:tcBorders>
              <w:bottom w:val="single" w:sz="4" w:space="0" w:color="auto"/>
            </w:tcBorders>
          </w:tcPr>
          <w:p w:rsidR="005246C5" w:rsidRPr="009C5283" w:rsidRDefault="005246C5" w:rsidP="001D18EC">
            <w:pPr>
              <w:pStyle w:val="TableBodyText"/>
              <w:spacing w:before="120"/>
              <w:ind w:right="28"/>
              <w:rPr>
                <w:b/>
              </w:rPr>
            </w:pPr>
            <w:r w:rsidRPr="009C5283">
              <w:rPr>
                <w:b/>
              </w:rPr>
              <w:t>4.8</w:t>
            </w:r>
          </w:p>
        </w:tc>
        <w:tc>
          <w:tcPr>
            <w:tcW w:w="846" w:type="pct"/>
            <w:tcBorders>
              <w:bottom w:val="single" w:sz="4" w:space="0" w:color="auto"/>
            </w:tcBorders>
            <w:shd w:val="clear" w:color="auto" w:fill="auto"/>
          </w:tcPr>
          <w:p w:rsidR="005246C5" w:rsidRPr="009C5283" w:rsidRDefault="005246C5" w:rsidP="001D18EC">
            <w:pPr>
              <w:pStyle w:val="TableBodyText"/>
              <w:spacing w:before="120"/>
              <w:ind w:right="28"/>
              <w:rPr>
                <w:b/>
              </w:rPr>
            </w:pPr>
            <w:r w:rsidRPr="009C5283">
              <w:rPr>
                <w:b/>
              </w:rPr>
              <w:t>4.4</w:t>
            </w:r>
          </w:p>
        </w:tc>
      </w:tr>
    </w:tbl>
    <w:p w:rsidR="001D18EC" w:rsidRDefault="001D18EC" w:rsidP="00B40A55">
      <w:pPr>
        <w:pStyle w:val="Source"/>
      </w:pPr>
      <w:proofErr w:type="spellStart"/>
      <w:r>
        <w:t>n.a</w:t>
      </w:r>
      <w:proofErr w:type="spellEnd"/>
      <w:r>
        <w:t>. – not available or sample size was too small to provide reliable results</w:t>
      </w:r>
      <w:r w:rsidR="000912FB">
        <w:t>.</w:t>
      </w:r>
      <w:r w:rsidR="003C7645">
        <w:t xml:space="preserve"> </w:t>
      </w:r>
      <w:proofErr w:type="spellStart"/>
      <w:r w:rsidR="003C7645">
        <w:t>NESB</w:t>
      </w:r>
      <w:proofErr w:type="spellEnd"/>
      <w:r w:rsidR="003C7645">
        <w:t xml:space="preserve"> – Non English Speaking Background.</w:t>
      </w:r>
    </w:p>
    <w:p w:rsidR="000E3477" w:rsidRDefault="000E3477" w:rsidP="000912FB">
      <w:pPr>
        <w:pStyle w:val="Source"/>
        <w:rPr>
          <w:i/>
        </w:rPr>
      </w:pPr>
      <w:r w:rsidRPr="00A16B35">
        <w:rPr>
          <w:i/>
        </w:rPr>
        <w:t>Sources</w:t>
      </w:r>
      <w:r>
        <w:t xml:space="preserve">: </w:t>
      </w:r>
      <w:proofErr w:type="spellStart"/>
      <w:r>
        <w:t>ACOSS</w:t>
      </w:r>
      <w:proofErr w:type="spellEnd"/>
      <w:r>
        <w:t xml:space="preserve"> (2012); </w:t>
      </w:r>
      <w:r w:rsidRPr="00F32C67">
        <w:t xml:space="preserve">Unpublished </w:t>
      </w:r>
      <w:proofErr w:type="spellStart"/>
      <w:r>
        <w:t>PEMA</w:t>
      </w:r>
      <w:proofErr w:type="spellEnd"/>
      <w:r>
        <w:t xml:space="preserve"> data provided by the </w:t>
      </w:r>
      <w:proofErr w:type="spellStart"/>
      <w:r w:rsidRPr="000B7DF3">
        <w:t>SPRC</w:t>
      </w:r>
      <w:proofErr w:type="spellEnd"/>
      <w:r>
        <w:t>;</w:t>
      </w:r>
      <w:r w:rsidRPr="00A16B35">
        <w:t xml:space="preserve"> </w:t>
      </w:r>
      <w:r w:rsidRPr="00EA75F8">
        <w:t>Brotherhood of St Laurence and Melbourne Inst</w:t>
      </w:r>
      <w:r>
        <w:t>i</w:t>
      </w:r>
      <w:r w:rsidRPr="00EA75F8">
        <w:t>tute</w:t>
      </w:r>
      <w:r>
        <w:rPr>
          <w:rStyle w:val="NoteLabel"/>
        </w:rPr>
        <w:t xml:space="preserve"> </w:t>
      </w:r>
      <w:r w:rsidRPr="00EA75F8">
        <w:rPr>
          <w:i/>
        </w:rPr>
        <w:t>Social Exclusion Monitor</w:t>
      </w:r>
      <w:r w:rsidRPr="00426A3D">
        <w:t xml:space="preserve"> </w:t>
      </w:r>
      <w:r>
        <w:t>(</w:t>
      </w:r>
      <w:proofErr w:type="spellStart"/>
      <w:r>
        <w:t>SEM</w:t>
      </w:r>
      <w:proofErr w:type="spellEnd"/>
      <w:r>
        <w:t>) (unpublished data).</w:t>
      </w:r>
    </w:p>
    <w:p w:rsidR="002D2792" w:rsidRDefault="0059536E" w:rsidP="002D2792">
      <w:pPr>
        <w:pStyle w:val="BodyText"/>
      </w:pPr>
      <w:r>
        <w:t>Single o</w:t>
      </w:r>
      <w:r w:rsidR="002D2792">
        <w:t>lder Australians have higher than average rates of relative income poverty (particularly when it is not adjusted for housing costs)</w:t>
      </w:r>
      <w:r w:rsidR="00756DC1">
        <w:t xml:space="preserve"> but </w:t>
      </w:r>
      <w:r w:rsidR="002D2792">
        <w:t xml:space="preserve">have lower than average rates of multiple deprivation. </w:t>
      </w:r>
      <w:r w:rsidR="00D142B8">
        <w:t>M</w:t>
      </w:r>
      <w:r w:rsidR="002D2792">
        <w:t xml:space="preserve">any older Australians have low incomes but </w:t>
      </w:r>
      <w:r>
        <w:t xml:space="preserve">have </w:t>
      </w:r>
      <w:r w:rsidR="002D2792">
        <w:t>wealth that they can draw on</w:t>
      </w:r>
      <w:r w:rsidR="001D18EC">
        <w:t xml:space="preserve"> in retirement</w:t>
      </w:r>
      <w:r w:rsidR="002D2792">
        <w:t xml:space="preserve">. </w:t>
      </w:r>
    </w:p>
    <w:p w:rsidR="001D18EC" w:rsidRDefault="001D18EC" w:rsidP="001D18EC">
      <w:pPr>
        <w:pStyle w:val="BodyText"/>
      </w:pPr>
      <w:r>
        <w:t>Migrants from a non</w:t>
      </w:r>
      <w:r>
        <w:noBreakHyphen/>
        <w:t>English speaking background ha</w:t>
      </w:r>
      <w:r w:rsidR="00EB3A80">
        <w:t>ve</w:t>
      </w:r>
      <w:r>
        <w:t xml:space="preserve"> similar prevalence rate</w:t>
      </w:r>
      <w:r w:rsidR="0059536E">
        <w:t>s</w:t>
      </w:r>
      <w:r>
        <w:t xml:space="preserve"> of deep and persistent social exclusion </w:t>
      </w:r>
      <w:r w:rsidR="009850B4">
        <w:t>as</w:t>
      </w:r>
      <w:r>
        <w:t xml:space="preserve"> the average for all Australians</w:t>
      </w:r>
      <w:r w:rsidR="00EB3A80">
        <w:t>,</w:t>
      </w:r>
      <w:r>
        <w:t xml:space="preserve"> but </w:t>
      </w:r>
      <w:r w:rsidR="0059536E">
        <w:t xml:space="preserve">have </w:t>
      </w:r>
      <w:r>
        <w:t xml:space="preserve">a slightly higher income poverty rate. </w:t>
      </w:r>
      <w:r w:rsidR="00621846">
        <w:t xml:space="preserve">While </w:t>
      </w:r>
      <w:r>
        <w:t>Indigenous Australians have high rate</w:t>
      </w:r>
      <w:r w:rsidR="00621846">
        <w:t>s</w:t>
      </w:r>
      <w:r>
        <w:t xml:space="preserve"> of deep and persistent social exclusion</w:t>
      </w:r>
      <w:r w:rsidR="00621846">
        <w:t xml:space="preserve"> (</w:t>
      </w:r>
      <w:r w:rsidR="002C12E4">
        <w:t>more than twice</w:t>
      </w:r>
      <w:r w:rsidR="00621846">
        <w:t xml:space="preserve"> the average prevalence rate), th</w:t>
      </w:r>
      <w:r w:rsidR="00A060A0">
        <w:t>ey</w:t>
      </w:r>
      <w:r w:rsidR="00621846">
        <w:t xml:space="preserve"> account for </w:t>
      </w:r>
      <w:r w:rsidR="009850B4">
        <w:t xml:space="preserve">just </w:t>
      </w:r>
      <w:r w:rsidR="00FE456E">
        <w:t>5</w:t>
      </w:r>
      <w:r w:rsidR="00621846">
        <w:t> per cent of all those who are deeply and persistently disadvantaged</w:t>
      </w:r>
      <w:r>
        <w:t>.</w:t>
      </w:r>
    </w:p>
    <w:p w:rsidR="001D18EC" w:rsidRDefault="001D18EC" w:rsidP="001D18EC">
      <w:pPr>
        <w:pStyle w:val="BodyText"/>
      </w:pPr>
      <w:r>
        <w:t>Just over 60 per cent of Australians experiencing relative income poverty are dependent on income support as their main form of income, a quarter are lone parents</w:t>
      </w:r>
      <w:r w:rsidR="00213F79">
        <w:t xml:space="preserve">, just over a quarter are migrants from countries where the main language spoken is not English, </w:t>
      </w:r>
      <w:r>
        <w:t xml:space="preserve">and 15 per cent are aged over 65 years. </w:t>
      </w:r>
      <w:r w:rsidR="00756DC1">
        <w:t xml:space="preserve">Many people have a combination of these characteristics. </w:t>
      </w:r>
    </w:p>
    <w:p w:rsidR="00756DC1" w:rsidRDefault="00EB3A80" w:rsidP="00EB3A80">
      <w:pPr>
        <w:pStyle w:val="BodyText"/>
      </w:pPr>
      <w:r>
        <w:lastRenderedPageBreak/>
        <w:t>Over 80 per cent of those who are deeply and persistently socially excluded have a long</w:t>
      </w:r>
      <w:r>
        <w:noBreakHyphen/>
        <w:t xml:space="preserve">term health condition or disability, just </w:t>
      </w:r>
      <w:r w:rsidR="00F62B69">
        <w:t>over</w:t>
      </w:r>
      <w:r>
        <w:t xml:space="preserve"> 60 per cent have low educational attainment (Year 11 or less) and </w:t>
      </w:r>
      <w:r w:rsidR="001C4774">
        <w:t>around a fifth</w:t>
      </w:r>
      <w:r>
        <w:t xml:space="preserve"> are public housing tenants</w:t>
      </w:r>
      <w:r>
        <w:rPr>
          <w:sz w:val="24"/>
        </w:rPr>
        <w:t>.</w:t>
      </w:r>
      <w:r w:rsidR="001C4774">
        <w:rPr>
          <w:sz w:val="24"/>
        </w:rPr>
        <w:t xml:space="preserve"> </w:t>
      </w:r>
      <w:r w:rsidR="00896EEB">
        <w:rPr>
          <w:sz w:val="24"/>
        </w:rPr>
        <w:t xml:space="preserve">Almost </w:t>
      </w:r>
      <w:r w:rsidR="00756DC1">
        <w:t>4</w:t>
      </w:r>
      <w:r w:rsidR="00F62B69">
        <w:t>5</w:t>
      </w:r>
      <w:r w:rsidR="00621846">
        <w:t> </w:t>
      </w:r>
      <w:r w:rsidR="00756DC1">
        <w:t xml:space="preserve">per cent are aged 60 years or over. </w:t>
      </w:r>
    </w:p>
    <w:p w:rsidR="008907F9" w:rsidRPr="0096249B" w:rsidRDefault="008907F9" w:rsidP="008907F9">
      <w:pPr>
        <w:pStyle w:val="Heading3"/>
      </w:pPr>
      <w:r w:rsidRPr="0096249B">
        <w:t>Where do Australians experiencing disadvantage live?</w:t>
      </w:r>
    </w:p>
    <w:p w:rsidR="008907F9" w:rsidRDefault="00EB3A80" w:rsidP="002D2792">
      <w:pPr>
        <w:pStyle w:val="BodyText"/>
      </w:pPr>
      <w:r>
        <w:t>Studies on regional dimensions of disadvantage are made more difficult because of heterogeneity — where disadvantaged people are co</w:t>
      </w:r>
      <w:r>
        <w:noBreakHyphen/>
        <w:t>located with people who are more affluent. The latest a</w:t>
      </w:r>
      <w:r w:rsidR="004A6AB9">
        <w:t xml:space="preserve">vailable evidence </w:t>
      </w:r>
      <w:r w:rsidR="00CD7241">
        <w:t xml:space="preserve">shows </w:t>
      </w:r>
      <w:r w:rsidR="004A6AB9">
        <w:t xml:space="preserve">that: </w:t>
      </w:r>
    </w:p>
    <w:p w:rsidR="008F59D4" w:rsidRDefault="008907F9" w:rsidP="002D2792">
      <w:pPr>
        <w:pStyle w:val="ListBullet"/>
        <w:spacing w:before="100"/>
      </w:pPr>
      <w:r>
        <w:t xml:space="preserve">deprivation </w:t>
      </w:r>
      <w:r w:rsidR="00722C68">
        <w:t xml:space="preserve">is </w:t>
      </w:r>
      <w:r>
        <w:t>highest in large towns and rural areas and lowest in the inner city</w:t>
      </w:r>
      <w:r w:rsidR="00EB3A80">
        <w:t>.</w:t>
      </w:r>
      <w:r>
        <w:t xml:space="preserve"> </w:t>
      </w:r>
      <w:r w:rsidR="008F59D4">
        <w:t>R</w:t>
      </w:r>
      <w:r>
        <w:t xml:space="preserve">esidents of rural areas </w:t>
      </w:r>
      <w:r w:rsidR="00722C68">
        <w:t xml:space="preserve">report </w:t>
      </w:r>
      <w:r>
        <w:t>the highest rates of service exclusion — particularly in relation to medical and dental services, access to child care services and financial services</w:t>
      </w:r>
      <w:r w:rsidR="008F59D4">
        <w:t>. R</w:t>
      </w:r>
      <w:r>
        <w:t xml:space="preserve">esidents of the inner city </w:t>
      </w:r>
      <w:r w:rsidR="00722C68">
        <w:t xml:space="preserve">report </w:t>
      </w:r>
      <w:r>
        <w:t xml:space="preserve">higher rates of exclusion from aged care and disability support services compared with residents </w:t>
      </w:r>
      <w:r w:rsidR="00722C68">
        <w:t xml:space="preserve">in </w:t>
      </w:r>
      <w:r>
        <w:t>other locations</w:t>
      </w:r>
    </w:p>
    <w:p w:rsidR="0014751E" w:rsidRDefault="0014751E" w:rsidP="002D2792">
      <w:pPr>
        <w:pStyle w:val="ListBullet"/>
        <w:spacing w:before="100"/>
      </w:pPr>
      <w:r>
        <w:t>the highest prevalence of persistent and deep exclusion is recorded by Australians living in outer regional areas, followed by those in inner regional areas and major cities</w:t>
      </w:r>
    </w:p>
    <w:p w:rsidR="00601043" w:rsidRDefault="00601043" w:rsidP="00FE5761">
      <w:pPr>
        <w:pStyle w:val="ListBullet"/>
      </w:pPr>
      <w:r>
        <w:t>Australians residing in more disadvantaged areas experience much higher rates of chronic disease and mental health problems</w:t>
      </w:r>
      <w:r w:rsidR="0014751E">
        <w:t xml:space="preserve"> and </w:t>
      </w:r>
      <w:r w:rsidR="00FE5761">
        <w:t xml:space="preserve">the most </w:t>
      </w:r>
      <w:r>
        <w:t xml:space="preserve">disadvantaged regions are characterised by higher rates of unemployment, people dependent on income support and children living in jobless families. </w:t>
      </w:r>
    </w:p>
    <w:p w:rsidR="004A6AB9" w:rsidRPr="002D2792" w:rsidRDefault="00B82337" w:rsidP="00B82337">
      <w:pPr>
        <w:pStyle w:val="Heading2"/>
      </w:pPr>
      <w:r>
        <w:t>What factors influence a person’s risk of experiencing disadvantage?</w:t>
      </w:r>
    </w:p>
    <w:p w:rsidR="00D54557" w:rsidRDefault="004A6AB9" w:rsidP="002D2792">
      <w:pPr>
        <w:pStyle w:val="BodyText"/>
      </w:pPr>
      <w:r>
        <w:t xml:space="preserve">Understanding how and why people become disadvantaged is complex. </w:t>
      </w:r>
      <w:r w:rsidR="00D54557">
        <w:t>And, while there is a large body of research describing the causes and consequences of particular forms of disadvantage, the majority of the evidence relies on cross</w:t>
      </w:r>
      <w:r w:rsidR="003C7645">
        <w:noBreakHyphen/>
      </w:r>
      <w:r w:rsidR="00D54557">
        <w:t xml:space="preserve">sectional data rather than </w:t>
      </w:r>
      <w:r w:rsidR="002A2DCB">
        <w:t xml:space="preserve">longitudinal </w:t>
      </w:r>
      <w:r w:rsidR="00D54557">
        <w:t>studies of individual life</w:t>
      </w:r>
      <w:r w:rsidR="00D06BE2">
        <w:noBreakHyphen/>
      </w:r>
      <w:r w:rsidR="00D54557">
        <w:t>courses.</w:t>
      </w:r>
    </w:p>
    <w:p w:rsidR="008A3631" w:rsidRDefault="00F92063" w:rsidP="00F92063">
      <w:pPr>
        <w:pStyle w:val="BodyText"/>
      </w:pPr>
      <w:r>
        <w:t xml:space="preserve">There are many factors that influence a person’s life chances of experiencing disadvantage including: </w:t>
      </w:r>
      <w:r w:rsidRPr="002A664A">
        <w:t xml:space="preserve">their personal capabilities; their family circumstances; the community where they live (and the opportunities it offers); </w:t>
      </w:r>
      <w:r>
        <w:t xml:space="preserve">life experiences; </w:t>
      </w:r>
      <w:r w:rsidRPr="002A664A">
        <w:t xml:space="preserve">and the </w:t>
      </w:r>
      <w:r>
        <w:t xml:space="preserve">broader economic and social </w:t>
      </w:r>
      <w:r w:rsidRPr="002A664A">
        <w:t>environment</w:t>
      </w:r>
      <w:r>
        <w:t xml:space="preserve">. </w:t>
      </w:r>
      <w:r w:rsidR="008A3631">
        <w:t xml:space="preserve">It is difficult to </w:t>
      </w:r>
      <w:r w:rsidR="00250799">
        <w:t>disen</w:t>
      </w:r>
      <w:r w:rsidR="008A3631">
        <w:t xml:space="preserve">tangle how the various factors interact and to establish causality. </w:t>
      </w:r>
    </w:p>
    <w:p w:rsidR="00F92063" w:rsidRDefault="00F92063" w:rsidP="00F92063">
      <w:pPr>
        <w:pStyle w:val="BodyText"/>
      </w:pPr>
      <w:r>
        <w:lastRenderedPageBreak/>
        <w:t xml:space="preserve">Figure 2 provides a framework </w:t>
      </w:r>
      <w:r w:rsidR="0059536E">
        <w:t xml:space="preserve">for </w:t>
      </w:r>
      <w:r w:rsidR="00503A6E">
        <w:t xml:space="preserve">linking these </w:t>
      </w:r>
      <w:r>
        <w:t xml:space="preserve">various factors </w:t>
      </w:r>
      <w:r w:rsidR="00503A6E">
        <w:t xml:space="preserve">to a person’s capabilities and opportunities and their ability to be resilient in the face of adverse life events. </w:t>
      </w:r>
    </w:p>
    <w:p w:rsidR="002D2792" w:rsidRDefault="002D2792" w:rsidP="002D2792">
      <w:pPr>
        <w:pStyle w:val="FigureTitle"/>
      </w:pPr>
      <w:r>
        <w:rPr>
          <w:b w:val="0"/>
        </w:rPr>
        <w:t>Figure 2</w:t>
      </w:r>
      <w:r>
        <w:tab/>
        <w:t xml:space="preserve">Factors influencing life chances of experiencing disadvantage </w:t>
      </w:r>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2D2792" w:rsidTr="0041376E">
        <w:tc>
          <w:tcPr>
            <w:tcW w:w="8777" w:type="dxa"/>
          </w:tcPr>
          <w:p w:rsidR="002D2792" w:rsidRDefault="00AF043B" w:rsidP="0041376E">
            <w:pPr>
              <w:pStyle w:val="Figure"/>
            </w:pPr>
            <w:r>
              <w:pict>
                <v:shape id="_x0000_i1027" type="#_x0000_t75" alt="The chart shows the various factors which contribute to individual capabilities and opportunities (including the family environment, community environment and macro-economic environment). Individual capabilities include access to financial resources, education and skills, health, life goals or aspirations and social networks.  Opportunities include participation in education and training, paid work, voluntary work and caring. Opportunities also include various forms of social engagement and participation in decision making. A lack of capability or opportunity can contribute to disadvantage. The way in which individuals respond – some are more vulnerable while others are more resilient – can influence whether these factors contribute to deeper and more persistent states of disadvantage ." style="width:438.9pt;height:401.45pt">
                  <v:imagedata r:id="rId11" o:title=""/>
                </v:shape>
              </w:pict>
            </w:r>
          </w:p>
        </w:tc>
      </w:tr>
    </w:tbl>
    <w:p w:rsidR="00D602DF" w:rsidRDefault="00D602DF" w:rsidP="00D602DF">
      <w:pPr>
        <w:pStyle w:val="BodyText"/>
      </w:pPr>
      <w:r>
        <w:t>The evidence points to there being critical times for building capabilities for life:</w:t>
      </w:r>
    </w:p>
    <w:p w:rsidR="00D602DF" w:rsidRDefault="00D602DF" w:rsidP="00D602DF">
      <w:pPr>
        <w:pStyle w:val="ListBullet"/>
      </w:pPr>
      <w:r>
        <w:t>the early years — these lay the foundation for children’s future learning and lifetime outcomes, including the ability to form trusting and caring relationships</w:t>
      </w:r>
    </w:p>
    <w:p w:rsidR="00D602DF" w:rsidRDefault="00D602DF" w:rsidP="00D602DF">
      <w:pPr>
        <w:pStyle w:val="ListBullet"/>
      </w:pPr>
      <w:r>
        <w:t>the school years — success at school is a key determinant of whether children go on to further education and training and employment</w:t>
      </w:r>
    </w:p>
    <w:p w:rsidR="00D602DF" w:rsidRDefault="00D602DF" w:rsidP="00D602DF">
      <w:pPr>
        <w:pStyle w:val="ListBullet"/>
      </w:pPr>
      <w:r>
        <w:t>beyond compulsory schooling and the transition between education and work.</w:t>
      </w:r>
    </w:p>
    <w:p w:rsidR="00641A43" w:rsidRDefault="00641A43" w:rsidP="00641A43">
      <w:pPr>
        <w:pStyle w:val="Heading3"/>
      </w:pPr>
      <w:r>
        <w:lastRenderedPageBreak/>
        <w:t xml:space="preserve">The lottery of life </w:t>
      </w:r>
    </w:p>
    <w:p w:rsidR="00641A43" w:rsidRDefault="00641A43" w:rsidP="00641A43">
      <w:pPr>
        <w:pStyle w:val="BodyText"/>
      </w:pPr>
      <w:r>
        <w:t xml:space="preserve">A child starts life with a set of personal resources or endowments — at conception they are dealt a hand of cards (by genetic heritage and maternal health). The evidence points to the importance of the antenatal period for shaping future development pathways for children. </w:t>
      </w:r>
    </w:p>
    <w:p w:rsidR="00641A43" w:rsidRDefault="00641A43" w:rsidP="00641A43">
      <w:pPr>
        <w:pStyle w:val="BodyText"/>
      </w:pPr>
      <w:r>
        <w:t xml:space="preserve">While inherited genes influence their development, the quality of family environments, and the availability of appropriate experiences at various stages of development, are crucial for building capabilities. While most families provide the support children require to build the capabilities they need for life, families dealing with problems such as poverty, mental health, substance abuse and domestic violence are under greater stress and may be less able to provide an environment conducive to nurturing children and promoting learning. </w:t>
      </w:r>
    </w:p>
    <w:p w:rsidR="00641A43" w:rsidRDefault="00641A43" w:rsidP="00641A43">
      <w:pPr>
        <w:pStyle w:val="BodyText"/>
      </w:pPr>
      <w:r>
        <w:t>Children who experience abuse or neglect and persistent stress in their early years are more likely to experience ongoing behavioural and learning problems, engage in violent behaviour and substance abuse and suffer poor mental and physical health.</w:t>
      </w:r>
    </w:p>
    <w:p w:rsidR="005B7BC4" w:rsidRPr="0052679C" w:rsidRDefault="005B7BC4" w:rsidP="005B7BC4">
      <w:pPr>
        <w:pStyle w:val="Heading3"/>
      </w:pPr>
      <w:r w:rsidRPr="0052679C">
        <w:t xml:space="preserve">Gaps in children’s development are evident early in life </w:t>
      </w:r>
    </w:p>
    <w:p w:rsidR="00374B56" w:rsidRDefault="005B7BC4" w:rsidP="004E41F5">
      <w:pPr>
        <w:pStyle w:val="BodyText"/>
      </w:pPr>
      <w:r>
        <w:t xml:space="preserve">Gaps in capabilities between children from socioeconomically disadvantaged families and their more advantaged peers appear early in life. </w:t>
      </w:r>
      <w:r w:rsidR="00374B56">
        <w:t>For example:</w:t>
      </w:r>
    </w:p>
    <w:p w:rsidR="00374B56" w:rsidRDefault="004E41F5" w:rsidP="00374B56">
      <w:pPr>
        <w:pStyle w:val="ListBullet"/>
      </w:pPr>
      <w:r>
        <w:t>deve</w:t>
      </w:r>
      <w:r w:rsidR="00800D02">
        <w:t>lopment scores for 4</w:t>
      </w:r>
      <w:r w:rsidR="00800D02">
        <w:noBreakHyphen/>
        <w:t>5 year old</w:t>
      </w:r>
      <w:r>
        <w:t xml:space="preserve"> Australian</w:t>
      </w:r>
      <w:r w:rsidR="00374B56">
        <w:t xml:space="preserve"> children</w:t>
      </w:r>
      <w:r>
        <w:t xml:space="preserve"> show that the more income a family has</w:t>
      </w:r>
      <w:r w:rsidR="003C7645">
        <w:t>,</w:t>
      </w:r>
      <w:r>
        <w:t xml:space="preserve"> the better the average overall development score</w:t>
      </w:r>
      <w:r w:rsidR="00374B56">
        <w:t>.</w:t>
      </w:r>
      <w:r>
        <w:t xml:space="preserve"> Also, children </w:t>
      </w:r>
      <w:r w:rsidR="00374B56">
        <w:t xml:space="preserve">in this age group </w:t>
      </w:r>
      <w:r>
        <w:t xml:space="preserve">living in families </w:t>
      </w:r>
      <w:r w:rsidR="00374B56">
        <w:t xml:space="preserve">experiencing multiple hardships are </w:t>
      </w:r>
      <w:r>
        <w:t xml:space="preserve">more likely to have lower </w:t>
      </w:r>
      <w:r w:rsidR="0065757E">
        <w:t xml:space="preserve">development </w:t>
      </w:r>
      <w:r>
        <w:t xml:space="preserve">scores </w:t>
      </w:r>
      <w:r w:rsidR="00374B56">
        <w:t xml:space="preserve">than </w:t>
      </w:r>
      <w:r>
        <w:t xml:space="preserve">those children living in families </w:t>
      </w:r>
      <w:r w:rsidR="007F673F">
        <w:t xml:space="preserve">free from </w:t>
      </w:r>
      <w:r w:rsidR="00374B56">
        <w:t>financial hardship</w:t>
      </w:r>
    </w:p>
    <w:p w:rsidR="00374B56" w:rsidRDefault="00374B56" w:rsidP="00374B56">
      <w:pPr>
        <w:pStyle w:val="ListBullet"/>
      </w:pPr>
      <w:r>
        <w:t>the employment status of a child’s parent</w:t>
      </w:r>
      <w:r w:rsidR="003C7645">
        <w:t>s</w:t>
      </w:r>
      <w:r>
        <w:t xml:space="preserve"> is strongly correlated with a child’s development at ages 4</w:t>
      </w:r>
      <w:r>
        <w:noBreakHyphen/>
        <w:t>5 years</w:t>
      </w:r>
      <w:r w:rsidR="00AF0968">
        <w:t xml:space="preserve"> — the average overall development scores for children with no parent working are lower than those with at least one parent working</w:t>
      </w:r>
    </w:p>
    <w:p w:rsidR="004E41F5" w:rsidRDefault="00374B56" w:rsidP="00374B56">
      <w:pPr>
        <w:pStyle w:val="ListBullet"/>
      </w:pPr>
      <w:r>
        <w:t xml:space="preserve">children who speak another language at home, have a long-term medical condition or disability, or are Indigenous, generally perform more poorly on average development scores than </w:t>
      </w:r>
      <w:r w:rsidR="00896EEB">
        <w:t>4</w:t>
      </w:r>
      <w:r w:rsidR="00896EEB">
        <w:noBreakHyphen/>
        <w:t xml:space="preserve">5 year old </w:t>
      </w:r>
      <w:r>
        <w:t>children who do not have these characteristics (</w:t>
      </w:r>
      <w:r w:rsidR="00D26BEC">
        <w:t xml:space="preserve">Gong, McNamara and </w:t>
      </w:r>
      <w:proofErr w:type="spellStart"/>
      <w:r w:rsidR="00D26BEC">
        <w:t>Cassells</w:t>
      </w:r>
      <w:proofErr w:type="spellEnd"/>
      <w:r w:rsidR="004E41F5">
        <w:t xml:space="preserve"> 2011, using </w:t>
      </w:r>
      <w:r w:rsidR="00230B55">
        <w:t xml:space="preserve">data from the </w:t>
      </w:r>
      <w:r w:rsidR="00230B55" w:rsidRPr="00230B55">
        <w:rPr>
          <w:i/>
        </w:rPr>
        <w:t xml:space="preserve">Longitudinal Study of Australian </w:t>
      </w:r>
      <w:r w:rsidR="00230B55" w:rsidRPr="00800D02">
        <w:rPr>
          <w:i/>
        </w:rPr>
        <w:t>Children</w:t>
      </w:r>
      <w:r w:rsidR="004E41F5">
        <w:t xml:space="preserve">). </w:t>
      </w:r>
    </w:p>
    <w:p w:rsidR="004E41F5" w:rsidRDefault="004E41F5" w:rsidP="004E41F5">
      <w:pPr>
        <w:pStyle w:val="BodyText"/>
      </w:pPr>
      <w:r>
        <w:t xml:space="preserve">Childcare settings and the health and community care system can be influential in shaping children’s development and helping them realise their potential for future learning. This is particularly so when the family environment is not providing an </w:t>
      </w:r>
      <w:r>
        <w:lastRenderedPageBreak/>
        <w:t>engaging supportive environment. Early childhood settings can also provide models of positive adult</w:t>
      </w:r>
      <w:r>
        <w:noBreakHyphen/>
        <w:t>child interactions and social networks for families</w:t>
      </w:r>
      <w:r w:rsidR="00B61C4E">
        <w:t>.</w:t>
      </w:r>
    </w:p>
    <w:p w:rsidR="00276491" w:rsidRDefault="005B7BC4" w:rsidP="00276491">
      <w:pPr>
        <w:pStyle w:val="BodyText"/>
      </w:pPr>
      <w:r>
        <w:t xml:space="preserve">Starting school ‘behind the eight ball’ can be the beginning of a cycle of disadvantage for children that sets a trajectory for poorer outcomes later in life (figure 3). </w:t>
      </w:r>
      <w:r w:rsidR="00276491">
        <w:t>Because learning is a dynamic process, early learning sets the conditions for the next stage of learning. If a child is not ‘school ready’ this can lead to disengagement in learning, which can lead to behaviour</w:t>
      </w:r>
      <w:r w:rsidR="003C7645">
        <w:t>al</w:t>
      </w:r>
      <w:r w:rsidR="00276491">
        <w:t xml:space="preserve"> problems</w:t>
      </w:r>
      <w:r w:rsidR="00DA4723">
        <w:t xml:space="preserve"> and poor educational achievement</w:t>
      </w:r>
      <w:r w:rsidR="00276491">
        <w:t xml:space="preserve">. </w:t>
      </w:r>
    </w:p>
    <w:p w:rsidR="005B7BC4" w:rsidRDefault="005B7BC4" w:rsidP="005B7BC4">
      <w:pPr>
        <w:pStyle w:val="FigureTitle"/>
      </w:pPr>
      <w:r>
        <w:rPr>
          <w:b w:val="0"/>
        </w:rPr>
        <w:t>Figure 3</w:t>
      </w:r>
      <w:r>
        <w:tab/>
        <w:t>The cycle of disadvantage can start early in life</w:t>
      </w:r>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5B7BC4" w:rsidTr="00823D4A">
        <w:tc>
          <w:tcPr>
            <w:tcW w:w="8777" w:type="dxa"/>
          </w:tcPr>
          <w:p w:rsidR="005B7BC4" w:rsidRDefault="00071626" w:rsidP="00823D4A">
            <w:pPr>
              <w:pStyle w:val="Figure"/>
            </w:pPr>
            <w:r>
              <w:rPr>
                <w:noProof/>
              </w:rPr>
              <w:drawing>
                <wp:inline distT="0" distB="0" distL="0" distR="0" wp14:anchorId="50D15C8F" wp14:editId="0AD8CD0B">
                  <wp:extent cx="4304581" cy="3437825"/>
                  <wp:effectExtent l="0" t="0" r="0" b="0"/>
                  <wp:docPr id="11" name="Picture 11" descr="The figure shows disadvantage starts early in life from poor quality childhood experiences which manifest later as poor transitions to school and lack of motivation to learn. This in turn contributes to poor education outcomes which make it harder for individuals to find work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04760" cy="3437968"/>
                          </a:xfrm>
                          <a:prstGeom prst="rect">
                            <a:avLst/>
                          </a:prstGeom>
                          <a:noFill/>
                          <a:ln>
                            <a:noFill/>
                          </a:ln>
                        </pic:spPr>
                      </pic:pic>
                    </a:graphicData>
                  </a:graphic>
                </wp:inline>
              </w:drawing>
            </w:r>
          </w:p>
        </w:tc>
      </w:tr>
    </w:tbl>
    <w:p w:rsidR="005B7BC4" w:rsidRDefault="005B7BC4" w:rsidP="005B7BC4">
      <w:pPr>
        <w:pStyle w:val="Source"/>
      </w:pPr>
      <w:r>
        <w:rPr>
          <w:i/>
        </w:rPr>
        <w:t>Source</w:t>
      </w:r>
      <w:r w:rsidRPr="00167F06">
        <w:t xml:space="preserve">: </w:t>
      </w:r>
      <w:r w:rsidR="005E724B">
        <w:t xml:space="preserve">Based on </w:t>
      </w:r>
      <w:r>
        <w:t>Smith Family (2010)</w:t>
      </w:r>
      <w:r w:rsidR="0041376E">
        <w:t>.</w:t>
      </w:r>
    </w:p>
    <w:p w:rsidR="00D602DF" w:rsidRDefault="00D602DF" w:rsidP="00D602DF">
      <w:pPr>
        <w:pStyle w:val="BodyText"/>
      </w:pPr>
      <w:r>
        <w:t>Results from trials and programs show that good quality early childhood education, particularly for children from socioeconomically disadvantaged backgrounds, can contribute significantly to giving them a strong start to a good education and success in school. For example, early intervention programs for children from disadvantaged backgrounds conducted in the United States, including the High</w:t>
      </w:r>
      <w:r>
        <w:noBreakHyphen/>
        <w:t>Scope Perry Preschool Program and the Abecedarian Project, show a positive and long</w:t>
      </w:r>
      <w:r w:rsidR="003C7645">
        <w:noBreakHyphen/>
      </w:r>
      <w:r>
        <w:t xml:space="preserve">term effect of early environmental enrichment on school achievement, employment outcomes and social behaviours. </w:t>
      </w:r>
    </w:p>
    <w:p w:rsidR="00962178" w:rsidRDefault="00CB7CA9" w:rsidP="00962178">
      <w:pPr>
        <w:pStyle w:val="Heading3"/>
      </w:pPr>
      <w:r>
        <w:lastRenderedPageBreak/>
        <w:t>E</w:t>
      </w:r>
      <w:r w:rsidR="00962178">
        <w:t>ducation and life chances</w:t>
      </w:r>
    </w:p>
    <w:p w:rsidR="00962178" w:rsidRDefault="00962178" w:rsidP="00962178">
      <w:pPr>
        <w:pStyle w:val="BodyText"/>
        <w:rPr>
          <w:szCs w:val="26"/>
        </w:rPr>
      </w:pPr>
      <w:r>
        <w:t>There is strong evidence to show that education is the key to improving life chances.</w:t>
      </w:r>
      <w:r w:rsidR="00D602DF">
        <w:t xml:space="preserve"> Education not only provides skills and the capacity to learn, it improves a person’s employment prospects and earning capacity. The evidence also points to a relationship between education and better </w:t>
      </w:r>
      <w:r>
        <w:rPr>
          <w:szCs w:val="26"/>
        </w:rPr>
        <w:t>health and social cohesion and reduce</w:t>
      </w:r>
      <w:r w:rsidR="00D602DF">
        <w:rPr>
          <w:szCs w:val="26"/>
        </w:rPr>
        <w:t>d</w:t>
      </w:r>
      <w:r>
        <w:rPr>
          <w:szCs w:val="26"/>
        </w:rPr>
        <w:t xml:space="preserve"> crime. In </w:t>
      </w:r>
      <w:r w:rsidR="00CB7CA9">
        <w:rPr>
          <w:szCs w:val="26"/>
        </w:rPr>
        <w:t>contrast, poor educational achievement increases the probability of poorer employment prospects, lower lifetime earnings and reduced ability to participate in society</w:t>
      </w:r>
      <w:r w:rsidR="00DA4723">
        <w:rPr>
          <w:szCs w:val="26"/>
        </w:rPr>
        <w:t xml:space="preserve"> (figure 3)</w:t>
      </w:r>
      <w:r w:rsidR="00CB7CA9">
        <w:rPr>
          <w:szCs w:val="26"/>
        </w:rPr>
        <w:t xml:space="preserve">. </w:t>
      </w:r>
    </w:p>
    <w:p w:rsidR="004E41F5" w:rsidRDefault="00722F6A" w:rsidP="00962178">
      <w:pPr>
        <w:pStyle w:val="BodyText"/>
      </w:pPr>
      <w:r>
        <w:t>T</w:t>
      </w:r>
      <w:r w:rsidR="004E41F5">
        <w:t>he weaker average performance of children from low socioeconomic backgrounds</w:t>
      </w:r>
      <w:r w:rsidR="00503A6E">
        <w:t xml:space="preserve">, </w:t>
      </w:r>
      <w:r w:rsidR="004E41F5">
        <w:t>evident when they start school</w:t>
      </w:r>
      <w:r w:rsidR="00503A6E">
        <w:t>,</w:t>
      </w:r>
      <w:r w:rsidR="004E41F5">
        <w:t xml:space="preserve"> continues throughout the school years</w:t>
      </w:r>
      <w:r w:rsidR="00503A6E">
        <w:t xml:space="preserve">. There is also </w:t>
      </w:r>
      <w:r w:rsidR="004E41F5">
        <w:t xml:space="preserve">evidence that the gap widens </w:t>
      </w:r>
      <w:r>
        <w:t xml:space="preserve">as children get older </w:t>
      </w:r>
      <w:r w:rsidR="004E41F5">
        <w:t>(figure </w:t>
      </w:r>
      <w:r w:rsidR="00230B55">
        <w:t>4</w:t>
      </w:r>
      <w:r w:rsidR="004E41F5">
        <w:t>).</w:t>
      </w:r>
    </w:p>
    <w:p w:rsidR="00466CA4" w:rsidRDefault="00466CA4">
      <w:pPr>
        <w:pStyle w:val="FigureTitle"/>
      </w:pPr>
      <w:r>
        <w:rPr>
          <w:b w:val="0"/>
        </w:rPr>
        <w:t xml:space="preserve">Figure </w:t>
      </w:r>
      <w:r w:rsidR="00230B55">
        <w:rPr>
          <w:b w:val="0"/>
        </w:rPr>
        <w:t>4</w:t>
      </w:r>
      <w:r>
        <w:tab/>
      </w:r>
      <w:bookmarkStart w:id="4" w:name="FigureTitle"/>
      <w:r w:rsidR="00230B55">
        <w:t>Outcomes for Australian children aged 2</w:t>
      </w:r>
      <w:r w:rsidR="00230B55">
        <w:noBreakHyphen/>
        <w:t>3 to 10</w:t>
      </w:r>
      <w:r w:rsidR="00230B55">
        <w:noBreakHyphen/>
        <w:t>11 year olds by socioeconomic position</w:t>
      </w:r>
      <w:proofErr w:type="spellStart"/>
      <w:r w:rsidR="00230B55" w:rsidRPr="00273767">
        <w:rPr>
          <w:rStyle w:val="NoteLabel"/>
        </w:rPr>
        <w:t>ab</w:t>
      </w:r>
      <w:proofErr w:type="spellEnd"/>
      <w:r w:rsidR="00230B55">
        <w:t xml:space="preserve"> </w:t>
      </w:r>
      <w:bookmarkEnd w:id="4"/>
    </w:p>
    <w:tbl>
      <w:tblPr>
        <w:tblW w:w="0" w:type="auto"/>
        <w:tblInd w:w="11" w:type="dxa"/>
        <w:tblBorders>
          <w:top w:val="single" w:sz="4" w:space="0" w:color="auto"/>
          <w:bottom w:val="single" w:sz="6" w:space="0" w:color="auto"/>
        </w:tblBorders>
        <w:tblLayout w:type="fixed"/>
        <w:tblCellMar>
          <w:left w:w="0" w:type="dxa"/>
          <w:right w:w="0" w:type="dxa"/>
        </w:tblCellMar>
        <w:tblLook w:val="0000" w:firstRow="0" w:lastRow="0" w:firstColumn="0" w:lastColumn="0" w:noHBand="0" w:noVBand="0"/>
      </w:tblPr>
      <w:tblGrid>
        <w:gridCol w:w="8778"/>
      </w:tblGrid>
      <w:tr w:rsidR="00D26BEC" w:rsidTr="00641A43">
        <w:trPr>
          <w:trHeight w:val="3800"/>
        </w:trPr>
        <w:tc>
          <w:tcPr>
            <w:tcW w:w="8778" w:type="dxa"/>
          </w:tcPr>
          <w:tbl>
            <w:tblPr>
              <w:tblW w:w="8777" w:type="dxa"/>
              <w:tblInd w:w="119" w:type="dxa"/>
              <w:tblBorders>
                <w:top w:val="single" w:sz="4" w:space="0" w:color="auto"/>
              </w:tblBorders>
              <w:tblLayout w:type="fixed"/>
              <w:tblLook w:val="0000" w:firstRow="0" w:lastRow="0" w:firstColumn="0" w:lastColumn="0" w:noHBand="0" w:noVBand="0"/>
            </w:tblPr>
            <w:tblGrid>
              <w:gridCol w:w="4388"/>
              <w:gridCol w:w="4389"/>
            </w:tblGrid>
            <w:tr w:rsidR="00D26BEC" w:rsidTr="00641A43">
              <w:tc>
                <w:tcPr>
                  <w:tcW w:w="4388" w:type="dxa"/>
                </w:tcPr>
                <w:p w:rsidR="00D26BEC" w:rsidRDefault="00C53375" w:rsidP="00D26BEC">
                  <w:pPr>
                    <w:pStyle w:val="Figure"/>
                    <w:spacing w:before="0"/>
                  </w:pPr>
                  <w:r>
                    <w:rPr>
                      <w:noProof/>
                    </w:rPr>
                    <w:pict>
                      <v:shape id="_x0000_i1038" type="#_x0000_t75" alt="The charts show the impact of low socioeconomic status of parents on educational outcomes of children. In general children with parents from low socioeconomic backgrounds perform more poorly at school and the gap in performance widens as children get older.This chart is for 2 to 5 year olds." style="width:199.3pt;height:183.15pt">
                        <v:imagedata r:id="rId13" o:title=""/>
                      </v:shape>
                    </w:pict>
                  </w:r>
                </w:p>
              </w:tc>
              <w:tc>
                <w:tcPr>
                  <w:tcW w:w="4389" w:type="dxa"/>
                </w:tcPr>
                <w:p w:rsidR="00D26BEC" w:rsidRDefault="00F437DA" w:rsidP="00D26BEC">
                  <w:pPr>
                    <w:pStyle w:val="Figure"/>
                    <w:spacing w:before="0"/>
                  </w:pPr>
                  <w:r>
                    <w:pict>
                      <v:shape id="_x0000_i1039" type="#_x0000_t75" alt="The charts show the impact of low socioeconomic status of parents on educational outcomes of children. In general children with parents from low socioeconomic backgrounds perform more poorly at school and the gap in performance widens as children get older.This chart is for 6 to 11 year olds." style="width:191.8pt;height:183.75pt;mso-position-horizontal:absolute">
                        <v:imagedata r:id="rId14" o:title=""/>
                      </v:shape>
                    </w:pict>
                  </w:r>
                </w:p>
              </w:tc>
            </w:tr>
          </w:tbl>
          <w:p w:rsidR="00D26BEC" w:rsidRDefault="00D26BEC" w:rsidP="00F16E36">
            <w:pPr>
              <w:pStyle w:val="Source"/>
              <w:spacing w:before="0"/>
            </w:pPr>
          </w:p>
        </w:tc>
      </w:tr>
    </w:tbl>
    <w:p w:rsidR="00F60B5C" w:rsidRDefault="00F60B5C" w:rsidP="00F60B5C">
      <w:pPr>
        <w:pStyle w:val="Note"/>
      </w:pPr>
      <w:r>
        <w:rPr>
          <w:rStyle w:val="NoteLabel"/>
        </w:rPr>
        <w:t>a</w:t>
      </w:r>
      <w:r>
        <w:t xml:space="preserve"> </w:t>
      </w:r>
      <w:proofErr w:type="spellStart"/>
      <w:r>
        <w:t>MeanPedsQL</w:t>
      </w:r>
      <w:proofErr w:type="spellEnd"/>
      <w:r>
        <w:t xml:space="preserve"> scores</w:t>
      </w:r>
      <w:r w:rsidR="003F48FF">
        <w:t xml:space="preserve"> — </w:t>
      </w:r>
      <w:proofErr w:type="spellStart"/>
      <w:r w:rsidR="003F48FF">
        <w:t>Pediatric</w:t>
      </w:r>
      <w:proofErr w:type="spellEnd"/>
      <w:r w:rsidR="003F48FF">
        <w:t xml:space="preserve"> Quality of Life inventory or model which measures the extent of physical, emotional, social and school functioning of children</w:t>
      </w:r>
      <w:r>
        <w:t xml:space="preserve">. </w:t>
      </w:r>
      <w:r w:rsidRPr="00273767">
        <w:rPr>
          <w:rStyle w:val="NoteLabel"/>
        </w:rPr>
        <w:t>b</w:t>
      </w:r>
      <w:r>
        <w:t xml:space="preserve"> Socioeconomic position (SEP) — </w:t>
      </w:r>
      <w:r w:rsidR="007F673F">
        <w:t xml:space="preserve">ranging from 1 (the lowest </w:t>
      </w:r>
      <w:proofErr w:type="spellStart"/>
      <w:r w:rsidR="007F673F">
        <w:t>decile</w:t>
      </w:r>
      <w:proofErr w:type="spellEnd"/>
      <w:r w:rsidR="007F673F">
        <w:t xml:space="preserve">) to 10 (the highest </w:t>
      </w:r>
      <w:proofErr w:type="spellStart"/>
      <w:r>
        <w:t>decile</w:t>
      </w:r>
      <w:proofErr w:type="spellEnd"/>
      <w:r w:rsidR="007F673F">
        <w:t>)</w:t>
      </w:r>
      <w:r>
        <w:t>.</w:t>
      </w:r>
    </w:p>
    <w:p w:rsidR="00F60B5C" w:rsidRDefault="00F60B5C" w:rsidP="00D26BEC">
      <w:pPr>
        <w:pStyle w:val="Source"/>
        <w:jc w:val="left"/>
      </w:pPr>
      <w:r>
        <w:rPr>
          <w:i/>
        </w:rPr>
        <w:t>Data source</w:t>
      </w:r>
      <w:r w:rsidRPr="00167F06">
        <w:t xml:space="preserve">: </w:t>
      </w:r>
      <w:r>
        <w:t xml:space="preserve">data provided by Australian Institute of Family Studies, based on </w:t>
      </w:r>
      <w:proofErr w:type="spellStart"/>
      <w:r>
        <w:t>LSAC</w:t>
      </w:r>
      <w:proofErr w:type="spellEnd"/>
      <w:r>
        <w:t>, Waves 1, 2, 3 and 4.</w:t>
      </w:r>
    </w:p>
    <w:p w:rsidR="00962178" w:rsidRDefault="00962178" w:rsidP="00962178">
      <w:pPr>
        <w:pStyle w:val="BodyText"/>
      </w:pPr>
      <w:r>
        <w:t>Children from low socioeconomic backgrounds (</w:t>
      </w:r>
      <w:r w:rsidR="007F673F">
        <w:t xml:space="preserve">as well as </w:t>
      </w:r>
      <w:r>
        <w:t xml:space="preserve">Indigenous children, those not proficient in English and those living in remote communities) perform more poorly at school, on average, than those from higher socioeconomic groups. Also, the probability of leaving school early is higher for these groups and the probability of attending university is lower. </w:t>
      </w:r>
    </w:p>
    <w:p w:rsidR="005B7BC4" w:rsidRDefault="00CB7CA9" w:rsidP="005B7BC4">
      <w:pPr>
        <w:pStyle w:val="BodyText"/>
      </w:pPr>
      <w:r>
        <w:t xml:space="preserve">Some of the explanations for differences in educational attainment between children of low and high socioeconomic backgrounds include: </w:t>
      </w:r>
    </w:p>
    <w:p w:rsidR="00CB7CA9" w:rsidRDefault="00CB7CA9" w:rsidP="00CB7CA9">
      <w:pPr>
        <w:pStyle w:val="ListBullet"/>
      </w:pPr>
      <w:r>
        <w:t xml:space="preserve">parents’ cognitive abilities and inherited genes </w:t>
      </w:r>
    </w:p>
    <w:p w:rsidR="00CB7CA9" w:rsidRDefault="00CB7CA9" w:rsidP="00CB7CA9">
      <w:pPr>
        <w:pStyle w:val="ListBullet"/>
      </w:pPr>
      <w:r>
        <w:lastRenderedPageBreak/>
        <w:t>differences in the home learning environment — access to books, computers, space to study</w:t>
      </w:r>
      <w:r w:rsidR="00466CA4">
        <w:t xml:space="preserve"> </w:t>
      </w:r>
    </w:p>
    <w:p w:rsidR="00CB7CA9" w:rsidRDefault="00CB7CA9" w:rsidP="00CB7CA9">
      <w:pPr>
        <w:pStyle w:val="ListBullet"/>
      </w:pPr>
      <w:r>
        <w:t xml:space="preserve">differences in the quantity and quality of parental time investments </w:t>
      </w:r>
    </w:p>
    <w:p w:rsidR="006C3D9E" w:rsidRDefault="00CB7CA9" w:rsidP="00CB7CA9">
      <w:pPr>
        <w:pStyle w:val="ListBullet"/>
      </w:pPr>
      <w:r>
        <w:t xml:space="preserve">parental aspirations and attitudes to education — the evidence suggests that these </w:t>
      </w:r>
      <w:r w:rsidR="00EC50A1">
        <w:t xml:space="preserve">characteristics </w:t>
      </w:r>
      <w:r>
        <w:t>vary strongly with socioeconomic position</w:t>
      </w:r>
    </w:p>
    <w:p w:rsidR="00CB7CA9" w:rsidRDefault="006C3D9E" w:rsidP="00CB7CA9">
      <w:pPr>
        <w:pStyle w:val="ListBullet"/>
      </w:pPr>
      <w:r>
        <w:t>the operation of schools and neighbourhood effects — schools with a higher proportion of disadvantage</w:t>
      </w:r>
      <w:r w:rsidR="00503A6E">
        <w:t>d</w:t>
      </w:r>
      <w:r>
        <w:t xml:space="preserve"> students are more likely to be dealing with economic and social problems that inhibit learning</w:t>
      </w:r>
      <w:r w:rsidR="00CB7CA9">
        <w:t>.</w:t>
      </w:r>
    </w:p>
    <w:p w:rsidR="000D71FC" w:rsidRDefault="00CB7CA9" w:rsidP="00CB7CA9">
      <w:pPr>
        <w:pStyle w:val="BodyText"/>
      </w:pPr>
      <w:r>
        <w:t xml:space="preserve">Evidence on why some disadvantaged children ‘buck the trend’ to succeed in later life </w:t>
      </w:r>
      <w:r w:rsidR="006C3D9E">
        <w:t xml:space="preserve">suggests that the </w:t>
      </w:r>
      <w:r>
        <w:t xml:space="preserve">level of parental interest and parent’s behaviour </w:t>
      </w:r>
      <w:r w:rsidR="006C3D9E">
        <w:t xml:space="preserve">are </w:t>
      </w:r>
      <w:r>
        <w:t xml:space="preserve">important. Children with a higher probability of succeeding in later life </w:t>
      </w:r>
      <w:r w:rsidR="008A3631">
        <w:t xml:space="preserve">are </w:t>
      </w:r>
      <w:r>
        <w:t>also more likely to have higher test scores earlier in school life and attend schools with higher achieving or more advantaged peers.</w:t>
      </w:r>
    </w:p>
    <w:p w:rsidR="00CB7CA9" w:rsidRDefault="000D71FC" w:rsidP="00CB7CA9">
      <w:pPr>
        <w:pStyle w:val="BodyText"/>
      </w:pPr>
      <w:r>
        <w:t xml:space="preserve">There is also some evidence which suggests that what </w:t>
      </w:r>
      <w:r w:rsidR="006C3D9E">
        <w:t xml:space="preserve">distinguishes high risk children from other children is not exposure to a specific risk factor, but rather a life history characterised by multiple </w:t>
      </w:r>
      <w:r w:rsidR="00CB7CA9">
        <w:t>familial disadvantages that span social and economic disadvantage</w:t>
      </w:r>
      <w:r>
        <w:t>.</w:t>
      </w:r>
      <w:r w:rsidR="00CB7CA9">
        <w:t xml:space="preserve"> </w:t>
      </w:r>
      <w:r w:rsidR="006C3D9E">
        <w:t>But</w:t>
      </w:r>
      <w:r w:rsidR="00722F6A">
        <w:t>, importantly,</w:t>
      </w:r>
      <w:r w:rsidR="006C3D9E">
        <w:t xml:space="preserve"> </w:t>
      </w:r>
      <w:r w:rsidR="00CB7CA9">
        <w:t>the relationship is not deterministic.</w:t>
      </w:r>
      <w:r w:rsidR="00722F6A">
        <w:t xml:space="preserve"> </w:t>
      </w:r>
    </w:p>
    <w:p w:rsidR="006C3D9E" w:rsidRDefault="006C3D9E" w:rsidP="006C3D9E">
      <w:pPr>
        <w:pStyle w:val="Heading3"/>
      </w:pPr>
      <w:r>
        <w:t xml:space="preserve">Beyond school </w:t>
      </w:r>
    </w:p>
    <w:p w:rsidR="006C3D9E" w:rsidRDefault="00500FBA" w:rsidP="006C3D9E">
      <w:pPr>
        <w:pStyle w:val="BodyText"/>
      </w:pPr>
      <w:r>
        <w:rPr>
          <w:rFonts w:eastAsia="DIN-Regular"/>
        </w:rPr>
        <w:t xml:space="preserve">The capabilities </w:t>
      </w:r>
      <w:r w:rsidR="00722F6A">
        <w:rPr>
          <w:rFonts w:eastAsia="DIN-Regular"/>
        </w:rPr>
        <w:t xml:space="preserve">that </w:t>
      </w:r>
      <w:r>
        <w:rPr>
          <w:rFonts w:eastAsia="DIN-Regular"/>
        </w:rPr>
        <w:t>s</w:t>
      </w:r>
      <w:r w:rsidR="006C3D9E">
        <w:rPr>
          <w:rFonts w:eastAsia="DIN-Regular"/>
        </w:rPr>
        <w:t xml:space="preserve">tudents leave school with affects their transition to higher education and work. These differences can widen over time as better educated students take up further study and/or enter the workforce (and continue to develop skills). </w:t>
      </w:r>
      <w:r w:rsidR="003E288E">
        <w:t>Spells of unemployment or joblessness when people are young (particularly if for extended periods), carr</w:t>
      </w:r>
      <w:r w:rsidR="00B61C4E">
        <w:t>y</w:t>
      </w:r>
      <w:r w:rsidR="003E288E">
        <w:t xml:space="preserve"> the risk of lasting effects on earnings and employment — particularly if the person also has other characteristics that place them at risk of disadvantage.</w:t>
      </w:r>
    </w:p>
    <w:p w:rsidR="006C3D9E" w:rsidRDefault="00DE7C60" w:rsidP="006C3D9E">
      <w:pPr>
        <w:pStyle w:val="BodyText"/>
      </w:pPr>
      <w:r>
        <w:rPr>
          <w:rFonts w:eastAsia="DIN-Regular"/>
        </w:rPr>
        <w:t>Australians without post</w:t>
      </w:r>
      <w:r>
        <w:rPr>
          <w:rFonts w:eastAsia="DIN-Regular"/>
        </w:rPr>
        <w:noBreakHyphen/>
        <w:t>school qualifications</w:t>
      </w:r>
      <w:r w:rsidR="003549DD">
        <w:rPr>
          <w:rFonts w:eastAsia="DIN-Regular"/>
        </w:rPr>
        <w:t xml:space="preserve">, or with </w:t>
      </w:r>
      <w:r>
        <w:rPr>
          <w:rFonts w:eastAsia="DIN-Regular"/>
        </w:rPr>
        <w:t>Certificates I and II, are more likely to be unemployed or not in the labour force compared to those with higher qualifications. E</w:t>
      </w:r>
      <w:r w:rsidR="006C3D9E">
        <w:t>arly school leavers experience social exclusion at three times the rate of those who complete Year 12</w:t>
      </w:r>
      <w:r w:rsidR="00DA4723">
        <w:t xml:space="preserve"> (</w:t>
      </w:r>
      <w:proofErr w:type="spellStart"/>
      <w:r w:rsidR="00DA4723">
        <w:t>Azpitarte</w:t>
      </w:r>
      <w:proofErr w:type="spellEnd"/>
      <w:r w:rsidR="00DA4723">
        <w:t xml:space="preserve"> </w:t>
      </w:r>
      <w:proofErr w:type="spellStart"/>
      <w:r w:rsidR="00DA4723">
        <w:t>2012b</w:t>
      </w:r>
      <w:proofErr w:type="spellEnd"/>
      <w:r w:rsidR="00DA4723">
        <w:t>)</w:t>
      </w:r>
      <w:r w:rsidR="006C3D9E">
        <w:t>.</w:t>
      </w:r>
    </w:p>
    <w:p w:rsidR="004D6436" w:rsidRDefault="004D6436" w:rsidP="006C3D9E">
      <w:pPr>
        <w:pStyle w:val="BodyText"/>
      </w:pPr>
      <w:r>
        <w:rPr>
          <w:rFonts w:eastAsia="DIN-Regular"/>
        </w:rPr>
        <w:t>Early school leavers are also likely to have lower paid jobs than those with Year 12 and higher education.</w:t>
      </w:r>
    </w:p>
    <w:p w:rsidR="00500FBA" w:rsidRDefault="00500FBA" w:rsidP="00F51D4C">
      <w:pPr>
        <w:pStyle w:val="Heading4"/>
      </w:pPr>
      <w:r>
        <w:lastRenderedPageBreak/>
        <w:t>Education and intergenerational mobility</w:t>
      </w:r>
    </w:p>
    <w:p w:rsidR="00500FBA" w:rsidRDefault="003F0730" w:rsidP="00500FBA">
      <w:pPr>
        <w:pStyle w:val="BodyText"/>
      </w:pPr>
      <w:r>
        <w:t xml:space="preserve">Access to and participation in higher education can increase life opportunities, particularly for children from low socioeconomic backgrounds, but the evidence shows that educational differences tend to persist across generations. </w:t>
      </w:r>
    </w:p>
    <w:p w:rsidR="00500FBA" w:rsidRPr="0096249B" w:rsidRDefault="00500FBA" w:rsidP="00500FBA">
      <w:pPr>
        <w:pStyle w:val="ListBullet"/>
      </w:pPr>
      <w:r>
        <w:rPr>
          <w:rFonts w:eastAsia="DIN-Regular"/>
        </w:rPr>
        <w:t xml:space="preserve">Students whose both parents/guardians have Year 12 qualifications are more likely to complete year 12 than those with one or neither parent/guardian having attained Year 12. </w:t>
      </w:r>
    </w:p>
    <w:p w:rsidR="00500FBA" w:rsidRDefault="00500FBA" w:rsidP="00500FBA">
      <w:pPr>
        <w:pStyle w:val="ListBullet"/>
      </w:pPr>
      <w:r>
        <w:rPr>
          <w:rFonts w:eastAsia="DIN-Regular"/>
        </w:rPr>
        <w:t>U</w:t>
      </w:r>
      <w:r w:rsidRPr="001374B2">
        <w:rPr>
          <w:rFonts w:eastAsia="DIN-Regular"/>
        </w:rPr>
        <w:t xml:space="preserve">niversity access rates for students from low socioeconomic backgrounds </w:t>
      </w:r>
      <w:r>
        <w:rPr>
          <w:rFonts w:eastAsia="DIN-Regular"/>
        </w:rPr>
        <w:t xml:space="preserve">are less than half those for </w:t>
      </w:r>
      <w:r w:rsidRPr="001374B2">
        <w:rPr>
          <w:rFonts w:eastAsia="DIN-Regular"/>
        </w:rPr>
        <w:t>students from high socioeconomic backgrounds.</w:t>
      </w:r>
    </w:p>
    <w:p w:rsidR="00500FBA" w:rsidRDefault="00500FBA" w:rsidP="00500FBA">
      <w:pPr>
        <w:pStyle w:val="ListBullet"/>
      </w:pPr>
      <w:r>
        <w:rPr>
          <w:rFonts w:eastAsia="DIN-Regular"/>
        </w:rPr>
        <w:t xml:space="preserve">A person whose father has achieved a university degree is more than twice as likely to go on to university than a person </w:t>
      </w:r>
      <w:r>
        <w:t xml:space="preserve">whose father only obtained Year 10 or below (figure </w:t>
      </w:r>
      <w:r w:rsidR="00230B55">
        <w:t>5</w:t>
      </w:r>
      <w:r>
        <w:t>)</w:t>
      </w:r>
      <w:r w:rsidR="008A3631">
        <w:t>.</w:t>
      </w:r>
    </w:p>
    <w:p w:rsidR="00500FBA" w:rsidRDefault="00500FBA" w:rsidP="00500FBA">
      <w:pPr>
        <w:pStyle w:val="BodyText"/>
      </w:pPr>
      <w:r>
        <w:t>There is also evidence to show that there is some intergenerational transmission of income</w:t>
      </w:r>
      <w:r w:rsidR="00EC50A1">
        <w:t xml:space="preserve"> (</w:t>
      </w:r>
      <w:r w:rsidR="003C7645">
        <w:t xml:space="preserve">whereby a </w:t>
      </w:r>
      <w:r w:rsidR="00B2546F">
        <w:t>son</w:t>
      </w:r>
      <w:r w:rsidR="003C7645">
        <w:t>’</w:t>
      </w:r>
      <w:r w:rsidR="00B2546F">
        <w:t xml:space="preserve">s earnings reflect </w:t>
      </w:r>
      <w:r w:rsidR="003C7645">
        <w:t>his</w:t>
      </w:r>
      <w:r w:rsidR="00B2546F">
        <w:t xml:space="preserve"> father</w:t>
      </w:r>
      <w:r w:rsidR="003C7645">
        <w:t>’</w:t>
      </w:r>
      <w:r w:rsidR="00B2546F">
        <w:t>s earnings)</w:t>
      </w:r>
      <w:r>
        <w:t>.</w:t>
      </w:r>
      <w:r w:rsidR="00EC50A1">
        <w:t xml:space="preserve"> </w:t>
      </w:r>
    </w:p>
    <w:p w:rsidR="00500FBA" w:rsidRDefault="00500FBA" w:rsidP="00500FBA">
      <w:pPr>
        <w:pStyle w:val="FigureTitle"/>
      </w:pPr>
      <w:r>
        <w:rPr>
          <w:b w:val="0"/>
        </w:rPr>
        <w:t xml:space="preserve">Figure </w:t>
      </w:r>
      <w:r>
        <w:rPr>
          <w:b w:val="0"/>
        </w:rPr>
        <w:fldChar w:fldCharType="begin"/>
      </w:r>
      <w:r>
        <w:rPr>
          <w:b w:val="0"/>
        </w:rPr>
        <w:instrText xml:space="preserve"> COMMENTS  \* MERGEFORMAT </w:instrText>
      </w:r>
      <w:r>
        <w:rPr>
          <w:b w:val="0"/>
        </w:rPr>
        <w:fldChar w:fldCharType="separate"/>
      </w:r>
      <w:r w:rsidR="00230B55">
        <w:rPr>
          <w:b w:val="0"/>
        </w:rPr>
        <w:t>5</w:t>
      </w:r>
      <w:r>
        <w:rPr>
          <w:b w:val="0"/>
        </w:rPr>
        <w:fldChar w:fldCharType="end"/>
      </w:r>
      <w:r>
        <w:rPr>
          <w:b w:val="0"/>
        </w:rPr>
        <w:tab/>
      </w:r>
      <w:r>
        <w:t>Highest educational attainment of Australians aged 30-44 years, by highest educational attainment of father</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500FBA" w:rsidTr="00D26BEC">
        <w:trPr>
          <w:trHeight w:val="4505"/>
        </w:trPr>
        <w:tc>
          <w:tcPr>
            <w:tcW w:w="8777" w:type="dxa"/>
          </w:tcPr>
          <w:p w:rsidR="00500FBA" w:rsidRDefault="00D26BEC" w:rsidP="00D26BEC">
            <w:pPr>
              <w:pStyle w:val="Figure"/>
            </w:pPr>
            <w:r>
              <w:rPr>
                <w:noProof/>
              </w:rPr>
              <w:drawing>
                <wp:inline distT="0" distB="0" distL="0" distR="0" wp14:anchorId="3A3ED279" wp14:editId="171D3DA2">
                  <wp:extent cx="5322570" cy="2803525"/>
                  <wp:effectExtent l="0" t="0" r="0" b="0"/>
                  <wp:docPr id="2" name="Picture 2" descr="The figure shows children whose fathers had achieved higher educational attainment were much more likely to also achieve higher educational attainment themselv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2570" cy="2803525"/>
                          </a:xfrm>
                          <a:prstGeom prst="rect">
                            <a:avLst/>
                          </a:prstGeom>
                          <a:noFill/>
                          <a:ln>
                            <a:noFill/>
                          </a:ln>
                        </pic:spPr>
                      </pic:pic>
                    </a:graphicData>
                  </a:graphic>
                </wp:inline>
              </w:drawing>
            </w:r>
          </w:p>
        </w:tc>
      </w:tr>
    </w:tbl>
    <w:p w:rsidR="00230B55" w:rsidRDefault="00230B55" w:rsidP="00230B55">
      <w:pPr>
        <w:pStyle w:val="Source"/>
      </w:pPr>
      <w:r>
        <w:rPr>
          <w:i/>
        </w:rPr>
        <w:t>Data source</w:t>
      </w:r>
      <w:r w:rsidRPr="00167F06">
        <w:t xml:space="preserve">: </w:t>
      </w:r>
      <w:proofErr w:type="spellStart"/>
      <w:r>
        <w:t>Cassells</w:t>
      </w:r>
      <w:proofErr w:type="spellEnd"/>
      <w:r>
        <w:t xml:space="preserve"> et al. (2011), based on HILDA.</w:t>
      </w:r>
    </w:p>
    <w:p w:rsidR="00F51D4C" w:rsidRDefault="00F51D4C" w:rsidP="00F51D4C">
      <w:pPr>
        <w:pStyle w:val="Heading3"/>
      </w:pPr>
      <w:r>
        <w:t>The importance of employment</w:t>
      </w:r>
    </w:p>
    <w:p w:rsidR="00F51D4C" w:rsidRDefault="003F0730" w:rsidP="00F51D4C">
      <w:pPr>
        <w:pStyle w:val="BodyText"/>
      </w:pPr>
      <w:r>
        <w:t xml:space="preserve">People’s material standard of living is largely determined by their access to economic resources (income and wealth). </w:t>
      </w:r>
      <w:r w:rsidR="00F51D4C">
        <w:t xml:space="preserve">Unemployment and joblessness more </w:t>
      </w:r>
      <w:r w:rsidR="00F51D4C">
        <w:lastRenderedPageBreak/>
        <w:t xml:space="preserve">generally denies people access to an important income stream, reduces social status, and constrains engagement in meaningful activities. </w:t>
      </w:r>
      <w:r w:rsidR="000D71FC">
        <w:t>The e</w:t>
      </w:r>
      <w:r w:rsidR="00F51D4C">
        <w:t xml:space="preserve">vidence </w:t>
      </w:r>
      <w:r w:rsidR="000D71FC">
        <w:t>su</w:t>
      </w:r>
      <w:r w:rsidR="00F51D4C">
        <w:t xml:space="preserve">ggests that job loss </w:t>
      </w:r>
      <w:r w:rsidR="005E3C78">
        <w:t xml:space="preserve">is a </w:t>
      </w:r>
      <w:r w:rsidR="00F51D4C">
        <w:t xml:space="preserve">key trigger of disadvantage. </w:t>
      </w:r>
    </w:p>
    <w:p w:rsidR="00F51D4C" w:rsidRDefault="00F51D4C" w:rsidP="00F51D4C">
      <w:pPr>
        <w:pStyle w:val="BodyText"/>
      </w:pPr>
      <w:r>
        <w:t>People who are out of work for long periods of time are at greater risk of experiencing economic hardship, including reduced capacity to cover housing cost</w:t>
      </w:r>
      <w:r w:rsidR="00D06BE2">
        <w:t>s</w:t>
      </w:r>
      <w:r>
        <w:t xml:space="preserve">, and, at the extreme, </w:t>
      </w:r>
      <w:r w:rsidR="00F247B2">
        <w:t xml:space="preserve">are at risk of </w:t>
      </w:r>
      <w:r>
        <w:t>homelessness. In the absence of affordable housing it can be difficult for a person to find and hold down a job or engage in education or become part of the local community. Housing instability and homelessness can also mean that children frequently move between schools or miss out on some schooling.</w:t>
      </w:r>
    </w:p>
    <w:p w:rsidR="00896EEB" w:rsidRDefault="00F51D4C" w:rsidP="00B517A1">
      <w:pPr>
        <w:pStyle w:val="BodyText"/>
      </w:pPr>
      <w:r>
        <w:t xml:space="preserve">Employment is a key trigger for moving out of disadvantage. </w:t>
      </w:r>
      <w:r w:rsidR="00C65467">
        <w:t xml:space="preserve">Less than 4 per cent of Australians employed full-time and </w:t>
      </w:r>
      <w:r w:rsidR="00AF4B1E">
        <w:t>5</w:t>
      </w:r>
      <w:r w:rsidR="00C65467">
        <w:t xml:space="preserve"> per cent of </w:t>
      </w:r>
      <w:r w:rsidR="00D00AAF">
        <w:t xml:space="preserve">Australians </w:t>
      </w:r>
      <w:r w:rsidR="00AF4B1E">
        <w:t>who were reliant on wages as their primary income source</w:t>
      </w:r>
      <w:r w:rsidR="00C65467">
        <w:t xml:space="preserve"> experienced </w:t>
      </w:r>
      <w:r w:rsidR="00103621">
        <w:t xml:space="preserve">relative </w:t>
      </w:r>
      <w:r w:rsidR="00C65467">
        <w:t>income poverty in 2010</w:t>
      </w:r>
      <w:r w:rsidR="00042F0F">
        <w:t xml:space="preserve">. </w:t>
      </w:r>
      <w:r w:rsidR="00D00AAF">
        <w:t>In contrast</w:t>
      </w:r>
      <w:r w:rsidR="003549DD">
        <w:t>,</w:t>
      </w:r>
      <w:r w:rsidR="00C65467">
        <w:t xml:space="preserve"> </w:t>
      </w:r>
      <w:r w:rsidR="00D00AAF">
        <w:t>almost two thirds of unemployed Australians experienced relative income poverty</w:t>
      </w:r>
      <w:r w:rsidR="00961E93">
        <w:t xml:space="preserve"> (table 1)</w:t>
      </w:r>
      <w:r w:rsidR="00C65467">
        <w:t xml:space="preserve">. </w:t>
      </w:r>
    </w:p>
    <w:p w:rsidR="00283A6C" w:rsidRDefault="00C65467" w:rsidP="00B517A1">
      <w:pPr>
        <w:pStyle w:val="BodyText"/>
      </w:pPr>
      <w:r>
        <w:t>International evidence shows that the majority of poverty spells end when the hous</w:t>
      </w:r>
      <w:r w:rsidR="00D00AAF">
        <w:t>ehold head’s earnings increase.</w:t>
      </w:r>
      <w:r w:rsidR="00896EEB">
        <w:t xml:space="preserve"> </w:t>
      </w:r>
      <w:r w:rsidR="00283A6C">
        <w:t xml:space="preserve">Importantly, economic growth and a strong macro environment translates into increased employment opportunities and incomes. </w:t>
      </w:r>
    </w:p>
    <w:p w:rsidR="00D00AAF" w:rsidRDefault="00F51D4C" w:rsidP="00F51D4C">
      <w:pPr>
        <w:pStyle w:val="BodyText"/>
      </w:pPr>
      <w:r>
        <w:t xml:space="preserve">But while </w:t>
      </w:r>
      <w:r w:rsidR="00D00AAF">
        <w:t xml:space="preserve">finding </w:t>
      </w:r>
      <w:r>
        <w:t xml:space="preserve">paid employment can </w:t>
      </w:r>
      <w:r w:rsidR="00D00AAF">
        <w:t>provide</w:t>
      </w:r>
      <w:r>
        <w:t xml:space="preserve"> a route out of a state of disadvantage</w:t>
      </w:r>
      <w:r w:rsidR="00D00AAF">
        <w:t xml:space="preserve"> for many Australians</w:t>
      </w:r>
      <w:r>
        <w:t xml:space="preserve">, it does not guarantee an absence of recurrent disadvantage. </w:t>
      </w:r>
      <w:r w:rsidR="0033674F">
        <w:t xml:space="preserve">Many </w:t>
      </w:r>
      <w:r w:rsidR="003F48FF">
        <w:t xml:space="preserve">less educated and </w:t>
      </w:r>
      <w:r w:rsidR="0033674F">
        <w:t xml:space="preserve">low skilled </w:t>
      </w:r>
      <w:r w:rsidR="003F48FF">
        <w:t xml:space="preserve">people are engaged in </w:t>
      </w:r>
      <w:r w:rsidR="0033674F">
        <w:t>temporary or casual</w:t>
      </w:r>
      <w:r w:rsidR="00D00AAF">
        <w:t xml:space="preserve"> work</w:t>
      </w:r>
      <w:r w:rsidR="003F48FF">
        <w:t>. C</w:t>
      </w:r>
      <w:r w:rsidR="0033674F">
        <w:t>asual workers are less likely to have regular hours of work</w:t>
      </w:r>
      <w:r w:rsidR="003F48FF">
        <w:t xml:space="preserve"> and as a consequence are more likely to experience variable earnings</w:t>
      </w:r>
      <w:r w:rsidR="00D00AAF">
        <w:t>.</w:t>
      </w:r>
    </w:p>
    <w:p w:rsidR="004D6436" w:rsidRDefault="00C65467" w:rsidP="00F51D4C">
      <w:pPr>
        <w:pStyle w:val="BodyText"/>
      </w:pPr>
      <w:r>
        <w:t xml:space="preserve">HILDA Survey data show that living in a job-poor household </w:t>
      </w:r>
      <w:r w:rsidR="003F48FF">
        <w:t xml:space="preserve">(where aggregate hours worked in a household </w:t>
      </w:r>
      <w:r w:rsidR="002A5DBD">
        <w:t xml:space="preserve">are </w:t>
      </w:r>
      <w:r w:rsidR="003F48FF">
        <w:t xml:space="preserve">less than 35 hours per week) </w:t>
      </w:r>
      <w:r>
        <w:t>is experienced by more Australians, and is more likely to be long term, than joblessness</w:t>
      </w:r>
      <w:r w:rsidR="00DA4723">
        <w:t xml:space="preserve"> (Melbourne Institute </w:t>
      </w:r>
      <w:proofErr w:type="spellStart"/>
      <w:r w:rsidR="00DA4723">
        <w:t>2012b</w:t>
      </w:r>
      <w:proofErr w:type="spellEnd"/>
      <w:r w:rsidR="00DA4723">
        <w:t>)</w:t>
      </w:r>
      <w:r>
        <w:t xml:space="preserve">. </w:t>
      </w:r>
    </w:p>
    <w:p w:rsidR="00F51D4C" w:rsidRDefault="00F51D4C" w:rsidP="00F51D4C">
      <w:pPr>
        <w:pStyle w:val="BodyText"/>
      </w:pPr>
      <w:r>
        <w:t xml:space="preserve">It is also important to recognise the limitations that some people face in relation to </w:t>
      </w:r>
      <w:r w:rsidR="00896EEB">
        <w:t xml:space="preserve">participating in paid work. People with poor health and disabilities can have more limited opportunities to engage in education, paid work and life in their local community. Others can face personal barriers (such as caring responsibilities or addictions). </w:t>
      </w:r>
    </w:p>
    <w:p w:rsidR="009E1844" w:rsidRPr="007612FD" w:rsidRDefault="00F51D4C" w:rsidP="007612FD">
      <w:pPr>
        <w:pStyle w:val="Heading3"/>
      </w:pPr>
      <w:r w:rsidRPr="007612FD">
        <w:lastRenderedPageBreak/>
        <w:t xml:space="preserve">Life events </w:t>
      </w:r>
    </w:p>
    <w:p w:rsidR="007612FD" w:rsidRDefault="007612FD" w:rsidP="007612FD">
      <w:pPr>
        <w:pStyle w:val="BodyText"/>
      </w:pPr>
      <w:r>
        <w:t xml:space="preserve">As discussed earlier, </w:t>
      </w:r>
      <w:r w:rsidR="00C65467">
        <w:t xml:space="preserve">people with long-term health conditions </w:t>
      </w:r>
      <w:r>
        <w:t xml:space="preserve">are more likely to experience deep and persistent disadvantage. Equally, disadvantage can lead to poor health. </w:t>
      </w:r>
      <w:r w:rsidR="001D5200">
        <w:t>The evidence shows a positive relationship between socioeconomic status and one’s health. H</w:t>
      </w:r>
      <w:r>
        <w:t xml:space="preserve">ousehold income, level of education, household employment, housing tenure, and social connectedness </w:t>
      </w:r>
      <w:r w:rsidR="00F247B2">
        <w:t xml:space="preserve">all </w:t>
      </w:r>
      <w:r w:rsidR="008A798C">
        <w:t xml:space="preserve">have a bearing on </w:t>
      </w:r>
      <w:r w:rsidR="001D5200">
        <w:t>health (Brown and Nepal 2010)</w:t>
      </w:r>
      <w:r>
        <w:t xml:space="preserve">. </w:t>
      </w:r>
    </w:p>
    <w:p w:rsidR="007612FD" w:rsidRDefault="007612FD" w:rsidP="007612FD">
      <w:pPr>
        <w:pStyle w:val="BodyText"/>
      </w:pPr>
      <w:r>
        <w:t>The onset of poor health</w:t>
      </w:r>
      <w:r w:rsidR="00C65467">
        <w:t xml:space="preserve">, </w:t>
      </w:r>
      <w:r w:rsidR="00F247B2">
        <w:t xml:space="preserve">or </w:t>
      </w:r>
      <w:r w:rsidR="00C65467">
        <w:t xml:space="preserve">an accident or illness </w:t>
      </w:r>
      <w:r w:rsidR="00F247B2">
        <w:t xml:space="preserve">which </w:t>
      </w:r>
      <w:r w:rsidR="00C65467">
        <w:t>result</w:t>
      </w:r>
      <w:r w:rsidR="00F247B2">
        <w:t xml:space="preserve">s </w:t>
      </w:r>
      <w:r w:rsidR="00C65467">
        <w:t>in disability,</w:t>
      </w:r>
      <w:r>
        <w:t xml:space="preserve"> can happen to anyone, regardless of education, employment or wealth</w:t>
      </w:r>
      <w:r w:rsidR="00C65467">
        <w:t>. Such events can be a trigger for disadvantage</w:t>
      </w:r>
      <w:r>
        <w:t xml:space="preserve">. The relative risk of disadvantage for this group is largely </w:t>
      </w:r>
      <w:r w:rsidR="00F247B2">
        <w:t xml:space="preserve">the result of </w:t>
      </w:r>
      <w:r>
        <w:t xml:space="preserve">the fact that people with poor health or disability (and their carers) are less likely to participate in the labour market (so have reduced income) and often have higher needs associated with their health conditions (medication, equipment or aids, specialised housing). </w:t>
      </w:r>
    </w:p>
    <w:p w:rsidR="007612FD" w:rsidRDefault="007612FD" w:rsidP="007612FD">
      <w:pPr>
        <w:pStyle w:val="BodyText"/>
      </w:pPr>
      <w:r>
        <w:t xml:space="preserve">Events such as relationship and family breakdowns or the death of a partner can </w:t>
      </w:r>
      <w:r w:rsidR="00D06BE2">
        <w:t xml:space="preserve">also </w:t>
      </w:r>
      <w:r>
        <w:t>trigger disadvantage</w:t>
      </w:r>
      <w:r w:rsidR="00C65467">
        <w:t xml:space="preserve"> (</w:t>
      </w:r>
      <w:r w:rsidR="00AA2EDE">
        <w:t>conversely</w:t>
      </w:r>
      <w:r w:rsidR="003C7645">
        <w:t>,</w:t>
      </w:r>
      <w:r w:rsidR="00AA2EDE">
        <w:t xml:space="preserve"> </w:t>
      </w:r>
      <w:r w:rsidR="00C65467">
        <w:t xml:space="preserve">the formation </w:t>
      </w:r>
      <w:r w:rsidR="00F247B2">
        <w:t xml:space="preserve">of </w:t>
      </w:r>
      <w:r w:rsidR="00C65467">
        <w:t xml:space="preserve">a relationship </w:t>
      </w:r>
      <w:r w:rsidR="00AA2EDE">
        <w:t xml:space="preserve">can </w:t>
      </w:r>
      <w:r w:rsidR="00C65467">
        <w:t>be a pathway out of disadvantage)</w:t>
      </w:r>
      <w:r>
        <w:t xml:space="preserve">. This is particularly the case when a key source of income is lost. </w:t>
      </w:r>
      <w:r w:rsidR="0033674F">
        <w:t xml:space="preserve">Relationship and family breakdowns are the leading trigger for the first instance of homelessness. </w:t>
      </w:r>
      <w:r>
        <w:t>Young people seeking assistance from specialist homelessness services commonly cite family breakdown and family violence as reasons for seeking help.</w:t>
      </w:r>
    </w:p>
    <w:p w:rsidR="0044207A" w:rsidRDefault="00992310" w:rsidP="0044207A">
      <w:pPr>
        <w:pStyle w:val="BodyText"/>
      </w:pPr>
      <w:r>
        <w:t xml:space="preserve">Lone parents have high rates of joblessness. Based on HILDA data, almost a half of all </w:t>
      </w:r>
      <w:r w:rsidR="0044207A">
        <w:t>children in lone</w:t>
      </w:r>
      <w:r w:rsidR="0044207A">
        <w:noBreakHyphen/>
        <w:t xml:space="preserve">parent households were in jobless households for three or more years and </w:t>
      </w:r>
      <w:r>
        <w:t xml:space="preserve">around a third </w:t>
      </w:r>
      <w:r w:rsidR="0044207A">
        <w:t>for more five or more years over the period 2001 to 20</w:t>
      </w:r>
      <w:r w:rsidR="00103621">
        <w:t xml:space="preserve">09 (Melbourne Institute </w:t>
      </w:r>
      <w:proofErr w:type="spellStart"/>
      <w:r w:rsidR="00103621">
        <w:t>2012b</w:t>
      </w:r>
      <w:proofErr w:type="spellEnd"/>
      <w:r w:rsidR="00103621">
        <w:t>).</w:t>
      </w:r>
    </w:p>
    <w:p w:rsidR="00F51D4C" w:rsidRDefault="00F33A80" w:rsidP="00120072">
      <w:pPr>
        <w:pStyle w:val="BodyText"/>
      </w:pPr>
      <w:r>
        <w:t>But beyond the obvious issue of financial resources, further research is needed to examine why some individuals and families are resilient, while others are vulnerable</w:t>
      </w:r>
      <w:r w:rsidR="0034690F">
        <w:t xml:space="preserve">. </w:t>
      </w:r>
    </w:p>
    <w:p w:rsidR="00F33A80" w:rsidRPr="00B6416E" w:rsidRDefault="00F33A80" w:rsidP="00F33A80">
      <w:pPr>
        <w:pStyle w:val="Heading2"/>
      </w:pPr>
      <w:r w:rsidRPr="00B6416E">
        <w:t xml:space="preserve">What are the costs of disadvantage and who bears them? </w:t>
      </w:r>
    </w:p>
    <w:p w:rsidR="00F33A80" w:rsidRDefault="00F33A80" w:rsidP="00F33A80">
      <w:pPr>
        <w:pStyle w:val="BodyText"/>
      </w:pPr>
      <w:r>
        <w:t>Disadvantage imposes costs on th</w:t>
      </w:r>
      <w:r w:rsidR="00F5338E">
        <w:t xml:space="preserve">e people </w:t>
      </w:r>
      <w:r>
        <w:t>who experience it</w:t>
      </w:r>
      <w:r w:rsidR="005E3C78">
        <w:t xml:space="preserve">, </w:t>
      </w:r>
      <w:r w:rsidR="00F5338E">
        <w:t xml:space="preserve">those close to them, </w:t>
      </w:r>
      <w:r>
        <w:t xml:space="preserve">and the broader community. </w:t>
      </w:r>
      <w:r w:rsidR="00F5338E">
        <w:t>T</w:t>
      </w:r>
      <w:r>
        <w:t>he cost of disadvantage</w:t>
      </w:r>
      <w:r w:rsidR="00F5338E">
        <w:t>, however,</w:t>
      </w:r>
      <w:r>
        <w:t xml:space="preserve"> is a difficult concept to define</w:t>
      </w:r>
      <w:r w:rsidR="005E3C78">
        <w:t xml:space="preserve">. It is also hard </w:t>
      </w:r>
      <w:r>
        <w:t xml:space="preserve">to estimate. While most people have a view of what is an ‘acceptable’ level of disadvantage (or ‘minimally tolerable life’), there is no consensus on what this is. </w:t>
      </w:r>
      <w:r w:rsidR="00D06BE2">
        <w:t xml:space="preserve">Also, </w:t>
      </w:r>
      <w:r>
        <w:t xml:space="preserve">it is not realistic to assume that the costs </w:t>
      </w:r>
      <w:r w:rsidR="00EB1D74">
        <w:t xml:space="preserve">of disadvantage </w:t>
      </w:r>
      <w:r>
        <w:t xml:space="preserve">can be reduced to zero. Many of the factors </w:t>
      </w:r>
      <w:r w:rsidR="0034690F">
        <w:t xml:space="preserve">contributing </w:t>
      </w:r>
      <w:r>
        <w:t xml:space="preserve">to </w:t>
      </w:r>
      <w:r>
        <w:lastRenderedPageBreak/>
        <w:t xml:space="preserve">disadvantage, such as poor health, remain </w:t>
      </w:r>
      <w:r w:rsidR="005E3C78">
        <w:t xml:space="preserve">to some extent </w:t>
      </w:r>
      <w:r w:rsidR="008274FF">
        <w:t xml:space="preserve">even </w:t>
      </w:r>
      <w:r>
        <w:t xml:space="preserve">with effective policies in place. </w:t>
      </w:r>
    </w:p>
    <w:p w:rsidR="00BC7D25" w:rsidRDefault="00230715" w:rsidP="00F33A80">
      <w:pPr>
        <w:pStyle w:val="BodyText"/>
      </w:pPr>
      <w:r>
        <w:t>T</w:t>
      </w:r>
      <w:r w:rsidR="00F33A80">
        <w:t xml:space="preserve">he cost of disadvantage should be defined in terms of avoidable costs — that is, the difference between actual and potential outcomes — a realistic counterfactual. </w:t>
      </w:r>
      <w:r w:rsidR="005E3C78">
        <w:t xml:space="preserve">Other </w:t>
      </w:r>
      <w:r w:rsidR="00F33A80">
        <w:t xml:space="preserve">steps in estimating costs </w:t>
      </w:r>
      <w:r w:rsidR="005E3C78">
        <w:t xml:space="preserve">include </w:t>
      </w:r>
      <w:r w:rsidR="00F33A80">
        <w:t>assign</w:t>
      </w:r>
      <w:r w:rsidR="005E3C78">
        <w:t xml:space="preserve">ing </w:t>
      </w:r>
      <w:r w:rsidR="00F33A80">
        <w:t>values to the gap between actual outcomes and potential outcomes over time</w:t>
      </w:r>
      <w:r w:rsidR="00BC7D25">
        <w:t xml:space="preserve"> (figure </w:t>
      </w:r>
      <w:r w:rsidR="00230B55">
        <w:t>6</w:t>
      </w:r>
      <w:r w:rsidR="00BC7D25">
        <w:t>)</w:t>
      </w:r>
      <w:r w:rsidR="00F33A80">
        <w:t xml:space="preserve">. </w:t>
      </w:r>
    </w:p>
    <w:p w:rsidR="00BC7D25" w:rsidRDefault="00BC7D25" w:rsidP="00BC7D25">
      <w:pPr>
        <w:pStyle w:val="FigureTitle"/>
      </w:pPr>
      <w:r>
        <w:rPr>
          <w:b w:val="0"/>
        </w:rPr>
        <w:t xml:space="preserve">Figure </w:t>
      </w:r>
      <w:bookmarkStart w:id="5" w:name="OLE_LINK3"/>
      <w:r>
        <w:rPr>
          <w:b w:val="0"/>
        </w:rPr>
        <w:fldChar w:fldCharType="begin"/>
      </w:r>
      <w:r>
        <w:rPr>
          <w:b w:val="0"/>
        </w:rPr>
        <w:instrText xml:space="preserve"> COMMENTS  \* MERGEFORMAT </w:instrText>
      </w:r>
      <w:r>
        <w:rPr>
          <w:b w:val="0"/>
        </w:rPr>
        <w:fldChar w:fldCharType="separate"/>
      </w:r>
      <w:r w:rsidR="00230B55">
        <w:rPr>
          <w:b w:val="0"/>
        </w:rPr>
        <w:t>6</w:t>
      </w:r>
      <w:r>
        <w:rPr>
          <w:b w:val="0"/>
        </w:rPr>
        <w:fldChar w:fldCharType="end"/>
      </w:r>
      <w:bookmarkEnd w:id="5"/>
      <w:r>
        <w:tab/>
        <w:t>Steps in estimating the avoidable costs of disadvantage</w:t>
      </w:r>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BC7D25" w:rsidTr="00BC7D25">
        <w:tc>
          <w:tcPr>
            <w:tcW w:w="8777" w:type="dxa"/>
          </w:tcPr>
          <w:p w:rsidR="00BC7D25" w:rsidRDefault="00BC7D25" w:rsidP="00BC7D25">
            <w:pPr>
              <w:pStyle w:val="Figure"/>
            </w:pPr>
            <w:r>
              <w:rPr>
                <w:noProof/>
              </w:rPr>
              <w:drawing>
                <wp:inline distT="0" distB="0" distL="0" distR="0" wp14:anchorId="57D222E0" wp14:editId="3390DFF7">
                  <wp:extent cx="5572760" cy="1785620"/>
                  <wp:effectExtent l="0" t="0" r="8890" b="5080"/>
                  <wp:docPr id="5" name="Picture 5" descr="The figure shows the various steps used in calculating avoidable costs of disadvantage which includes putting a value on the outcome gap for people experiencing avoidable disadvantage and multiplying that figure by the number of people experiencing this avoidable c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72760" cy="1785620"/>
                          </a:xfrm>
                          <a:prstGeom prst="rect">
                            <a:avLst/>
                          </a:prstGeom>
                          <a:noFill/>
                          <a:ln>
                            <a:noFill/>
                          </a:ln>
                        </pic:spPr>
                      </pic:pic>
                    </a:graphicData>
                  </a:graphic>
                </wp:inline>
              </w:drawing>
            </w:r>
          </w:p>
        </w:tc>
      </w:tr>
    </w:tbl>
    <w:p w:rsidR="00F33A80" w:rsidRDefault="00F33A80" w:rsidP="00F33A80">
      <w:pPr>
        <w:pStyle w:val="BodyText"/>
      </w:pPr>
      <w:r>
        <w:t xml:space="preserve">Categorising the outcomes </w:t>
      </w:r>
      <w:r w:rsidR="00F5338E">
        <w:t xml:space="preserve">of current or past disadvantage into those that </w:t>
      </w:r>
      <w:r>
        <w:t xml:space="preserve">impact on material living standards </w:t>
      </w:r>
      <w:r w:rsidR="00F5338E">
        <w:t xml:space="preserve">(economic costs) </w:t>
      </w:r>
      <w:r>
        <w:t>and those that impact on quality of life (</w:t>
      </w:r>
      <w:r w:rsidR="00F5338E">
        <w:t xml:space="preserve">social </w:t>
      </w:r>
      <w:r>
        <w:t>costs) is a useful approach to avoid double counting</w:t>
      </w:r>
      <w:r w:rsidR="00BC7D25">
        <w:t xml:space="preserve"> (figure </w:t>
      </w:r>
      <w:r w:rsidR="0034690F">
        <w:t>7</w:t>
      </w:r>
      <w:r w:rsidR="00BC7D25">
        <w:t>)</w:t>
      </w:r>
      <w:r w:rsidR="00B43627">
        <w:t xml:space="preserve">. </w:t>
      </w:r>
    </w:p>
    <w:p w:rsidR="008214DF" w:rsidRDefault="008214DF" w:rsidP="008214DF">
      <w:pPr>
        <w:pStyle w:val="FigureTitle"/>
      </w:pPr>
      <w:r>
        <w:rPr>
          <w:b w:val="0"/>
        </w:rPr>
        <w:lastRenderedPageBreak/>
        <w:t xml:space="preserve">Figure </w:t>
      </w:r>
      <w:bookmarkStart w:id="6" w:name="OLE_LINK10"/>
      <w:r w:rsidR="00230B55">
        <w:rPr>
          <w:b w:val="0"/>
        </w:rPr>
        <w:t>7</w:t>
      </w:r>
      <w:r>
        <w:rPr>
          <w:b w:val="0"/>
        </w:rPr>
        <w:fldChar w:fldCharType="begin"/>
      </w:r>
      <w:r>
        <w:rPr>
          <w:b w:val="0"/>
        </w:rPr>
        <w:instrText xml:space="preserve"> COMMENTS  \* MERGEFORMAT </w:instrText>
      </w:r>
      <w:r>
        <w:rPr>
          <w:b w:val="0"/>
        </w:rPr>
        <w:fldChar w:fldCharType="end"/>
      </w:r>
      <w:bookmarkEnd w:id="6"/>
      <w:r>
        <w:tab/>
        <w:t>One way of categorising the costs of disadvantage</w:t>
      </w:r>
      <w:proofErr w:type="spellStart"/>
      <w:r w:rsidR="00AA2EDE" w:rsidRPr="00AA2EDE">
        <w:rPr>
          <w:rStyle w:val="NoteLabel"/>
        </w:rPr>
        <w:t>ab</w:t>
      </w:r>
      <w:proofErr w:type="spellEnd"/>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8214DF" w:rsidTr="00F95156">
        <w:tc>
          <w:tcPr>
            <w:tcW w:w="8777" w:type="dxa"/>
          </w:tcPr>
          <w:p w:rsidR="008214DF" w:rsidRDefault="00841F0B" w:rsidP="009A6854">
            <w:pPr>
              <w:pStyle w:val="Figure"/>
            </w:pPr>
            <w:bookmarkStart w:id="7" w:name="_GoBack"/>
            <w:r>
              <w:rPr>
                <w:noProof/>
              </w:rPr>
              <w:drawing>
                <wp:inline distT="0" distB="0" distL="0" distR="0" wp14:anchorId="57ECD27B" wp14:editId="3353AB06">
                  <wp:extent cx="4304665" cy="3924935"/>
                  <wp:effectExtent l="0" t="0" r="0" b="0"/>
                  <wp:docPr id="9" name="Picture 9" descr="The figure provides a visual representation of the various costs of disadvantage including economic costs (expenditure on regrettables, deadweight loss associated with the distortionary effect of taxes on economic activity, economic spillovers and foregone employment income) and social costs (loss of quality of individuals experiencing disadvantage and the impact this has on the loss of quality of life for oth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l="7747" t="15573" r="15175" b="20465"/>
                          <a:stretch>
                            <a:fillRect/>
                          </a:stretch>
                        </pic:blipFill>
                        <pic:spPr bwMode="auto">
                          <a:xfrm>
                            <a:off x="0" y="0"/>
                            <a:ext cx="4304665" cy="3924935"/>
                          </a:xfrm>
                          <a:prstGeom prst="rect">
                            <a:avLst/>
                          </a:prstGeom>
                          <a:noFill/>
                          <a:ln>
                            <a:noFill/>
                          </a:ln>
                        </pic:spPr>
                      </pic:pic>
                    </a:graphicData>
                  </a:graphic>
                </wp:inline>
              </w:drawing>
            </w:r>
            <w:bookmarkEnd w:id="7"/>
          </w:p>
        </w:tc>
      </w:tr>
    </w:tbl>
    <w:p w:rsidR="00F247B2" w:rsidRPr="00F247B2" w:rsidRDefault="00AA2EDE" w:rsidP="00F247B2">
      <w:pPr>
        <w:pStyle w:val="Note"/>
        <w:rPr>
          <w:rStyle w:val="NoteLabel"/>
          <w:b w:val="0"/>
          <w:position w:val="0"/>
        </w:rPr>
      </w:pPr>
      <w:r>
        <w:rPr>
          <w:rStyle w:val="NoteLabel"/>
        </w:rPr>
        <w:t xml:space="preserve">a </w:t>
      </w:r>
      <w:proofErr w:type="spellStart"/>
      <w:r w:rsidR="00F247B2" w:rsidRPr="00F247B2">
        <w:rPr>
          <w:rStyle w:val="NoteLabel"/>
          <w:b w:val="0"/>
          <w:position w:val="0"/>
        </w:rPr>
        <w:t>QoL</w:t>
      </w:r>
      <w:proofErr w:type="spellEnd"/>
      <w:r w:rsidR="00F247B2" w:rsidRPr="00F247B2">
        <w:rPr>
          <w:rStyle w:val="NoteLabel"/>
          <w:b w:val="0"/>
          <w:position w:val="0"/>
        </w:rPr>
        <w:t xml:space="preserve"> – quality of life. </w:t>
      </w:r>
      <w:r>
        <w:rPr>
          <w:rStyle w:val="NoteLabel"/>
        </w:rPr>
        <w:t xml:space="preserve">b </w:t>
      </w:r>
      <w:proofErr w:type="spellStart"/>
      <w:r w:rsidR="00F247B2" w:rsidRPr="00F247B2">
        <w:rPr>
          <w:rStyle w:val="NoteLabel"/>
          <w:b w:val="0"/>
          <w:position w:val="0"/>
        </w:rPr>
        <w:t>SoL</w:t>
      </w:r>
      <w:proofErr w:type="spellEnd"/>
      <w:r w:rsidR="00F247B2" w:rsidRPr="00F247B2">
        <w:rPr>
          <w:rStyle w:val="NoteLabel"/>
          <w:b w:val="0"/>
          <w:position w:val="0"/>
        </w:rPr>
        <w:t xml:space="preserve"> – material standard of living. </w:t>
      </w:r>
    </w:p>
    <w:p w:rsidR="0054619C" w:rsidRDefault="0054619C" w:rsidP="0054619C">
      <w:pPr>
        <w:pStyle w:val="Heading3"/>
      </w:pPr>
      <w:r>
        <w:t xml:space="preserve">Costs of lower material living standards </w:t>
      </w:r>
    </w:p>
    <w:p w:rsidR="0054619C" w:rsidRDefault="0054619C" w:rsidP="0054619C">
      <w:pPr>
        <w:pStyle w:val="BodyText"/>
      </w:pPr>
      <w:r>
        <w:t>The economic costs of lower material living standards can be measured in terms of the opportunity costs of foregone employment income and expenditure on ‘</w:t>
      </w:r>
      <w:proofErr w:type="spellStart"/>
      <w:r>
        <w:t>regrettables</w:t>
      </w:r>
      <w:proofErr w:type="spellEnd"/>
      <w:r>
        <w:t>’ (expenses that in the absence of avoidable disadvantage would not be preferred).</w:t>
      </w:r>
    </w:p>
    <w:p w:rsidR="0054619C" w:rsidRDefault="0054619C" w:rsidP="0054619C">
      <w:pPr>
        <w:pStyle w:val="BodyText"/>
      </w:pPr>
      <w:r>
        <w:t xml:space="preserve">Foregone employment income can be due to lower labour force participation, higher un/underemployment and lower productivity (through lower human capital). There may also be dynamic effects to the extent that lower income and/or employment feed through to lower investment in (and generally a degradation of) human capital and physical capital over time. </w:t>
      </w:r>
    </w:p>
    <w:p w:rsidR="008839A7" w:rsidRDefault="0034690F" w:rsidP="0034690F">
      <w:pPr>
        <w:pStyle w:val="BodyText"/>
      </w:pPr>
      <w:r>
        <w:t xml:space="preserve">The economic cost of foregone employment income falls predominantly on those </w:t>
      </w:r>
      <w:r w:rsidR="008839A7">
        <w:t xml:space="preserve">people </w:t>
      </w:r>
      <w:r>
        <w:t xml:space="preserve">experiencing the disadvantage, although it is partly offset by transfers (a regrettable cost for those in the broader community). </w:t>
      </w:r>
    </w:p>
    <w:p w:rsidR="0034690F" w:rsidRDefault="0034690F" w:rsidP="0034690F">
      <w:pPr>
        <w:pStyle w:val="BodyText"/>
      </w:pPr>
      <w:r>
        <w:lastRenderedPageBreak/>
        <w:t>But there are also economic ‘</w:t>
      </w:r>
      <w:proofErr w:type="spellStart"/>
      <w:r>
        <w:t>spillovers</w:t>
      </w:r>
      <w:proofErr w:type="spellEnd"/>
      <w:r>
        <w:t xml:space="preserve">’ — lower economic production (Gross Domestic Product </w:t>
      </w:r>
      <w:r w:rsidR="003C7645">
        <w:t>(</w:t>
      </w:r>
      <w:r>
        <w:t>GDP)</w:t>
      </w:r>
      <w:r w:rsidR="00B61C4E">
        <w:t>)</w:t>
      </w:r>
      <w:r>
        <w:t xml:space="preserve"> to the extent to which disadvantage impacts on </w:t>
      </w:r>
      <w:r w:rsidRPr="00A72CA2">
        <w:rPr>
          <w:i/>
        </w:rPr>
        <w:t xml:space="preserve">other </w:t>
      </w:r>
      <w:r>
        <w:t xml:space="preserve">workers’ productivity and investment over time. In terms of measuring the overall effect of disadvantage on GDP, foregone employment income can be estimated, but economic </w:t>
      </w:r>
      <w:proofErr w:type="spellStart"/>
      <w:r>
        <w:t>spillovers</w:t>
      </w:r>
      <w:proofErr w:type="spellEnd"/>
      <w:r>
        <w:t xml:space="preserve"> are more difficult to measure. </w:t>
      </w:r>
    </w:p>
    <w:p w:rsidR="00D53F09" w:rsidRDefault="00D53F09" w:rsidP="00D53F09">
      <w:pPr>
        <w:pStyle w:val="BodyText"/>
      </w:pPr>
      <w:proofErr w:type="spellStart"/>
      <w:r>
        <w:t>Regrettables</w:t>
      </w:r>
      <w:proofErr w:type="spellEnd"/>
      <w:r>
        <w:t xml:space="preserve"> affect the allocation of expenditure more than the overall level of economic activity. For example, transfer payments, which are a </w:t>
      </w:r>
      <w:r w:rsidR="00AA2EDE">
        <w:t>significant</w:t>
      </w:r>
      <w:r>
        <w:t xml:space="preserve"> component of regrettable expenditure, substitute the </w:t>
      </w:r>
      <w:r w:rsidR="00B45A99">
        <w:t xml:space="preserve">forgone </w:t>
      </w:r>
      <w:r>
        <w:t xml:space="preserve">consumption (and savings) of those paying taxes with that of those who receive </w:t>
      </w:r>
      <w:r w:rsidR="00B45A99">
        <w:t xml:space="preserve">the </w:t>
      </w:r>
      <w:r>
        <w:t xml:space="preserve">transfers.  There is, however, a deadweight loss associated with raising tax revenue. This deadweight loss aside, the cost of regrettable expenditure is the lost opportunity </w:t>
      </w:r>
      <w:r w:rsidR="00B45A99">
        <w:t xml:space="preserve">for taxpayers </w:t>
      </w:r>
      <w:r>
        <w:t>to purchase a more preferred set of goods and services.</w:t>
      </w:r>
    </w:p>
    <w:p w:rsidR="00A476CD" w:rsidRDefault="00D53F09" w:rsidP="00D53F09">
      <w:pPr>
        <w:pStyle w:val="BodyText"/>
      </w:pPr>
      <w:r>
        <w:t xml:space="preserve">Not all public expenditure, notably that which prevents disadvantage (such as early intervention programs in education and health), should be regarded as a regrettable. In general, estimates of </w:t>
      </w:r>
      <w:proofErr w:type="spellStart"/>
      <w:r>
        <w:t>regrettables</w:t>
      </w:r>
      <w:proofErr w:type="spellEnd"/>
      <w:r>
        <w:t xml:space="preserve"> should be limited to those expenditures that could have been avoided if disadvantage had been prevented or reduced. </w:t>
      </w:r>
    </w:p>
    <w:p w:rsidR="00D53F09" w:rsidRDefault="00D53F09" w:rsidP="00D53F09">
      <w:pPr>
        <w:pStyle w:val="BodyText"/>
      </w:pPr>
      <w:r>
        <w:t>In making the case for investments to prevent disadvantage, however, the cost of achieving such a reduction needs to be compared to the benefits (measured as a reduction in the costs of disadvantage).</w:t>
      </w:r>
    </w:p>
    <w:p w:rsidR="00E52D58" w:rsidRDefault="00E52D58" w:rsidP="00E52D58">
      <w:pPr>
        <w:pStyle w:val="BodyText"/>
      </w:pPr>
      <w:r>
        <w:t xml:space="preserve">The fiscal cost of disadvantage largely depends on the level of public expenditure that addresses the consequences of the avoidable disadvantage, such as some public health, justice and welfare services. (It also depends on taxes that would have been levied on foregone employment income and economic </w:t>
      </w:r>
      <w:proofErr w:type="spellStart"/>
      <w:r>
        <w:t>spillovers</w:t>
      </w:r>
      <w:proofErr w:type="spellEnd"/>
      <w:r>
        <w:t>). The fiscal cost of disadvantage is a subset of the economic costs, and care is needed not to double count such costs.</w:t>
      </w:r>
    </w:p>
    <w:p w:rsidR="00B43627" w:rsidRDefault="00B43627" w:rsidP="00B43627">
      <w:pPr>
        <w:pStyle w:val="Heading3"/>
      </w:pPr>
      <w:r>
        <w:t xml:space="preserve">Costs from lower quality of life </w:t>
      </w:r>
    </w:p>
    <w:p w:rsidR="00E52D58" w:rsidRDefault="00E52D58" w:rsidP="00E52D58">
      <w:pPr>
        <w:pStyle w:val="BodyText"/>
      </w:pPr>
      <w:r>
        <w:t xml:space="preserve">Measuring the social costs from a lower quality of life is more challenging than measuring the economic costs. Many of these costs reflect personal values </w:t>
      </w:r>
      <w:r w:rsidR="00D53F09">
        <w:t xml:space="preserve">and expectations </w:t>
      </w:r>
      <w:r>
        <w:t xml:space="preserve">(and values can change as people adjust to their situation). </w:t>
      </w:r>
    </w:p>
    <w:p w:rsidR="00E52D58" w:rsidRDefault="00B43627" w:rsidP="00E52D58">
      <w:pPr>
        <w:pStyle w:val="BodyText"/>
      </w:pPr>
      <w:r>
        <w:t>Measures of subjective wellbeing are increasingly being used to estimate these costs. Lower life satisfaction can be the result of outcomes such as lower engagement in work and other meaningful activities, poorer health, poorer relationships and less control over personal circumstances.</w:t>
      </w:r>
      <w:r w:rsidR="00E52D58">
        <w:t xml:space="preserve"> These outcomes are more likely for people who are currently experiencing disadvantage (indeed they may be the source of the disadvantage), and for people who have experienced </w:t>
      </w:r>
      <w:r w:rsidR="00E52D58">
        <w:lastRenderedPageBreak/>
        <w:t>severe disadvantage in the past. A number of studies find that people experiencing these types of outcomes have significantly lower levels of life satisfaction or happiness.</w:t>
      </w:r>
    </w:p>
    <w:p w:rsidR="00E52D58" w:rsidRDefault="00E52D58" w:rsidP="00E52D58">
      <w:pPr>
        <w:pStyle w:val="BodyText"/>
      </w:pPr>
      <w:r>
        <w:t>For the broader community the social costs are likely to be lower</w:t>
      </w:r>
      <w:r w:rsidR="0044207A">
        <w:t>,</w:t>
      </w:r>
      <w:r>
        <w:t xml:space="preserve"> but there can still be ‘</w:t>
      </w:r>
      <w:proofErr w:type="spellStart"/>
      <w:r>
        <w:t>spillover</w:t>
      </w:r>
      <w:proofErr w:type="spellEnd"/>
      <w:r>
        <w:t>’ social effects. These result, for example, if disadvantage erodes social capital, if it affects the qualities of the neighbourhood in which people live, or other outcomes such as people’s perceptions of safety. To the extent to which the majority of the community prefer lower levels of disadvantage this can impose a social cost.</w:t>
      </w:r>
    </w:p>
    <w:p w:rsidR="00BE0B5A" w:rsidRDefault="00BE0B5A" w:rsidP="00E52D58">
      <w:pPr>
        <w:pStyle w:val="BodyText"/>
      </w:pPr>
      <w:r>
        <w:t>Estimates of the overall costs of disadvantage have very limited use (even if costs could be estimated with any confidence). What matters for policy is the extent to which policies can reduce these costs, relative to the cost of the policy.</w:t>
      </w:r>
    </w:p>
    <w:p w:rsidR="00F33A80" w:rsidRDefault="009E12D0" w:rsidP="009E12D0">
      <w:pPr>
        <w:pStyle w:val="Heading2"/>
      </w:pPr>
      <w:r>
        <w:t xml:space="preserve">Missing pieces of the puzzle </w:t>
      </w:r>
    </w:p>
    <w:p w:rsidR="009E12D0" w:rsidRDefault="00EC50A1" w:rsidP="009E12D0">
      <w:pPr>
        <w:pStyle w:val="BodyText"/>
      </w:pPr>
      <w:r>
        <w:t>K</w:t>
      </w:r>
      <w:r w:rsidR="009E12D0">
        <w:t xml:space="preserve">nowledge </w:t>
      </w:r>
      <w:r>
        <w:t xml:space="preserve">about </w:t>
      </w:r>
      <w:r w:rsidR="009E12D0">
        <w:t xml:space="preserve">disadvantage </w:t>
      </w:r>
      <w:r>
        <w:t xml:space="preserve">in Australia </w:t>
      </w:r>
      <w:r w:rsidR="009E12D0">
        <w:t xml:space="preserve">is thin in a number of areas. </w:t>
      </w:r>
    </w:p>
    <w:p w:rsidR="009E12D0" w:rsidRDefault="009E12D0" w:rsidP="009E12D0">
      <w:pPr>
        <w:pStyle w:val="BodyText"/>
      </w:pPr>
      <w:r>
        <w:t xml:space="preserve">Longitudinal data is critical to understanding </w:t>
      </w:r>
      <w:r w:rsidR="00A476CD">
        <w:t xml:space="preserve">the </w:t>
      </w:r>
      <w:r>
        <w:t>dynamics and causality</w:t>
      </w:r>
      <w:r w:rsidR="00A476CD">
        <w:t xml:space="preserve"> of disadvantage</w:t>
      </w:r>
      <w:r>
        <w:t xml:space="preserve">. But good data which follows people through the course of their lifetime and across generations takes a considerable time to amass. Longitudinal surveys </w:t>
      </w:r>
      <w:r w:rsidR="00CD621A">
        <w:t xml:space="preserve">are </w:t>
      </w:r>
      <w:r>
        <w:t>expensive to conduct. There are limited longitudinal data bases in Australia</w:t>
      </w:r>
      <w:r w:rsidR="00B2546F">
        <w:t xml:space="preserve"> and those that do exist have only been operating for a relatively short period of time</w:t>
      </w:r>
      <w:r>
        <w:t xml:space="preserve">. </w:t>
      </w:r>
    </w:p>
    <w:p w:rsidR="009E12D0" w:rsidRDefault="009E12D0" w:rsidP="009E12D0">
      <w:pPr>
        <w:pStyle w:val="BodyText"/>
      </w:pPr>
      <w:r>
        <w:t>Also, the most disadvantaged people are often not well represented in longitudinal studies. Some of the most vulnerable groups are excluded from such studies (such as the homeless)</w:t>
      </w:r>
      <w:r w:rsidR="00B2546F">
        <w:t xml:space="preserve">. Others are less likely to participate </w:t>
      </w:r>
      <w:r>
        <w:t xml:space="preserve">in longitudinal studies (for example, people with disabilities) and, if participating, </w:t>
      </w:r>
      <w:r w:rsidR="00B2546F">
        <w:t xml:space="preserve">are </w:t>
      </w:r>
      <w:r>
        <w:t xml:space="preserve">among the most likely to drop out of such </w:t>
      </w:r>
      <w:r w:rsidR="007115E8">
        <w:t xml:space="preserve">a </w:t>
      </w:r>
      <w:r>
        <w:t>sample over time</w:t>
      </w:r>
      <w:r w:rsidR="00B2546F">
        <w:t xml:space="preserve"> (such as the unemployed)</w:t>
      </w:r>
      <w:r>
        <w:t xml:space="preserve">. </w:t>
      </w:r>
    </w:p>
    <w:p w:rsidR="009E12D0" w:rsidRDefault="009E12D0" w:rsidP="009E12D0">
      <w:pPr>
        <w:pStyle w:val="BodyText"/>
      </w:pPr>
      <w:r>
        <w:t xml:space="preserve">The small sample sizes in most longitudinal collections, together with the small share of the population who experience deep and persistent disadvantage, means relatively few </w:t>
      </w:r>
      <w:r w:rsidR="00AA2EDE">
        <w:t xml:space="preserve">observations </w:t>
      </w:r>
      <w:r>
        <w:t xml:space="preserve">are available for analysis. This has important implications for the level of robustness of the inferences that can be </w:t>
      </w:r>
      <w:r w:rsidR="00A476CD">
        <w:t>drawn</w:t>
      </w:r>
      <w:r>
        <w:t xml:space="preserve">. Oversampling such groups is one option. Another is to conduct specialised surveys of ‘at risk’ groups. </w:t>
      </w:r>
    </w:p>
    <w:p w:rsidR="009E12D0" w:rsidRDefault="009E12D0" w:rsidP="009E12D0">
      <w:pPr>
        <w:pStyle w:val="BodyText"/>
      </w:pPr>
      <w:r>
        <w:t xml:space="preserve">Also, while it is known that resilience is important for breaking cycles of disadvantage, not </w:t>
      </w:r>
      <w:r w:rsidR="00CD621A">
        <w:t xml:space="preserve">much is </w:t>
      </w:r>
      <w:r>
        <w:t xml:space="preserve">known about the personal characteristics that make some people more driven to succeed and less likely to be knocked over by particular </w:t>
      </w:r>
      <w:r>
        <w:lastRenderedPageBreak/>
        <w:t>experiences. This necessitates not just datasets with details of people who are identified as disadvantaged, but those who, despite their risk factors, do not become disadvantaged. Insights in</w:t>
      </w:r>
      <w:r w:rsidR="00336BF0">
        <w:t>to</w:t>
      </w:r>
      <w:r>
        <w:t xml:space="preserve"> resilience </w:t>
      </w:r>
      <w:r w:rsidR="00EC50A1">
        <w:t xml:space="preserve">(and its relative importance) </w:t>
      </w:r>
      <w:r>
        <w:t xml:space="preserve">could also come from </w:t>
      </w:r>
      <w:r w:rsidR="00B5418B">
        <w:t xml:space="preserve">longitudinal </w:t>
      </w:r>
      <w:r>
        <w:t>qualitative research as it is ‘not bounded by predetermined questions’</w:t>
      </w:r>
      <w:r w:rsidR="00336BF0">
        <w:t>.</w:t>
      </w:r>
    </w:p>
    <w:p w:rsidR="00E52D58" w:rsidRDefault="009E12D0" w:rsidP="009E12D0">
      <w:pPr>
        <w:pStyle w:val="BodyText"/>
      </w:pPr>
      <w:r>
        <w:t xml:space="preserve">Administrative data </w:t>
      </w:r>
      <w:r w:rsidR="000F6B8D">
        <w:t xml:space="preserve">are </w:t>
      </w:r>
      <w:r w:rsidR="00336BF0">
        <w:t xml:space="preserve">significant </w:t>
      </w:r>
      <w:r>
        <w:t>potential data source</w:t>
      </w:r>
      <w:r w:rsidR="000F6B8D">
        <w:t>s</w:t>
      </w:r>
      <w:r>
        <w:t xml:space="preserve">. </w:t>
      </w:r>
      <w:r w:rsidR="00336BF0">
        <w:t xml:space="preserve">And while </w:t>
      </w:r>
      <w:r w:rsidR="00E52D58">
        <w:t xml:space="preserve">such datasets </w:t>
      </w:r>
      <w:r>
        <w:t xml:space="preserve">typically do not provide information on </w:t>
      </w:r>
      <w:r w:rsidR="00B2546F">
        <w:t xml:space="preserve">experiences of </w:t>
      </w:r>
      <w:r>
        <w:t>people once they no longer access particular government services</w:t>
      </w:r>
      <w:r w:rsidR="00336BF0">
        <w:t>, some benefits are accessed by families over a long period</w:t>
      </w:r>
      <w:r>
        <w:t xml:space="preserve">. </w:t>
      </w:r>
      <w:r w:rsidR="00E52D58">
        <w:t xml:space="preserve">Linking of administrative datasets also offers the potential to track people over longer periods of time. </w:t>
      </w:r>
    </w:p>
    <w:p w:rsidR="00E52D58" w:rsidRDefault="00E52D58" w:rsidP="009E12D0">
      <w:pPr>
        <w:pStyle w:val="BodyText"/>
      </w:pPr>
      <w:r>
        <w:t xml:space="preserve">In addition, while the data collected </w:t>
      </w:r>
      <w:r w:rsidR="00F55763">
        <w:t>are</w:t>
      </w:r>
      <w:r>
        <w:t xml:space="preserve"> largely limited to administrative needs, the addition of a small number of new data items, or linking to Census and survey data, offer</w:t>
      </w:r>
      <w:r w:rsidR="00F55763">
        <w:t>s</w:t>
      </w:r>
      <w:r>
        <w:t xml:space="preserve"> considerable po</w:t>
      </w:r>
      <w:r w:rsidR="00B2546F">
        <w:t xml:space="preserve">tential </w:t>
      </w:r>
      <w:r>
        <w:t>for expanding the usefulness of administrative data.</w:t>
      </w:r>
    </w:p>
    <w:p w:rsidR="009E12D0" w:rsidRDefault="00336BF0" w:rsidP="009E12D0">
      <w:pPr>
        <w:pStyle w:val="BodyText"/>
      </w:pPr>
      <w:r>
        <w:t>P</w:t>
      </w:r>
      <w:r w:rsidR="009E12D0">
        <w:t xml:space="preserve">rivacy </w:t>
      </w:r>
      <w:r>
        <w:t xml:space="preserve">policies </w:t>
      </w:r>
      <w:r w:rsidR="00434ED8">
        <w:t xml:space="preserve">by necessity </w:t>
      </w:r>
      <w:r w:rsidR="009E12D0">
        <w:t>limit data a</w:t>
      </w:r>
      <w:r>
        <w:t>ccessibility</w:t>
      </w:r>
      <w:r w:rsidR="00434ED8">
        <w:t xml:space="preserve">, but </w:t>
      </w:r>
      <w:r w:rsidR="0044207A">
        <w:t xml:space="preserve">the ability </w:t>
      </w:r>
      <w:r w:rsidR="00434ED8">
        <w:t xml:space="preserve">to </w:t>
      </w:r>
      <w:proofErr w:type="spellStart"/>
      <w:r w:rsidR="00434ED8">
        <w:t>confidentiali</w:t>
      </w:r>
      <w:r w:rsidR="00F55763">
        <w:t>s</w:t>
      </w:r>
      <w:r w:rsidR="00434ED8">
        <w:t>e</w:t>
      </w:r>
      <w:proofErr w:type="spellEnd"/>
      <w:r w:rsidR="00434ED8">
        <w:t xml:space="preserve"> data, and apply confidentiality at the output rather than the input stage of analysis, </w:t>
      </w:r>
      <w:r w:rsidR="0044207A">
        <w:t xml:space="preserve">has been expanding. This </w:t>
      </w:r>
      <w:r w:rsidR="00434ED8">
        <w:t>greatly enhance</w:t>
      </w:r>
      <w:r w:rsidR="0044207A">
        <w:t>s</w:t>
      </w:r>
      <w:r w:rsidR="00434ED8">
        <w:t xml:space="preserve"> the scope to utilise administrative data to evaluate the effectiveness of policies and programs in preventing disadvantage or reducing the costs </w:t>
      </w:r>
      <w:r w:rsidR="00534A9C">
        <w:t>it imposes.</w:t>
      </w:r>
    </w:p>
    <w:p w:rsidR="00F056FC" w:rsidRDefault="009E12D0" w:rsidP="00120072">
      <w:pPr>
        <w:pStyle w:val="BodyText"/>
      </w:pPr>
      <w:r>
        <w:t>The integration of administrati</w:t>
      </w:r>
      <w:r w:rsidR="0044207A">
        <w:t>ve</w:t>
      </w:r>
      <w:r>
        <w:t xml:space="preserve"> data with other data sources has the potential to provide new </w:t>
      </w:r>
      <w:r w:rsidR="000F6B8D">
        <w:t xml:space="preserve">insights </w:t>
      </w:r>
      <w:r>
        <w:t>to inform researchers and policy makers about de</w:t>
      </w:r>
      <w:r w:rsidR="00534A9C">
        <w:t>ep and persistent disadvantage.</w:t>
      </w:r>
    </w:p>
    <w:sectPr w:rsidR="00F056FC" w:rsidSect="00F23013">
      <w:headerReference w:type="even" r:id="rId18"/>
      <w:headerReference w:type="default" r:id="rId19"/>
      <w:footerReference w:type="even" r:id="rId20"/>
      <w:footerReference w:type="default" r:id="rId21"/>
      <w:pgSz w:w="11907" w:h="16840" w:code="9"/>
      <w:pgMar w:top="1984" w:right="1304" w:bottom="1417" w:left="1814" w:header="1701" w:footer="567" w:gutter="0"/>
      <w:pgNumType w:start="1" w:chapStyle="1" w:chapSep="period"/>
      <w:cols w:space="720"/>
      <w:titlePg/>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5131" w:rsidRDefault="00CC5131">
      <w:r>
        <w:separator/>
      </w:r>
    </w:p>
  </w:endnote>
  <w:endnote w:type="continuationSeparator" w:id="0">
    <w:p w:rsidR="00CC5131" w:rsidRDefault="00CC5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DIN-Regular">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CC5131">
      <w:trPr>
        <w:trHeight w:hRule="exact" w:val="740"/>
      </w:trPr>
      <w:tc>
        <w:tcPr>
          <w:tcW w:w="510" w:type="dxa"/>
          <w:tcBorders>
            <w:top w:val="single" w:sz="6" w:space="0" w:color="auto"/>
          </w:tcBorders>
        </w:tcPr>
        <w:p w:rsidR="00CC5131" w:rsidRDefault="00CC5131" w:rsidP="0019293B">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122797">
            <w:rPr>
              <w:rStyle w:val="PageNumber"/>
              <w:noProof/>
            </w:rPr>
            <w:t>22</w:t>
          </w:r>
          <w:r>
            <w:rPr>
              <w:rStyle w:val="PageNumber"/>
            </w:rPr>
            <w:fldChar w:fldCharType="end"/>
          </w:r>
        </w:p>
      </w:tc>
      <w:tc>
        <w:tcPr>
          <w:tcW w:w="1644" w:type="dxa"/>
          <w:tcBorders>
            <w:top w:val="single" w:sz="6" w:space="0" w:color="auto"/>
          </w:tcBorders>
        </w:tcPr>
        <w:p w:rsidR="00CC5131" w:rsidRDefault="00122797" w:rsidP="0019293B">
          <w:pPr>
            <w:pStyle w:val="Footer"/>
          </w:pPr>
          <w:r>
            <w:fldChar w:fldCharType="begin"/>
          </w:r>
          <w:r>
            <w:instrText xml:space="preserve"> SUBJECT  \* MERGEFORMAT </w:instrText>
          </w:r>
          <w:r>
            <w:fldChar w:fldCharType="separate"/>
          </w:r>
          <w:r w:rsidR="00AB68D0">
            <w:t>Deep and persistent disadvantage</w:t>
          </w:r>
          <w:r>
            <w:fldChar w:fldCharType="end"/>
          </w:r>
        </w:p>
      </w:tc>
      <w:tc>
        <w:tcPr>
          <w:tcW w:w="6634" w:type="dxa"/>
        </w:tcPr>
        <w:p w:rsidR="00CC5131" w:rsidRDefault="00CC5131" w:rsidP="0019293B">
          <w:pPr>
            <w:pStyle w:val="Footer"/>
          </w:pPr>
        </w:p>
      </w:tc>
    </w:tr>
  </w:tbl>
  <w:p w:rsidR="00CC5131" w:rsidRDefault="00CC5131" w:rsidP="0019293B">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CC5131">
      <w:trPr>
        <w:trHeight w:hRule="exact" w:val="740"/>
      </w:trPr>
      <w:tc>
        <w:tcPr>
          <w:tcW w:w="6634" w:type="dxa"/>
        </w:tcPr>
        <w:p w:rsidR="00CC5131" w:rsidRDefault="00CC5131">
          <w:pPr>
            <w:pStyle w:val="Footer"/>
            <w:ind w:right="360" w:firstLine="360"/>
          </w:pPr>
        </w:p>
      </w:tc>
      <w:tc>
        <w:tcPr>
          <w:tcW w:w="1644" w:type="dxa"/>
          <w:tcBorders>
            <w:top w:val="single" w:sz="6" w:space="0" w:color="auto"/>
          </w:tcBorders>
        </w:tcPr>
        <w:p w:rsidR="00CC5131" w:rsidRDefault="00122797">
          <w:pPr>
            <w:pStyle w:val="Footer"/>
          </w:pPr>
          <w:r>
            <w:fldChar w:fldCharType="begin"/>
          </w:r>
          <w:r>
            <w:instrText xml:space="preserve"> TITLE  \* MERGEFORMAT </w:instrText>
          </w:r>
          <w:r>
            <w:fldChar w:fldCharType="separate"/>
          </w:r>
          <w:r w:rsidR="00AB68D0">
            <w:t>Overview</w:t>
          </w:r>
          <w:r>
            <w:fldChar w:fldCharType="end"/>
          </w:r>
        </w:p>
      </w:tc>
      <w:tc>
        <w:tcPr>
          <w:tcW w:w="510" w:type="dxa"/>
          <w:tcBorders>
            <w:top w:val="single" w:sz="6" w:space="0" w:color="auto"/>
          </w:tcBorders>
        </w:tcPr>
        <w:p w:rsidR="00CC5131" w:rsidRDefault="00CC5131">
          <w:pPr>
            <w:pStyle w:val="Footer"/>
            <w:jc w:val="right"/>
          </w:pPr>
          <w:r>
            <w:rPr>
              <w:rStyle w:val="PageNumber"/>
            </w:rPr>
            <w:fldChar w:fldCharType="begin"/>
          </w:r>
          <w:r>
            <w:rPr>
              <w:rStyle w:val="PageNumber"/>
            </w:rPr>
            <w:instrText xml:space="preserve">PAGE  </w:instrText>
          </w:r>
          <w:r>
            <w:rPr>
              <w:rStyle w:val="PageNumber"/>
            </w:rPr>
            <w:fldChar w:fldCharType="separate"/>
          </w:r>
          <w:r w:rsidR="00122797">
            <w:rPr>
              <w:rStyle w:val="PageNumber"/>
              <w:noProof/>
            </w:rPr>
            <w:t>23</w:t>
          </w:r>
          <w:r>
            <w:rPr>
              <w:rStyle w:val="PageNumber"/>
            </w:rPr>
            <w:fldChar w:fldCharType="end"/>
          </w:r>
        </w:p>
      </w:tc>
    </w:tr>
  </w:tbl>
  <w:p w:rsidR="00CC5131" w:rsidRDefault="00CC5131">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5131" w:rsidRDefault="00CC5131">
      <w:r>
        <w:separator/>
      </w:r>
    </w:p>
  </w:footnote>
  <w:footnote w:type="continuationSeparator" w:id="0">
    <w:p w:rsidR="00CC5131" w:rsidRDefault="00CC51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CC5131">
      <w:tc>
        <w:tcPr>
          <w:tcW w:w="2155" w:type="dxa"/>
          <w:tcBorders>
            <w:top w:val="single" w:sz="24" w:space="0" w:color="auto"/>
          </w:tcBorders>
        </w:tcPr>
        <w:p w:rsidR="00CC5131" w:rsidRDefault="00CC5131" w:rsidP="0019293B">
          <w:pPr>
            <w:pStyle w:val="HeaderEven"/>
          </w:pPr>
        </w:p>
      </w:tc>
      <w:tc>
        <w:tcPr>
          <w:tcW w:w="6634" w:type="dxa"/>
          <w:tcBorders>
            <w:top w:val="single" w:sz="6" w:space="0" w:color="auto"/>
          </w:tcBorders>
        </w:tcPr>
        <w:p w:rsidR="00CC5131" w:rsidRDefault="00CC5131" w:rsidP="0019293B">
          <w:pPr>
            <w:pStyle w:val="HeaderEven"/>
          </w:pPr>
        </w:p>
      </w:tc>
    </w:tr>
  </w:tbl>
  <w:p w:rsidR="00CC5131" w:rsidRDefault="00CC5131" w:rsidP="0019293B">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CC5131">
      <w:tc>
        <w:tcPr>
          <w:tcW w:w="6634" w:type="dxa"/>
          <w:tcBorders>
            <w:top w:val="single" w:sz="6" w:space="0" w:color="auto"/>
          </w:tcBorders>
        </w:tcPr>
        <w:p w:rsidR="00CC5131" w:rsidRDefault="00CC5131" w:rsidP="00E669E2">
          <w:pPr>
            <w:pStyle w:val="HeaderOdd"/>
          </w:pPr>
        </w:p>
      </w:tc>
      <w:tc>
        <w:tcPr>
          <w:tcW w:w="2155" w:type="dxa"/>
          <w:tcBorders>
            <w:top w:val="single" w:sz="24" w:space="0" w:color="auto"/>
          </w:tcBorders>
        </w:tcPr>
        <w:p w:rsidR="00CC5131" w:rsidRDefault="00CC5131" w:rsidP="00E669E2">
          <w:pPr>
            <w:pStyle w:val="HeaderOdd"/>
          </w:pPr>
        </w:p>
      </w:tc>
    </w:tr>
  </w:tbl>
  <w:p w:rsidR="00CC5131" w:rsidRDefault="00CC5131" w:rsidP="00E669E2">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ED98921A"/>
    <w:lvl w:ilvl="0">
      <w:start w:val="1"/>
      <w:numFmt w:val="decimal"/>
      <w:lvlText w:val="%1."/>
      <w:lvlJc w:val="left"/>
      <w:pPr>
        <w:tabs>
          <w:tab w:val="num" w:pos="926"/>
        </w:tabs>
        <w:ind w:left="926" w:hanging="360"/>
      </w:pPr>
    </w:lvl>
  </w:abstractNum>
  <w:abstractNum w:abstractNumId="1">
    <w:nsid w:val="FFFFFF7F"/>
    <w:multiLevelType w:val="singleLevel"/>
    <w:tmpl w:val="69042E6A"/>
    <w:lvl w:ilvl="0">
      <w:start w:val="1"/>
      <w:numFmt w:val="decimal"/>
      <w:lvlText w:val="%1."/>
      <w:lvlJc w:val="left"/>
      <w:pPr>
        <w:tabs>
          <w:tab w:val="num" w:pos="643"/>
        </w:tabs>
        <w:ind w:left="643" w:hanging="360"/>
      </w:pPr>
    </w:lvl>
  </w:abstractNum>
  <w:abstractNum w:abstractNumId="2">
    <w:nsid w:val="FFFFFF82"/>
    <w:multiLevelType w:val="singleLevel"/>
    <w:tmpl w:val="3A3A2F0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0BA2943E"/>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93104AE2"/>
    <w:lvl w:ilvl="0">
      <w:start w:val="1"/>
      <w:numFmt w:val="decimal"/>
      <w:lvlText w:val="%1."/>
      <w:lvlJc w:val="left"/>
      <w:pPr>
        <w:tabs>
          <w:tab w:val="num" w:pos="360"/>
        </w:tabs>
        <w:ind w:left="360" w:hanging="360"/>
      </w:pPr>
    </w:lvl>
  </w:abstractNum>
  <w:abstractNum w:abstractNumId="5">
    <w:nsid w:val="FFFFFF89"/>
    <w:multiLevelType w:val="singleLevel"/>
    <w:tmpl w:val="0F36FBA8"/>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nsid w:val="033F2413"/>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10">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11">
    <w:nsid w:val="06791123"/>
    <w:multiLevelType w:val="hybridMultilevel"/>
    <w:tmpl w:val="5F14156E"/>
    <w:lvl w:ilvl="0" w:tplc="2BD04F64">
      <w:numFmt w:val="bullet"/>
      <w:lvlText w:val=""/>
      <w:lvlJc w:val="left"/>
      <w:pPr>
        <w:ind w:left="1004" w:hanging="360"/>
      </w:pPr>
      <w:rPr>
        <w:rFonts w:ascii="MT Extra" w:hAnsi="MT Extra" w:cs="Times New Roman"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2">
    <w:nsid w:val="07057F34"/>
    <w:multiLevelType w:val="singleLevel"/>
    <w:tmpl w:val="ED98921A"/>
    <w:lvl w:ilvl="0">
      <w:start w:val="1"/>
      <w:numFmt w:val="decimal"/>
      <w:lvlText w:val="%1."/>
      <w:legacy w:legacy="1" w:legacySpace="0" w:legacyIndent="340"/>
      <w:lvlJc w:val="left"/>
      <w:pPr>
        <w:ind w:left="340" w:hanging="340"/>
      </w:pPr>
    </w:lvl>
  </w:abstractNum>
  <w:abstractNum w:abstractNumId="13">
    <w:nsid w:val="07405C8A"/>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7">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18">
    <w:nsid w:val="255A227B"/>
    <w:multiLevelType w:val="hybridMultilevel"/>
    <w:tmpl w:val="E13A24C4"/>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9">
    <w:nsid w:val="27371796"/>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21">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22">
    <w:nsid w:val="39C335C1"/>
    <w:multiLevelType w:val="multilevel"/>
    <w:tmpl w:val="7DF6C670"/>
    <w:lvl w:ilvl="0">
      <w:start w:val="1"/>
      <w:numFmt w:val="decimal"/>
      <w:lvlText w:val="%1)"/>
      <w:lvlJc w:val="left"/>
      <w:pPr>
        <w:tabs>
          <w:tab w:val="num" w:pos="1134"/>
        </w:tabs>
        <w:ind w:left="1134" w:hanging="340"/>
      </w:pPr>
      <w:rPr>
        <w:rFonts w:hint="default"/>
      </w:rPr>
    </w:lvl>
    <w:lvl w:ilvl="1">
      <w:start w:val="1"/>
      <w:numFmt w:val="lowerLetter"/>
      <w:lvlText w:val="%2)"/>
      <w:lvlJc w:val="left"/>
      <w:pPr>
        <w:tabs>
          <w:tab w:val="num" w:pos="1588"/>
        </w:tabs>
        <w:ind w:left="1588" w:hanging="454"/>
      </w:pPr>
      <w:rPr>
        <w:rFonts w:hint="default"/>
      </w:rPr>
    </w:lvl>
    <w:lvl w:ilvl="2">
      <w:start w:val="1"/>
      <w:numFmt w:val="lowerRoman"/>
      <w:lvlText w:val="%3)"/>
      <w:lvlJc w:val="left"/>
      <w:pPr>
        <w:tabs>
          <w:tab w:val="num" w:pos="2098"/>
        </w:tabs>
        <w:ind w:left="2098" w:hanging="51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23">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4D212809"/>
    <w:multiLevelType w:val="hybridMultilevel"/>
    <w:tmpl w:val="01EE78F8"/>
    <w:lvl w:ilvl="0" w:tplc="FEF0DFD2">
      <w:start w:val="1"/>
      <w:numFmt w:val="bullet"/>
      <w:lvlText w:val="–"/>
      <w:lvlJc w:val="left"/>
      <w:pPr>
        <w:ind w:left="700" w:hanging="360"/>
      </w:pPr>
      <w:rPr>
        <w:rFonts w:ascii="Times New Roman" w:hAnsi="Times New Roman" w:cs="Times New Roman" w:hint="default"/>
        <w:b w:val="0"/>
        <w:i w:val="0"/>
        <w:sz w:val="18"/>
      </w:rPr>
    </w:lvl>
    <w:lvl w:ilvl="1" w:tplc="0C090003" w:tentative="1">
      <w:start w:val="1"/>
      <w:numFmt w:val="bullet"/>
      <w:lvlText w:val="o"/>
      <w:lvlJc w:val="left"/>
      <w:pPr>
        <w:ind w:left="1780" w:hanging="360"/>
      </w:pPr>
      <w:rPr>
        <w:rFonts w:ascii="Courier New" w:hAnsi="Courier New" w:cs="Courier New" w:hint="default"/>
      </w:rPr>
    </w:lvl>
    <w:lvl w:ilvl="2" w:tplc="0C090005" w:tentative="1">
      <w:start w:val="1"/>
      <w:numFmt w:val="bullet"/>
      <w:lvlText w:val=""/>
      <w:lvlJc w:val="left"/>
      <w:pPr>
        <w:ind w:left="2500" w:hanging="360"/>
      </w:pPr>
      <w:rPr>
        <w:rFonts w:ascii="Wingdings" w:hAnsi="Wingdings" w:hint="default"/>
      </w:rPr>
    </w:lvl>
    <w:lvl w:ilvl="3" w:tplc="0C090001" w:tentative="1">
      <w:start w:val="1"/>
      <w:numFmt w:val="bullet"/>
      <w:lvlText w:val=""/>
      <w:lvlJc w:val="left"/>
      <w:pPr>
        <w:ind w:left="3220" w:hanging="360"/>
      </w:pPr>
      <w:rPr>
        <w:rFonts w:ascii="Symbol" w:hAnsi="Symbol" w:hint="default"/>
      </w:rPr>
    </w:lvl>
    <w:lvl w:ilvl="4" w:tplc="0C090003" w:tentative="1">
      <w:start w:val="1"/>
      <w:numFmt w:val="bullet"/>
      <w:lvlText w:val="o"/>
      <w:lvlJc w:val="left"/>
      <w:pPr>
        <w:ind w:left="3940" w:hanging="360"/>
      </w:pPr>
      <w:rPr>
        <w:rFonts w:ascii="Courier New" w:hAnsi="Courier New" w:cs="Courier New" w:hint="default"/>
      </w:rPr>
    </w:lvl>
    <w:lvl w:ilvl="5" w:tplc="0C090005" w:tentative="1">
      <w:start w:val="1"/>
      <w:numFmt w:val="bullet"/>
      <w:lvlText w:val=""/>
      <w:lvlJc w:val="left"/>
      <w:pPr>
        <w:ind w:left="4660" w:hanging="360"/>
      </w:pPr>
      <w:rPr>
        <w:rFonts w:ascii="Wingdings" w:hAnsi="Wingdings" w:hint="default"/>
      </w:rPr>
    </w:lvl>
    <w:lvl w:ilvl="6" w:tplc="0C090001" w:tentative="1">
      <w:start w:val="1"/>
      <w:numFmt w:val="bullet"/>
      <w:lvlText w:val=""/>
      <w:lvlJc w:val="left"/>
      <w:pPr>
        <w:ind w:left="5380" w:hanging="360"/>
      </w:pPr>
      <w:rPr>
        <w:rFonts w:ascii="Symbol" w:hAnsi="Symbol" w:hint="default"/>
      </w:rPr>
    </w:lvl>
    <w:lvl w:ilvl="7" w:tplc="0C090003" w:tentative="1">
      <w:start w:val="1"/>
      <w:numFmt w:val="bullet"/>
      <w:lvlText w:val="o"/>
      <w:lvlJc w:val="left"/>
      <w:pPr>
        <w:ind w:left="6100" w:hanging="360"/>
      </w:pPr>
      <w:rPr>
        <w:rFonts w:ascii="Courier New" w:hAnsi="Courier New" w:cs="Courier New" w:hint="default"/>
      </w:rPr>
    </w:lvl>
    <w:lvl w:ilvl="8" w:tplc="0C090005" w:tentative="1">
      <w:start w:val="1"/>
      <w:numFmt w:val="bullet"/>
      <w:lvlText w:val=""/>
      <w:lvlJc w:val="left"/>
      <w:pPr>
        <w:ind w:left="6820" w:hanging="360"/>
      </w:pPr>
      <w:rPr>
        <w:rFonts w:ascii="Wingdings" w:hAnsi="Wingdings" w:hint="default"/>
      </w:rPr>
    </w:lvl>
  </w:abstractNum>
  <w:abstractNum w:abstractNumId="25">
    <w:nsid w:val="51F74561"/>
    <w:multiLevelType w:val="singleLevel"/>
    <w:tmpl w:val="ED98921A"/>
    <w:lvl w:ilvl="0">
      <w:start w:val="1"/>
      <w:numFmt w:val="decimal"/>
      <w:lvlText w:val="%1."/>
      <w:legacy w:legacy="1" w:legacySpace="0" w:legacyIndent="340"/>
      <w:lvlJc w:val="left"/>
      <w:pPr>
        <w:ind w:left="340" w:hanging="340"/>
      </w:pPr>
    </w:lvl>
  </w:abstractNum>
  <w:abstractNum w:abstractNumId="26">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27">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28">
    <w:nsid w:val="55532592"/>
    <w:multiLevelType w:val="singleLevel"/>
    <w:tmpl w:val="AD60D3B8"/>
    <w:lvl w:ilvl="0">
      <w:start w:val="1"/>
      <w:numFmt w:val="lowerLetter"/>
      <w:lvlText w:val="(%1)"/>
      <w:legacy w:legacy="1" w:legacySpace="0" w:legacyIndent="340"/>
      <w:lvlJc w:val="left"/>
      <w:pPr>
        <w:ind w:left="680" w:hanging="340"/>
      </w:pPr>
    </w:lvl>
  </w:abstractNum>
  <w:abstractNum w:abstractNumId="29">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30">
    <w:nsid w:val="58A04AF2"/>
    <w:multiLevelType w:val="singleLevel"/>
    <w:tmpl w:val="E9806908"/>
    <w:lvl w:ilvl="0">
      <w:start w:val="1"/>
      <w:numFmt w:val="lowerRoman"/>
      <w:lvlText w:val="(%1)"/>
      <w:legacy w:legacy="1" w:legacySpace="0" w:legacyIndent="340"/>
      <w:lvlJc w:val="left"/>
      <w:pPr>
        <w:ind w:left="1134" w:hanging="340"/>
      </w:pPr>
    </w:lvl>
  </w:abstractNum>
  <w:abstractNum w:abstractNumId="31">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32">
    <w:nsid w:val="5A096576"/>
    <w:multiLevelType w:val="singleLevel"/>
    <w:tmpl w:val="ED98921A"/>
    <w:lvl w:ilvl="0">
      <w:start w:val="1"/>
      <w:numFmt w:val="decimal"/>
      <w:lvlText w:val="%1."/>
      <w:legacy w:legacy="1" w:legacySpace="0" w:legacyIndent="340"/>
      <w:lvlJc w:val="left"/>
      <w:pPr>
        <w:ind w:left="340" w:hanging="340"/>
      </w:pPr>
    </w:lvl>
  </w:abstractNum>
  <w:abstractNum w:abstractNumId="33">
    <w:nsid w:val="5BB56A48"/>
    <w:multiLevelType w:val="multilevel"/>
    <w:tmpl w:val="6D248CEA"/>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nsid w:val="60055F7F"/>
    <w:multiLevelType w:val="singleLevel"/>
    <w:tmpl w:val="ED98921A"/>
    <w:lvl w:ilvl="0">
      <w:start w:val="1"/>
      <w:numFmt w:val="decimal"/>
      <w:lvlText w:val="%1."/>
      <w:legacy w:legacy="1" w:legacySpace="0" w:legacyIndent="340"/>
      <w:lvlJc w:val="left"/>
      <w:pPr>
        <w:ind w:left="340" w:hanging="340"/>
      </w:pPr>
    </w:lvl>
  </w:abstractNum>
  <w:abstractNum w:abstractNumId="35">
    <w:nsid w:val="608E741E"/>
    <w:multiLevelType w:val="singleLevel"/>
    <w:tmpl w:val="ED98921A"/>
    <w:lvl w:ilvl="0">
      <w:start w:val="1"/>
      <w:numFmt w:val="decimal"/>
      <w:lvlText w:val="%1."/>
      <w:legacy w:legacy="1" w:legacySpace="0" w:legacyIndent="340"/>
      <w:lvlJc w:val="left"/>
      <w:pPr>
        <w:ind w:left="340" w:hanging="340"/>
      </w:pPr>
    </w:lvl>
  </w:abstractNum>
  <w:abstractNum w:abstractNumId="36">
    <w:nsid w:val="61320C1E"/>
    <w:multiLevelType w:val="singleLevel"/>
    <w:tmpl w:val="C444122C"/>
    <w:lvl w:ilvl="0">
      <w:start w:val="1"/>
      <w:numFmt w:val="decimal"/>
      <w:lvlText w:val="%1."/>
      <w:legacy w:legacy="1" w:legacySpace="0" w:legacyIndent="284"/>
      <w:lvlJc w:val="left"/>
      <w:pPr>
        <w:ind w:left="284" w:hanging="284"/>
      </w:pPr>
    </w:lvl>
  </w:abstractNum>
  <w:abstractNum w:abstractNumId="37">
    <w:nsid w:val="627154D2"/>
    <w:multiLevelType w:val="singleLevel"/>
    <w:tmpl w:val="AD60D3B8"/>
    <w:lvl w:ilvl="0">
      <w:start w:val="1"/>
      <w:numFmt w:val="lowerLetter"/>
      <w:lvlText w:val="(%1)"/>
      <w:legacy w:legacy="1" w:legacySpace="0" w:legacyIndent="340"/>
      <w:lvlJc w:val="left"/>
      <w:pPr>
        <w:ind w:left="680" w:hanging="340"/>
      </w:pPr>
    </w:lvl>
  </w:abstractNum>
  <w:abstractNum w:abstractNumId="38">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39">
    <w:nsid w:val="67806EB5"/>
    <w:multiLevelType w:val="singleLevel"/>
    <w:tmpl w:val="AD60D3B8"/>
    <w:lvl w:ilvl="0">
      <w:start w:val="1"/>
      <w:numFmt w:val="lowerLetter"/>
      <w:lvlText w:val="(%1)"/>
      <w:legacy w:legacy="1" w:legacySpace="0" w:legacyIndent="340"/>
      <w:lvlJc w:val="left"/>
      <w:pPr>
        <w:ind w:left="680" w:hanging="340"/>
      </w:pPr>
    </w:lvl>
  </w:abstractNum>
  <w:abstractNum w:abstractNumId="40">
    <w:nsid w:val="707E6FEC"/>
    <w:multiLevelType w:val="singleLevel"/>
    <w:tmpl w:val="E9806908"/>
    <w:lvl w:ilvl="0">
      <w:start w:val="1"/>
      <w:numFmt w:val="lowerRoman"/>
      <w:lvlText w:val="(%1)"/>
      <w:legacy w:legacy="1" w:legacySpace="0" w:legacyIndent="340"/>
      <w:lvlJc w:val="left"/>
      <w:pPr>
        <w:ind w:left="1134" w:hanging="340"/>
      </w:pPr>
    </w:lvl>
  </w:abstractNum>
  <w:abstractNum w:abstractNumId="41">
    <w:nsid w:val="746E6DCF"/>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4E25280"/>
    <w:multiLevelType w:val="singleLevel"/>
    <w:tmpl w:val="AD60D3B8"/>
    <w:lvl w:ilvl="0">
      <w:start w:val="1"/>
      <w:numFmt w:val="lowerLetter"/>
      <w:lvlText w:val="(%1)"/>
      <w:legacy w:legacy="1" w:legacySpace="0" w:legacyIndent="340"/>
      <w:lvlJc w:val="left"/>
      <w:pPr>
        <w:ind w:left="680" w:hanging="340"/>
      </w:pPr>
    </w:lvl>
  </w:abstractNum>
  <w:abstractNum w:abstractNumId="43">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44">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abstractNum w:abstractNumId="45">
    <w:nsid w:val="7F5B19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1"/>
  </w:num>
  <w:num w:numId="2">
    <w:abstractNumId w:val="10"/>
  </w:num>
  <w:num w:numId="3">
    <w:abstractNumId w:val="43"/>
  </w:num>
  <w:num w:numId="4">
    <w:abstractNumId w:val="7"/>
  </w:num>
  <w:num w:numId="5">
    <w:abstractNumId w:val="5"/>
  </w:num>
  <w:num w:numId="6">
    <w:abstractNumId w:val="26"/>
  </w:num>
  <w:num w:numId="7">
    <w:abstractNumId w:val="3"/>
  </w:num>
  <w:num w:numId="8">
    <w:abstractNumId w:val="9"/>
  </w:num>
  <w:num w:numId="9">
    <w:abstractNumId w:val="2"/>
  </w:num>
  <w:num w:numId="10">
    <w:abstractNumId w:val="38"/>
  </w:num>
  <w:num w:numId="11">
    <w:abstractNumId w:val="4"/>
  </w:num>
  <w:num w:numId="12">
    <w:abstractNumId w:val="1"/>
  </w:num>
  <w:num w:numId="13">
    <w:abstractNumId w:val="0"/>
  </w:num>
  <w:num w:numId="14">
    <w:abstractNumId w:val="29"/>
  </w:num>
  <w:num w:numId="15">
    <w:abstractNumId w:val="44"/>
  </w:num>
  <w:num w:numId="16">
    <w:abstractNumId w:val="17"/>
  </w:num>
  <w:num w:numId="17">
    <w:abstractNumId w:val="16"/>
  </w:num>
  <w:num w:numId="18">
    <w:abstractNumId w:val="27"/>
  </w:num>
  <w:num w:numId="19">
    <w:abstractNumId w:val="12"/>
  </w:num>
  <w:num w:numId="20">
    <w:abstractNumId w:val="35"/>
  </w:num>
  <w:num w:numId="21">
    <w:abstractNumId w:val="37"/>
  </w:num>
  <w:num w:numId="22">
    <w:abstractNumId w:val="25"/>
  </w:num>
  <w:num w:numId="23">
    <w:abstractNumId w:val="28"/>
  </w:num>
  <w:num w:numId="24">
    <w:abstractNumId w:val="30"/>
  </w:num>
  <w:num w:numId="25">
    <w:abstractNumId w:val="42"/>
  </w:num>
  <w:num w:numId="26">
    <w:abstractNumId w:val="34"/>
  </w:num>
  <w:num w:numId="27">
    <w:abstractNumId w:val="39"/>
  </w:num>
  <w:num w:numId="28">
    <w:abstractNumId w:val="40"/>
  </w:num>
  <w:num w:numId="29">
    <w:abstractNumId w:val="32"/>
  </w:num>
  <w:num w:numId="30">
    <w:abstractNumId w:val="22"/>
  </w:num>
  <w:num w:numId="31">
    <w:abstractNumId w:val="45"/>
  </w:num>
  <w:num w:numId="32">
    <w:abstractNumId w:val="15"/>
  </w:num>
  <w:num w:numId="33">
    <w:abstractNumId w:val="8"/>
  </w:num>
  <w:num w:numId="34">
    <w:abstractNumId w:val="19"/>
  </w:num>
  <w:num w:numId="35">
    <w:abstractNumId w:val="41"/>
  </w:num>
  <w:num w:numId="36">
    <w:abstractNumId w:val="33"/>
  </w:num>
  <w:num w:numId="37">
    <w:abstractNumId w:val="13"/>
  </w:num>
  <w:num w:numId="38">
    <w:abstractNumId w:val="36"/>
  </w:num>
  <w:num w:numId="39">
    <w:abstractNumId w:val="14"/>
  </w:num>
  <w:num w:numId="40">
    <w:abstractNumId w:val="17"/>
  </w:num>
  <w:num w:numId="41">
    <w:abstractNumId w:val="9"/>
  </w:num>
  <w:num w:numId="42">
    <w:abstractNumId w:val="24"/>
  </w:num>
  <w:num w:numId="43">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44">
    <w:abstractNumId w:val="11"/>
  </w:num>
  <w:num w:numId="45">
    <w:abstractNumId w:val="20"/>
  </w:num>
  <w:num w:numId="46">
    <w:abstractNumId w:val="23"/>
  </w:num>
  <w:num w:numId="47">
    <w:abstractNumId w:val="10"/>
  </w:num>
  <w:num w:numId="48">
    <w:abstractNumId w:val="31"/>
  </w:num>
  <w:num w:numId="49">
    <w:abstractNumId w:val="18"/>
  </w:num>
  <w:num w:numId="5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mirrorMargins/>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indingOptions" w:val="1"/>
    <w:docVar w:name="RecOptions" w:val="111"/>
    <w:docVar w:name="ShortChapterTitle" w:val="Overview"/>
    <w:docVar w:name="ShortReportTitle" w:val="Deep and persistent disadvantage"/>
  </w:docVars>
  <w:rsids>
    <w:rsidRoot w:val="00F23013"/>
    <w:rsid w:val="000127FE"/>
    <w:rsid w:val="00022521"/>
    <w:rsid w:val="000227D5"/>
    <w:rsid w:val="000245AA"/>
    <w:rsid w:val="0003664B"/>
    <w:rsid w:val="000403A0"/>
    <w:rsid w:val="0004111F"/>
    <w:rsid w:val="00042F0F"/>
    <w:rsid w:val="00050F1A"/>
    <w:rsid w:val="00054DE0"/>
    <w:rsid w:val="000565B3"/>
    <w:rsid w:val="00061CED"/>
    <w:rsid w:val="00066419"/>
    <w:rsid w:val="0007150B"/>
    <w:rsid w:val="00071626"/>
    <w:rsid w:val="00075B29"/>
    <w:rsid w:val="00076554"/>
    <w:rsid w:val="0008766A"/>
    <w:rsid w:val="000912FB"/>
    <w:rsid w:val="00092036"/>
    <w:rsid w:val="000938F5"/>
    <w:rsid w:val="00096E55"/>
    <w:rsid w:val="00097C2E"/>
    <w:rsid w:val="000A4572"/>
    <w:rsid w:val="000B601B"/>
    <w:rsid w:val="000C207E"/>
    <w:rsid w:val="000C2648"/>
    <w:rsid w:val="000C6BF4"/>
    <w:rsid w:val="000D03A1"/>
    <w:rsid w:val="000D141D"/>
    <w:rsid w:val="000D71FC"/>
    <w:rsid w:val="000E3477"/>
    <w:rsid w:val="000E3857"/>
    <w:rsid w:val="000F0035"/>
    <w:rsid w:val="000F36CA"/>
    <w:rsid w:val="000F420B"/>
    <w:rsid w:val="000F6B8D"/>
    <w:rsid w:val="00103621"/>
    <w:rsid w:val="00110116"/>
    <w:rsid w:val="00120072"/>
    <w:rsid w:val="00122797"/>
    <w:rsid w:val="00126EB8"/>
    <w:rsid w:val="001274D4"/>
    <w:rsid w:val="001363AA"/>
    <w:rsid w:val="00145357"/>
    <w:rsid w:val="0014751E"/>
    <w:rsid w:val="0016188B"/>
    <w:rsid w:val="00164C32"/>
    <w:rsid w:val="00170351"/>
    <w:rsid w:val="00175A7F"/>
    <w:rsid w:val="00180FF1"/>
    <w:rsid w:val="00183E82"/>
    <w:rsid w:val="0018413A"/>
    <w:rsid w:val="001878BB"/>
    <w:rsid w:val="00191AE0"/>
    <w:rsid w:val="0019293B"/>
    <w:rsid w:val="001A5A55"/>
    <w:rsid w:val="001B5F22"/>
    <w:rsid w:val="001C03A8"/>
    <w:rsid w:val="001C0865"/>
    <w:rsid w:val="001C2170"/>
    <w:rsid w:val="001C3ABA"/>
    <w:rsid w:val="001C4774"/>
    <w:rsid w:val="001D18EC"/>
    <w:rsid w:val="001D5200"/>
    <w:rsid w:val="001E7BE8"/>
    <w:rsid w:val="001F0248"/>
    <w:rsid w:val="001F1F99"/>
    <w:rsid w:val="001F2E6E"/>
    <w:rsid w:val="001F3A69"/>
    <w:rsid w:val="001F3EB3"/>
    <w:rsid w:val="001F4F86"/>
    <w:rsid w:val="00202C2C"/>
    <w:rsid w:val="002135AB"/>
    <w:rsid w:val="00213C3C"/>
    <w:rsid w:val="00213F79"/>
    <w:rsid w:val="002140D0"/>
    <w:rsid w:val="002144BE"/>
    <w:rsid w:val="002228AF"/>
    <w:rsid w:val="00230715"/>
    <w:rsid w:val="00230B55"/>
    <w:rsid w:val="00235091"/>
    <w:rsid w:val="00237CF9"/>
    <w:rsid w:val="00242279"/>
    <w:rsid w:val="0024349D"/>
    <w:rsid w:val="00243EBE"/>
    <w:rsid w:val="00245C82"/>
    <w:rsid w:val="00250799"/>
    <w:rsid w:val="0027370A"/>
    <w:rsid w:val="00276491"/>
    <w:rsid w:val="00283A6C"/>
    <w:rsid w:val="002848F6"/>
    <w:rsid w:val="00291B40"/>
    <w:rsid w:val="00292D8A"/>
    <w:rsid w:val="002952A4"/>
    <w:rsid w:val="002A0F96"/>
    <w:rsid w:val="002A2DCB"/>
    <w:rsid w:val="002A5DBD"/>
    <w:rsid w:val="002B4008"/>
    <w:rsid w:val="002C12E4"/>
    <w:rsid w:val="002C6A99"/>
    <w:rsid w:val="002D0E8E"/>
    <w:rsid w:val="002D2792"/>
    <w:rsid w:val="002D4D53"/>
    <w:rsid w:val="002E0E33"/>
    <w:rsid w:val="002E3DDC"/>
    <w:rsid w:val="002F3541"/>
    <w:rsid w:val="00301189"/>
    <w:rsid w:val="00312ECD"/>
    <w:rsid w:val="00316A00"/>
    <w:rsid w:val="00323E09"/>
    <w:rsid w:val="00324AF2"/>
    <w:rsid w:val="003300E1"/>
    <w:rsid w:val="00333932"/>
    <w:rsid w:val="0033674F"/>
    <w:rsid w:val="00336BF0"/>
    <w:rsid w:val="00343092"/>
    <w:rsid w:val="00345994"/>
    <w:rsid w:val="0034690F"/>
    <w:rsid w:val="003518AA"/>
    <w:rsid w:val="00352165"/>
    <w:rsid w:val="00353182"/>
    <w:rsid w:val="003549DD"/>
    <w:rsid w:val="003565D9"/>
    <w:rsid w:val="003602E1"/>
    <w:rsid w:val="0037026F"/>
    <w:rsid w:val="00371240"/>
    <w:rsid w:val="003722B6"/>
    <w:rsid w:val="00374731"/>
    <w:rsid w:val="00374B56"/>
    <w:rsid w:val="00376E59"/>
    <w:rsid w:val="003919F9"/>
    <w:rsid w:val="003B396D"/>
    <w:rsid w:val="003B7F77"/>
    <w:rsid w:val="003C29AE"/>
    <w:rsid w:val="003C38B5"/>
    <w:rsid w:val="003C5D99"/>
    <w:rsid w:val="003C6B79"/>
    <w:rsid w:val="003C7645"/>
    <w:rsid w:val="003D0ABF"/>
    <w:rsid w:val="003D4263"/>
    <w:rsid w:val="003E288E"/>
    <w:rsid w:val="003E2F59"/>
    <w:rsid w:val="003E562C"/>
    <w:rsid w:val="003F0730"/>
    <w:rsid w:val="003F0789"/>
    <w:rsid w:val="003F1400"/>
    <w:rsid w:val="003F1B24"/>
    <w:rsid w:val="003F48FF"/>
    <w:rsid w:val="003F5D8A"/>
    <w:rsid w:val="00401699"/>
    <w:rsid w:val="00401882"/>
    <w:rsid w:val="0040221E"/>
    <w:rsid w:val="00407523"/>
    <w:rsid w:val="004100C8"/>
    <w:rsid w:val="00411DBD"/>
    <w:rsid w:val="00412ACE"/>
    <w:rsid w:val="0041376E"/>
    <w:rsid w:val="00414177"/>
    <w:rsid w:val="00415AE1"/>
    <w:rsid w:val="00431249"/>
    <w:rsid w:val="00434C19"/>
    <w:rsid w:val="00434ED8"/>
    <w:rsid w:val="0044207A"/>
    <w:rsid w:val="0044564A"/>
    <w:rsid w:val="00445831"/>
    <w:rsid w:val="00445D91"/>
    <w:rsid w:val="00450810"/>
    <w:rsid w:val="00466CA4"/>
    <w:rsid w:val="00477144"/>
    <w:rsid w:val="00491380"/>
    <w:rsid w:val="0049459F"/>
    <w:rsid w:val="004A1117"/>
    <w:rsid w:val="004A38DD"/>
    <w:rsid w:val="004A6AB9"/>
    <w:rsid w:val="004B43AE"/>
    <w:rsid w:val="004C30ED"/>
    <w:rsid w:val="004D5675"/>
    <w:rsid w:val="004D6436"/>
    <w:rsid w:val="004E41F5"/>
    <w:rsid w:val="00500FBA"/>
    <w:rsid w:val="00503A6E"/>
    <w:rsid w:val="005077FA"/>
    <w:rsid w:val="00510B83"/>
    <w:rsid w:val="00517246"/>
    <w:rsid w:val="00520509"/>
    <w:rsid w:val="00523639"/>
    <w:rsid w:val="005246C5"/>
    <w:rsid w:val="00531FE5"/>
    <w:rsid w:val="005323E9"/>
    <w:rsid w:val="00534A9C"/>
    <w:rsid w:val="00534F03"/>
    <w:rsid w:val="005402FA"/>
    <w:rsid w:val="0054619C"/>
    <w:rsid w:val="005518C1"/>
    <w:rsid w:val="00573F51"/>
    <w:rsid w:val="0057541D"/>
    <w:rsid w:val="005758A6"/>
    <w:rsid w:val="005825BF"/>
    <w:rsid w:val="00583C39"/>
    <w:rsid w:val="00586FE2"/>
    <w:rsid w:val="00587F28"/>
    <w:rsid w:val="005909CF"/>
    <w:rsid w:val="00591E71"/>
    <w:rsid w:val="0059536E"/>
    <w:rsid w:val="005962AA"/>
    <w:rsid w:val="005A0D41"/>
    <w:rsid w:val="005A5D40"/>
    <w:rsid w:val="005B7BC4"/>
    <w:rsid w:val="005E3660"/>
    <w:rsid w:val="005E3C78"/>
    <w:rsid w:val="005E724B"/>
    <w:rsid w:val="005F78AB"/>
    <w:rsid w:val="00601043"/>
    <w:rsid w:val="00606CCB"/>
    <w:rsid w:val="00607BF1"/>
    <w:rsid w:val="006102CE"/>
    <w:rsid w:val="006109BA"/>
    <w:rsid w:val="00621846"/>
    <w:rsid w:val="00625A5D"/>
    <w:rsid w:val="00626F61"/>
    <w:rsid w:val="00630D4D"/>
    <w:rsid w:val="00632A74"/>
    <w:rsid w:val="00641A43"/>
    <w:rsid w:val="00646D15"/>
    <w:rsid w:val="0065757E"/>
    <w:rsid w:val="006962FA"/>
    <w:rsid w:val="006A4655"/>
    <w:rsid w:val="006A519D"/>
    <w:rsid w:val="006B2098"/>
    <w:rsid w:val="006B2B3C"/>
    <w:rsid w:val="006C1D81"/>
    <w:rsid w:val="006C3D9E"/>
    <w:rsid w:val="006C7038"/>
    <w:rsid w:val="006D4FE9"/>
    <w:rsid w:val="006E73EF"/>
    <w:rsid w:val="007115E8"/>
    <w:rsid w:val="00714D4D"/>
    <w:rsid w:val="00722C68"/>
    <w:rsid w:val="00722F6A"/>
    <w:rsid w:val="0072521C"/>
    <w:rsid w:val="00733087"/>
    <w:rsid w:val="00734296"/>
    <w:rsid w:val="00734C9A"/>
    <w:rsid w:val="00737385"/>
    <w:rsid w:val="00756DC1"/>
    <w:rsid w:val="007604BB"/>
    <w:rsid w:val="007612FD"/>
    <w:rsid w:val="00775158"/>
    <w:rsid w:val="00785232"/>
    <w:rsid w:val="007853E9"/>
    <w:rsid w:val="00790A4B"/>
    <w:rsid w:val="007A2188"/>
    <w:rsid w:val="007A21EB"/>
    <w:rsid w:val="007B1A93"/>
    <w:rsid w:val="007B37D3"/>
    <w:rsid w:val="007B5DDB"/>
    <w:rsid w:val="007B7715"/>
    <w:rsid w:val="007C36C9"/>
    <w:rsid w:val="007D6401"/>
    <w:rsid w:val="007D66D2"/>
    <w:rsid w:val="007E01E4"/>
    <w:rsid w:val="007E2280"/>
    <w:rsid w:val="007E79B9"/>
    <w:rsid w:val="007F14B5"/>
    <w:rsid w:val="007F5EC8"/>
    <w:rsid w:val="007F673F"/>
    <w:rsid w:val="007F7107"/>
    <w:rsid w:val="00800D02"/>
    <w:rsid w:val="00800D4C"/>
    <w:rsid w:val="0081030F"/>
    <w:rsid w:val="0082087D"/>
    <w:rsid w:val="00820E69"/>
    <w:rsid w:val="008214DF"/>
    <w:rsid w:val="00823D4A"/>
    <w:rsid w:val="008274FF"/>
    <w:rsid w:val="0083468E"/>
    <w:rsid w:val="00835771"/>
    <w:rsid w:val="00841F0B"/>
    <w:rsid w:val="00842933"/>
    <w:rsid w:val="00845DBF"/>
    <w:rsid w:val="00856440"/>
    <w:rsid w:val="0086082C"/>
    <w:rsid w:val="00864ADC"/>
    <w:rsid w:val="00880153"/>
    <w:rsid w:val="00880F97"/>
    <w:rsid w:val="0088133A"/>
    <w:rsid w:val="008839A7"/>
    <w:rsid w:val="0088576F"/>
    <w:rsid w:val="008907F9"/>
    <w:rsid w:val="0089285E"/>
    <w:rsid w:val="0089436C"/>
    <w:rsid w:val="00896EEB"/>
    <w:rsid w:val="008A3631"/>
    <w:rsid w:val="008A798C"/>
    <w:rsid w:val="008B6F7F"/>
    <w:rsid w:val="008D365C"/>
    <w:rsid w:val="008E48DF"/>
    <w:rsid w:val="008F0AFA"/>
    <w:rsid w:val="008F3B37"/>
    <w:rsid w:val="008F59D4"/>
    <w:rsid w:val="008F66F6"/>
    <w:rsid w:val="009030BF"/>
    <w:rsid w:val="0091032F"/>
    <w:rsid w:val="00914368"/>
    <w:rsid w:val="0092755A"/>
    <w:rsid w:val="00931076"/>
    <w:rsid w:val="009345D9"/>
    <w:rsid w:val="00934B15"/>
    <w:rsid w:val="00940C87"/>
    <w:rsid w:val="00942B62"/>
    <w:rsid w:val="0095323B"/>
    <w:rsid w:val="00954917"/>
    <w:rsid w:val="00956A0C"/>
    <w:rsid w:val="00956BD9"/>
    <w:rsid w:val="009570DB"/>
    <w:rsid w:val="00961E93"/>
    <w:rsid w:val="00962178"/>
    <w:rsid w:val="00962489"/>
    <w:rsid w:val="009850B4"/>
    <w:rsid w:val="0098712C"/>
    <w:rsid w:val="00990C2C"/>
    <w:rsid w:val="00992310"/>
    <w:rsid w:val="0099602E"/>
    <w:rsid w:val="009A1081"/>
    <w:rsid w:val="009A17C9"/>
    <w:rsid w:val="009A2ACD"/>
    <w:rsid w:val="009A6854"/>
    <w:rsid w:val="009B57EB"/>
    <w:rsid w:val="009C0C11"/>
    <w:rsid w:val="009C455C"/>
    <w:rsid w:val="009C5283"/>
    <w:rsid w:val="009E12D0"/>
    <w:rsid w:val="009E1844"/>
    <w:rsid w:val="009E275F"/>
    <w:rsid w:val="009F0D1B"/>
    <w:rsid w:val="009F2240"/>
    <w:rsid w:val="009F2F4E"/>
    <w:rsid w:val="009F696D"/>
    <w:rsid w:val="009F6BC6"/>
    <w:rsid w:val="009F7C09"/>
    <w:rsid w:val="00A00D9A"/>
    <w:rsid w:val="00A060A0"/>
    <w:rsid w:val="00A17328"/>
    <w:rsid w:val="00A23A20"/>
    <w:rsid w:val="00A268B9"/>
    <w:rsid w:val="00A2703A"/>
    <w:rsid w:val="00A27AFD"/>
    <w:rsid w:val="00A33D9B"/>
    <w:rsid w:val="00A33DFF"/>
    <w:rsid w:val="00A35115"/>
    <w:rsid w:val="00A353D4"/>
    <w:rsid w:val="00A36D9A"/>
    <w:rsid w:val="00A4106E"/>
    <w:rsid w:val="00A475AB"/>
    <w:rsid w:val="00A476CD"/>
    <w:rsid w:val="00A554AB"/>
    <w:rsid w:val="00A57062"/>
    <w:rsid w:val="00A72CA2"/>
    <w:rsid w:val="00A7636C"/>
    <w:rsid w:val="00A81F25"/>
    <w:rsid w:val="00A83C3B"/>
    <w:rsid w:val="00A92B53"/>
    <w:rsid w:val="00A94385"/>
    <w:rsid w:val="00A94FA6"/>
    <w:rsid w:val="00A960FB"/>
    <w:rsid w:val="00AA09DF"/>
    <w:rsid w:val="00AA2EDE"/>
    <w:rsid w:val="00AA49A0"/>
    <w:rsid w:val="00AA6710"/>
    <w:rsid w:val="00AB0681"/>
    <w:rsid w:val="00AB1497"/>
    <w:rsid w:val="00AB68D0"/>
    <w:rsid w:val="00AD4BFF"/>
    <w:rsid w:val="00AD520B"/>
    <w:rsid w:val="00AD580A"/>
    <w:rsid w:val="00AE2673"/>
    <w:rsid w:val="00AF043B"/>
    <w:rsid w:val="00AF0968"/>
    <w:rsid w:val="00AF4B1E"/>
    <w:rsid w:val="00B126AF"/>
    <w:rsid w:val="00B141D4"/>
    <w:rsid w:val="00B2546F"/>
    <w:rsid w:val="00B25DE7"/>
    <w:rsid w:val="00B33D9E"/>
    <w:rsid w:val="00B350E7"/>
    <w:rsid w:val="00B35E31"/>
    <w:rsid w:val="00B40A55"/>
    <w:rsid w:val="00B425C3"/>
    <w:rsid w:val="00B43627"/>
    <w:rsid w:val="00B440AD"/>
    <w:rsid w:val="00B45A99"/>
    <w:rsid w:val="00B517A1"/>
    <w:rsid w:val="00B53E7E"/>
    <w:rsid w:val="00B5418B"/>
    <w:rsid w:val="00B61C4E"/>
    <w:rsid w:val="00B6342E"/>
    <w:rsid w:val="00B7084E"/>
    <w:rsid w:val="00B7113F"/>
    <w:rsid w:val="00B80B6F"/>
    <w:rsid w:val="00B82337"/>
    <w:rsid w:val="00B84EA2"/>
    <w:rsid w:val="00BA2C41"/>
    <w:rsid w:val="00BA73B6"/>
    <w:rsid w:val="00BA7E27"/>
    <w:rsid w:val="00BB2603"/>
    <w:rsid w:val="00BB3400"/>
    <w:rsid w:val="00BB4FCD"/>
    <w:rsid w:val="00BC04E9"/>
    <w:rsid w:val="00BC1DCA"/>
    <w:rsid w:val="00BC7D25"/>
    <w:rsid w:val="00BD13EA"/>
    <w:rsid w:val="00BD2E55"/>
    <w:rsid w:val="00BD6A21"/>
    <w:rsid w:val="00BE0B5A"/>
    <w:rsid w:val="00BE3808"/>
    <w:rsid w:val="00BF6911"/>
    <w:rsid w:val="00C002B4"/>
    <w:rsid w:val="00C062E9"/>
    <w:rsid w:val="00C07B64"/>
    <w:rsid w:val="00C13721"/>
    <w:rsid w:val="00C14FE4"/>
    <w:rsid w:val="00C21C20"/>
    <w:rsid w:val="00C2222B"/>
    <w:rsid w:val="00C3066D"/>
    <w:rsid w:val="00C51D76"/>
    <w:rsid w:val="00C52416"/>
    <w:rsid w:val="00C53375"/>
    <w:rsid w:val="00C54054"/>
    <w:rsid w:val="00C543F4"/>
    <w:rsid w:val="00C627F4"/>
    <w:rsid w:val="00C6291C"/>
    <w:rsid w:val="00C633CB"/>
    <w:rsid w:val="00C65467"/>
    <w:rsid w:val="00C656A0"/>
    <w:rsid w:val="00C736B7"/>
    <w:rsid w:val="00C8165C"/>
    <w:rsid w:val="00C81D4A"/>
    <w:rsid w:val="00C8762C"/>
    <w:rsid w:val="00CA00F9"/>
    <w:rsid w:val="00CA1938"/>
    <w:rsid w:val="00CA2961"/>
    <w:rsid w:val="00CB468F"/>
    <w:rsid w:val="00CB50D7"/>
    <w:rsid w:val="00CB61B0"/>
    <w:rsid w:val="00CB7177"/>
    <w:rsid w:val="00CB7CA9"/>
    <w:rsid w:val="00CC1998"/>
    <w:rsid w:val="00CC4946"/>
    <w:rsid w:val="00CC5131"/>
    <w:rsid w:val="00CD2BEC"/>
    <w:rsid w:val="00CD3AC7"/>
    <w:rsid w:val="00CD4C28"/>
    <w:rsid w:val="00CD621A"/>
    <w:rsid w:val="00CD7241"/>
    <w:rsid w:val="00CE4211"/>
    <w:rsid w:val="00CF78E4"/>
    <w:rsid w:val="00D00AAF"/>
    <w:rsid w:val="00D06BE2"/>
    <w:rsid w:val="00D1017D"/>
    <w:rsid w:val="00D142B8"/>
    <w:rsid w:val="00D17B4D"/>
    <w:rsid w:val="00D243DC"/>
    <w:rsid w:val="00D26BEC"/>
    <w:rsid w:val="00D270A4"/>
    <w:rsid w:val="00D31B66"/>
    <w:rsid w:val="00D31FE9"/>
    <w:rsid w:val="00D34E1B"/>
    <w:rsid w:val="00D3539A"/>
    <w:rsid w:val="00D376BA"/>
    <w:rsid w:val="00D45634"/>
    <w:rsid w:val="00D456C8"/>
    <w:rsid w:val="00D53F09"/>
    <w:rsid w:val="00D54557"/>
    <w:rsid w:val="00D5568A"/>
    <w:rsid w:val="00D602DF"/>
    <w:rsid w:val="00D62BD9"/>
    <w:rsid w:val="00D63D73"/>
    <w:rsid w:val="00D64452"/>
    <w:rsid w:val="00D66E1E"/>
    <w:rsid w:val="00D72671"/>
    <w:rsid w:val="00D72C05"/>
    <w:rsid w:val="00D7380D"/>
    <w:rsid w:val="00D75722"/>
    <w:rsid w:val="00D76535"/>
    <w:rsid w:val="00D76B9D"/>
    <w:rsid w:val="00D76E18"/>
    <w:rsid w:val="00D80CF5"/>
    <w:rsid w:val="00D80E6F"/>
    <w:rsid w:val="00D86785"/>
    <w:rsid w:val="00DA1A2B"/>
    <w:rsid w:val="00DA4723"/>
    <w:rsid w:val="00DA5BBA"/>
    <w:rsid w:val="00DB26D2"/>
    <w:rsid w:val="00DB3EC3"/>
    <w:rsid w:val="00DB54EF"/>
    <w:rsid w:val="00DB67C9"/>
    <w:rsid w:val="00DB7D43"/>
    <w:rsid w:val="00DC0C95"/>
    <w:rsid w:val="00DD301E"/>
    <w:rsid w:val="00DD4700"/>
    <w:rsid w:val="00DD6580"/>
    <w:rsid w:val="00DE7C60"/>
    <w:rsid w:val="00E15661"/>
    <w:rsid w:val="00E17079"/>
    <w:rsid w:val="00E17C72"/>
    <w:rsid w:val="00E21FC6"/>
    <w:rsid w:val="00E24EEB"/>
    <w:rsid w:val="00E274DF"/>
    <w:rsid w:val="00E4029E"/>
    <w:rsid w:val="00E431A9"/>
    <w:rsid w:val="00E52D58"/>
    <w:rsid w:val="00E55535"/>
    <w:rsid w:val="00E64210"/>
    <w:rsid w:val="00E64ACA"/>
    <w:rsid w:val="00E66762"/>
    <w:rsid w:val="00E669E2"/>
    <w:rsid w:val="00E71604"/>
    <w:rsid w:val="00E76135"/>
    <w:rsid w:val="00E82F4F"/>
    <w:rsid w:val="00E837FE"/>
    <w:rsid w:val="00EA2939"/>
    <w:rsid w:val="00EA40B4"/>
    <w:rsid w:val="00EA7666"/>
    <w:rsid w:val="00EB1D74"/>
    <w:rsid w:val="00EB3A80"/>
    <w:rsid w:val="00EC0421"/>
    <w:rsid w:val="00EC2844"/>
    <w:rsid w:val="00EC50A1"/>
    <w:rsid w:val="00EC5500"/>
    <w:rsid w:val="00ED20EB"/>
    <w:rsid w:val="00EF1A33"/>
    <w:rsid w:val="00EF6C6C"/>
    <w:rsid w:val="00F056FC"/>
    <w:rsid w:val="00F067A6"/>
    <w:rsid w:val="00F10476"/>
    <w:rsid w:val="00F135D8"/>
    <w:rsid w:val="00F16E36"/>
    <w:rsid w:val="00F17AF5"/>
    <w:rsid w:val="00F23013"/>
    <w:rsid w:val="00F247B2"/>
    <w:rsid w:val="00F31299"/>
    <w:rsid w:val="00F33A80"/>
    <w:rsid w:val="00F3534A"/>
    <w:rsid w:val="00F437DA"/>
    <w:rsid w:val="00F51609"/>
    <w:rsid w:val="00F51C3E"/>
    <w:rsid w:val="00F51D4C"/>
    <w:rsid w:val="00F5338E"/>
    <w:rsid w:val="00F545E1"/>
    <w:rsid w:val="00F55763"/>
    <w:rsid w:val="00F60132"/>
    <w:rsid w:val="00F60B5C"/>
    <w:rsid w:val="00F62B69"/>
    <w:rsid w:val="00F7510F"/>
    <w:rsid w:val="00F7534C"/>
    <w:rsid w:val="00F75B83"/>
    <w:rsid w:val="00F81006"/>
    <w:rsid w:val="00F85325"/>
    <w:rsid w:val="00F92063"/>
    <w:rsid w:val="00F95156"/>
    <w:rsid w:val="00F96FC3"/>
    <w:rsid w:val="00FA6ECE"/>
    <w:rsid w:val="00FA7F7C"/>
    <w:rsid w:val="00FB428F"/>
    <w:rsid w:val="00FC0130"/>
    <w:rsid w:val="00FD22B1"/>
    <w:rsid w:val="00FE456E"/>
    <w:rsid w:val="00FE5397"/>
    <w:rsid w:val="00FE5761"/>
    <w:rsid w:val="00FF01E1"/>
    <w:rsid w:val="00FF7B2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annotation subjec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9E1844"/>
    <w:rPr>
      <w:sz w:val="26"/>
      <w:szCs w:val="24"/>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 Char,Body Text Char2 Char Char,Body Text Char Char2 Char Char,Body Text Char1 Char Char Char Char,Body Text Char Char1 Char Char Char Char,Body Text Char Char Char Char Char Char,Body Text Char1 Char2 Char Char,Body Text Char1"/>
    <w:link w:val="BodyTextChar"/>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link w:val="BoxListBullet2Char"/>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rsid w:val="00A17328"/>
    <w:pPr>
      <w:spacing w:before="0" w:line="40" w:lineRule="exact"/>
      <w:jc w:val="right"/>
    </w:pPr>
    <w:rPr>
      <w:smallCaps/>
      <w:sz w:val="16"/>
    </w:rPr>
  </w:style>
  <w:style w:type="paragraph" w:customStyle="1" w:styleId="PartNumber">
    <w:name w:val="Part Number"/>
    <w:basedOn w:val="BodyText"/>
    <w:next w:val="BodyText"/>
    <w:rsid w:val="00A17328"/>
    <w:pPr>
      <w:spacing w:before="4000" w:line="320" w:lineRule="exact"/>
      <w:ind w:left="6634"/>
      <w:jc w:val="right"/>
    </w:pPr>
    <w:rPr>
      <w:smallCaps/>
      <w:spacing w:val="60"/>
      <w:sz w:val="32"/>
    </w:rPr>
  </w:style>
  <w:style w:type="paragraph" w:customStyle="1" w:styleId="PartTitle">
    <w:name w:val="Part Title"/>
    <w:basedOn w:val="BodyText"/>
    <w:rsid w:val="00A17328"/>
    <w:pPr>
      <w:spacing w:before="160" w:after="1360" w:line="520" w:lineRule="exact"/>
      <w:ind w:right="2381"/>
      <w:jc w:val="right"/>
    </w:pPr>
    <w:rPr>
      <w:smallCaps/>
      <w:sz w:val="52"/>
    </w:rPr>
  </w:style>
  <w:style w:type="paragraph" w:styleId="Quote">
    <w:name w:val="Quote"/>
    <w:basedOn w:val="BodyText"/>
    <w:next w:val="BodyText"/>
    <w:link w:val="QuoteChar"/>
    <w:uiPriority w:val="29"/>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character" w:customStyle="1" w:styleId="BodyTextChar">
    <w:name w:val="Body Text Char"/>
    <w:aliases w:val="Body Text Char1 Char Char,Body Text Char2 Char Char Char,Body Text Char Char2 Char Char Char,Body Text Char1 Char Char Char Char Char,Body Text Char Char1 Char Char Char Char Char,Body Text Char Char Char Char Char Char Char"/>
    <w:basedOn w:val="DefaultParagraphFont"/>
    <w:link w:val="BodyText"/>
    <w:locked/>
    <w:rsid w:val="00F23013"/>
    <w:rPr>
      <w:sz w:val="26"/>
    </w:rPr>
  </w:style>
  <w:style w:type="character" w:customStyle="1" w:styleId="QuoteChar">
    <w:name w:val="Quote Char"/>
    <w:basedOn w:val="DefaultParagraphFont"/>
    <w:link w:val="Quote"/>
    <w:uiPriority w:val="29"/>
    <w:rsid w:val="000403A0"/>
    <w:rPr>
      <w:sz w:val="24"/>
    </w:rPr>
  </w:style>
  <w:style w:type="character" w:customStyle="1" w:styleId="BoxListBullet2Char">
    <w:name w:val="Box List Bullet 2 Char"/>
    <w:basedOn w:val="DefaultParagraphFont"/>
    <w:link w:val="BoxListBullet2"/>
    <w:rsid w:val="00415AE1"/>
    <w:rPr>
      <w:rFonts w:ascii="Arial" w:hAnsi="Arial"/>
      <w:sz w:val="22"/>
    </w:rPr>
  </w:style>
  <w:style w:type="paragraph" w:styleId="CommentSubject">
    <w:name w:val="annotation subject"/>
    <w:basedOn w:val="CommentText"/>
    <w:next w:val="CommentText"/>
    <w:link w:val="CommentSubjectChar"/>
    <w:uiPriority w:val="99"/>
    <w:unhideWhenUsed/>
    <w:rsid w:val="00237CF9"/>
    <w:pPr>
      <w:spacing w:before="0" w:line="240" w:lineRule="auto"/>
      <w:ind w:left="0" w:firstLine="0"/>
    </w:pPr>
    <w:rPr>
      <w:b/>
      <w:bCs/>
      <w:szCs w:val="20"/>
    </w:rPr>
  </w:style>
  <w:style w:type="character" w:customStyle="1" w:styleId="CommentTextChar">
    <w:name w:val="Comment Text Char"/>
    <w:basedOn w:val="DefaultParagraphFont"/>
    <w:link w:val="CommentText"/>
    <w:semiHidden/>
    <w:rsid w:val="00237CF9"/>
    <w:rPr>
      <w:szCs w:val="24"/>
    </w:rPr>
  </w:style>
  <w:style w:type="character" w:customStyle="1" w:styleId="CommentSubjectChar">
    <w:name w:val="Comment Subject Char"/>
    <w:basedOn w:val="CommentTextChar"/>
    <w:link w:val="CommentSubject"/>
    <w:uiPriority w:val="99"/>
    <w:rsid w:val="00237CF9"/>
    <w:rPr>
      <w:b/>
      <w:bCs/>
      <w:szCs w:val="24"/>
    </w:rPr>
  </w:style>
  <w:style w:type="table" w:styleId="TableGrid">
    <w:name w:val="Table Grid"/>
    <w:basedOn w:val="TableNormal"/>
    <w:rsid w:val="00050F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annotation subjec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9E1844"/>
    <w:rPr>
      <w:sz w:val="26"/>
      <w:szCs w:val="24"/>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 Char,Body Text Char2 Char Char,Body Text Char Char2 Char Char,Body Text Char1 Char Char Char Char,Body Text Char Char1 Char Char Char Char,Body Text Char Char Char Char Char Char,Body Text Char1 Char2 Char Char,Body Text Char1"/>
    <w:link w:val="BodyTextChar"/>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link w:val="BoxListBullet2Char"/>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rsid w:val="00A17328"/>
    <w:pPr>
      <w:spacing w:before="0" w:line="40" w:lineRule="exact"/>
      <w:jc w:val="right"/>
    </w:pPr>
    <w:rPr>
      <w:smallCaps/>
      <w:sz w:val="16"/>
    </w:rPr>
  </w:style>
  <w:style w:type="paragraph" w:customStyle="1" w:styleId="PartNumber">
    <w:name w:val="Part Number"/>
    <w:basedOn w:val="BodyText"/>
    <w:next w:val="BodyText"/>
    <w:rsid w:val="00A17328"/>
    <w:pPr>
      <w:spacing w:before="4000" w:line="320" w:lineRule="exact"/>
      <w:ind w:left="6634"/>
      <w:jc w:val="right"/>
    </w:pPr>
    <w:rPr>
      <w:smallCaps/>
      <w:spacing w:val="60"/>
      <w:sz w:val="32"/>
    </w:rPr>
  </w:style>
  <w:style w:type="paragraph" w:customStyle="1" w:styleId="PartTitle">
    <w:name w:val="Part Title"/>
    <w:basedOn w:val="BodyText"/>
    <w:rsid w:val="00A17328"/>
    <w:pPr>
      <w:spacing w:before="160" w:after="1360" w:line="520" w:lineRule="exact"/>
      <w:ind w:right="2381"/>
      <w:jc w:val="right"/>
    </w:pPr>
    <w:rPr>
      <w:smallCaps/>
      <w:sz w:val="52"/>
    </w:rPr>
  </w:style>
  <w:style w:type="paragraph" w:styleId="Quote">
    <w:name w:val="Quote"/>
    <w:basedOn w:val="BodyText"/>
    <w:next w:val="BodyText"/>
    <w:link w:val="QuoteChar"/>
    <w:uiPriority w:val="29"/>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character" w:customStyle="1" w:styleId="BodyTextChar">
    <w:name w:val="Body Text Char"/>
    <w:aliases w:val="Body Text Char1 Char Char,Body Text Char2 Char Char Char,Body Text Char Char2 Char Char Char,Body Text Char1 Char Char Char Char Char,Body Text Char Char1 Char Char Char Char Char,Body Text Char Char Char Char Char Char Char"/>
    <w:basedOn w:val="DefaultParagraphFont"/>
    <w:link w:val="BodyText"/>
    <w:locked/>
    <w:rsid w:val="00F23013"/>
    <w:rPr>
      <w:sz w:val="26"/>
    </w:rPr>
  </w:style>
  <w:style w:type="character" w:customStyle="1" w:styleId="QuoteChar">
    <w:name w:val="Quote Char"/>
    <w:basedOn w:val="DefaultParagraphFont"/>
    <w:link w:val="Quote"/>
    <w:uiPriority w:val="29"/>
    <w:rsid w:val="000403A0"/>
    <w:rPr>
      <w:sz w:val="24"/>
    </w:rPr>
  </w:style>
  <w:style w:type="character" w:customStyle="1" w:styleId="BoxListBullet2Char">
    <w:name w:val="Box List Bullet 2 Char"/>
    <w:basedOn w:val="DefaultParagraphFont"/>
    <w:link w:val="BoxListBullet2"/>
    <w:rsid w:val="00415AE1"/>
    <w:rPr>
      <w:rFonts w:ascii="Arial" w:hAnsi="Arial"/>
      <w:sz w:val="22"/>
    </w:rPr>
  </w:style>
  <w:style w:type="paragraph" w:styleId="CommentSubject">
    <w:name w:val="annotation subject"/>
    <w:basedOn w:val="CommentText"/>
    <w:next w:val="CommentText"/>
    <w:link w:val="CommentSubjectChar"/>
    <w:uiPriority w:val="99"/>
    <w:unhideWhenUsed/>
    <w:rsid w:val="00237CF9"/>
    <w:pPr>
      <w:spacing w:before="0" w:line="240" w:lineRule="auto"/>
      <w:ind w:left="0" w:firstLine="0"/>
    </w:pPr>
    <w:rPr>
      <w:b/>
      <w:bCs/>
      <w:szCs w:val="20"/>
    </w:rPr>
  </w:style>
  <w:style w:type="character" w:customStyle="1" w:styleId="CommentTextChar">
    <w:name w:val="Comment Text Char"/>
    <w:basedOn w:val="DefaultParagraphFont"/>
    <w:link w:val="CommentText"/>
    <w:semiHidden/>
    <w:rsid w:val="00237CF9"/>
    <w:rPr>
      <w:szCs w:val="24"/>
    </w:rPr>
  </w:style>
  <w:style w:type="character" w:customStyle="1" w:styleId="CommentSubjectChar">
    <w:name w:val="Comment Subject Char"/>
    <w:basedOn w:val="CommentTextChar"/>
    <w:link w:val="CommentSubject"/>
    <w:uiPriority w:val="99"/>
    <w:rsid w:val="00237CF9"/>
    <w:rPr>
      <w:b/>
      <w:bCs/>
      <w:szCs w:val="24"/>
    </w:rPr>
  </w:style>
  <w:style w:type="table" w:styleId="TableGrid">
    <w:name w:val="Table Grid"/>
    <w:basedOn w:val="TableNormal"/>
    <w:rsid w:val="00050F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6084707">
      <w:bodyDiv w:val="1"/>
      <w:marLeft w:val="0"/>
      <w:marRight w:val="0"/>
      <w:marTop w:val="0"/>
      <w:marBottom w:val="0"/>
      <w:divBdr>
        <w:top w:val="none" w:sz="0" w:space="0" w:color="auto"/>
        <w:left w:val="none" w:sz="0" w:space="0" w:color="auto"/>
        <w:bottom w:val="none" w:sz="0" w:space="0" w:color="auto"/>
        <w:right w:val="none" w:sz="0" w:space="0" w:color="auto"/>
      </w:divBdr>
    </w:div>
    <w:div w:id="1071855253">
      <w:bodyDiv w:val="1"/>
      <w:marLeft w:val="0"/>
      <w:marRight w:val="0"/>
      <w:marTop w:val="0"/>
      <w:marBottom w:val="0"/>
      <w:divBdr>
        <w:top w:val="none" w:sz="0" w:space="0" w:color="auto"/>
        <w:left w:val="none" w:sz="0" w:space="0" w:color="auto"/>
        <w:bottom w:val="none" w:sz="0" w:space="0" w:color="auto"/>
        <w:right w:val="none" w:sz="0" w:space="0" w:color="auto"/>
      </w:divBdr>
    </w:div>
    <w:div w:id="1420566273">
      <w:bodyDiv w:val="1"/>
      <w:marLeft w:val="0"/>
      <w:marRight w:val="0"/>
      <w:marTop w:val="0"/>
      <w:marBottom w:val="0"/>
      <w:divBdr>
        <w:top w:val="none" w:sz="0" w:space="0" w:color="auto"/>
        <w:left w:val="none" w:sz="0" w:space="0" w:color="auto"/>
        <w:bottom w:val="none" w:sz="0" w:space="0" w:color="auto"/>
        <w:right w:val="none" w:sz="0" w:space="0" w:color="auto"/>
      </w:divBdr>
    </w:div>
    <w:div w:id="1476290635">
      <w:bodyDiv w:val="1"/>
      <w:marLeft w:val="0"/>
      <w:marRight w:val="0"/>
      <w:marTop w:val="0"/>
      <w:marBottom w:val="0"/>
      <w:divBdr>
        <w:top w:val="none" w:sz="0" w:space="0" w:color="auto"/>
        <w:left w:val="none" w:sz="0" w:space="0" w:color="auto"/>
        <w:bottom w:val="none" w:sz="0" w:space="0" w:color="auto"/>
        <w:right w:val="none" w:sz="0" w:space="0" w:color="auto"/>
      </w:divBdr>
    </w:div>
    <w:div w:id="190174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chapte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9DCEC-D470-4C08-9401-6AF5614A4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chapter.dotm</Template>
  <TotalTime>19</TotalTime>
  <Pages>26</Pages>
  <Words>7483</Words>
  <Characters>41624</Characters>
  <Application>Microsoft Office Word</Application>
  <DocSecurity>0</DocSecurity>
  <Lines>346</Lines>
  <Paragraphs>98</Paragraphs>
  <ScaleCrop>false</ScaleCrop>
  <HeadingPairs>
    <vt:vector size="2" baseType="variant">
      <vt:variant>
        <vt:lpstr>Title</vt:lpstr>
      </vt:variant>
      <vt:variant>
        <vt:i4>1</vt:i4>
      </vt:variant>
    </vt:vector>
  </HeadingPairs>
  <TitlesOfParts>
    <vt:vector size="1" baseType="lpstr">
      <vt:lpstr>Overview</vt:lpstr>
    </vt:vector>
  </TitlesOfParts>
  <Company>Productivity Commission</Company>
  <LinksUpToDate>false</LinksUpToDate>
  <CharactersWithSpaces>49009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Overview</dc:title>
  <dc:subject>Deep and persistent disadvantage</dc:subject>
  <dc:creator>Productivity Commission</dc:creator>
  <dc:description>1.</dc:description>
  <cp:lastModifiedBy>Productivity Commission</cp:lastModifiedBy>
  <cp:revision>14</cp:revision>
  <cp:lastPrinted>2013-07-04T06:22:00Z</cp:lastPrinted>
  <dcterms:created xsi:type="dcterms:W3CDTF">2013-07-04T06:13:00Z</dcterms:created>
  <dcterms:modified xsi:type="dcterms:W3CDTF">2013-07-09T02:26:00Z</dcterms:modified>
</cp:coreProperties>
</file>