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3B44CC" w:rsidP="003B44CC">
      <w:pPr>
        <w:pStyle w:val="Heading1"/>
        <w:spacing w:before="0"/>
      </w:pPr>
      <w:bookmarkStart w:id="0" w:name="ChapterNumber"/>
      <w:bookmarkStart w:id="1" w:name="_GoBack"/>
      <w:bookmarkEnd w:id="1"/>
      <w:r>
        <w:t>2</w:t>
      </w:r>
      <w:bookmarkEnd w:id="0"/>
      <w:r>
        <w:tab/>
      </w:r>
      <w:bookmarkStart w:id="2" w:name="ChapterTitle"/>
      <w:r>
        <w:t>What does it mean to be disadvantaged?</w:t>
      </w:r>
      <w:bookmarkEnd w:id="2"/>
    </w:p>
    <w:p w:rsidR="001433E0" w:rsidRDefault="001433E0" w:rsidP="001433E0">
      <w:pPr>
        <w:pStyle w:val="BoxSpace"/>
      </w:pPr>
      <w:bookmarkStart w:id="3" w:name="begin"/>
      <w:bookmarkEnd w:id="3"/>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t>Key points</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1433E0">
            <w:pPr>
              <w:pStyle w:val="BoxListBullet"/>
              <w:spacing w:before="120"/>
            </w:pPr>
            <w:r>
              <w:t xml:space="preserve">Disadvantage was traditionally understood as poverty, and poverty as inadequate resources or low income. But low income does not necessarily establish disadvantage. </w:t>
            </w:r>
          </w:p>
          <w:p w:rsidR="001433E0" w:rsidRDefault="001433E0" w:rsidP="001433E0">
            <w:pPr>
              <w:pStyle w:val="BoxListBullet2"/>
              <w:numPr>
                <w:ilvl w:val="0"/>
                <w:numId w:val="2"/>
              </w:numPr>
              <w:tabs>
                <w:tab w:val="left" w:pos="284"/>
              </w:tabs>
            </w:pPr>
            <w:r>
              <w:t xml:space="preserve">Income is a partial measure taken at a point in time. Some individuals might experience a temporary loss of income, but have access to assets or borrowings. </w:t>
            </w:r>
          </w:p>
          <w:p w:rsidR="001433E0" w:rsidRDefault="001433E0" w:rsidP="001433E0">
            <w:pPr>
              <w:pStyle w:val="BoxListBullet"/>
              <w:spacing w:before="120"/>
            </w:pPr>
            <w:r>
              <w:t xml:space="preserve">It is ‘impoverished lives’ (including a lack of opportunities), rather than a lack of income alone, that really matters. </w:t>
            </w:r>
          </w:p>
          <w:p w:rsidR="001433E0" w:rsidRDefault="001433E0" w:rsidP="001433E0">
            <w:pPr>
              <w:pStyle w:val="BoxListBullet"/>
              <w:spacing w:before="120"/>
            </w:pPr>
            <w:r>
              <w:t xml:space="preserve">Recognising the need for a richer conceptualisation of disadvantage that is linked more closely to living standards and quality of life, a number of broader concepts have emerged: </w:t>
            </w:r>
          </w:p>
          <w:p w:rsidR="001433E0" w:rsidRPr="009C2319" w:rsidRDefault="001433E0" w:rsidP="001433E0">
            <w:pPr>
              <w:pStyle w:val="BoxListBullet2"/>
              <w:numPr>
                <w:ilvl w:val="0"/>
                <w:numId w:val="2"/>
              </w:numPr>
              <w:tabs>
                <w:tab w:val="left" w:pos="284"/>
              </w:tabs>
            </w:pPr>
            <w:r w:rsidRPr="00DD4E90">
              <w:t>depr</w:t>
            </w:r>
            <w:r>
              <w:t>iv</w:t>
            </w:r>
            <w:r w:rsidRPr="00DD4E90">
              <w:t xml:space="preserve">ation </w:t>
            </w:r>
            <w:r>
              <w:t xml:space="preserve">— what people do not have </w:t>
            </w:r>
            <w:r>
              <w:rPr>
                <w:snapToGrid w:val="0"/>
                <w:lang w:val="en-US"/>
              </w:rPr>
              <w:t xml:space="preserve">because they cannot afford it (by looking at whether households miss out on items that society considers nobody should do without) </w:t>
            </w:r>
          </w:p>
          <w:p w:rsidR="001433E0" w:rsidRPr="00EB4782" w:rsidRDefault="001433E0" w:rsidP="001433E0">
            <w:pPr>
              <w:pStyle w:val="BoxListBullet2"/>
              <w:numPr>
                <w:ilvl w:val="0"/>
                <w:numId w:val="2"/>
              </w:numPr>
              <w:tabs>
                <w:tab w:val="left" w:pos="284"/>
              </w:tabs>
            </w:pPr>
            <w:r>
              <w:t>capability — Sen’s more expansive notion which focuses on what people are effectively able to do and to be (their capabilities and functionings)</w:t>
            </w:r>
          </w:p>
          <w:p w:rsidR="001433E0" w:rsidRDefault="001433E0" w:rsidP="001433E0">
            <w:pPr>
              <w:pStyle w:val="BoxListBullet2"/>
              <w:numPr>
                <w:ilvl w:val="0"/>
                <w:numId w:val="2"/>
              </w:numPr>
              <w:tabs>
                <w:tab w:val="left" w:pos="284"/>
              </w:tabs>
            </w:pPr>
            <w:r>
              <w:t xml:space="preserve">‘social exclusion’ — the extent to which people are unable to participate adequately in economic, social and cultural life. </w:t>
            </w:r>
          </w:p>
          <w:p w:rsidR="001433E0" w:rsidRDefault="001433E0" w:rsidP="001433E0">
            <w:pPr>
              <w:pStyle w:val="BoxListBullet"/>
              <w:spacing w:before="120"/>
            </w:pPr>
            <w:r>
              <w:t>While the various approaches differ conceptually they overlap and in many ways are complementary. They provide different lenses through which to view and measure the multi-dimensional and complex nature of disadvantage and the experiences that people cope with (including less tangible matters, such as perceptions of personal security and subjective wellbeing).</w:t>
            </w:r>
          </w:p>
          <w:p w:rsidR="001433E0" w:rsidRDefault="001433E0" w:rsidP="001433E0">
            <w:pPr>
              <w:pStyle w:val="BoxListBullet"/>
              <w:spacing w:before="120"/>
            </w:pPr>
            <w:r>
              <w:t xml:space="preserve">Longitudinal information (following the same people over a number of years) is critical to understanding deep and persistent disadvantage. </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bl>
    <w:p w:rsidR="001433E0" w:rsidRDefault="001433E0" w:rsidP="001433E0">
      <w:pPr>
        <w:pStyle w:val="BodyText"/>
      </w:pPr>
      <w:r>
        <w:t xml:space="preserve">Over the last few decades there has been much debate about what being ‘disadvantaged’ means. It has been examined from a number of perspectives — poverty, deprivation, capabilities, social exclusion and inclusion. There are various definitions for the different terms in the literature. This chapter examines each of these concepts, how they are measured, and the similarities and differences between them. The importance of dynamics in understanding disadvantage, particularly deep and persistent disadvantage, is also discussed. </w:t>
      </w:r>
    </w:p>
    <w:p w:rsidR="001433E0" w:rsidRDefault="00E6722A" w:rsidP="001433E0">
      <w:pPr>
        <w:pStyle w:val="Heading2"/>
      </w:pPr>
      <w:r>
        <w:lastRenderedPageBreak/>
        <w:fldChar w:fldCharType="begin"/>
      </w:r>
      <w:r>
        <w:instrText xml:space="preserve"> COMMENTS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1</w:t>
      </w:r>
      <w:r>
        <w:rPr>
          <w:noProof/>
        </w:rPr>
        <w:fldChar w:fldCharType="end"/>
      </w:r>
      <w:r w:rsidR="001433E0">
        <w:tab/>
        <w:t>Poverty — the traditional concept of disadvantage</w:t>
      </w:r>
    </w:p>
    <w:p w:rsidR="001433E0" w:rsidRDefault="001433E0" w:rsidP="001433E0">
      <w:pPr>
        <w:pStyle w:val="BodyText"/>
      </w:pPr>
      <w:r>
        <w:t xml:space="preserve">Traditionally, disadvantage was considered in the context of poverty, and poverty in terms of inadequate resources or low income. In the early 1900s, Rowntree (1901, p. 86), in a study of poverty in York, England, defined poverty in terms of having insufficient income ‘to obtain the minimum necessities for the maintenance of merely physical efficiency’. His definition of necessities included the simplest possible diet for nutritional efficiency and minimum requirements for clothing and  housing. </w:t>
      </w:r>
    </w:p>
    <w:p w:rsidR="001433E0" w:rsidRDefault="001433E0" w:rsidP="001433E0">
      <w:pPr>
        <w:pStyle w:val="BodyText"/>
      </w:pPr>
      <w:r>
        <w:t xml:space="preserve">A century later the European Commission (2004, p. 8) said ‘people are said to be living in poverty if their income and resources are so inadequate as to preclude them from having a standard of living considered acceptable in the society in which they live’. </w:t>
      </w:r>
    </w:p>
    <w:p w:rsidR="001433E0" w:rsidRDefault="001433E0" w:rsidP="001433E0">
      <w:pPr>
        <w:pStyle w:val="BodyText"/>
      </w:pPr>
      <w:r>
        <w:t xml:space="preserve">A widely shared view among researchers now is that poverty is a relative </w:t>
      </w:r>
      <w:r w:rsidRPr="009C2319">
        <w:rPr>
          <w:i/>
        </w:rPr>
        <w:t>concept</w:t>
      </w:r>
      <w:r>
        <w:t xml:space="preserve"> as it is defined as a minimum accepted standard of living in the society in which people live (Gordon 2000; Saunders and Whiteford 1989;</w:t>
      </w:r>
      <w:r w:rsidRPr="00975142">
        <w:t xml:space="preserve"> </w:t>
      </w:r>
      <w:r>
        <w:t xml:space="preserve">Townsend 1979). This point was made by Adam Smith </w:t>
      </w:r>
      <w:r w:rsidR="00A72342">
        <w:t xml:space="preserve">(1910) </w:t>
      </w:r>
      <w:r>
        <w:t xml:space="preserve">in the </w:t>
      </w:r>
      <w:r w:rsidRPr="003C0AF3">
        <w:rPr>
          <w:i/>
        </w:rPr>
        <w:t>Wealth of Nations</w:t>
      </w:r>
      <w:r>
        <w:t>:</w:t>
      </w:r>
    </w:p>
    <w:p w:rsidR="001433E0" w:rsidRDefault="001433E0" w:rsidP="001433E0">
      <w:pPr>
        <w:pStyle w:val="Quote"/>
      </w:pPr>
      <w:r>
        <w:t>A linen shirt, … is, strictly speaking, not a necessity of life. The Greeks and Romans lived, I suppose, very comfortably, though they had no linen. But in the present times, through the greater part of Europe, a creditable day-labourer would be ashamed to appear in public without a linen shirt, the want of which would be supposed to denote that disgraceful degree of poverty, which it is presumed, nobody can well fall into without extreme bad conduct. … Under necessaries, therefore, I comprehend, not only those things which nature, but those things which the established rules of decency have rendered necessary to the lowest rank of people. (pp. 715-716)</w:t>
      </w:r>
    </w:p>
    <w:p w:rsidR="001433E0" w:rsidRDefault="001433E0" w:rsidP="001433E0">
      <w:pPr>
        <w:pStyle w:val="Heading3"/>
      </w:pPr>
      <w:r>
        <w:t>Measuring poverty</w:t>
      </w:r>
    </w:p>
    <w:p w:rsidR="001433E0" w:rsidRDefault="001433E0" w:rsidP="001433E0">
      <w:pPr>
        <w:pStyle w:val="BodyText"/>
        <w:spacing w:before="200"/>
      </w:pPr>
      <w:r>
        <w:t xml:space="preserve">Identifying ‘who’ is disadvantaged or living in poverty requires a measure or line that separates the poor from the rest of the population. The traditional approach to measuring poverty is low income. </w:t>
      </w:r>
    </w:p>
    <w:p w:rsidR="001433E0" w:rsidRDefault="001433E0" w:rsidP="001433E0">
      <w:pPr>
        <w:pStyle w:val="BodyText"/>
        <w:spacing w:before="200"/>
        <w:rPr>
          <w:i/>
        </w:rPr>
      </w:pPr>
      <w:r>
        <w:t xml:space="preserve">Income poverty can be measured in </w:t>
      </w:r>
      <w:r w:rsidRPr="00E506F8">
        <w:rPr>
          <w:i/>
        </w:rPr>
        <w:t>absolute</w:t>
      </w:r>
      <w:r>
        <w:t xml:space="preserve"> and </w:t>
      </w:r>
      <w:r w:rsidRPr="00E506F8">
        <w:rPr>
          <w:i/>
        </w:rPr>
        <w:t xml:space="preserve">relative </w:t>
      </w:r>
      <w:r w:rsidRPr="00E506F8">
        <w:t>terms.</w:t>
      </w:r>
      <w:r>
        <w:rPr>
          <w:i/>
        </w:rPr>
        <w:t xml:space="preserve"> </w:t>
      </w:r>
    </w:p>
    <w:p w:rsidR="001433E0" w:rsidRDefault="001433E0" w:rsidP="001433E0">
      <w:pPr>
        <w:pStyle w:val="BodyText"/>
        <w:spacing w:before="200"/>
      </w:pPr>
      <w:r>
        <w:t>Under an absolute income poverty measure, people are considered to be living in poverty if their income is not sufficient to cover the costs of a given basket of goods in a particular year. Absolute poverty thresholds are used in several OECD countries, including the United States (Burkhauser 2012;</w:t>
      </w:r>
      <w:r w:rsidRPr="00975142">
        <w:t xml:space="preserve"> </w:t>
      </w:r>
      <w:r>
        <w:t xml:space="preserve">OECD 2008). The World Bank also uses absolute poverty thresholds, for example, the ‘one dollar a day’ poverty line was established for the 1990 World Development Report and became a </w:t>
      </w:r>
      <w:r>
        <w:lastRenderedPageBreak/>
        <w:t xml:space="preserve">Millennium Development Goal: to halve the proportion of people whose income is less than one dollar a day by 2015 (World Bank 2000). </w:t>
      </w:r>
    </w:p>
    <w:p w:rsidR="001433E0" w:rsidRDefault="001433E0" w:rsidP="001433E0">
      <w:pPr>
        <w:pStyle w:val="BodyText"/>
      </w:pPr>
      <w:r>
        <w:t xml:space="preserve">The benefit of an absolute measure, whether it be in relation to income poverty or other disadvantage, is that policy can focus on the minimum capabilities that people need to be able to live minimally decent lives. But as Boarini and d’Ercole (2006), commenting on absolute thresholds, said: </w:t>
      </w:r>
    </w:p>
    <w:p w:rsidR="001433E0" w:rsidRDefault="001433E0" w:rsidP="001433E0">
      <w:pPr>
        <w:pStyle w:val="Quote"/>
      </w:pPr>
      <w:r>
        <w:t>… most of these measures are not purely ‘absolute’ — they define poverty through a standard that is both time</w:t>
      </w:r>
      <w:r>
        <w:noBreakHyphen/>
        <w:t xml:space="preserve"> and space-specific. (p. 12)</w:t>
      </w:r>
    </w:p>
    <w:p w:rsidR="001433E0" w:rsidRDefault="001433E0" w:rsidP="001433E0">
      <w:pPr>
        <w:pStyle w:val="BodyText"/>
        <w:spacing w:before="200"/>
      </w:pPr>
      <w:r>
        <w:t>The relative income poverty approach considers that people are living in poverty if their income is below a certain percentage of middle</w:t>
      </w:r>
      <w:r>
        <w:noBreakHyphen/>
        <w:t xml:space="preserve">level (or median) household income. The relative poverty threshold moves as median incomes change, with poverty assessed against a changing community standard. </w:t>
      </w:r>
    </w:p>
    <w:p w:rsidR="001433E0" w:rsidRDefault="001433E0" w:rsidP="001433E0">
      <w:pPr>
        <w:pStyle w:val="BodyText"/>
        <w:spacing w:before="200"/>
      </w:pPr>
      <w:r>
        <w:t>An OECD paper on measuring income distribution and poverty supported the relative poverty measure:</w:t>
      </w:r>
    </w:p>
    <w:p w:rsidR="001433E0" w:rsidRDefault="001433E0" w:rsidP="001433E0">
      <w:pPr>
        <w:pStyle w:val="Quote"/>
      </w:pPr>
      <w:r>
        <w:t>This approach … takes into account the different levels of well-being within a society and how it changes over time. Relative measures also allow one to compare income situations across countries, because they are independent of a specific country’s definition of basic needs.</w:t>
      </w:r>
    </w:p>
    <w:p w:rsidR="001433E0" w:rsidRPr="004E52AD" w:rsidRDefault="001433E0" w:rsidP="001433E0">
      <w:pPr>
        <w:pStyle w:val="Quote"/>
      </w:pPr>
      <w:r>
        <w:t>An additional reason for focusing on relative poverty is that both psychological and economic analyses have suggested that income differences within a society have real significance for the well-being of each person: people assess their own conditions through comparisons with others. This implies that information on relative income matters for the assessment of the living conditions of people, independently of judgements on what is ‘fair’ in society. (Förster and d’Ercole 2009, p. 9)</w:t>
      </w:r>
    </w:p>
    <w:p w:rsidR="001433E0" w:rsidRDefault="001433E0" w:rsidP="001433E0">
      <w:pPr>
        <w:pStyle w:val="BodyText"/>
        <w:tabs>
          <w:tab w:val="left" w:pos="1843"/>
        </w:tabs>
        <w:spacing w:before="200"/>
      </w:pPr>
      <w:r>
        <w:t xml:space="preserve">The measurement of relative poverty, as a proxy for disadvantage, requires the choice of a specific threshold or distance from median income. The main threshold used by the OECD is 50 per cent of median equivalised household income — that is, income adjusted for the composition of the household (box 2.1). The European Union countries most commonly use a poverty line set at 60 per cent of median income (Besharov and Couch 2012). The specific threshold chosen is somewhat arbitrary. </w:t>
      </w:r>
    </w:p>
    <w:p w:rsidR="001433E0" w:rsidRDefault="001433E0" w:rsidP="001433E0">
      <w:pPr>
        <w:pStyle w:val="BodyText"/>
        <w:spacing w:before="200"/>
      </w:pPr>
      <w:r>
        <w:t xml:space="preserve">The Henderson Poverty Line, developed in the early 1970s, was the first widely used income poverty line in Australia (box 2.2). Poverty lines based on a proportion of median household incomes are now more common. </w:t>
      </w:r>
    </w:p>
    <w:p w:rsidR="001433E0" w:rsidRDefault="001433E0" w:rsidP="001433E0">
      <w:pPr>
        <w:pStyle w:val="BodyText"/>
        <w:spacing w:before="200"/>
      </w:pPr>
      <w:r>
        <w:t xml:space="preserve">Chapter 3 reports on the different estimates of income poverty in Australia. </w:t>
      </w:r>
    </w:p>
    <w:p w:rsidR="001433E0" w:rsidRDefault="001433E0" w:rsidP="001433E0">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1</w:t>
            </w:r>
            <w:r>
              <w:rPr>
                <w:b w:val="0"/>
              </w:rPr>
              <w:fldChar w:fldCharType="end"/>
            </w:r>
            <w:r>
              <w:tab/>
              <w:t xml:space="preserve">Equivalised household income </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t xml:space="preserve">Equivalised income is a measure of material living standards, obtained by adjusting household disposable income by the size and composition of the household in order to determine a household’s ‘needs’. The needs of a household increase with each additional member but, due to economies of scale in consumption, not in a way that is directly proportional. For example, needs for housing space, electricity, and </w:t>
            </w:r>
            <w:r w:rsidR="00E406E0">
              <w:t>other factors</w:t>
            </w:r>
            <w:r>
              <w:t xml:space="preserve">, will not be three times as high for a household with three members than for a single person. With the help of equivalence scales, each household type is assigned a value in proportion to its needs. The factors commonly taken into account are the size of the household and the age of its members (adults or children). There are a range of scales used. </w:t>
            </w:r>
          </w:p>
          <w:p w:rsidR="001433E0" w:rsidRDefault="001433E0" w:rsidP="001433E0">
            <w:pPr>
              <w:pStyle w:val="BoxListBullet"/>
              <w:spacing w:before="120"/>
            </w:pPr>
            <w:r>
              <w:t>‘OECD equivalence scale’. This assigns a value of 1 to the first household member, 0.7 to each additional adult and 0.5 for each child.</w:t>
            </w:r>
          </w:p>
          <w:p w:rsidR="001433E0" w:rsidRDefault="001433E0" w:rsidP="001433E0">
            <w:pPr>
              <w:pStyle w:val="BoxListBullet"/>
              <w:spacing w:before="120"/>
            </w:pPr>
            <w:r>
              <w:t xml:space="preserve">‘OECD-modified scale’. This scale assigns a value of 1 to the household head, 0.5 to each additional adult member and 0.3 to each child. </w:t>
            </w:r>
          </w:p>
          <w:p w:rsidR="001433E0" w:rsidRDefault="001433E0" w:rsidP="001433E0">
            <w:pPr>
              <w:pStyle w:val="BoxListBullet"/>
              <w:spacing w:before="120"/>
            </w:pPr>
            <w:r>
              <w:t xml:space="preserve">Square root scale. Recent OECD publications use a scale that divides household income by the square root of household size. This implies that a household of four people has needs that are twice as large as a single person household. </w:t>
            </w:r>
          </w:p>
          <w:p w:rsidR="001433E0" w:rsidRDefault="001433E0" w:rsidP="00E406E0">
            <w:pPr>
              <w:pStyle w:val="TableTitle"/>
              <w:spacing w:before="240"/>
            </w:pPr>
            <w:r>
              <w:rPr>
                <w:b w:val="0"/>
              </w:rPr>
              <w:t xml:space="preserve">Table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Table \* ARABIC </w:instrText>
            </w:r>
            <w:r>
              <w:rPr>
                <w:b w:val="0"/>
              </w:rPr>
              <w:fldChar w:fldCharType="separate"/>
            </w:r>
            <w:r w:rsidR="003B44CC">
              <w:rPr>
                <w:b w:val="0"/>
                <w:noProof/>
              </w:rPr>
              <w:t>1</w:t>
            </w:r>
            <w:r>
              <w:rPr>
                <w:b w:val="0"/>
              </w:rPr>
              <w:fldChar w:fldCharType="end"/>
            </w:r>
            <w:r>
              <w:tab/>
              <w:t xml:space="preserve">Equivalence scales and corresponding elasticities </w:t>
            </w:r>
          </w:p>
          <w:tbl>
            <w:tblPr>
              <w:tblW w:w="8458" w:type="dxa"/>
              <w:tblLayout w:type="fixed"/>
              <w:tblCellMar>
                <w:left w:w="0" w:type="dxa"/>
                <w:right w:w="0" w:type="dxa"/>
              </w:tblCellMar>
              <w:tblLook w:val="0000" w:firstRow="0" w:lastRow="0" w:firstColumn="0" w:lastColumn="0" w:noHBand="0" w:noVBand="0"/>
            </w:tblPr>
            <w:tblGrid>
              <w:gridCol w:w="1823"/>
              <w:gridCol w:w="230"/>
              <w:gridCol w:w="1281"/>
              <w:gridCol w:w="1281"/>
              <w:gridCol w:w="1281"/>
              <w:gridCol w:w="1281"/>
              <w:gridCol w:w="1281"/>
            </w:tblGrid>
            <w:tr w:rsidR="001433E0" w:rsidTr="00E406E0">
              <w:tc>
                <w:tcPr>
                  <w:tcW w:w="1823" w:type="dxa"/>
                  <w:tcBorders>
                    <w:top w:val="single" w:sz="6" w:space="0" w:color="auto"/>
                  </w:tcBorders>
                </w:tcPr>
                <w:p w:rsidR="001433E0" w:rsidRDefault="001433E0" w:rsidP="00E406E0">
                  <w:pPr>
                    <w:pStyle w:val="TableUnitsRow"/>
                    <w:jc w:val="left"/>
                  </w:pPr>
                </w:p>
              </w:tc>
              <w:tc>
                <w:tcPr>
                  <w:tcW w:w="230" w:type="dxa"/>
                  <w:tcBorders>
                    <w:top w:val="single" w:sz="6" w:space="0" w:color="auto"/>
                  </w:tcBorders>
                </w:tcPr>
                <w:p w:rsidR="001433E0" w:rsidRPr="00570DC6" w:rsidRDefault="001433E0" w:rsidP="00E406E0">
                  <w:pPr>
                    <w:pStyle w:val="TableUnitsRow"/>
                    <w:rPr>
                      <w:i/>
                    </w:rPr>
                  </w:pPr>
                </w:p>
              </w:tc>
              <w:tc>
                <w:tcPr>
                  <w:tcW w:w="6405" w:type="dxa"/>
                  <w:gridSpan w:val="5"/>
                  <w:tcBorders>
                    <w:top w:val="single" w:sz="6" w:space="0" w:color="auto"/>
                    <w:bottom w:val="single" w:sz="6" w:space="0" w:color="auto"/>
                  </w:tcBorders>
                  <w:vAlign w:val="center"/>
                </w:tcPr>
                <w:p w:rsidR="001433E0" w:rsidRPr="00680B0D" w:rsidRDefault="001433E0" w:rsidP="00E406E0">
                  <w:pPr>
                    <w:pStyle w:val="TableUnitsRow"/>
                    <w:jc w:val="center"/>
                  </w:pPr>
                  <w:r w:rsidRPr="00680B0D">
                    <w:t>Equivalence scale</w:t>
                  </w:r>
                </w:p>
              </w:tc>
            </w:tr>
            <w:tr w:rsidR="001433E0" w:rsidTr="00E406E0">
              <w:tc>
                <w:tcPr>
                  <w:tcW w:w="1823" w:type="dxa"/>
                  <w:tcBorders>
                    <w:bottom w:val="single" w:sz="4" w:space="0" w:color="auto"/>
                  </w:tcBorders>
                  <w:vAlign w:val="bottom"/>
                </w:tcPr>
                <w:p w:rsidR="001433E0" w:rsidRDefault="001433E0" w:rsidP="00E406E0">
                  <w:pPr>
                    <w:pStyle w:val="TableUnitsRow"/>
                    <w:jc w:val="left"/>
                  </w:pPr>
                  <w:r>
                    <w:t>Household size</w:t>
                  </w:r>
                </w:p>
              </w:tc>
              <w:tc>
                <w:tcPr>
                  <w:tcW w:w="230" w:type="dxa"/>
                  <w:tcBorders>
                    <w:bottom w:val="single" w:sz="4" w:space="0" w:color="auto"/>
                  </w:tcBorders>
                </w:tcPr>
                <w:p w:rsidR="001433E0" w:rsidRPr="00570DC6" w:rsidRDefault="001433E0" w:rsidP="00E406E0">
                  <w:pPr>
                    <w:pStyle w:val="TableUnitsRow"/>
                    <w:rPr>
                      <w:i/>
                    </w:rPr>
                  </w:pPr>
                </w:p>
              </w:tc>
              <w:tc>
                <w:tcPr>
                  <w:tcW w:w="1281" w:type="dxa"/>
                  <w:tcBorders>
                    <w:top w:val="single" w:sz="6" w:space="0" w:color="auto"/>
                    <w:bottom w:val="single" w:sz="4" w:space="0" w:color="auto"/>
                  </w:tcBorders>
                  <w:vAlign w:val="bottom"/>
                </w:tcPr>
                <w:p w:rsidR="001433E0" w:rsidRPr="00570DC6" w:rsidRDefault="001433E0" w:rsidP="00E406E0">
                  <w:pPr>
                    <w:pStyle w:val="TableUnitsRow"/>
                    <w:rPr>
                      <w:i/>
                    </w:rPr>
                  </w:pPr>
                  <w:r w:rsidRPr="00570DC6">
                    <w:rPr>
                      <w:i/>
                    </w:rPr>
                    <w:t>Per-capita income</w:t>
                  </w:r>
                </w:p>
              </w:tc>
              <w:tc>
                <w:tcPr>
                  <w:tcW w:w="1281" w:type="dxa"/>
                  <w:tcBorders>
                    <w:top w:val="single" w:sz="6" w:space="0" w:color="auto"/>
                    <w:bottom w:val="single" w:sz="4" w:space="0" w:color="auto"/>
                  </w:tcBorders>
                  <w:vAlign w:val="bottom"/>
                </w:tcPr>
                <w:p w:rsidR="001433E0" w:rsidRPr="00570DC6" w:rsidRDefault="001433E0" w:rsidP="00E406E0">
                  <w:pPr>
                    <w:pStyle w:val="TableUnitsRow"/>
                    <w:rPr>
                      <w:i/>
                    </w:rPr>
                  </w:pPr>
                  <w:r w:rsidRPr="00570DC6">
                    <w:rPr>
                      <w:i/>
                    </w:rPr>
                    <w:t>OECD equiv</w:t>
                  </w:r>
                  <w:r>
                    <w:rPr>
                      <w:i/>
                    </w:rPr>
                    <w:br/>
                  </w:r>
                  <w:r w:rsidRPr="00570DC6">
                    <w:rPr>
                      <w:i/>
                    </w:rPr>
                    <w:t>scale</w:t>
                  </w:r>
                </w:p>
              </w:tc>
              <w:tc>
                <w:tcPr>
                  <w:tcW w:w="1281" w:type="dxa"/>
                  <w:tcBorders>
                    <w:top w:val="single" w:sz="6" w:space="0" w:color="auto"/>
                    <w:bottom w:val="single" w:sz="4" w:space="0" w:color="auto"/>
                  </w:tcBorders>
                  <w:vAlign w:val="bottom"/>
                </w:tcPr>
                <w:p w:rsidR="001433E0" w:rsidRPr="00570DC6" w:rsidRDefault="001433E0" w:rsidP="00E406E0">
                  <w:pPr>
                    <w:pStyle w:val="TableUnitsRow"/>
                    <w:rPr>
                      <w:i/>
                    </w:rPr>
                  </w:pPr>
                  <w:r w:rsidRPr="00570DC6">
                    <w:rPr>
                      <w:i/>
                    </w:rPr>
                    <w:t>OECD mod</w:t>
                  </w:r>
                  <w:r>
                    <w:rPr>
                      <w:i/>
                    </w:rPr>
                    <w:t xml:space="preserve">ified </w:t>
                  </w:r>
                  <w:r w:rsidRPr="00570DC6">
                    <w:rPr>
                      <w:i/>
                    </w:rPr>
                    <w:t>scale</w:t>
                  </w:r>
                </w:p>
              </w:tc>
              <w:tc>
                <w:tcPr>
                  <w:tcW w:w="1281" w:type="dxa"/>
                  <w:tcBorders>
                    <w:top w:val="single" w:sz="6" w:space="0" w:color="auto"/>
                    <w:bottom w:val="single" w:sz="4" w:space="0" w:color="auto"/>
                  </w:tcBorders>
                  <w:vAlign w:val="bottom"/>
                </w:tcPr>
                <w:p w:rsidR="001433E0" w:rsidRPr="00570DC6" w:rsidRDefault="001433E0" w:rsidP="00E406E0">
                  <w:pPr>
                    <w:pStyle w:val="TableUnitsRow"/>
                    <w:rPr>
                      <w:i/>
                    </w:rPr>
                  </w:pPr>
                  <w:r w:rsidRPr="00570DC6">
                    <w:rPr>
                      <w:i/>
                    </w:rPr>
                    <w:t>Square root scale</w:t>
                  </w:r>
                </w:p>
              </w:tc>
              <w:tc>
                <w:tcPr>
                  <w:tcW w:w="1281" w:type="dxa"/>
                  <w:tcBorders>
                    <w:top w:val="single" w:sz="6" w:space="0" w:color="auto"/>
                    <w:bottom w:val="single" w:sz="4" w:space="0" w:color="auto"/>
                  </w:tcBorders>
                  <w:vAlign w:val="bottom"/>
                </w:tcPr>
                <w:p w:rsidR="001433E0" w:rsidRPr="00570DC6" w:rsidRDefault="001433E0" w:rsidP="00E406E0">
                  <w:pPr>
                    <w:pStyle w:val="TableUnitsRow"/>
                    <w:rPr>
                      <w:i/>
                    </w:rPr>
                  </w:pPr>
                  <w:r w:rsidRPr="00570DC6">
                    <w:rPr>
                      <w:i/>
                    </w:rPr>
                    <w:t>Household income</w:t>
                  </w:r>
                </w:p>
              </w:tc>
            </w:tr>
            <w:tr w:rsidR="001433E0" w:rsidTr="00E406E0">
              <w:tc>
                <w:tcPr>
                  <w:tcW w:w="1823" w:type="dxa"/>
                  <w:tcBorders>
                    <w:top w:val="single" w:sz="4" w:space="0" w:color="auto"/>
                  </w:tcBorders>
                </w:tcPr>
                <w:p w:rsidR="001433E0" w:rsidRDefault="001433E0" w:rsidP="00E406E0">
                  <w:pPr>
                    <w:pStyle w:val="TableBodyText"/>
                    <w:spacing w:before="80"/>
                    <w:jc w:val="left"/>
                  </w:pPr>
                  <w:r>
                    <w:t>1 adult</w:t>
                  </w:r>
                </w:p>
              </w:tc>
              <w:tc>
                <w:tcPr>
                  <w:tcW w:w="230" w:type="dxa"/>
                  <w:tcBorders>
                    <w:top w:val="single" w:sz="4" w:space="0" w:color="auto"/>
                  </w:tcBorders>
                </w:tcPr>
                <w:p w:rsidR="001433E0" w:rsidRDefault="001433E0" w:rsidP="00E406E0">
                  <w:pPr>
                    <w:pStyle w:val="TableBodyText"/>
                    <w:spacing w:before="80"/>
                  </w:pPr>
                </w:p>
              </w:tc>
              <w:tc>
                <w:tcPr>
                  <w:tcW w:w="1281" w:type="dxa"/>
                  <w:tcBorders>
                    <w:top w:val="single" w:sz="4" w:space="0" w:color="auto"/>
                  </w:tcBorders>
                </w:tcPr>
                <w:p w:rsidR="001433E0" w:rsidRDefault="001433E0" w:rsidP="00E406E0">
                  <w:pPr>
                    <w:pStyle w:val="TableBodyText"/>
                    <w:spacing w:before="80"/>
                  </w:pPr>
                  <w:r>
                    <w:t>1</w:t>
                  </w:r>
                </w:p>
              </w:tc>
              <w:tc>
                <w:tcPr>
                  <w:tcW w:w="1281" w:type="dxa"/>
                  <w:tcBorders>
                    <w:top w:val="single" w:sz="4" w:space="0" w:color="auto"/>
                  </w:tcBorders>
                </w:tcPr>
                <w:p w:rsidR="001433E0" w:rsidRDefault="001433E0" w:rsidP="00E406E0">
                  <w:pPr>
                    <w:pStyle w:val="TableBodyText"/>
                    <w:spacing w:before="80"/>
                  </w:pPr>
                  <w:r>
                    <w:t>1</w:t>
                  </w:r>
                </w:p>
              </w:tc>
              <w:tc>
                <w:tcPr>
                  <w:tcW w:w="1281" w:type="dxa"/>
                  <w:tcBorders>
                    <w:top w:val="single" w:sz="4" w:space="0" w:color="auto"/>
                  </w:tcBorders>
                </w:tcPr>
                <w:p w:rsidR="001433E0" w:rsidRDefault="001433E0" w:rsidP="00E406E0">
                  <w:pPr>
                    <w:pStyle w:val="TableBodyText"/>
                    <w:spacing w:before="80"/>
                  </w:pPr>
                  <w:r>
                    <w:t>1</w:t>
                  </w:r>
                </w:p>
              </w:tc>
              <w:tc>
                <w:tcPr>
                  <w:tcW w:w="1281" w:type="dxa"/>
                  <w:tcBorders>
                    <w:top w:val="single" w:sz="4" w:space="0" w:color="auto"/>
                  </w:tcBorders>
                </w:tcPr>
                <w:p w:rsidR="001433E0" w:rsidRDefault="001433E0" w:rsidP="00E406E0">
                  <w:pPr>
                    <w:pStyle w:val="TableBodyText"/>
                    <w:spacing w:before="80"/>
                  </w:pPr>
                  <w:r>
                    <w:t>1</w:t>
                  </w:r>
                </w:p>
              </w:tc>
              <w:tc>
                <w:tcPr>
                  <w:tcW w:w="1281" w:type="dxa"/>
                  <w:tcBorders>
                    <w:top w:val="single" w:sz="4" w:space="0" w:color="auto"/>
                  </w:tcBorders>
                </w:tcPr>
                <w:p w:rsidR="001433E0" w:rsidRDefault="001433E0" w:rsidP="00E406E0">
                  <w:pPr>
                    <w:pStyle w:val="TableBodyText"/>
                    <w:spacing w:before="80"/>
                    <w:ind w:right="28"/>
                  </w:pPr>
                  <w:r>
                    <w:t>1</w:t>
                  </w:r>
                </w:p>
              </w:tc>
            </w:tr>
            <w:tr w:rsidR="001433E0" w:rsidTr="00E406E0">
              <w:tc>
                <w:tcPr>
                  <w:tcW w:w="1823" w:type="dxa"/>
                  <w:shd w:val="clear" w:color="auto" w:fill="auto"/>
                </w:tcPr>
                <w:p w:rsidR="001433E0" w:rsidRDefault="001433E0" w:rsidP="00E406E0">
                  <w:pPr>
                    <w:pStyle w:val="TableBodyText"/>
                    <w:jc w:val="left"/>
                  </w:pPr>
                  <w:r>
                    <w:t>2 adults</w:t>
                  </w:r>
                </w:p>
              </w:tc>
              <w:tc>
                <w:tcPr>
                  <w:tcW w:w="230" w:type="dxa"/>
                </w:tcPr>
                <w:p w:rsidR="001433E0" w:rsidRDefault="001433E0" w:rsidP="00E406E0">
                  <w:pPr>
                    <w:pStyle w:val="TableBodyText"/>
                  </w:pPr>
                </w:p>
              </w:tc>
              <w:tc>
                <w:tcPr>
                  <w:tcW w:w="1281" w:type="dxa"/>
                  <w:shd w:val="clear" w:color="auto" w:fill="auto"/>
                </w:tcPr>
                <w:p w:rsidR="001433E0" w:rsidRDefault="001433E0" w:rsidP="00E406E0">
                  <w:pPr>
                    <w:pStyle w:val="TableBodyText"/>
                  </w:pPr>
                  <w:r>
                    <w:t>2</w:t>
                  </w:r>
                </w:p>
              </w:tc>
              <w:tc>
                <w:tcPr>
                  <w:tcW w:w="1281" w:type="dxa"/>
                  <w:shd w:val="clear" w:color="auto" w:fill="auto"/>
                </w:tcPr>
                <w:p w:rsidR="001433E0" w:rsidRDefault="001433E0" w:rsidP="00E406E0">
                  <w:pPr>
                    <w:pStyle w:val="TableBodyText"/>
                  </w:pPr>
                  <w:r>
                    <w:t>1.7</w:t>
                  </w:r>
                </w:p>
              </w:tc>
              <w:tc>
                <w:tcPr>
                  <w:tcW w:w="1281" w:type="dxa"/>
                  <w:shd w:val="clear" w:color="auto" w:fill="auto"/>
                </w:tcPr>
                <w:p w:rsidR="001433E0" w:rsidRDefault="001433E0" w:rsidP="00E406E0">
                  <w:pPr>
                    <w:pStyle w:val="TableBodyText"/>
                  </w:pPr>
                  <w:r>
                    <w:t>1.5</w:t>
                  </w:r>
                </w:p>
              </w:tc>
              <w:tc>
                <w:tcPr>
                  <w:tcW w:w="1281" w:type="dxa"/>
                  <w:shd w:val="clear" w:color="auto" w:fill="auto"/>
                </w:tcPr>
                <w:p w:rsidR="001433E0" w:rsidRDefault="001433E0" w:rsidP="00E406E0">
                  <w:pPr>
                    <w:pStyle w:val="TableBodyText"/>
                  </w:pPr>
                  <w:r>
                    <w:t>1.4</w:t>
                  </w:r>
                </w:p>
              </w:tc>
              <w:tc>
                <w:tcPr>
                  <w:tcW w:w="1281" w:type="dxa"/>
                  <w:shd w:val="clear" w:color="auto" w:fill="auto"/>
                </w:tcPr>
                <w:p w:rsidR="001433E0" w:rsidRDefault="001433E0" w:rsidP="00E406E0">
                  <w:pPr>
                    <w:pStyle w:val="TableBodyText"/>
                    <w:ind w:right="28"/>
                  </w:pPr>
                  <w:r>
                    <w:t>1</w:t>
                  </w:r>
                </w:p>
              </w:tc>
            </w:tr>
            <w:tr w:rsidR="001433E0" w:rsidTr="00E406E0">
              <w:tc>
                <w:tcPr>
                  <w:tcW w:w="1823" w:type="dxa"/>
                  <w:shd w:val="clear" w:color="auto" w:fill="auto"/>
                </w:tcPr>
                <w:p w:rsidR="001433E0" w:rsidRDefault="001433E0" w:rsidP="00E406E0">
                  <w:pPr>
                    <w:pStyle w:val="TableBodyText"/>
                    <w:jc w:val="left"/>
                  </w:pPr>
                  <w:r>
                    <w:t>2 adults, 1 child</w:t>
                  </w:r>
                </w:p>
              </w:tc>
              <w:tc>
                <w:tcPr>
                  <w:tcW w:w="230" w:type="dxa"/>
                </w:tcPr>
                <w:p w:rsidR="001433E0" w:rsidRDefault="001433E0" w:rsidP="00E406E0">
                  <w:pPr>
                    <w:pStyle w:val="TableBodyText"/>
                  </w:pPr>
                </w:p>
              </w:tc>
              <w:tc>
                <w:tcPr>
                  <w:tcW w:w="1281" w:type="dxa"/>
                  <w:shd w:val="clear" w:color="auto" w:fill="auto"/>
                </w:tcPr>
                <w:p w:rsidR="001433E0" w:rsidRDefault="001433E0" w:rsidP="00E406E0">
                  <w:pPr>
                    <w:pStyle w:val="TableBodyText"/>
                  </w:pPr>
                  <w:r>
                    <w:t>3</w:t>
                  </w:r>
                </w:p>
              </w:tc>
              <w:tc>
                <w:tcPr>
                  <w:tcW w:w="1281" w:type="dxa"/>
                  <w:shd w:val="clear" w:color="auto" w:fill="auto"/>
                </w:tcPr>
                <w:p w:rsidR="001433E0" w:rsidRDefault="001433E0" w:rsidP="00E406E0">
                  <w:pPr>
                    <w:pStyle w:val="TableBodyText"/>
                  </w:pPr>
                  <w:r>
                    <w:t>2.2</w:t>
                  </w:r>
                </w:p>
              </w:tc>
              <w:tc>
                <w:tcPr>
                  <w:tcW w:w="1281" w:type="dxa"/>
                  <w:shd w:val="clear" w:color="auto" w:fill="auto"/>
                </w:tcPr>
                <w:p w:rsidR="001433E0" w:rsidRDefault="001433E0" w:rsidP="00E406E0">
                  <w:pPr>
                    <w:pStyle w:val="TableBodyText"/>
                  </w:pPr>
                  <w:r>
                    <w:t>1.8</w:t>
                  </w:r>
                </w:p>
              </w:tc>
              <w:tc>
                <w:tcPr>
                  <w:tcW w:w="1281" w:type="dxa"/>
                  <w:shd w:val="clear" w:color="auto" w:fill="auto"/>
                </w:tcPr>
                <w:p w:rsidR="001433E0" w:rsidRDefault="001433E0" w:rsidP="00E406E0">
                  <w:pPr>
                    <w:pStyle w:val="TableBodyText"/>
                  </w:pPr>
                  <w:r>
                    <w:t>1.7</w:t>
                  </w:r>
                </w:p>
              </w:tc>
              <w:tc>
                <w:tcPr>
                  <w:tcW w:w="1281" w:type="dxa"/>
                  <w:shd w:val="clear" w:color="auto" w:fill="auto"/>
                </w:tcPr>
                <w:p w:rsidR="001433E0" w:rsidRDefault="001433E0" w:rsidP="00E406E0">
                  <w:pPr>
                    <w:pStyle w:val="TableBodyText"/>
                    <w:ind w:right="28"/>
                  </w:pPr>
                  <w:r>
                    <w:t>1</w:t>
                  </w:r>
                </w:p>
              </w:tc>
            </w:tr>
            <w:tr w:rsidR="001433E0" w:rsidTr="00E406E0">
              <w:tc>
                <w:tcPr>
                  <w:tcW w:w="1823" w:type="dxa"/>
                  <w:shd w:val="clear" w:color="auto" w:fill="auto"/>
                </w:tcPr>
                <w:p w:rsidR="001433E0" w:rsidRDefault="001433E0" w:rsidP="00E406E0">
                  <w:pPr>
                    <w:pStyle w:val="TableBodyText"/>
                    <w:jc w:val="left"/>
                  </w:pPr>
                  <w:r>
                    <w:t>2 adults, 2 children</w:t>
                  </w:r>
                </w:p>
              </w:tc>
              <w:tc>
                <w:tcPr>
                  <w:tcW w:w="230" w:type="dxa"/>
                </w:tcPr>
                <w:p w:rsidR="001433E0" w:rsidRDefault="001433E0" w:rsidP="00E406E0">
                  <w:pPr>
                    <w:pStyle w:val="TableBodyText"/>
                  </w:pPr>
                </w:p>
              </w:tc>
              <w:tc>
                <w:tcPr>
                  <w:tcW w:w="1281" w:type="dxa"/>
                  <w:shd w:val="clear" w:color="auto" w:fill="auto"/>
                </w:tcPr>
                <w:p w:rsidR="001433E0" w:rsidRDefault="001433E0" w:rsidP="00E406E0">
                  <w:pPr>
                    <w:pStyle w:val="TableBodyText"/>
                  </w:pPr>
                  <w:r>
                    <w:t>4</w:t>
                  </w:r>
                </w:p>
              </w:tc>
              <w:tc>
                <w:tcPr>
                  <w:tcW w:w="1281" w:type="dxa"/>
                  <w:shd w:val="clear" w:color="auto" w:fill="auto"/>
                </w:tcPr>
                <w:p w:rsidR="001433E0" w:rsidRDefault="001433E0" w:rsidP="00E406E0">
                  <w:pPr>
                    <w:pStyle w:val="TableBodyText"/>
                  </w:pPr>
                  <w:r>
                    <w:t>2.7</w:t>
                  </w:r>
                </w:p>
              </w:tc>
              <w:tc>
                <w:tcPr>
                  <w:tcW w:w="1281" w:type="dxa"/>
                  <w:shd w:val="clear" w:color="auto" w:fill="auto"/>
                </w:tcPr>
                <w:p w:rsidR="001433E0" w:rsidRDefault="001433E0" w:rsidP="00E406E0">
                  <w:pPr>
                    <w:pStyle w:val="TableBodyText"/>
                  </w:pPr>
                  <w:r>
                    <w:t>2.1</w:t>
                  </w:r>
                </w:p>
              </w:tc>
              <w:tc>
                <w:tcPr>
                  <w:tcW w:w="1281" w:type="dxa"/>
                  <w:shd w:val="clear" w:color="auto" w:fill="auto"/>
                </w:tcPr>
                <w:p w:rsidR="001433E0" w:rsidRDefault="001433E0" w:rsidP="00E406E0">
                  <w:pPr>
                    <w:pStyle w:val="TableBodyText"/>
                  </w:pPr>
                  <w:r>
                    <w:t>2.0</w:t>
                  </w:r>
                </w:p>
              </w:tc>
              <w:tc>
                <w:tcPr>
                  <w:tcW w:w="1281" w:type="dxa"/>
                  <w:shd w:val="clear" w:color="auto" w:fill="auto"/>
                </w:tcPr>
                <w:p w:rsidR="001433E0" w:rsidRDefault="001433E0" w:rsidP="00E406E0">
                  <w:pPr>
                    <w:pStyle w:val="TableBodyText"/>
                    <w:ind w:right="28"/>
                  </w:pPr>
                  <w:r>
                    <w:t>1</w:t>
                  </w:r>
                </w:p>
              </w:tc>
            </w:tr>
            <w:tr w:rsidR="001433E0" w:rsidTr="00E406E0">
              <w:tc>
                <w:tcPr>
                  <w:tcW w:w="1823" w:type="dxa"/>
                  <w:shd w:val="clear" w:color="auto" w:fill="auto"/>
                </w:tcPr>
                <w:p w:rsidR="001433E0" w:rsidRDefault="001433E0" w:rsidP="00E406E0">
                  <w:pPr>
                    <w:pStyle w:val="TableBodyText"/>
                    <w:jc w:val="left"/>
                  </w:pPr>
                  <w:r>
                    <w:t>2 adults, 3 children</w:t>
                  </w:r>
                </w:p>
              </w:tc>
              <w:tc>
                <w:tcPr>
                  <w:tcW w:w="230" w:type="dxa"/>
                </w:tcPr>
                <w:p w:rsidR="001433E0" w:rsidRDefault="001433E0" w:rsidP="00E406E0">
                  <w:pPr>
                    <w:pStyle w:val="TableBodyText"/>
                  </w:pPr>
                </w:p>
              </w:tc>
              <w:tc>
                <w:tcPr>
                  <w:tcW w:w="1281" w:type="dxa"/>
                  <w:shd w:val="clear" w:color="auto" w:fill="auto"/>
                </w:tcPr>
                <w:p w:rsidR="001433E0" w:rsidRDefault="001433E0" w:rsidP="00E406E0">
                  <w:pPr>
                    <w:pStyle w:val="TableBodyText"/>
                  </w:pPr>
                  <w:r>
                    <w:t>5</w:t>
                  </w:r>
                </w:p>
              </w:tc>
              <w:tc>
                <w:tcPr>
                  <w:tcW w:w="1281" w:type="dxa"/>
                  <w:shd w:val="clear" w:color="auto" w:fill="auto"/>
                </w:tcPr>
                <w:p w:rsidR="001433E0" w:rsidRDefault="001433E0" w:rsidP="00E406E0">
                  <w:pPr>
                    <w:pStyle w:val="TableBodyText"/>
                  </w:pPr>
                  <w:r>
                    <w:t>3.2</w:t>
                  </w:r>
                </w:p>
              </w:tc>
              <w:tc>
                <w:tcPr>
                  <w:tcW w:w="1281" w:type="dxa"/>
                  <w:shd w:val="clear" w:color="auto" w:fill="auto"/>
                </w:tcPr>
                <w:p w:rsidR="001433E0" w:rsidRDefault="001433E0" w:rsidP="00E406E0">
                  <w:pPr>
                    <w:pStyle w:val="TableBodyText"/>
                  </w:pPr>
                  <w:r>
                    <w:t>2.4</w:t>
                  </w:r>
                </w:p>
              </w:tc>
              <w:tc>
                <w:tcPr>
                  <w:tcW w:w="1281" w:type="dxa"/>
                  <w:shd w:val="clear" w:color="auto" w:fill="auto"/>
                </w:tcPr>
                <w:p w:rsidR="001433E0" w:rsidRDefault="001433E0" w:rsidP="00E406E0">
                  <w:pPr>
                    <w:pStyle w:val="TableBodyText"/>
                  </w:pPr>
                  <w:r>
                    <w:t>2.2</w:t>
                  </w:r>
                </w:p>
              </w:tc>
              <w:tc>
                <w:tcPr>
                  <w:tcW w:w="1281" w:type="dxa"/>
                  <w:shd w:val="clear" w:color="auto" w:fill="auto"/>
                </w:tcPr>
                <w:p w:rsidR="001433E0" w:rsidRDefault="001433E0" w:rsidP="00E406E0">
                  <w:pPr>
                    <w:pStyle w:val="TableBodyText"/>
                    <w:ind w:right="28"/>
                  </w:pPr>
                  <w:r>
                    <w:t>1</w:t>
                  </w:r>
                </w:p>
              </w:tc>
            </w:tr>
            <w:tr w:rsidR="001433E0" w:rsidTr="00E406E0">
              <w:trPr>
                <w:trHeight w:val="283"/>
              </w:trPr>
              <w:tc>
                <w:tcPr>
                  <w:tcW w:w="1823" w:type="dxa"/>
                  <w:tcBorders>
                    <w:bottom w:val="single" w:sz="6" w:space="0" w:color="auto"/>
                  </w:tcBorders>
                  <w:shd w:val="clear" w:color="auto" w:fill="auto"/>
                </w:tcPr>
                <w:p w:rsidR="001433E0" w:rsidRDefault="001433E0" w:rsidP="00E406E0">
                  <w:pPr>
                    <w:pStyle w:val="TableBodyText"/>
                    <w:spacing w:before="120"/>
                    <w:jc w:val="left"/>
                  </w:pPr>
                  <w:r w:rsidRPr="00196D4A">
                    <w:rPr>
                      <w:i/>
                    </w:rPr>
                    <w:t>Elasticity</w:t>
                  </w:r>
                  <w:r w:rsidRPr="00680B0D">
                    <w:rPr>
                      <w:rStyle w:val="NoteLabel"/>
                    </w:rPr>
                    <w:t>a</w:t>
                  </w:r>
                </w:p>
              </w:tc>
              <w:tc>
                <w:tcPr>
                  <w:tcW w:w="230" w:type="dxa"/>
                  <w:tcBorders>
                    <w:bottom w:val="single" w:sz="6" w:space="0" w:color="auto"/>
                  </w:tcBorders>
                </w:tcPr>
                <w:p w:rsidR="001433E0" w:rsidRDefault="001433E0" w:rsidP="00E406E0">
                  <w:pPr>
                    <w:pStyle w:val="TableBodyText"/>
                    <w:spacing w:before="120"/>
                  </w:pPr>
                </w:p>
              </w:tc>
              <w:tc>
                <w:tcPr>
                  <w:tcW w:w="1281" w:type="dxa"/>
                  <w:tcBorders>
                    <w:bottom w:val="single" w:sz="6" w:space="0" w:color="auto"/>
                  </w:tcBorders>
                  <w:shd w:val="clear" w:color="auto" w:fill="auto"/>
                </w:tcPr>
                <w:p w:rsidR="001433E0" w:rsidRDefault="001433E0" w:rsidP="00E406E0">
                  <w:pPr>
                    <w:pStyle w:val="TableBodyText"/>
                    <w:spacing w:before="120"/>
                  </w:pPr>
                  <w:r>
                    <w:t>1</w:t>
                  </w:r>
                </w:p>
              </w:tc>
              <w:tc>
                <w:tcPr>
                  <w:tcW w:w="1281" w:type="dxa"/>
                  <w:tcBorders>
                    <w:bottom w:val="single" w:sz="6" w:space="0" w:color="auto"/>
                  </w:tcBorders>
                  <w:shd w:val="clear" w:color="auto" w:fill="auto"/>
                </w:tcPr>
                <w:p w:rsidR="001433E0" w:rsidRDefault="001433E0" w:rsidP="00E406E0">
                  <w:pPr>
                    <w:pStyle w:val="TableBodyText"/>
                    <w:spacing w:before="120"/>
                  </w:pPr>
                  <w:r>
                    <w:t>0.73</w:t>
                  </w:r>
                </w:p>
              </w:tc>
              <w:tc>
                <w:tcPr>
                  <w:tcW w:w="1281" w:type="dxa"/>
                  <w:tcBorders>
                    <w:bottom w:val="single" w:sz="6" w:space="0" w:color="auto"/>
                  </w:tcBorders>
                  <w:shd w:val="clear" w:color="auto" w:fill="auto"/>
                </w:tcPr>
                <w:p w:rsidR="001433E0" w:rsidRDefault="001433E0" w:rsidP="00E406E0">
                  <w:pPr>
                    <w:pStyle w:val="TableBodyText"/>
                    <w:spacing w:before="120"/>
                  </w:pPr>
                  <w:r>
                    <w:t>0.53</w:t>
                  </w:r>
                </w:p>
              </w:tc>
              <w:tc>
                <w:tcPr>
                  <w:tcW w:w="1281" w:type="dxa"/>
                  <w:tcBorders>
                    <w:bottom w:val="single" w:sz="6" w:space="0" w:color="auto"/>
                  </w:tcBorders>
                  <w:shd w:val="clear" w:color="auto" w:fill="auto"/>
                </w:tcPr>
                <w:p w:rsidR="001433E0" w:rsidRDefault="001433E0" w:rsidP="00E406E0">
                  <w:pPr>
                    <w:pStyle w:val="TableBodyText"/>
                    <w:spacing w:before="120"/>
                  </w:pPr>
                  <w:r>
                    <w:t>0.50</w:t>
                  </w:r>
                </w:p>
              </w:tc>
              <w:tc>
                <w:tcPr>
                  <w:tcW w:w="1281" w:type="dxa"/>
                  <w:tcBorders>
                    <w:bottom w:val="single" w:sz="6" w:space="0" w:color="auto"/>
                  </w:tcBorders>
                  <w:shd w:val="clear" w:color="auto" w:fill="auto"/>
                </w:tcPr>
                <w:p w:rsidR="001433E0" w:rsidRDefault="001433E0" w:rsidP="00E406E0">
                  <w:pPr>
                    <w:pStyle w:val="TableBodyText"/>
                    <w:spacing w:before="120"/>
                    <w:ind w:right="28"/>
                  </w:pPr>
                  <w:r>
                    <w:t>0</w:t>
                  </w:r>
                </w:p>
              </w:tc>
            </w:tr>
          </w:tbl>
          <w:p w:rsidR="001433E0" w:rsidRDefault="001433E0" w:rsidP="00E406E0">
            <w:pPr>
              <w:pStyle w:val="Note"/>
            </w:pPr>
            <w:r>
              <w:rPr>
                <w:rStyle w:val="NoteLabel"/>
              </w:rPr>
              <w:t xml:space="preserve">a </w:t>
            </w:r>
            <w:r>
              <w:t xml:space="preserve">Using household size as the determinant, equivalence scales can be expressed through an ‘equivalence elasticity’; that is, the power by which economic needs change with household size. The equivalence elasticity can range from 0 (when adjusted household disposable income is taken as the income measure) to 1 (when per capita household income is used). The smaller the value of this elasticity, the higher the economies of scale in consumption. </w:t>
            </w:r>
          </w:p>
          <w:p w:rsidR="001433E0" w:rsidRDefault="001433E0" w:rsidP="00E406E0">
            <w:pPr>
              <w:pStyle w:val="Box"/>
            </w:pPr>
            <w:r>
              <w:t>The choice of a particular equivalence scale depends on assumptions about economies of scale in consumption and value judgements about the priority assigned to the needs of different individuals such as children or the elderly. Different equivalence scales will produce different estimates of income poverty rates.</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Source"/>
            </w:pPr>
            <w:r>
              <w:rPr>
                <w:i/>
              </w:rPr>
              <w:t>Source</w:t>
            </w:r>
            <w:r w:rsidRPr="00167F06">
              <w:t xml:space="preserve">: </w:t>
            </w:r>
            <w:r>
              <w:t>F</w:t>
            </w:r>
            <w:r>
              <w:rPr>
                <w:rFonts w:cs="Arial"/>
              </w:rPr>
              <w:t>ö</w:t>
            </w:r>
            <w:r>
              <w:t>rster and d’Ercole (2009).</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RPr="000863A5" w:rsidTr="00E406E0">
        <w:tc>
          <w:tcPr>
            <w:tcW w:w="8771" w:type="dxa"/>
            <w:tcBorders>
              <w:top w:val="nil"/>
              <w:left w:val="nil"/>
              <w:bottom w:val="nil"/>
              <w:right w:val="nil"/>
            </w:tcBorders>
          </w:tcPr>
          <w:p w:rsidR="001433E0" w:rsidRPr="00626D32" w:rsidRDefault="001433E0" w:rsidP="00E406E0">
            <w:pPr>
              <w:pStyle w:val="BoxSpaceBelow"/>
            </w:pPr>
          </w:p>
        </w:tc>
      </w:tr>
    </w:tbl>
    <w:p w:rsidR="001433E0" w:rsidRDefault="001433E0" w:rsidP="001433E0">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2</w:t>
            </w:r>
            <w:r>
              <w:rPr>
                <w:b w:val="0"/>
              </w:rPr>
              <w:fldChar w:fldCharType="end"/>
            </w:r>
            <w:r>
              <w:tab/>
              <w:t>Henderson Poverty Line — an early Australian measure of relative poverty</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rsidRPr="00005723">
              <w:t xml:space="preserve">The Henderson poverty line was developed by the Commission of Inquiry into Poverty (1975). </w:t>
            </w:r>
            <w:r>
              <w:t xml:space="preserve">In the Commission’s first main report, Henderson sought to identify the extent of poverty in Australia in terms of inadequate income relative to need. Any family with income below what was considered as representative of an ‘austere’ standard of living, was considered to be living in poverty. The Commission, however, also acknowledged the limitations of such a measure: </w:t>
            </w:r>
          </w:p>
          <w:p w:rsidR="001433E0" w:rsidRDefault="001433E0" w:rsidP="00E406E0">
            <w:pPr>
              <w:pStyle w:val="BoxQuote"/>
            </w:pPr>
            <w:r>
              <w:t>The drawing of a poverty line or lines is essential if a working estimate is to be made of how many people in the community are poor and how much it will cost to bring them up to a poverty line. It is equally essential, however, that a poverty line drawn in economic terms should not be the sole indicator of the extent of poverty … poverty in Australia is inseparable from inequalities firmly entrenched in our social structure. (p. viii)</w:t>
            </w:r>
          </w:p>
          <w:p w:rsidR="001433E0" w:rsidRDefault="001433E0" w:rsidP="00E406E0">
            <w:pPr>
              <w:pStyle w:val="Box"/>
            </w:pPr>
            <w:r>
              <w:t xml:space="preserve">The Henderson poverty line was set at a benchmark income of $62.70 per week for the September quarter 1973, which was around the value of the basic wage plus child endowment (an earlier version of family allowance), for a reference family of two adults with two children. Adjustments were then made for other household types. </w:t>
            </w:r>
          </w:p>
          <w:p w:rsidR="001433E0" w:rsidRDefault="001433E0" w:rsidP="00E406E0">
            <w:pPr>
              <w:pStyle w:val="Box"/>
            </w:pPr>
            <w:r>
              <w:t xml:space="preserve">The Melbourne Institute has since published quarterly updates of the Henderson Poverty Line. For the September quarter 2012, inclusive of housing costs, the poverty line was $908.17 per week for a family comprising two adults, one of whom was working, and two dependent children. </w:t>
            </w:r>
          </w:p>
          <w:p w:rsidR="001433E0" w:rsidRPr="00005723" w:rsidRDefault="001433E0" w:rsidP="00E406E0">
            <w:pPr>
              <w:pStyle w:val="Box"/>
            </w:pPr>
            <w:r>
              <w:t xml:space="preserve">There has been much debate about the strengths and weaknesses of the Henderson Poverty Line. Criticisms relate to the arbitrary elements of the standard, the adjustments made for families of different sizes and composition and the method of updating over time (Harding, Lloyd and Greenwell 2001; Stanton 1980; Travers and Richardon 1993; Tsumori, Saunders and Hughes 2002). No Australian government has officially endorsed the use of the Henderson Poverty Line and it is no longer used by most poverty researchers in Australia. Poverty lines based on a proportion of median household incomes are now more common. While these lines are not subject to the concerns expressed about how the Henderson Poverty Line is updated, there are still debates about how the poverty threshold is set (50 or 60 per cent of median household income) and how adjustments are made for family size and composition. </w:t>
            </w:r>
          </w:p>
        </w:tc>
      </w:tr>
      <w:tr w:rsidR="001433E0" w:rsidTr="00E406E0">
        <w:trPr>
          <w:cantSplit/>
        </w:trPr>
        <w:tc>
          <w:tcPr>
            <w:tcW w:w="8771" w:type="dxa"/>
            <w:tcBorders>
              <w:top w:val="nil"/>
              <w:left w:val="single" w:sz="6" w:space="0" w:color="auto"/>
              <w:bottom w:val="nil"/>
              <w:right w:val="single" w:sz="6" w:space="0" w:color="auto"/>
            </w:tcBorders>
          </w:tcPr>
          <w:p w:rsidR="001433E0" w:rsidRPr="005F3C4D" w:rsidRDefault="001433E0" w:rsidP="005D40B7">
            <w:pPr>
              <w:pStyle w:val="BoxSource"/>
              <w:jc w:val="left"/>
            </w:pPr>
            <w:r>
              <w:rPr>
                <w:i/>
              </w:rPr>
              <w:t>Sources</w:t>
            </w:r>
            <w:r w:rsidRPr="00167F06">
              <w:t xml:space="preserve">: </w:t>
            </w:r>
            <w:r>
              <w:t xml:space="preserve">Australian Government (1975); Harding, Lloyd and Greenwell (2001); </w:t>
            </w:r>
            <w:r w:rsidR="00E406E0">
              <w:t xml:space="preserve">Melbourne Institute, Poverty Lines Australia,  </w:t>
            </w:r>
            <w:r w:rsidR="005D40B7">
              <w:t>http:// melbournei</w:t>
            </w:r>
            <w:r w:rsidR="00E406E0">
              <w:t xml:space="preserve">nstitute.com/miaesr/poverty-line-australia. html; </w:t>
            </w:r>
            <w:r>
              <w:t>Stanton (1980); Tsumo</w:t>
            </w:r>
            <w:r w:rsidR="005D40B7">
              <w:t>r</w:t>
            </w:r>
            <w:r>
              <w:t>i, Saunders and Hughes  (2002); Travers and Richardson (1993)</w:t>
            </w:r>
            <w:r w:rsidR="00E406E0">
              <w:t>.</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Tr="00E406E0">
        <w:tc>
          <w:tcPr>
            <w:tcW w:w="8771" w:type="dxa"/>
            <w:tcBorders>
              <w:top w:val="nil"/>
              <w:left w:val="nil"/>
              <w:bottom w:val="nil"/>
              <w:right w:val="nil"/>
            </w:tcBorders>
          </w:tcPr>
          <w:p w:rsidR="001433E0" w:rsidRDefault="001433E0" w:rsidP="00E406E0">
            <w:pPr>
              <w:pStyle w:val="Box"/>
              <w:keepNext w:val="0"/>
              <w:spacing w:before="60" w:after="60" w:line="80" w:lineRule="exact"/>
              <w:rPr>
                <w:b/>
                <w:color w:val="FF00FF"/>
                <w:sz w:val="14"/>
              </w:rPr>
            </w:pPr>
          </w:p>
        </w:tc>
      </w:tr>
    </w:tbl>
    <w:p w:rsidR="001433E0" w:rsidRDefault="001433E0" w:rsidP="001433E0">
      <w:pPr>
        <w:pStyle w:val="Heading4"/>
        <w:spacing w:before="400"/>
      </w:pPr>
      <w:r>
        <w:t>Income is not always an accurate measure of a person’s disadvantage</w:t>
      </w:r>
    </w:p>
    <w:p w:rsidR="001433E0" w:rsidRDefault="001433E0" w:rsidP="001433E0">
      <w:pPr>
        <w:pStyle w:val="BodyText"/>
        <w:spacing w:before="200"/>
      </w:pPr>
      <w:r>
        <w:t xml:space="preserve">While income poverty measures are widely used (largely because they are relatively easy to construct and have a clear interpretation), their use as an indicator has some important limitations. </w:t>
      </w:r>
    </w:p>
    <w:p w:rsidR="001433E0" w:rsidRDefault="001433E0" w:rsidP="001433E0">
      <w:pPr>
        <w:pStyle w:val="BodyText"/>
        <w:spacing w:before="200"/>
      </w:pPr>
      <w:r>
        <w:lastRenderedPageBreak/>
        <w:t>Low income does not necessarily establish disadvantage or poverty. It is a partial measure taken at a point in time. In any given year, the income of a household could be atypical because of events such as illness, temporary unemployment or receipt of a bonus.</w:t>
      </w:r>
    </w:p>
    <w:p w:rsidR="001433E0" w:rsidRDefault="001433E0" w:rsidP="001433E0">
      <w:pPr>
        <w:pStyle w:val="BodyText"/>
        <w:spacing w:before="200" w:line="320" w:lineRule="exact"/>
      </w:pPr>
      <w:r>
        <w:t xml:space="preserve">Income based measures may not fully capture a household’s access to other resources (such as savings, wealth or support from family and friends) or subsidised goods and services (such as public housing and public transport) (OECD 2008). For example, a low income household could borrow or draw on accumulated wealth to support their consumption. Alternatively, a household could be above an income poverty threshold but not have access to sufficient financial resources in the case of an adverse event. As noted in an OECD report: </w:t>
      </w:r>
    </w:p>
    <w:p w:rsidR="001433E0" w:rsidRPr="00CC62A4" w:rsidRDefault="001433E0" w:rsidP="001433E0">
      <w:pPr>
        <w:pStyle w:val="Quote"/>
      </w:pPr>
      <w:r>
        <w:t>Income measures of poverty are generally based on cross</w:t>
      </w:r>
      <w:r>
        <w:noBreakHyphen/>
        <w:t>section data that offer a snap</w:t>
      </w:r>
      <w:r>
        <w:noBreakHyphen/>
        <w:t xml:space="preserve">shot of the individual’s situation combining transitory and persistent features. Further, income measures do not provide a full picture of ‘command over resources’: they neglect individuals’ ability to borrow, to draw from accumulated savings, and to benefit from help provided by family or friends, as well as consumption of public services such as education, health and housing. For these reasons, income provides only a partial description of the individual’s ability to enjoy an ‘acceptable’ life. (Boarini and d’Ercole  2006, p. 10) </w:t>
      </w:r>
    </w:p>
    <w:p w:rsidR="001433E0" w:rsidRDefault="001433E0" w:rsidP="001433E0">
      <w:pPr>
        <w:pStyle w:val="BodyText"/>
        <w:spacing w:before="200"/>
      </w:pPr>
      <w:r>
        <w:t xml:space="preserve">Taking account of household wealth, as well as income, provides a more accurate picture of a household’s command over financial resources. In line with this approach, indicators of deep and persistent disadvantage should identify those people who have low income and wealth and cannot afford life’s necessities. Such indicators need to adopt a broad perspective of the constraints that can limit people’s lives for an extended period of time. </w:t>
      </w:r>
    </w:p>
    <w:p w:rsidR="001433E0" w:rsidRDefault="001433E0" w:rsidP="001433E0">
      <w:pPr>
        <w:pStyle w:val="BodyText"/>
        <w:spacing w:before="200"/>
      </w:pPr>
      <w:r>
        <w:t xml:space="preserve">Indicators of low economic resources (including, for example, people in the lowest two quintiles of both equivalised adjusted disposable household income and equivalised household net worth) are now commonly used. Headey, Krause and Wagner (2009) adopted an even broader approach — adding net worth and consumption filters to the income poverty measures (chapter 3). </w:t>
      </w:r>
    </w:p>
    <w:p w:rsidR="001433E0" w:rsidRDefault="001433E0" w:rsidP="001433E0">
      <w:pPr>
        <w:pStyle w:val="BodyText"/>
      </w:pPr>
      <w:r>
        <w:t>A further consideration is that needs can also vary across individuals and households. A threshold level of income that is minimally adequate for most people could still leave some with insufficient resources because:</w:t>
      </w:r>
    </w:p>
    <w:p w:rsidR="001433E0" w:rsidRDefault="001433E0" w:rsidP="001433E0">
      <w:pPr>
        <w:pStyle w:val="ListBullet"/>
      </w:pPr>
      <w:r>
        <w:t>they have special needs (such as the result of sickness or disability)</w:t>
      </w:r>
    </w:p>
    <w:p w:rsidR="001433E0" w:rsidRDefault="001433E0" w:rsidP="001433E0">
      <w:pPr>
        <w:pStyle w:val="ListBullet"/>
      </w:pPr>
      <w:r>
        <w:t>they have high work</w:t>
      </w:r>
      <w:r>
        <w:noBreakHyphen/>
        <w:t xml:space="preserve">related expenses (such as childcare or transport costs) or </w:t>
      </w:r>
    </w:p>
    <w:p w:rsidR="001433E0" w:rsidRPr="00CC62A4" w:rsidRDefault="001433E0" w:rsidP="001433E0">
      <w:pPr>
        <w:pStyle w:val="ListBullet"/>
      </w:pPr>
      <w:r>
        <w:t xml:space="preserve">the purchasing power of their income is affected by geographical variations in prices of goods and services and travel expenses (as is commonly the case in rural and remote areas) (OECD 2008). </w:t>
      </w:r>
    </w:p>
    <w:p w:rsidR="001433E0" w:rsidRDefault="001433E0" w:rsidP="001433E0">
      <w:pPr>
        <w:pStyle w:val="BodyText"/>
        <w:spacing w:before="200"/>
      </w:pPr>
      <w:r>
        <w:lastRenderedPageBreak/>
        <w:t xml:space="preserve">Disadvantage, therefore, is associated with more than insufficient income (or consumption); the test is primarily about insufficient outcomes (wellbeing or living standards). </w:t>
      </w:r>
    </w:p>
    <w:p w:rsidR="001433E0" w:rsidRDefault="001433E0" w:rsidP="001433E0">
      <w:pPr>
        <w:pStyle w:val="BodyText"/>
        <w:spacing w:before="200"/>
      </w:pPr>
      <w:r>
        <w:t>Income measures also fail to capture a range of other circumstances that can contribute to a poor quality of life, such as poor health, low self</w:t>
      </w:r>
      <w:r>
        <w:noBreakHyphen/>
        <w:t>esteem or a lack of political freedoms. Drawing on Wolff and de-Shalit (2007), Saunders (2011) presented the case of Leah (or Lucky), a single parent born in North Africa who is living in the south of Israel. Leah lacks education and employable skills. She also struggles with deep depression in her attempt to give meaning to a harsh and miserable life. Commenting on Leah’s circumstances, Saunders quotes Wolff and de-Shalit:</w:t>
      </w:r>
    </w:p>
    <w:p w:rsidR="001433E0" w:rsidRDefault="001433E0" w:rsidP="001433E0">
      <w:pPr>
        <w:pStyle w:val="Quote"/>
      </w:pPr>
      <w:r>
        <w:t xml:space="preserve">… the immediate problems she faces are not confined to lack of money … her disadvantage is multi-faceted, [and] … plural in nature. Clearly, providing Leah with more money, and boosting her purchasing power, would have a number of positive effects. … money is an extremely valuable means to other things that make life go well. Yet it is limited too. … In short, </w:t>
      </w:r>
      <w:r w:rsidRPr="00066498">
        <w:rPr>
          <w:i/>
        </w:rPr>
        <w:t>redistribution of money cannot in itself end oppressive social structures</w:t>
      </w:r>
      <w:r>
        <w:t>. (p. 2)</w:t>
      </w:r>
    </w:p>
    <w:p w:rsidR="001433E0" w:rsidRDefault="001433E0" w:rsidP="001433E0">
      <w:pPr>
        <w:pStyle w:val="BodyText"/>
        <w:spacing w:before="200"/>
      </w:pPr>
      <w:r>
        <w:t xml:space="preserve">Sen (2000) similarly argued that while income has an ‘enormous influence’ on lives, it is ‘impoverished lives, and not just depleted wallets’ that matter: </w:t>
      </w:r>
    </w:p>
    <w:p w:rsidR="001433E0" w:rsidRDefault="001433E0" w:rsidP="001433E0">
      <w:pPr>
        <w:pStyle w:val="Quote"/>
      </w:pPr>
      <w:r>
        <w:t xml:space="preserve">… income — properly defined — has an enormous influence on the kind of lives we can lead. The impoverishment of our lives results frequently from the inadequacy of income, and in this sense low income must be an important cause of poor living. And yet … ultimately poverty must be seen in terms of poor living, rather than just as lowness of incomes (and ‘nothing else’). Income may be the most prominent means for a good life without deprivation, but it is not the only influence on the lives we can lead. If our paramount interest is in the lives that people can lead — the freedom they have to lead minimally decent lives — then it cannot but be a mistake to concentrate exclusively only on one or other of the </w:t>
      </w:r>
      <w:r w:rsidRPr="005A28CE">
        <w:rPr>
          <w:i/>
        </w:rPr>
        <w:t>means</w:t>
      </w:r>
      <w:r>
        <w:t xml:space="preserve"> to such freedom. We must look at impoverished lives, and not just at depleted wallets. (p. 3)</w:t>
      </w:r>
    </w:p>
    <w:p w:rsidR="001433E0" w:rsidRDefault="001433E0" w:rsidP="001433E0">
      <w:pPr>
        <w:pStyle w:val="Heading3"/>
        <w:spacing w:before="500"/>
      </w:pPr>
      <w:r>
        <w:t xml:space="preserve">Some broader concepts of disadvantage </w:t>
      </w:r>
    </w:p>
    <w:p w:rsidR="001433E0" w:rsidRDefault="001433E0" w:rsidP="001433E0">
      <w:pPr>
        <w:pStyle w:val="BodyText"/>
        <w:spacing w:before="200"/>
      </w:pPr>
      <w:r>
        <w:t xml:space="preserve">In recognition of the need for a richer conceptualisation of disadvantage that is linked more closely to a person’s living standards and quality of life, a number of broader concepts of disadvantage have emerged in the literature. Three key approaches include: </w:t>
      </w:r>
    </w:p>
    <w:p w:rsidR="001433E0" w:rsidRDefault="001433E0" w:rsidP="001433E0">
      <w:pPr>
        <w:pStyle w:val="ListBullet"/>
        <w:spacing w:before="100"/>
      </w:pPr>
      <w:r>
        <w:t xml:space="preserve">the </w:t>
      </w:r>
      <w:r w:rsidRPr="00DD4E90">
        <w:t>depr</w:t>
      </w:r>
      <w:r>
        <w:t>iv</w:t>
      </w:r>
      <w:r w:rsidRPr="00DD4E90">
        <w:t>ation approach</w:t>
      </w:r>
      <w:r>
        <w:t>, associated with the pioneering work of Peter Townsend (section 2.2)</w:t>
      </w:r>
    </w:p>
    <w:p w:rsidR="001433E0" w:rsidRDefault="001433E0" w:rsidP="001433E0">
      <w:pPr>
        <w:pStyle w:val="ListBullet"/>
        <w:spacing w:before="100"/>
      </w:pPr>
      <w:r>
        <w:t>the capability approach, developed by Nobel Prize winning economist Amartya Sen (section 2.3)</w:t>
      </w:r>
    </w:p>
    <w:p w:rsidR="001433E0" w:rsidRDefault="001433E0" w:rsidP="001433E0">
      <w:pPr>
        <w:pStyle w:val="ListBullet"/>
        <w:spacing w:before="100"/>
      </w:pPr>
      <w:r>
        <w:lastRenderedPageBreak/>
        <w:t xml:space="preserve">the concept of ‘social exclusion’, which originated in France in the 1970s (section 2.4). </w:t>
      </w:r>
    </w:p>
    <w:p w:rsidR="001433E0" w:rsidRDefault="00E6722A" w:rsidP="001433E0">
      <w:pPr>
        <w:pStyle w:val="Heading2"/>
        <w:spacing w:before="560"/>
      </w:pPr>
      <w:r>
        <w:fldChar w:fldCharType="begin"/>
      </w:r>
      <w:r>
        <w:instrText xml:space="preserve"> COMMENTS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2</w:t>
      </w:r>
      <w:r>
        <w:rPr>
          <w:noProof/>
        </w:rPr>
        <w:fldChar w:fldCharType="end"/>
      </w:r>
      <w:r w:rsidR="001433E0">
        <w:tab/>
        <w:t xml:space="preserve">Deprivation </w:t>
      </w:r>
    </w:p>
    <w:p w:rsidR="001433E0" w:rsidRDefault="001433E0" w:rsidP="001433E0">
      <w:pPr>
        <w:pStyle w:val="BodyText"/>
        <w:spacing w:before="200"/>
      </w:pPr>
      <w:r>
        <w:t xml:space="preserve">Townsend (1979), a British sociologist, argued that the concept of deprivation was central to the definition and understanding of poverty:  </w:t>
      </w:r>
    </w:p>
    <w:p w:rsidR="001433E0" w:rsidRDefault="001433E0" w:rsidP="001433E0">
      <w:pPr>
        <w:pStyle w:val="Quote"/>
      </w:pPr>
      <w:r>
        <w:t xml:space="preserve">Individuals, families and groups in the population can be said to be in poverty when they lack the resources to obtain the types of diet, participate in the activities and have the living conditions and amenities which are customary, or at least widely encouraged or approved, in the societies to which they belong. Their resources are so seriously below those commanded by the average individual or family that they are, in effect, excluded from ordinary living patterns and activities. (p. 31) </w:t>
      </w:r>
    </w:p>
    <w:p w:rsidR="001433E0" w:rsidRDefault="001433E0" w:rsidP="001433E0">
      <w:pPr>
        <w:pStyle w:val="BodyText"/>
        <w:spacing w:before="200"/>
        <w:rPr>
          <w:snapToGrid w:val="0"/>
          <w:lang w:val="en-US"/>
        </w:rPr>
      </w:pPr>
      <w:r>
        <w:rPr>
          <w:snapToGrid w:val="0"/>
          <w:lang w:val="en-US"/>
        </w:rPr>
        <w:t xml:space="preserve">Measures of deprivation look at outcomes or the reported experiences of households by looking at whether households miss out on items that society considers nobody should have to do without. Social norms, rather than an arbitrary proportion of median income, are used to define an unacceptable standard of living. </w:t>
      </w:r>
    </w:p>
    <w:p w:rsidR="001433E0" w:rsidRDefault="001433E0" w:rsidP="001433E0">
      <w:pPr>
        <w:pStyle w:val="BodyText"/>
        <w:spacing w:before="200"/>
      </w:pPr>
      <w:r>
        <w:t>Townsend identified, for British households at that time, 12 indicators of deprivation (from a wider group of 60 indicators) relating to diet, clothing, fuel and light, household facilities, housing conditions, work conditions, health, education, environment, family activities, recreation and social relations (box 2.3). Based on binary deprivation scores (that is, having, or not having, a specific good) for these items, Townsend built a scale for each item (individuals with a score equal to or greater than five were said to be living in poverty) and derived an income threshold corresponding to the level below which ‘deprivation scores escalated disproportionately’.</w:t>
      </w:r>
    </w:p>
    <w:p w:rsidR="001433E0" w:rsidRDefault="001433E0" w:rsidP="001433E0">
      <w:pPr>
        <w:pStyle w:val="BodyText"/>
      </w:pPr>
      <w:r>
        <w:t xml:space="preserve">Some of the criticisms of the deprivation approach relate to: </w:t>
      </w:r>
    </w:p>
    <w:p w:rsidR="001433E0" w:rsidRDefault="001433E0" w:rsidP="001433E0">
      <w:pPr>
        <w:pStyle w:val="ListBullet"/>
        <w:spacing w:before="100"/>
      </w:pPr>
      <w:r>
        <w:t xml:space="preserve">how to distinguish between preferences and constraints; that is, whether someone is doing or going without something because of financial constraints or by choice </w:t>
      </w:r>
    </w:p>
    <w:p w:rsidR="001433E0" w:rsidRDefault="001433E0" w:rsidP="001433E0">
      <w:pPr>
        <w:pStyle w:val="ListBullet"/>
        <w:spacing w:before="100"/>
      </w:pPr>
      <w:r>
        <w:t>the cultural and temporal context (or even arbitrariness) of the list of items or activities considered as ‘necessities’ which, even if well founded on social norms, will change over time</w:t>
      </w:r>
    </w:p>
    <w:p w:rsidR="001433E0" w:rsidRDefault="001433E0" w:rsidP="001433E0">
      <w:pPr>
        <w:pStyle w:val="ListBullet"/>
        <w:spacing w:before="100"/>
      </w:pPr>
      <w:r>
        <w:t>the failure to take into account the seriousness of different forms of deprivation — an approach that assigns each type of deprivation an equal weight may not be reasonable — for example, is going one or more days (in a fortnight) without a cooked meal as important as not having access to a television? (Boarini and d’Ercole 2006; Gordon 2006).</w:t>
      </w:r>
    </w:p>
    <w:p w:rsidR="001433E0" w:rsidRDefault="001433E0" w:rsidP="001433E0">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bookmarkStart w:id="4" w:name="OLE_LINK1"/>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3</w:t>
            </w:r>
            <w:r>
              <w:rPr>
                <w:b w:val="0"/>
              </w:rPr>
              <w:fldChar w:fldCharType="end"/>
            </w:r>
            <w:bookmarkEnd w:id="4"/>
            <w:r>
              <w:tab/>
              <w:t>Townsend’s summary deprivation index</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tabs>
                <w:tab w:val="left" w:pos="403"/>
              </w:tabs>
              <w:ind w:left="403" w:hanging="403"/>
            </w:pPr>
            <w:r>
              <w:t>1.</w:t>
            </w:r>
            <w:r>
              <w:tab/>
              <w:t>Has not had a week’s holiday away from home in last 12 months.</w:t>
            </w:r>
          </w:p>
          <w:p w:rsidR="001433E0" w:rsidRDefault="001433E0" w:rsidP="00E406E0">
            <w:pPr>
              <w:pStyle w:val="Box"/>
              <w:tabs>
                <w:tab w:val="left" w:pos="403"/>
              </w:tabs>
              <w:ind w:left="403" w:hanging="403"/>
            </w:pPr>
            <w:r>
              <w:t>2.</w:t>
            </w:r>
            <w:r>
              <w:tab/>
            </w:r>
            <w:r w:rsidRPr="00D15DD9">
              <w:rPr>
                <w:i/>
              </w:rPr>
              <w:t>Adults only</w:t>
            </w:r>
            <w:r>
              <w:t>. Has not had a relative or friend to the home for a meal or snack in the last 4 weeks.</w:t>
            </w:r>
          </w:p>
          <w:p w:rsidR="001433E0" w:rsidRDefault="001433E0" w:rsidP="00E406E0">
            <w:pPr>
              <w:pStyle w:val="Box"/>
              <w:tabs>
                <w:tab w:val="left" w:pos="403"/>
              </w:tabs>
              <w:ind w:left="403" w:hanging="403"/>
            </w:pPr>
            <w:r>
              <w:t>3.</w:t>
            </w:r>
            <w:r>
              <w:tab/>
            </w:r>
            <w:r w:rsidRPr="00D15DD9">
              <w:rPr>
                <w:i/>
              </w:rPr>
              <w:t>Adults only</w:t>
            </w:r>
            <w:r>
              <w:t>. Has not been out in the last 4 weeks to a relative or friends for a meal or snack.</w:t>
            </w:r>
          </w:p>
          <w:p w:rsidR="001433E0" w:rsidRDefault="001433E0" w:rsidP="00E406E0">
            <w:pPr>
              <w:pStyle w:val="Box"/>
              <w:tabs>
                <w:tab w:val="left" w:pos="403"/>
              </w:tabs>
              <w:ind w:left="403" w:hanging="403"/>
            </w:pPr>
            <w:r>
              <w:t>4.</w:t>
            </w:r>
            <w:r>
              <w:tab/>
            </w:r>
            <w:r w:rsidRPr="002B58A7">
              <w:rPr>
                <w:i/>
              </w:rPr>
              <w:t>Children only</w:t>
            </w:r>
            <w:r>
              <w:t xml:space="preserve"> (under 15). Has not had a friend to play or to tea in last 4 weeks.</w:t>
            </w:r>
          </w:p>
          <w:p w:rsidR="001433E0" w:rsidRDefault="001433E0" w:rsidP="00E406E0">
            <w:pPr>
              <w:pStyle w:val="Box"/>
              <w:tabs>
                <w:tab w:val="left" w:pos="403"/>
              </w:tabs>
              <w:ind w:left="403" w:hanging="403"/>
            </w:pPr>
            <w:r>
              <w:t>5.</w:t>
            </w:r>
            <w:r>
              <w:tab/>
            </w:r>
            <w:r w:rsidRPr="002B58A7">
              <w:rPr>
                <w:i/>
              </w:rPr>
              <w:t>Children only</w:t>
            </w:r>
            <w:r>
              <w:t>. Did not have party on last birthday.</w:t>
            </w:r>
          </w:p>
          <w:p w:rsidR="001433E0" w:rsidRDefault="001433E0" w:rsidP="00E406E0">
            <w:pPr>
              <w:pStyle w:val="Box"/>
              <w:tabs>
                <w:tab w:val="left" w:pos="403"/>
              </w:tabs>
              <w:ind w:left="403" w:hanging="403"/>
            </w:pPr>
            <w:r>
              <w:t>6.</w:t>
            </w:r>
            <w:r>
              <w:tab/>
              <w:t>Has not had an afternoon or evening out for entertainment in the last two weeks.</w:t>
            </w:r>
          </w:p>
          <w:p w:rsidR="001433E0" w:rsidRDefault="001433E0" w:rsidP="00E406E0">
            <w:pPr>
              <w:pStyle w:val="Box"/>
              <w:tabs>
                <w:tab w:val="left" w:pos="403"/>
              </w:tabs>
              <w:ind w:left="403" w:hanging="403"/>
            </w:pPr>
            <w:r>
              <w:t>7.</w:t>
            </w:r>
            <w:r>
              <w:tab/>
              <w:t>Does not have fresh meat (including meals out) as many as four days a week.</w:t>
            </w:r>
          </w:p>
          <w:p w:rsidR="001433E0" w:rsidRDefault="001433E0" w:rsidP="00E406E0">
            <w:pPr>
              <w:pStyle w:val="Box"/>
              <w:tabs>
                <w:tab w:val="left" w:pos="403"/>
              </w:tabs>
              <w:ind w:left="403" w:hanging="403"/>
            </w:pPr>
            <w:r>
              <w:t>8.</w:t>
            </w:r>
            <w:r>
              <w:tab/>
              <w:t>Has gone through one or more days in the past fortnight without a cooked meal.</w:t>
            </w:r>
          </w:p>
          <w:p w:rsidR="001433E0" w:rsidRDefault="001433E0" w:rsidP="00E406E0">
            <w:pPr>
              <w:pStyle w:val="Box"/>
              <w:tabs>
                <w:tab w:val="left" w:pos="403"/>
              </w:tabs>
              <w:ind w:left="403" w:hanging="403"/>
            </w:pPr>
            <w:r>
              <w:t>9.</w:t>
            </w:r>
            <w:r>
              <w:tab/>
              <w:t>Has not had a cooked breakfast most days of the week.</w:t>
            </w:r>
          </w:p>
          <w:p w:rsidR="001433E0" w:rsidRDefault="001433E0" w:rsidP="00E406E0">
            <w:pPr>
              <w:pStyle w:val="Box"/>
              <w:tabs>
                <w:tab w:val="left" w:pos="403"/>
              </w:tabs>
              <w:ind w:left="403" w:hanging="403"/>
            </w:pPr>
            <w:r>
              <w:t>10.</w:t>
            </w:r>
            <w:r>
              <w:tab/>
              <w:t>Household does not have a refrigerator.</w:t>
            </w:r>
          </w:p>
          <w:p w:rsidR="001433E0" w:rsidRDefault="001433E0" w:rsidP="00E406E0">
            <w:pPr>
              <w:pStyle w:val="Box"/>
              <w:tabs>
                <w:tab w:val="left" w:pos="403"/>
              </w:tabs>
              <w:ind w:left="403" w:hanging="403"/>
            </w:pPr>
            <w:r>
              <w:t>11.</w:t>
            </w:r>
            <w:r>
              <w:tab/>
              <w:t>Household does not usually have a Sunday joint (3 in 4 times).</w:t>
            </w:r>
          </w:p>
          <w:p w:rsidR="001433E0" w:rsidRDefault="001433E0" w:rsidP="00E406E0">
            <w:pPr>
              <w:pStyle w:val="Box"/>
              <w:tabs>
                <w:tab w:val="left" w:pos="403"/>
              </w:tabs>
              <w:ind w:left="403" w:hanging="403"/>
            </w:pPr>
            <w:r>
              <w:t>12.</w:t>
            </w:r>
            <w:r>
              <w:tab/>
              <w:t>Household does not have sole use of four amenities indoors (flush WC; sink or washbasin and cold-water tap; fixed bath or shower; and gas or electric cooker).</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Source"/>
            </w:pPr>
            <w:r>
              <w:rPr>
                <w:i/>
              </w:rPr>
              <w:t>Source</w:t>
            </w:r>
            <w:r w:rsidRPr="00167F06">
              <w:t xml:space="preserve">: </w:t>
            </w:r>
            <w:r>
              <w:t>Townsend (1979, p. 250).</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Tr="00E406E0">
        <w:tc>
          <w:tcPr>
            <w:tcW w:w="8771" w:type="dxa"/>
            <w:tcBorders>
              <w:top w:val="nil"/>
              <w:left w:val="nil"/>
              <w:bottom w:val="nil"/>
              <w:right w:val="nil"/>
            </w:tcBorders>
          </w:tcPr>
          <w:p w:rsidR="001433E0" w:rsidRDefault="001433E0" w:rsidP="00E406E0">
            <w:pPr>
              <w:pStyle w:val="Box"/>
              <w:keepNext w:val="0"/>
              <w:spacing w:before="60" w:after="60" w:line="80" w:lineRule="exact"/>
              <w:rPr>
                <w:b/>
                <w:color w:val="FF00FF"/>
                <w:sz w:val="14"/>
              </w:rPr>
            </w:pPr>
          </w:p>
        </w:tc>
      </w:tr>
    </w:tbl>
    <w:p w:rsidR="001433E0" w:rsidRDefault="001433E0" w:rsidP="001433E0">
      <w:pPr>
        <w:pStyle w:val="BodyText"/>
      </w:pPr>
      <w:r>
        <w:t xml:space="preserve">In response to some of the criticism, and building on Townsend’s work, Mack and Lansley (1985) argued that deprivation existed where constraint, not choice, prevented people from ownership or participation. They attempted to reduce the arbitrariness implicit in the choice of deprivation items by asking questions to distinguish between enforced lack (not having something because you cannot afford it) and free choice. Most survey questions on deprivation now attempt to distinguish between preferences and affordability, but as noted by the OECD (2008), other aspects about the nature of deprivation, such as the quality of items, are not addressed. </w:t>
      </w:r>
    </w:p>
    <w:p w:rsidR="001433E0" w:rsidRDefault="001433E0" w:rsidP="001433E0">
      <w:pPr>
        <w:pStyle w:val="BodyText"/>
      </w:pPr>
      <w:r>
        <w:t xml:space="preserve">On the issue of what to include in the list of deprivation items, Mack and Lansley (1985) suggested asking a representative sample of people to evaluate which items they considered as socially perceived necessities. </w:t>
      </w:r>
    </w:p>
    <w:p w:rsidR="001433E0" w:rsidRDefault="001433E0" w:rsidP="001433E0">
      <w:pPr>
        <w:pStyle w:val="BodyText"/>
      </w:pPr>
      <w:r>
        <w:t>In terms of weighting different items, an alternative to the simple binary approach is to place greater weight on deprivation of those items that were considered as being a necessity by larger proportions of the population. This approach is becoming increasingly popular (Bray 2001; OECD 2008; Saunders 2011).</w:t>
      </w:r>
    </w:p>
    <w:p w:rsidR="001433E0" w:rsidRDefault="001433E0" w:rsidP="001433E0">
      <w:pPr>
        <w:rPr>
          <w:szCs w:val="20"/>
        </w:rPr>
      </w:pPr>
      <w:r>
        <w:br w:type="page"/>
      </w:r>
    </w:p>
    <w:p w:rsidR="001433E0" w:rsidRDefault="001433E0" w:rsidP="001433E0">
      <w:pPr>
        <w:pStyle w:val="BodyText"/>
      </w:pPr>
      <w:r>
        <w:lastRenderedPageBreak/>
        <w:t>Today deprivation is defined by most researchers as ‘exclusion from the minimum acceptable way of life in one’s own society because of inadequate resources’ or as ‘a lack of socially perceived necessities’ (OECD 2008, p. 179).</w:t>
      </w:r>
    </w:p>
    <w:p w:rsidR="001433E0" w:rsidRDefault="001433E0" w:rsidP="001433E0">
      <w:pPr>
        <w:pStyle w:val="BodyText"/>
      </w:pPr>
      <w:r>
        <w:t>The OECD (2008) has developed a material deprivation approach. The framework that it has adopted recognises that the minimum acceptable way of life changes over time and therefore it applies a relative threshold.</w:t>
      </w:r>
    </w:p>
    <w:p w:rsidR="001433E0" w:rsidRDefault="001433E0" w:rsidP="001433E0">
      <w:pPr>
        <w:pStyle w:val="Quote"/>
      </w:pPr>
      <w:r>
        <w:t>The forms deprivation takes will vary even among countries at a comparable level of economic development — depending on cultural norms, the diffusion within society of various types of consumption goods, the characteristics of the social protection system — as well as over time — as the luxuries of one generation become the conveniences of the next and the necessities of the one that follows. (pp. 180-181)</w:t>
      </w:r>
    </w:p>
    <w:p w:rsidR="001433E0" w:rsidRDefault="001433E0" w:rsidP="001433E0">
      <w:pPr>
        <w:pStyle w:val="BodyText"/>
      </w:pPr>
      <w:r>
        <w:t xml:space="preserve">The OECD’s typology of material deprivations distinguishes between: </w:t>
      </w:r>
    </w:p>
    <w:p w:rsidR="001433E0" w:rsidRDefault="001433E0" w:rsidP="001433E0">
      <w:pPr>
        <w:pStyle w:val="ListBullet"/>
        <w:spacing w:before="100"/>
      </w:pPr>
      <w:r w:rsidRPr="00030BEE">
        <w:rPr>
          <w:i/>
        </w:rPr>
        <w:t>satisfaction of basic needs</w:t>
      </w:r>
      <w:r>
        <w:t xml:space="preserve"> — items essential for physical survival</w:t>
      </w:r>
      <w:r w:rsidR="00E406E0">
        <w:t>,</w:t>
      </w:r>
      <w:r>
        <w:t xml:space="preserve"> such as food, clothes and ability to keep the home warm in winter</w:t>
      </w:r>
    </w:p>
    <w:p w:rsidR="001433E0" w:rsidRDefault="001433E0" w:rsidP="001433E0">
      <w:pPr>
        <w:pStyle w:val="ListBullet"/>
        <w:spacing w:before="100"/>
      </w:pPr>
      <w:r w:rsidRPr="00030BEE">
        <w:rPr>
          <w:i/>
        </w:rPr>
        <w:t>capacity to afford basic leisure and social activities</w:t>
      </w:r>
      <w:r>
        <w:t xml:space="preserve"> — items that, while not essential for physical survival, are critical for enjoying a decent quality of life, including a holiday at least once a year or occasionally inviting friends and relatives home for drinks or meals</w:t>
      </w:r>
    </w:p>
    <w:p w:rsidR="001433E0" w:rsidRDefault="001433E0" w:rsidP="001433E0">
      <w:pPr>
        <w:pStyle w:val="ListBullet"/>
        <w:spacing w:before="100"/>
      </w:pPr>
      <w:r w:rsidRPr="00030BEE">
        <w:rPr>
          <w:i/>
        </w:rPr>
        <w:t>availability of consumer goods</w:t>
      </w:r>
      <w:r>
        <w:t xml:space="preserve"> — items that are essential to perform everyday life activities (such as a telephone) or that significantly ease housework (for example, a microwave)</w:t>
      </w:r>
    </w:p>
    <w:p w:rsidR="001433E0" w:rsidRDefault="001433E0" w:rsidP="001433E0">
      <w:pPr>
        <w:pStyle w:val="ListBullet"/>
        <w:spacing w:before="100"/>
      </w:pPr>
      <w:r w:rsidRPr="00C6346E">
        <w:rPr>
          <w:i/>
        </w:rPr>
        <w:t>housing conditions</w:t>
      </w:r>
      <w:r>
        <w:t xml:space="preserve"> — the physical characteristics of the dwelling (whether the dwelling is deteriorated or damaged) and the area where the dwelling is located (exposure to noise, indoor pollution, etc.)</w:t>
      </w:r>
    </w:p>
    <w:p w:rsidR="001433E0" w:rsidRDefault="001433E0" w:rsidP="001433E0">
      <w:pPr>
        <w:pStyle w:val="ListBullet"/>
        <w:spacing w:before="100"/>
      </w:pPr>
      <w:r w:rsidRPr="00C6346E">
        <w:rPr>
          <w:i/>
        </w:rPr>
        <w:t>appreciation of own personal conditions</w:t>
      </w:r>
      <w:r>
        <w:t xml:space="preserve"> — financial stress and ability to make ends meet, as well as subjective perceptions of whether individuals consider themselves poor</w:t>
      </w:r>
    </w:p>
    <w:p w:rsidR="001433E0" w:rsidRDefault="001433E0" w:rsidP="001433E0">
      <w:pPr>
        <w:pStyle w:val="ListBullet"/>
        <w:spacing w:before="100"/>
      </w:pPr>
      <w:r w:rsidRPr="00C6346E">
        <w:rPr>
          <w:i/>
        </w:rPr>
        <w:t>characteristics of the social environment</w:t>
      </w:r>
      <w:r>
        <w:t xml:space="preserve"> where individuals live — for example, fear of crime, availability of public services and the social networks of individuals.</w:t>
      </w:r>
    </w:p>
    <w:p w:rsidR="001433E0" w:rsidRDefault="001433E0" w:rsidP="001433E0">
      <w:pPr>
        <w:pStyle w:val="BodyText"/>
      </w:pPr>
      <w:r>
        <w:t>Deprivation measures have gained some acceptance among policy makers. For example:</w:t>
      </w:r>
    </w:p>
    <w:p w:rsidR="001433E0" w:rsidRDefault="001433E0" w:rsidP="001433E0">
      <w:pPr>
        <w:pStyle w:val="ListBullet"/>
        <w:spacing w:before="100"/>
      </w:pPr>
      <w:r>
        <w:t>Adelman, Middleton and Ashworth (2003) used the deprivation approach to measure child poverty in the United Kingdom</w:t>
      </w:r>
    </w:p>
    <w:p w:rsidR="001433E0" w:rsidRDefault="001433E0" w:rsidP="001433E0">
      <w:pPr>
        <w:pStyle w:val="ListBullet"/>
        <w:spacing w:before="100"/>
      </w:pPr>
      <w:r>
        <w:t>the deprivation approach forms the basis for the Economic Living Standards Index developed by the Ministry for Social Development in New Zealand (Jensen et al. 2002)</w:t>
      </w:r>
    </w:p>
    <w:p w:rsidR="001433E0" w:rsidRDefault="001433E0" w:rsidP="001433E0">
      <w:pPr>
        <w:pStyle w:val="ListBullet"/>
      </w:pPr>
      <w:r>
        <w:lastRenderedPageBreak/>
        <w:t xml:space="preserve">the Irish </w:t>
      </w:r>
      <w:r w:rsidR="00E406E0">
        <w:t>G</w:t>
      </w:r>
      <w:r>
        <w:t xml:space="preserve">overnment has adopted a deprivation index (11 basic items) and a combined income-deprivation measure (if a person’s income falls below the relative income poverty line and they also experience relative deprivation they are regarded as living in ‘consistent poverty’). </w:t>
      </w:r>
    </w:p>
    <w:p w:rsidR="001433E0" w:rsidRDefault="001433E0" w:rsidP="001433E0">
      <w:pPr>
        <w:pStyle w:val="BodyText"/>
      </w:pPr>
      <w:r>
        <w:t xml:space="preserve">In Australia, questions about financial stress have been asked in the Household Expenditure Survey (HES) since </w:t>
      </w:r>
      <w:r w:rsidRPr="001456FB">
        <w:t>19</w:t>
      </w:r>
      <w:r>
        <w:t>8</w:t>
      </w:r>
      <w:r w:rsidRPr="001456FB">
        <w:t>8</w:t>
      </w:r>
      <w:r>
        <w:noBreakHyphen/>
      </w:r>
      <w:r w:rsidRPr="001456FB">
        <w:t xml:space="preserve">89 </w:t>
      </w:r>
      <w:r>
        <w:t xml:space="preserve">(Bray 2001) and financial hardship questions have been part of the Household Income and Labour Dynamics in Australia (HILDA) survey since 2001. However, the most substantial deprivation surveys are by Saunders (2007, 2011) and the Social Policy Research Centre (SPRC). </w:t>
      </w:r>
    </w:p>
    <w:p w:rsidR="001433E0" w:rsidRDefault="001433E0" w:rsidP="001433E0">
      <w:pPr>
        <w:pStyle w:val="BodyText"/>
      </w:pPr>
      <w:r>
        <w:t xml:space="preserve">Saunders’ approach involves identifying those items regarded as essential by a majority of the population, and for these items looking at take-up rates and whether Australians do not have them because they cannot afford them. In the first survey (2006), two groups were included — a random sample of the community (of around 2 700 people) and a smaller group of disadvantaged people (around 700 clients of welfare organisations). The community sample was used to shed light on the extent of financial deprivation more generally, while the client group responses were used to gauge the depth of financial deprivation experienced by those dependent on services provided by welfare organisations. The results of the study, and other studies of deprivation in Australia, are discussed in detail in chapter 3. </w:t>
      </w:r>
    </w:p>
    <w:p w:rsidR="001433E0" w:rsidRPr="004228C4" w:rsidRDefault="001433E0" w:rsidP="001433E0">
      <w:pPr>
        <w:pStyle w:val="BodyText"/>
      </w:pPr>
      <w:r>
        <w:t>Saunders (2011) notes that the increased use of indicators of material deprivation has been described as having ‘swept the social policy world as a complement, or even as an alternative, to household income as the primary measure of living standards’ (Berthoud and Bryan 2008, p. 14).</w:t>
      </w:r>
    </w:p>
    <w:p w:rsidR="001433E0" w:rsidRDefault="001433E0" w:rsidP="001433E0">
      <w:pPr>
        <w:pStyle w:val="BodyText"/>
      </w:pPr>
      <w:r>
        <w:t>Concerns about the deprivation approach and the interpretation of results, however, remain. Bray (2001), for example, said:</w:t>
      </w:r>
    </w:p>
    <w:p w:rsidR="001433E0" w:rsidRDefault="001433E0" w:rsidP="001433E0">
      <w:pPr>
        <w:pStyle w:val="Quote"/>
      </w:pPr>
      <w:r>
        <w:t>While such approaches can appear to be objective, they do in fact require a range of value judgements, even when they seek reference to ‘community norms’ as a basis for establishing the standards against which outcomes should be judged. They also involve interpretation by respondents and researchers of the specific questions asked and answers given. (p. 2)</w:t>
      </w:r>
    </w:p>
    <w:p w:rsidR="001433E0" w:rsidRDefault="001433E0" w:rsidP="001433E0">
      <w:pPr>
        <w:pStyle w:val="BodyText"/>
      </w:pPr>
      <w:r>
        <w:t>Others (for example, Gilbert 2009) question the extent to which an index of material deprivation adds to our understanding of poverty beyond the knowledge gained from an income</w:t>
      </w:r>
      <w:r>
        <w:noBreakHyphen/>
        <w:t xml:space="preserve">based measure. Berthoud and Bryan (2008) questioned whether deprivation indicators were a more reliable measure than income in developed economies: </w:t>
      </w:r>
    </w:p>
    <w:p w:rsidR="001433E0" w:rsidRDefault="001433E0" w:rsidP="001433E0">
      <w:pPr>
        <w:pStyle w:val="Quote"/>
      </w:pPr>
      <w:r>
        <w:t xml:space="preserve">On the empirical front, it has been suggested that deprivation scores are needed because income surveys provide an imperfect measure of resources. This is a paramount </w:t>
      </w:r>
      <w:r>
        <w:lastRenderedPageBreak/>
        <w:t>concern in many developing economies, where cash income is so irregular, and contributes to so small a proportion of total consumption, that deprivation indicators are the only reliable guide. But in developed economies, it is a tall claim that deprivation indicators provide a more reliable measure than income — however ‘scientific’ the approach to their construction. (p. 14)</w:t>
      </w:r>
    </w:p>
    <w:p w:rsidR="001433E0" w:rsidRDefault="001433E0" w:rsidP="001433E0">
      <w:pPr>
        <w:pStyle w:val="BodyText"/>
      </w:pPr>
      <w:r>
        <w:t xml:space="preserve">Others argue that to set a ‘scientific’ threshold level of income and resources in a point in time survey, resources/income and deprivation (or standard of living) measures are required (Gordon 2006). </w:t>
      </w:r>
    </w:p>
    <w:p w:rsidR="001433E0" w:rsidRDefault="001433E0" w:rsidP="001433E0">
      <w:pPr>
        <w:pStyle w:val="BodyText"/>
      </w:pPr>
      <w:r>
        <w:t xml:space="preserve">Deprivation measures do not lend themselves well to longitudinal analysis. As the list of needs is a function of society’s expectations and these change over time, holding the list constant and tracking it over time is problematic. And, as noted by Gilbert (2009), a number of the items are likely to become more affordable as costs are driven down by innovations and new methods of production. However, allowing the list to change raises questions about whether comparisons over time are meaningful. </w:t>
      </w:r>
    </w:p>
    <w:p w:rsidR="001433E0" w:rsidRDefault="001433E0" w:rsidP="001433E0">
      <w:pPr>
        <w:pStyle w:val="BodyText"/>
      </w:pPr>
      <w:r>
        <w:t>Similarly, comparisons across countries are complicated by cultural and other differences that result in different lists of essential items. As the OECD (2011a) said:</w:t>
      </w:r>
    </w:p>
    <w:p w:rsidR="001433E0" w:rsidRDefault="001433E0" w:rsidP="001433E0">
      <w:pPr>
        <w:pStyle w:val="Quote"/>
      </w:pPr>
      <w:r>
        <w:t>Deprivation measures, for instance, include measures such as meals with particular food stuffs (e.g. proteins or fruits), housing conditions or holidays abroad. These items can have cultural connotations that render them incomparable, and so excluded from international reports. For instance, overcrowding may be more common in countries with traditionally multigenerational households – but this may reflect improved living standards in those homes (e.g. Japan). Moreover, for example, people living in countries with certain climate or geographical conditions may be more or less likely to view lack of holidays abroad as an important aspect of deprivation</w:t>
      </w:r>
      <w:r w:rsidR="00E406E0">
        <w:t>.</w:t>
      </w:r>
      <w:r>
        <w:t xml:space="preserve"> (p. 9)</w:t>
      </w:r>
    </w:p>
    <w:p w:rsidR="001433E0" w:rsidRDefault="001433E0" w:rsidP="001433E0">
      <w:pPr>
        <w:pStyle w:val="BodyText"/>
      </w:pPr>
      <w:r w:rsidRPr="007E5755">
        <w:t>Differences in how individuals assess the importance of particular items and services in maintaining a satisfactory lifestyle restricts comparability over time and across countries and even between communities within a country.</w:t>
      </w:r>
    </w:p>
    <w:p w:rsidR="001433E0" w:rsidRDefault="00E6722A" w:rsidP="001433E0">
      <w:pPr>
        <w:pStyle w:val="Heading2"/>
      </w:pPr>
      <w:r>
        <w:fldChar w:fldCharType="begin"/>
      </w:r>
      <w:r>
        <w:instrText xml:space="preserve"> COMMENTS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3</w:t>
      </w:r>
      <w:r>
        <w:rPr>
          <w:noProof/>
        </w:rPr>
        <w:fldChar w:fldCharType="end"/>
      </w:r>
      <w:r w:rsidR="001433E0">
        <w:tab/>
        <w:t>Capability approach</w:t>
      </w:r>
    </w:p>
    <w:p w:rsidR="001433E0" w:rsidRDefault="001433E0" w:rsidP="001433E0">
      <w:pPr>
        <w:pStyle w:val="BodyText"/>
        <w:rPr>
          <w:i/>
          <w:iCs/>
        </w:rPr>
      </w:pPr>
      <w:r>
        <w:t xml:space="preserve">Amartya Sen has been prominent in identifying richer approaches to understanding poverty, inequality and disadvantage. He defines poverty in terms of </w:t>
      </w:r>
      <w:r>
        <w:rPr>
          <w:i/>
          <w:iCs/>
        </w:rPr>
        <w:t xml:space="preserve">low capabilities </w:t>
      </w:r>
      <w:r>
        <w:t xml:space="preserve">and </w:t>
      </w:r>
      <w:r>
        <w:rPr>
          <w:i/>
          <w:iCs/>
        </w:rPr>
        <w:t xml:space="preserve">functionings. </w:t>
      </w:r>
    </w:p>
    <w:p w:rsidR="001433E0" w:rsidRDefault="001433E0" w:rsidP="001433E0">
      <w:pPr>
        <w:pStyle w:val="BodyText"/>
        <w:rPr>
          <w:iCs/>
        </w:rPr>
      </w:pPr>
      <w:r>
        <w:rPr>
          <w:iCs/>
        </w:rPr>
        <w:t>Sen (1985) argues that poverty results when individuals lack key capabilities, and so have inadequate incomes or education, or poor health, or low self</w:t>
      </w:r>
      <w:r>
        <w:rPr>
          <w:iCs/>
        </w:rPr>
        <w:noBreakHyphen/>
        <w:t xml:space="preserve">confidence, or a sense of powerlessness. </w:t>
      </w:r>
    </w:p>
    <w:p w:rsidR="001433E0" w:rsidRPr="009543EC" w:rsidRDefault="001433E0" w:rsidP="001433E0">
      <w:pPr>
        <w:pStyle w:val="Quote"/>
      </w:pPr>
      <w:r>
        <w:lastRenderedPageBreak/>
        <w:t xml:space="preserve">A person’s advantage is judged by his capabilities, viz., what he can or cannot </w:t>
      </w:r>
      <w:r w:rsidRPr="006974FC">
        <w:rPr>
          <w:i/>
        </w:rPr>
        <w:t>do</w:t>
      </w:r>
      <w:r>
        <w:t xml:space="preserve">, can or cannot </w:t>
      </w:r>
      <w:r w:rsidRPr="006974FC">
        <w:rPr>
          <w:i/>
        </w:rPr>
        <w:t>be</w:t>
      </w:r>
      <w:r>
        <w:t xml:space="preserve"> … Poverty, in this view, is not ultimately a matter of incomes at all; it is one of a failure to achieve certain minimum capabilities. (p. 670; original emphasis)</w:t>
      </w:r>
    </w:p>
    <w:p w:rsidR="001433E0" w:rsidRDefault="001433E0" w:rsidP="001433E0">
      <w:pPr>
        <w:pStyle w:val="BodyText"/>
      </w:pPr>
      <w:r>
        <w:rPr>
          <w:iCs/>
        </w:rPr>
        <w:t>Functionings include working, resting, being literate, being healthy and being part of the community.</w:t>
      </w:r>
    </w:p>
    <w:p w:rsidR="001433E0" w:rsidRDefault="001433E0" w:rsidP="001433E0">
      <w:pPr>
        <w:pStyle w:val="BodyText"/>
      </w:pPr>
      <w:r>
        <w:t>Commenting on the differences in these two concepts, Headey (2006) said:</w:t>
      </w:r>
    </w:p>
    <w:p w:rsidR="001433E0" w:rsidRDefault="001433E0" w:rsidP="001433E0">
      <w:pPr>
        <w:pStyle w:val="Quote"/>
      </w:pPr>
      <w:r>
        <w:t xml:space="preserve">It is sometimes said that Sen’s work is unclear as to the distinction between capabilities and functionings. This may be a fair criticism when it comes to measurement, but at the conceptual level the distinction seems clear enough. One’s capabilities are one’s </w:t>
      </w:r>
      <w:r w:rsidRPr="003E247E">
        <w:rPr>
          <w:i/>
        </w:rPr>
        <w:t>potentials</w:t>
      </w:r>
      <w:r>
        <w:t xml:space="preserve">, and one’s functions are </w:t>
      </w:r>
      <w:r w:rsidRPr="003E247E">
        <w:rPr>
          <w:i/>
        </w:rPr>
        <w:t>actualities</w:t>
      </w:r>
      <w:r>
        <w:t>, realizations. (p. 9; original emphasis)</w:t>
      </w:r>
    </w:p>
    <w:p w:rsidR="001433E0" w:rsidRDefault="001433E0" w:rsidP="001433E0">
      <w:pPr>
        <w:pStyle w:val="BodyText"/>
        <w:spacing w:before="200"/>
      </w:pPr>
      <w:r>
        <w:t xml:space="preserve">Sen (2009, p. 253) argues that when analysing wellbeing the focus should be shifted from ‘the means of living’ to the ‘opportunities a person has’. This approach is a more expansive notion than lacking ‘necessities’ and is more about the deprivation of people’s capabilities (Hick 2012). </w:t>
      </w:r>
    </w:p>
    <w:p w:rsidR="001433E0" w:rsidRDefault="001433E0" w:rsidP="001433E0">
      <w:pPr>
        <w:pStyle w:val="BodyText"/>
        <w:spacing w:before="200"/>
      </w:pPr>
      <w:r>
        <w:t>Sen points to a lack of capabilities and achieved functionings as a key component of social exclusion. An additional dimension is the protection of people’s rights to make choices and have control over their own lives and to have a say in their community. As Sen (2009) said:</w:t>
      </w:r>
    </w:p>
    <w:p w:rsidR="001433E0" w:rsidRDefault="001433E0" w:rsidP="001433E0">
      <w:pPr>
        <w:pStyle w:val="Quote"/>
      </w:pPr>
      <w:r>
        <w:t>… we have reason to be interested not only in the various things we succeed in doing, but also in the freedoms that we actually have to choose between different kinds of lives. The freedom to choose our lives can make a significant contribution to our well</w:t>
      </w:r>
      <w:r>
        <w:noBreakHyphen/>
        <w:t>being, but going beyond the perspective of well</w:t>
      </w:r>
      <w:r>
        <w:noBreakHyphen/>
        <w:t>being, the freedom itself may be seen as important. (p. 18)</w:t>
      </w:r>
    </w:p>
    <w:p w:rsidR="001433E0" w:rsidRDefault="001433E0" w:rsidP="001433E0">
      <w:pPr>
        <w:pStyle w:val="BodyText"/>
      </w:pPr>
      <w:r>
        <w:t xml:space="preserve">Some of the stated advantages of the capability approach are that it: </w:t>
      </w:r>
    </w:p>
    <w:p w:rsidR="001433E0" w:rsidRDefault="001433E0" w:rsidP="001433E0">
      <w:pPr>
        <w:pStyle w:val="ListBullet"/>
        <w:spacing w:before="100"/>
      </w:pPr>
      <w:r>
        <w:t>does not demand uniformity of outcomes but rather equal freedoms for all</w:t>
      </w:r>
    </w:p>
    <w:p w:rsidR="001433E0" w:rsidRDefault="001433E0" w:rsidP="001433E0">
      <w:pPr>
        <w:pStyle w:val="ListBullet"/>
        <w:spacing w:before="100"/>
      </w:pPr>
      <w:r>
        <w:t xml:space="preserve">recognises the diversity among people in the ability to make use of opportunities. For example, an individual’s participation in society may be constrained by physical or mental disabilities and an equal starting point may not be enough to ensure equal capabilities </w:t>
      </w:r>
    </w:p>
    <w:p w:rsidR="001433E0" w:rsidRDefault="001433E0" w:rsidP="001433E0">
      <w:pPr>
        <w:pStyle w:val="ListBullet"/>
        <w:spacing w:before="100"/>
      </w:pPr>
      <w:r>
        <w:t>emphasises that the inability to participate in a mainstream society is a violation of a basic right that should be open to all citizens (Klasen 1998).</w:t>
      </w:r>
    </w:p>
    <w:p w:rsidR="001433E0" w:rsidRDefault="001433E0" w:rsidP="001433E0">
      <w:pPr>
        <w:pStyle w:val="BodyText"/>
      </w:pPr>
      <w:r>
        <w:t>The concept of capabilities, however, is not easy to operationalise as it is an opportunity based theory. Robeyns (2003), commenting on the difficulty of measuring capabilities, said:</w:t>
      </w:r>
    </w:p>
    <w:p w:rsidR="001433E0" w:rsidRDefault="001433E0" w:rsidP="001433E0">
      <w:pPr>
        <w:pStyle w:val="Quote"/>
      </w:pPr>
      <w:r>
        <w:t>… achieved functionings are (at least indirectly) observable, whereas the person’s capability would include all the opportunities this person had but did choose not to take — counterfactuals and therefore unobservable. (p. 23)</w:t>
      </w:r>
    </w:p>
    <w:p w:rsidR="001433E0" w:rsidRDefault="001433E0" w:rsidP="001433E0">
      <w:pPr>
        <w:pStyle w:val="BodyText"/>
      </w:pPr>
      <w:r>
        <w:lastRenderedPageBreak/>
        <w:t xml:space="preserve">Sen’s capability approach does not prescribe a definitive list of key capabilities or functionings or provide advice on how to weight them. He recommends that it be left to democratic processes and social choice (Sen 2009). Sen also stresses the role of agency, the process of choice and the freedom to reason in the selection of relevant capabilities. Commenting on why Sen did not endorse a definite list, Headey (2006) said: </w:t>
      </w:r>
    </w:p>
    <w:p w:rsidR="001433E0" w:rsidRDefault="001433E0" w:rsidP="001433E0">
      <w:pPr>
        <w:pStyle w:val="Quote"/>
      </w:pPr>
      <w:r>
        <w:t>… partly because he recognises that the list is bound to differ for different times and places, and partly because he wants the list to be determined via a democratic, participatory process. (p. 10)</w:t>
      </w:r>
    </w:p>
    <w:p w:rsidR="001433E0" w:rsidRDefault="001433E0" w:rsidP="001433E0">
      <w:pPr>
        <w:pStyle w:val="BodyText"/>
      </w:pPr>
      <w:r>
        <w:t>Henry (2007) also said:</w:t>
      </w:r>
    </w:p>
    <w:p w:rsidR="001433E0" w:rsidRDefault="001433E0" w:rsidP="001433E0">
      <w:pPr>
        <w:pStyle w:val="Quote"/>
      </w:pPr>
      <w:r>
        <w:t>… including all of these elements in an all</w:t>
      </w:r>
      <w:r>
        <w:noBreakHyphen/>
        <w:t xml:space="preserve">encompassing measure of poverty (or disadvantage) — built on a person’s endowment of capabilities, rather than their command over commodities — would be a challenge. It’s not surprising that, despite an increasing interest in such a broad measure of disadvantage, no universally accepted measure has been developed. There are, however, many examples of broad conceptualisations of wellbeing and disadvantage being used for various analytical purposes. (p. 4) </w:t>
      </w:r>
    </w:p>
    <w:p w:rsidR="001433E0" w:rsidRDefault="001433E0" w:rsidP="001433E0">
      <w:pPr>
        <w:pStyle w:val="BodyText"/>
      </w:pPr>
      <w:r>
        <w:t>Sen’s work has shaped the EU’s Social Inclusion Agenda and the United Nation’s Human Development Index. Burchardt and Vizard (2011) have adopted a capability</w:t>
      </w:r>
      <w:r>
        <w:noBreakHyphen/>
        <w:t>based framework for monitoring equality and human rights in England, Scotland and Wales. The list of dimensions cover life; physical security; health; education and learning; individual, family and social life; identity, expression, self</w:t>
      </w:r>
      <w:r>
        <w:noBreakHyphen/>
        <w:t>respect; and legal security. Others</w:t>
      </w:r>
      <w:r w:rsidR="00E406E0">
        <w:t xml:space="preserve">, such as </w:t>
      </w:r>
      <w:r>
        <w:t xml:space="preserve">Brandolini and d’Alessio </w:t>
      </w:r>
      <w:r w:rsidR="00E406E0">
        <w:t>(</w:t>
      </w:r>
      <w:r>
        <w:t>1998</w:t>
      </w:r>
      <w:r w:rsidR="00E406E0">
        <w:t xml:space="preserve">) and </w:t>
      </w:r>
      <w:r>
        <w:t xml:space="preserve">Nussbaum </w:t>
      </w:r>
      <w:r w:rsidR="00E406E0">
        <w:t>(</w:t>
      </w:r>
      <w:r>
        <w:t xml:space="preserve">2000) have come up with similar domains (Hick 2012). </w:t>
      </w:r>
    </w:p>
    <w:p w:rsidR="001433E0" w:rsidRDefault="001433E0" w:rsidP="001433E0">
      <w:pPr>
        <w:pStyle w:val="BodyText"/>
      </w:pPr>
      <w:r>
        <w:t>Sen’s approach has also been influential in shaping the way in which economic progress is measured internationally, including the Stiglitz-Sen-Fitoussi Commission’s report on the measurement of economic performance and social progress (Stiglitz, Sen and Fitoussi 2009) and the OECD’s ‘</w:t>
      </w:r>
      <w:r w:rsidRPr="00340750">
        <w:rPr>
          <w:i/>
        </w:rPr>
        <w:t>How’s Life?</w:t>
      </w:r>
      <w:r>
        <w:t xml:space="preserve">’ framework for measuring wellbeing (OECD 2011b). </w:t>
      </w:r>
    </w:p>
    <w:p w:rsidR="001433E0" w:rsidRDefault="001433E0" w:rsidP="001433E0">
      <w:pPr>
        <w:pStyle w:val="BodyText"/>
      </w:pPr>
      <w:r>
        <w:t>The OECD’s framework identifies three pillars for understanding and measuring wellbeing — material living conditions; quality of life; and sustainability. It distinguishes between wellbeing today and tomorrow and includes both objective and subjective wellbeing measures (the latter being people’s evaluations and feeling about their own lives, for example, sense of insecurity). The OECD (2011b) said:</w:t>
      </w:r>
    </w:p>
    <w:p w:rsidR="001433E0" w:rsidRDefault="001433E0" w:rsidP="001433E0">
      <w:pPr>
        <w:pStyle w:val="Quote"/>
      </w:pPr>
      <w:r>
        <w:t xml:space="preserve">This thematic structure for current well-being covers many components, reflecting both </w:t>
      </w:r>
      <w:r w:rsidRPr="007C51E9">
        <w:rPr>
          <w:i/>
        </w:rPr>
        <w:t>individual</w:t>
      </w:r>
      <w:r>
        <w:t xml:space="preserve"> capabilities (conditions in which some choices are made, and peoples’ abilities to transform resources into given ends, for instance health; Sen 1998) and material outcomes (e.g. income or consumption). (p. 20)</w:t>
      </w:r>
    </w:p>
    <w:p w:rsidR="001433E0" w:rsidRDefault="001433E0" w:rsidP="001433E0">
      <w:pPr>
        <w:pStyle w:val="BodyText"/>
      </w:pPr>
      <w:r>
        <w:lastRenderedPageBreak/>
        <w:t xml:space="preserve">The OECD distinguishes between headline indicators for wellbeing; that is, indicators deemed to be of sufficiently good quality such that they can be used to monitor wellbeing over time (and across countries) and secondary indicators that provide complementary evidence (that is, indicators covering more specific aspects of the dimension at hand). </w:t>
      </w:r>
    </w:p>
    <w:p w:rsidR="001433E0" w:rsidRDefault="001433E0" w:rsidP="001433E0">
      <w:pPr>
        <w:pStyle w:val="BodyText"/>
      </w:pPr>
      <w:r>
        <w:t>The OECD Better Life Index allows countries to assign weights to the key factors according to the importance they place on each of the areas. Such an approach could be criticised as being arbitrary or dependent on a priori value judgment, but as the OECD put it:</w:t>
      </w:r>
    </w:p>
    <w:p w:rsidR="001433E0" w:rsidRDefault="001433E0" w:rsidP="001433E0">
      <w:pPr>
        <w:pStyle w:val="Quote"/>
      </w:pPr>
      <w:r>
        <w:t>… when weights are directly assigned by citizens, the composite index does no longer represent an ad hoc view of the world but corresponds to people’s judgments, which are legitimate in their own right. (Boarini et al. 2011, p. 9)</w:t>
      </w:r>
    </w:p>
    <w:p w:rsidR="001433E0" w:rsidRDefault="001433E0" w:rsidP="001433E0">
      <w:pPr>
        <w:pStyle w:val="BodyText"/>
      </w:pPr>
      <w:r>
        <w:t>In Australia, Headey (2006) developed a conceptual framework which distinguished different types of capabilities and functions and their relationship to psychological outcomes connected to wellbeing (satisfaction and stress). The framework considered four domains of life — financial, employment, health and family/social. Headey also proposed a life cycle approach to the designation of priorities among desirable capabilities and functionings, noting that:</w:t>
      </w:r>
    </w:p>
    <w:p w:rsidR="001433E0" w:rsidRDefault="001433E0" w:rsidP="001433E0">
      <w:pPr>
        <w:pStyle w:val="Quote"/>
      </w:pPr>
      <w:r>
        <w:t xml:space="preserve">It seems obvious that different capabilities and functionings assume — or should assume — prime importance at different stages of the life cycle. One might suggest that capabilities — the development of capabilities — matter most for young people. Then both capabilities and functionings matter a great deal in the prime working and family formation years. During retirement, functionings perhaps assume relatively more importance, although some capabilities need to be maintained. (p. 58) </w:t>
      </w:r>
    </w:p>
    <w:p w:rsidR="001433E0" w:rsidRDefault="001433E0" w:rsidP="001433E0">
      <w:pPr>
        <w:pStyle w:val="BodyText"/>
      </w:pPr>
      <w:r>
        <w:t>The Australian Treasury has developed a wellbeing framework as a descriptive tool to provide context for public policy advice. The framework is built on elements of Sen’s capabilities framework. Under Treasury’s approach it is the individual, and the things that matter to them, that are the ultimate concern:</w:t>
      </w:r>
    </w:p>
    <w:p w:rsidR="001433E0" w:rsidRDefault="001433E0" w:rsidP="001433E0">
      <w:pPr>
        <w:pStyle w:val="Quote"/>
      </w:pPr>
      <w:r>
        <w:t>… families, friends, a sense of community and the like, and other aspects of life such as the natural environment, matter as they are of value to individuals, and assist individuals in achieving other things they value but are not themselves ascribed independent value in assessing wellbeing. (Gorecki and Kelly 2012, p. 32)</w:t>
      </w:r>
    </w:p>
    <w:p w:rsidR="001433E0" w:rsidRDefault="001433E0" w:rsidP="001433E0">
      <w:pPr>
        <w:pStyle w:val="BodyText"/>
      </w:pPr>
      <w:r>
        <w:t xml:space="preserve">Treasury identifies five dimensions that directly or indirectly have important implications for wellbeing (box 2.4). </w:t>
      </w:r>
    </w:p>
    <w:p w:rsidR="001433E0" w:rsidRDefault="001433E0" w:rsidP="001433E0">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4</w:t>
            </w:r>
            <w:r>
              <w:rPr>
                <w:b w:val="0"/>
              </w:rPr>
              <w:fldChar w:fldCharType="end"/>
            </w:r>
            <w:r>
              <w:tab/>
              <w:t>Treasury’s wellbeing framework</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t xml:space="preserve">The Australian Treasury takes a broad view of wellbeing as primarily reflecting a person’s substantive freedom to lead a life they have reason to value. </w:t>
            </w:r>
          </w:p>
          <w:p w:rsidR="001433E0" w:rsidRDefault="001433E0" w:rsidP="00E406E0">
            <w:pPr>
              <w:pStyle w:val="Box"/>
            </w:pPr>
            <w:r>
              <w:t xml:space="preserve">This view encompasses more than is directly captured by commonly used measures of economic activity. It gives prominence to respecting the informed preferences of individuals, while allowing scope for broader social actions and choices. It is open to both subjective and objective notions of wellbeing, and to concerns for outcomes and consequences as well as for rights and liberties. </w:t>
            </w:r>
          </w:p>
          <w:p w:rsidR="001433E0" w:rsidRDefault="001433E0" w:rsidP="00E406E0">
            <w:pPr>
              <w:pStyle w:val="Box"/>
            </w:pPr>
            <w:r>
              <w:t xml:space="preserve">Treasury identifies five dimensions that directly or indirectly have important implications for wellbeing and are particularly relevant to the Treasury. </w:t>
            </w:r>
          </w:p>
          <w:p w:rsidR="001433E0" w:rsidRDefault="001433E0" w:rsidP="001433E0">
            <w:pPr>
              <w:pStyle w:val="BoxListBullet"/>
              <w:spacing w:before="120"/>
            </w:pPr>
            <w:r>
              <w:t xml:space="preserve">The </w:t>
            </w:r>
            <w:r w:rsidRPr="006D3827">
              <w:rPr>
                <w:i/>
              </w:rPr>
              <w:t>set of opportunities</w:t>
            </w:r>
            <w:r>
              <w:t xml:space="preserve"> available to people. This includes not only the level of goods and services that can be consumed, but good health and environmental amenity, leisure and intangibles</w:t>
            </w:r>
            <w:r w:rsidR="00E406E0">
              <w:t>,</w:t>
            </w:r>
            <w:r>
              <w:t xml:space="preserve"> such as personal and social activities, community participation and political rights and freedoms.</w:t>
            </w:r>
          </w:p>
          <w:p w:rsidR="001433E0" w:rsidRDefault="001433E0" w:rsidP="001433E0">
            <w:pPr>
              <w:pStyle w:val="BoxListBullet"/>
              <w:spacing w:before="120"/>
            </w:pPr>
            <w:r>
              <w:t xml:space="preserve">The </w:t>
            </w:r>
            <w:r w:rsidRPr="006D3827">
              <w:rPr>
                <w:i/>
              </w:rPr>
              <w:t>distribution</w:t>
            </w:r>
            <w:r>
              <w:t xml:space="preserve"> of those opportunities across the Australian people. In particular, that all Australians have the opportunity to lead a fulfilling life and participate meaningfully in society.</w:t>
            </w:r>
          </w:p>
          <w:p w:rsidR="001433E0" w:rsidRDefault="001433E0" w:rsidP="001433E0">
            <w:pPr>
              <w:pStyle w:val="BoxListBullet"/>
              <w:spacing w:before="120"/>
            </w:pPr>
            <w:r>
              <w:t xml:space="preserve">The </w:t>
            </w:r>
            <w:r w:rsidRPr="006D3827">
              <w:rPr>
                <w:i/>
              </w:rPr>
              <w:t>sustainability</w:t>
            </w:r>
            <w:r>
              <w:t xml:space="preserve"> of those opportunities available over time. In particular, consideration of whether the productive base needed to generate opportunities (the total stock of capital, including human, physical, social and natural assets) is maintained or enhanced for current and future generations.</w:t>
            </w:r>
          </w:p>
          <w:p w:rsidR="001433E0" w:rsidRDefault="001433E0" w:rsidP="001433E0">
            <w:pPr>
              <w:pStyle w:val="BoxListBullet"/>
              <w:spacing w:before="120"/>
            </w:pPr>
            <w:r>
              <w:t xml:space="preserve">The overall level and allocation of </w:t>
            </w:r>
            <w:r w:rsidRPr="00822481">
              <w:rPr>
                <w:i/>
              </w:rPr>
              <w:t>risk</w:t>
            </w:r>
            <w:r>
              <w:t xml:space="preserve"> borne by individuals and the community. This includes a concern for the ability, and inability, of individuals to manage the level and nature of the risks they face. </w:t>
            </w:r>
          </w:p>
          <w:p w:rsidR="001433E0" w:rsidRDefault="001433E0" w:rsidP="001433E0">
            <w:pPr>
              <w:pStyle w:val="BoxListBullet"/>
              <w:spacing w:before="120"/>
            </w:pPr>
            <w:r>
              <w:t xml:space="preserve">The </w:t>
            </w:r>
            <w:r w:rsidRPr="00561C3E">
              <w:rPr>
                <w:i/>
              </w:rPr>
              <w:t>complexity</w:t>
            </w:r>
            <w:r>
              <w:t xml:space="preserve"> of the choices facing individuals and the community. Our concerns include the cost of dealing with unwanted complexity, the transparency of government and the ability of individuals and the community to make choices and trade-offs that better match their preferences. </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Source"/>
            </w:pPr>
            <w:r>
              <w:rPr>
                <w:i/>
              </w:rPr>
              <w:t>Source</w:t>
            </w:r>
            <w:r w:rsidRPr="00167F06">
              <w:t xml:space="preserve">: </w:t>
            </w:r>
            <w:r>
              <w:t>Gorecki and Kelly (2012).</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RPr="000863A5" w:rsidTr="00E406E0">
        <w:tc>
          <w:tcPr>
            <w:tcW w:w="8771" w:type="dxa"/>
            <w:tcBorders>
              <w:top w:val="nil"/>
              <w:left w:val="nil"/>
              <w:bottom w:val="nil"/>
              <w:right w:val="nil"/>
            </w:tcBorders>
          </w:tcPr>
          <w:p w:rsidR="001433E0" w:rsidRPr="00626D32" w:rsidRDefault="001433E0" w:rsidP="00E406E0">
            <w:pPr>
              <w:pStyle w:val="BoxSpaceBelow"/>
            </w:pPr>
          </w:p>
        </w:tc>
      </w:tr>
    </w:tbl>
    <w:p w:rsidR="001433E0" w:rsidRDefault="00E6722A" w:rsidP="001433E0">
      <w:pPr>
        <w:pStyle w:val="Heading2"/>
      </w:pPr>
      <w:r>
        <w:fldChar w:fldCharType="begin"/>
      </w:r>
      <w:r>
        <w:instrText xml:space="preserve"> COMMENTS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4</w:t>
      </w:r>
      <w:r>
        <w:rPr>
          <w:noProof/>
        </w:rPr>
        <w:fldChar w:fldCharType="end"/>
      </w:r>
      <w:r w:rsidR="001433E0">
        <w:tab/>
        <w:t>Social exclusion and inclusion</w:t>
      </w:r>
    </w:p>
    <w:p w:rsidR="001433E0" w:rsidRDefault="001433E0" w:rsidP="001433E0">
      <w:pPr>
        <w:pStyle w:val="BodyText"/>
      </w:pPr>
      <w:r>
        <w:t>The term social exclusion was originally used to describe the condition of certain groups on the margins of society in France (‘les exclus’ — the disabled, lone parents and the uninsured unemployed) who were excluded from the social insurance system (</w:t>
      </w:r>
      <w:r w:rsidR="00EE5772">
        <w:t>Hayes</w:t>
      </w:r>
      <w:r>
        <w:t>, Gray and Edwards 2008). Later French thinking on social exclusion emphasized the importance of unemployment, especially long</w:t>
      </w:r>
      <w:r>
        <w:noBreakHyphen/>
        <w:t xml:space="preserve">term unemployment (Burchardt, Le Grand and Piachaud 2002). </w:t>
      </w:r>
    </w:p>
    <w:p w:rsidR="001433E0" w:rsidRDefault="001433E0" w:rsidP="001433E0">
      <w:pPr>
        <w:pStyle w:val="BodyText"/>
      </w:pPr>
      <w:r>
        <w:lastRenderedPageBreak/>
        <w:t xml:space="preserve">During the 1980s, the concept of social exclusion was adopted more widely throughout Europe and then in the 1990s in the United Kingdom. When the Blair Labour Government came to power in 1997 it established a Social Exclusion Unit. In the United States, terms such as ‘ghettoization’, ‘marginalization’ and the ‘underclass’ rather than social exclusion are used, but according to Burchhardt, Le Grand and Piachaud (2002) the concepts are not unrelated. </w:t>
      </w:r>
    </w:p>
    <w:p w:rsidR="001433E0" w:rsidRDefault="001433E0" w:rsidP="001433E0">
      <w:pPr>
        <w:pStyle w:val="BodyText"/>
      </w:pPr>
      <w:r>
        <w:t>There is no generally accepted definition of what constitutes social exclusion. One common theme, however, is the need to recognise the multi</w:t>
      </w:r>
      <w:r>
        <w:noBreakHyphen/>
        <w:t xml:space="preserve">dimensional nature of disadvantage. It includes more traditional concepts such as income and financial poverty and material deprivation, but extends to a wider range of life domains and has a particular focus on participation and social connections. The United Kingdom Social Exclusion Unit (2004) said: </w:t>
      </w:r>
    </w:p>
    <w:p w:rsidR="001433E0" w:rsidRDefault="001433E0" w:rsidP="001433E0">
      <w:pPr>
        <w:pStyle w:val="Quote"/>
      </w:pPr>
      <w:r>
        <w:t>Social exclusion is about more than income poverty. It is a shorthand term for what can happen when people or areas face a combination of linked problems such as unemployment, discrimination, poor skills, low incomes, poor housing, high crime, bad health and family breakdown. These problems are linked and mutually reinforcing so that they can create a vicious cycle in people’s lives. (p. 3)</w:t>
      </w:r>
    </w:p>
    <w:p w:rsidR="001433E0" w:rsidRDefault="001433E0" w:rsidP="001433E0">
      <w:pPr>
        <w:pStyle w:val="BodyText"/>
        <w:spacing w:before="200"/>
      </w:pPr>
      <w:r w:rsidRPr="001456FB">
        <w:t>Euro</w:t>
      </w:r>
      <w:r>
        <w:t xml:space="preserve">stat, in a Statistical Portrait of the European Union (2010), said social exclusion relates to: </w:t>
      </w:r>
    </w:p>
    <w:p w:rsidR="001433E0" w:rsidRDefault="001433E0" w:rsidP="001433E0">
      <w:pPr>
        <w:pStyle w:val="Quote"/>
      </w:pPr>
      <w:r>
        <w:t xml:space="preserve">… being unable to enjoy levels of participation that most of society takes for granted. It is a complex, multi-dimensional, multi-layered and dynamic concept that the EU’s social inclusion process defined as ‘… </w:t>
      </w:r>
      <w:r w:rsidRPr="00C7153E">
        <w:rPr>
          <w:i/>
        </w:rPr>
        <w:t>a process whereby certain individuals are pushed to the edge of society and prevented from participating fully by virtue of their poverty, or lack of basic competencies and lifelong learning opportunities, or as a result of discrimination. This distances them from job, income and education opportunities as well as social and community networks and activities. They have little access to power and decision-making bodies and thus often feeling powerless and unable to take control over the decision that affect their day to day lives’</w:t>
      </w:r>
      <w:r>
        <w:t>. (p. 7)</w:t>
      </w:r>
    </w:p>
    <w:p w:rsidR="001433E0" w:rsidRDefault="001433E0" w:rsidP="001433E0">
      <w:pPr>
        <w:pStyle w:val="BodyText"/>
        <w:spacing w:before="200"/>
      </w:pPr>
      <w:r>
        <w:t xml:space="preserve">Other researchers have developed their own definitions (box 2.5). </w:t>
      </w:r>
    </w:p>
    <w:p w:rsidR="001433E0" w:rsidRDefault="001433E0" w:rsidP="001433E0">
      <w:pPr>
        <w:pStyle w:val="BodyText"/>
        <w:spacing w:before="200"/>
      </w:pPr>
      <w:r>
        <w:t xml:space="preserve">In Australia, the 2000 McClure report into welfare reform concluded that minimising social exclusion should be an explicit policy objective. In 2002, the Premier of South Australia established the Social Inclusion Initiative. According to </w:t>
      </w:r>
      <w:r w:rsidR="00EE5772">
        <w:t>Hayes</w:t>
      </w:r>
      <w:r>
        <w:t xml:space="preserve">, Gray and Edwards (2008, p. 2), this initiative has been at the ‘vanguard of Australian social inclusion policy and practice’. </w:t>
      </w:r>
    </w:p>
    <w:p w:rsidR="001433E0" w:rsidRDefault="001433E0" w:rsidP="001433E0">
      <w:pPr>
        <w:pStyle w:val="BodyText"/>
        <w:spacing w:before="200"/>
      </w:pPr>
    </w:p>
    <w:p w:rsidR="001433E0" w:rsidRDefault="001433E0" w:rsidP="001433E0">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5</w:t>
            </w:r>
            <w:r>
              <w:rPr>
                <w:b w:val="0"/>
              </w:rPr>
              <w:fldChar w:fldCharType="end"/>
            </w:r>
            <w:r>
              <w:tab/>
              <w:t>Selected definitions of social exclusion</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t>Pierson (2001) defines social exclusion as:</w:t>
            </w:r>
          </w:p>
          <w:p w:rsidR="001433E0" w:rsidRDefault="001433E0" w:rsidP="00E406E0">
            <w:pPr>
              <w:pStyle w:val="BoxQuote"/>
            </w:pPr>
            <w:r>
              <w:t>… a process that deprives individuals and families, groups and neighbourhoods of the resources required for participation in the social, economic and political activity of society as a whole. This process is primarily a consequence of poverty and low income, but other factors such as discrimination, low educational attainment and depleted living environments also underpin it. Through this process people are cut off for a significant period in their lives from institutions and services, social networks and developmental opportunities that the great majority of a society enjoys. (p. 7)</w:t>
            </w:r>
          </w:p>
          <w:p w:rsidR="001433E0" w:rsidRDefault="001433E0" w:rsidP="00E406E0">
            <w:pPr>
              <w:pStyle w:val="Box"/>
            </w:pPr>
            <w:r>
              <w:t>Irish Combat Poverty Agency:</w:t>
            </w:r>
          </w:p>
          <w:p w:rsidR="001433E0" w:rsidRDefault="001433E0" w:rsidP="00E406E0">
            <w:pPr>
              <w:pStyle w:val="BoxQuote"/>
            </w:pPr>
            <w:r>
              <w:t>The process whereby certain groups are pushed to the margins of society and prevented from participating fully by virtue of their poverty, low education or inadequate lifeskills. This distances them from job, income and education opportunities as well as social and community networks. They have little access to power and decision-making bodies and little chance of influencing decisions or policies that affect them, and little chance of bettering their standard of living. (www.combatpoverty.ie/povertyinireland/glossary)</w:t>
            </w:r>
          </w:p>
          <w:p w:rsidR="001433E0" w:rsidRDefault="001433E0" w:rsidP="00E406E0">
            <w:pPr>
              <w:pStyle w:val="Box"/>
            </w:pPr>
            <w:r>
              <w:t xml:space="preserve">Levitas et al. (2007), after examining a range of definitions of social exclusion, suggested the following working definition: </w:t>
            </w:r>
          </w:p>
          <w:p w:rsidR="001433E0" w:rsidRDefault="001433E0" w:rsidP="00E406E0">
            <w:pPr>
              <w:pStyle w:val="BoxQuote"/>
            </w:pPr>
            <w:r>
              <w:t xml:space="preserve">Social exclusion is a complex and multi-dimensional process. It involves the lack or denial of resources, rights, goods and services, and the inability to participate in the normal relationships and activities, available to the majority of people in a society, whether in economic, social, cultural or political arenas. It affects both the quality of life of individuals and the equity and cohesion of society as a whole. </w:t>
            </w:r>
          </w:p>
          <w:p w:rsidR="001433E0" w:rsidRPr="002E45F4" w:rsidRDefault="001433E0" w:rsidP="00E406E0">
            <w:pPr>
              <w:pStyle w:val="BoxQuote"/>
            </w:pPr>
            <w:r>
              <w:t>… Deep exclusion refers to exclusion across more than one domain or dimension of disadvantage, resulting in severe negative consequences for quality of life, well-being and future life chances. (p. 9)</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RPr="009E5228" w:rsidTr="00E406E0">
        <w:trPr>
          <w:hidden/>
        </w:trPr>
        <w:tc>
          <w:tcPr>
            <w:tcW w:w="8771" w:type="dxa"/>
            <w:tcBorders>
              <w:top w:val="nil"/>
              <w:left w:val="nil"/>
              <w:bottom w:val="nil"/>
              <w:right w:val="nil"/>
            </w:tcBorders>
          </w:tcPr>
          <w:p w:rsidR="001433E0" w:rsidRPr="009E5228" w:rsidRDefault="001433E0" w:rsidP="00E406E0">
            <w:pPr>
              <w:pStyle w:val="Box"/>
              <w:keepNext w:val="0"/>
              <w:spacing w:before="60" w:after="60" w:line="80" w:lineRule="exact"/>
              <w:rPr>
                <w:b/>
                <w:vanish/>
                <w:color w:val="FF00FF"/>
                <w:sz w:val="14"/>
              </w:rPr>
            </w:pPr>
          </w:p>
        </w:tc>
      </w:tr>
    </w:tbl>
    <w:p w:rsidR="001433E0" w:rsidRDefault="001433E0" w:rsidP="001433E0">
      <w:pPr>
        <w:pStyle w:val="BodyText"/>
      </w:pPr>
      <w:r>
        <w:t xml:space="preserve">The Australian Government identified ‘social inclusion’ (rather than social exclusion) as a central part of its policy platform in 2007. A Social Inclusion Unit was established in the Department of Prime Minister and Cabinet in 2007 and a Social Inclusion Board was appointed in 2008. The Australian Social Inclusion Board (2012) defines social inclusion as follows: </w:t>
      </w:r>
    </w:p>
    <w:p w:rsidR="001433E0" w:rsidRDefault="001433E0" w:rsidP="001433E0">
      <w:pPr>
        <w:pStyle w:val="Quote"/>
      </w:pPr>
      <w:r>
        <w:t>Being socially included means that people have the resources, opportunities and capabilities they need to:</w:t>
      </w:r>
    </w:p>
    <w:p w:rsidR="001433E0" w:rsidRDefault="001433E0" w:rsidP="001433E0">
      <w:pPr>
        <w:pStyle w:val="Quote"/>
      </w:pPr>
      <w:r w:rsidRPr="00DF718E">
        <w:rPr>
          <w:b/>
        </w:rPr>
        <w:t xml:space="preserve">Learn </w:t>
      </w:r>
      <w:r>
        <w:t>(participate in education and training);</w:t>
      </w:r>
    </w:p>
    <w:p w:rsidR="001433E0" w:rsidRDefault="001433E0" w:rsidP="001433E0">
      <w:pPr>
        <w:pStyle w:val="Quote"/>
      </w:pPr>
      <w:r w:rsidRPr="00DF718E">
        <w:rPr>
          <w:b/>
        </w:rPr>
        <w:t xml:space="preserve">Work </w:t>
      </w:r>
      <w:r>
        <w:t>(participate in employment, unpaid or voluntary work including family and carer responsibilities);</w:t>
      </w:r>
    </w:p>
    <w:p w:rsidR="001433E0" w:rsidRDefault="001433E0" w:rsidP="001433E0">
      <w:pPr>
        <w:pStyle w:val="Quote"/>
      </w:pPr>
      <w:r w:rsidRPr="00DF718E">
        <w:rPr>
          <w:b/>
        </w:rPr>
        <w:t>Engage</w:t>
      </w:r>
      <w:r>
        <w:t xml:space="preserve"> (connect with people, use local services and participate in local, cultural, civic and recreational activities); and</w:t>
      </w:r>
    </w:p>
    <w:p w:rsidR="001433E0" w:rsidRPr="00DF718E" w:rsidRDefault="001433E0" w:rsidP="001433E0">
      <w:pPr>
        <w:pStyle w:val="Quote"/>
      </w:pPr>
      <w:r w:rsidRPr="00DF718E">
        <w:rPr>
          <w:b/>
        </w:rPr>
        <w:t>Have a voice</w:t>
      </w:r>
      <w:r>
        <w:t xml:space="preserve"> (influence decisions that affect them). (p. 12)</w:t>
      </w:r>
    </w:p>
    <w:p w:rsidR="001433E0" w:rsidRDefault="001433E0" w:rsidP="001433E0">
      <w:pPr>
        <w:pStyle w:val="BodyText"/>
      </w:pPr>
      <w:r>
        <w:lastRenderedPageBreak/>
        <w:t xml:space="preserve">The interaction between resources, opportunities and capabilities is shown in figure 2.1. </w:t>
      </w:r>
    </w:p>
    <w:p w:rsidR="001433E0" w:rsidRDefault="001433E0" w:rsidP="001433E0">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Figure \* ARABIC </w:instrText>
      </w:r>
      <w:r>
        <w:rPr>
          <w:b w:val="0"/>
        </w:rPr>
        <w:fldChar w:fldCharType="separate"/>
      </w:r>
      <w:r w:rsidR="003B44CC">
        <w:rPr>
          <w:b w:val="0"/>
          <w:noProof/>
        </w:rPr>
        <w:t>1</w:t>
      </w:r>
      <w:r>
        <w:rPr>
          <w:b w:val="0"/>
        </w:rPr>
        <w:fldChar w:fldCharType="end"/>
      </w:r>
      <w:r>
        <w:tab/>
        <w:t>Social inclusion conceptual framework — participation and resources</w:t>
      </w:r>
      <w:r w:rsidRPr="00680B0D">
        <w:rPr>
          <w:rStyle w:val="NoteLabel"/>
          <w:b/>
        </w:rPr>
        <w:t>a</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1433E0" w:rsidTr="00E406E0">
        <w:tc>
          <w:tcPr>
            <w:tcW w:w="8777" w:type="dxa"/>
          </w:tcPr>
          <w:p w:rsidR="001433E0" w:rsidRDefault="001433E0" w:rsidP="00E406E0">
            <w:pPr>
              <w:pStyle w:val="Figure"/>
            </w:pPr>
            <w:r>
              <w:rPr>
                <w:noProof/>
              </w:rPr>
              <w:drawing>
                <wp:inline distT="0" distB="0" distL="0" distR="0" wp14:anchorId="134A4344" wp14:editId="23033603">
                  <wp:extent cx="4781550" cy="4543425"/>
                  <wp:effectExtent l="0" t="0" r="0" b="9525"/>
                  <wp:docPr id="1" name="Picture 1" descr="Shows the interaction between resources, opportunities and capabilities" title="Social inclusion conceptual framework — participation and resourc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1550" cy="4543425"/>
                          </a:xfrm>
                          <a:prstGeom prst="rect">
                            <a:avLst/>
                          </a:prstGeom>
                          <a:noFill/>
                          <a:ln>
                            <a:noFill/>
                          </a:ln>
                        </pic:spPr>
                      </pic:pic>
                    </a:graphicData>
                  </a:graphic>
                </wp:inline>
              </w:drawing>
            </w:r>
          </w:p>
        </w:tc>
      </w:tr>
    </w:tbl>
    <w:p w:rsidR="001433E0" w:rsidRDefault="001433E0" w:rsidP="001433E0">
      <w:pPr>
        <w:pStyle w:val="Note"/>
      </w:pPr>
      <w:r>
        <w:rPr>
          <w:rStyle w:val="NoteLabel"/>
        </w:rPr>
        <w:t>a</w:t>
      </w:r>
      <w:r>
        <w:t xml:space="preserve"> Resources refer to the skills and assets people have (or various types of capital, including human, social and economic capital). Capabilities refer to an individual’s ability (or agency) to use resources and opportunities to achieve the outcomes they wish. Opportunities refer to the environment (or structure) that enables individuals to use their capabilities and resources to achieve the outcomes they wish.</w:t>
      </w:r>
    </w:p>
    <w:p w:rsidR="001433E0" w:rsidRDefault="001433E0" w:rsidP="001433E0">
      <w:pPr>
        <w:pStyle w:val="Source"/>
      </w:pPr>
      <w:r>
        <w:rPr>
          <w:i/>
        </w:rPr>
        <w:t>Source</w:t>
      </w:r>
      <w:r w:rsidRPr="00167F06">
        <w:t xml:space="preserve">: </w:t>
      </w:r>
      <w:r>
        <w:t>Australian Social Inclusion Board (2012, p. 13).</w:t>
      </w:r>
    </w:p>
    <w:p w:rsidR="001433E0" w:rsidRDefault="001433E0" w:rsidP="001433E0">
      <w:pPr>
        <w:spacing w:before="360"/>
      </w:pPr>
      <w:r>
        <w:t xml:space="preserve">Atkinson (1998) is one of many who observed that there is no consensus on a definition for social exclusion: </w:t>
      </w:r>
    </w:p>
    <w:p w:rsidR="001433E0" w:rsidRDefault="001433E0" w:rsidP="001433E0">
      <w:pPr>
        <w:pStyle w:val="Quote"/>
      </w:pPr>
      <w:r>
        <w:t xml:space="preserve">Social exclusion is a term that has come to be widely used, but whose exact meaning is not always clear. Indeed it seems to have gained currency in part </w:t>
      </w:r>
      <w:r w:rsidRPr="0018435E">
        <w:rPr>
          <w:i/>
        </w:rPr>
        <w:t>because</w:t>
      </w:r>
      <w:r>
        <w:t xml:space="preserve"> it has no precise definition and means all things to all people. (p. 13, original emphasis) </w:t>
      </w:r>
    </w:p>
    <w:p w:rsidR="001433E0" w:rsidRDefault="001433E0" w:rsidP="001433E0">
      <w:pPr>
        <w:rPr>
          <w:szCs w:val="20"/>
        </w:rPr>
      </w:pPr>
      <w:r>
        <w:br w:type="page"/>
      </w:r>
    </w:p>
    <w:p w:rsidR="001433E0" w:rsidRDefault="001433E0" w:rsidP="001433E0">
      <w:pPr>
        <w:pStyle w:val="BodyText"/>
      </w:pPr>
      <w:r>
        <w:lastRenderedPageBreak/>
        <w:t xml:space="preserve">Notwithstanding this view, Atkinson did, however, identify three recurring themes: </w:t>
      </w:r>
    </w:p>
    <w:p w:rsidR="001433E0" w:rsidRDefault="001433E0" w:rsidP="001433E0">
      <w:pPr>
        <w:pStyle w:val="ListBullet"/>
      </w:pPr>
      <w:r w:rsidRPr="00B2676A">
        <w:rPr>
          <w:i/>
        </w:rPr>
        <w:t xml:space="preserve">relativity </w:t>
      </w:r>
      <w:r>
        <w:t xml:space="preserve">— social exclusion is relative to the norms and expectations of society at a given point in time </w:t>
      </w:r>
    </w:p>
    <w:p w:rsidR="001433E0" w:rsidRDefault="001433E0" w:rsidP="001433E0">
      <w:pPr>
        <w:pStyle w:val="ListBullet"/>
      </w:pPr>
      <w:r w:rsidRPr="00B2676A">
        <w:rPr>
          <w:i/>
        </w:rPr>
        <w:t xml:space="preserve">agency </w:t>
      </w:r>
      <w:r>
        <w:t xml:space="preserve">— a person may exclude themselves through choices of their own, but they may be excluded by the choices of other people, organisations or institutions </w:t>
      </w:r>
    </w:p>
    <w:p w:rsidR="001433E0" w:rsidRDefault="001433E0" w:rsidP="001433E0">
      <w:pPr>
        <w:pStyle w:val="ListBullet"/>
      </w:pPr>
      <w:r w:rsidRPr="00B2676A">
        <w:rPr>
          <w:i/>
        </w:rPr>
        <w:t xml:space="preserve">dynamic </w:t>
      </w:r>
      <w:r>
        <w:t xml:space="preserve">— social exclusion is not just a result of a person’s current situation but also requires that their future prospects are limited. Assessment of the extent of social exclusion needs to go beyond current status to include ‘ex ante expectations’. </w:t>
      </w:r>
    </w:p>
    <w:p w:rsidR="001433E0" w:rsidRDefault="001433E0" w:rsidP="001433E0">
      <w:pPr>
        <w:pStyle w:val="BodyText"/>
      </w:pPr>
      <w:r>
        <w:t>Further themes are that social exclusion is ‘multi</w:t>
      </w:r>
      <w:r>
        <w:noBreakHyphen/>
        <w:t>dimensional’, it encompasses a range of interrelated factors and is a ‘process’ rather than an outcome (</w:t>
      </w:r>
      <w:r w:rsidR="00EE5772">
        <w:t>Hayes</w:t>
      </w:r>
      <w:r>
        <w:t xml:space="preserve">, Gray and Edwards 2008; Room 1995). </w:t>
      </w:r>
    </w:p>
    <w:p w:rsidR="001433E0" w:rsidRDefault="001433E0" w:rsidP="001433E0">
      <w:pPr>
        <w:pStyle w:val="BodyText"/>
      </w:pPr>
      <w:r>
        <w:t>The multi</w:t>
      </w:r>
      <w:r>
        <w:noBreakHyphen/>
        <w:t>dimensional nature of the concept is one of its strengths but it also poses significant challenges for measurement and evaluation. As Hick (2012) said:</w:t>
      </w:r>
    </w:p>
    <w:p w:rsidR="001433E0" w:rsidRDefault="001433E0" w:rsidP="001433E0">
      <w:pPr>
        <w:pStyle w:val="Quote"/>
      </w:pPr>
      <w:r>
        <w:t>One of the functions of the concept of social exclusion was to cover important additional terrain beyond the concept of poverty. … However, the lack of progress in identifying what is meant by social exclusion not only raises questions about its suitability as a concept, but also places this additional terrain in jeopardy. (p. 2)</w:t>
      </w:r>
    </w:p>
    <w:p w:rsidR="001433E0" w:rsidRDefault="001433E0" w:rsidP="001433E0">
      <w:pPr>
        <w:pStyle w:val="BodyText"/>
      </w:pPr>
      <w:r>
        <w:t>Jones and Smyth (1999) were concerned that:</w:t>
      </w:r>
    </w:p>
    <w:p w:rsidR="001433E0" w:rsidRDefault="001433E0" w:rsidP="001433E0">
      <w:pPr>
        <w:pStyle w:val="Quote"/>
      </w:pPr>
      <w:r>
        <w:t>The breadth of the concept of social exclusion, while capturing the multi</w:t>
      </w:r>
      <w:r>
        <w:noBreakHyphen/>
        <w:t>dimensional nature of deprivation, poses significant analytical difficulties. (p. 16)</w:t>
      </w:r>
    </w:p>
    <w:p w:rsidR="001433E0" w:rsidRDefault="001433E0" w:rsidP="001433E0">
      <w:pPr>
        <w:pStyle w:val="BodyText"/>
      </w:pPr>
      <w:r>
        <w:t xml:space="preserve">In particular, this breadth contributes to difficulties in weighting the various indicators within and across domains to produce aggregate measures of social exclusion. For example, should low education, poor health and other indicators such as perceptions of personal safety be weighted equally? </w:t>
      </w:r>
    </w:p>
    <w:p w:rsidR="001433E0" w:rsidRDefault="001433E0" w:rsidP="001433E0">
      <w:pPr>
        <w:pStyle w:val="BodyText"/>
      </w:pPr>
      <w:r>
        <w:t>Burchardt, Le Grand and Piachaud (2002) argue that further methodological development is required:</w:t>
      </w:r>
    </w:p>
    <w:p w:rsidR="001433E0" w:rsidRDefault="001433E0" w:rsidP="001433E0">
      <w:pPr>
        <w:pStyle w:val="Quote"/>
      </w:pPr>
      <w:r>
        <w:t xml:space="preserve">The attempt to define and measure social exclusion also brings to light areas where methodological development is needed. Perhaps the most significant gap between the concept and the measurement tools available is the question of agency. Social exclusion is almost invariably framed in terms of the </w:t>
      </w:r>
      <w:r w:rsidRPr="00FB6E0D">
        <w:rPr>
          <w:i/>
        </w:rPr>
        <w:t>opportunity</w:t>
      </w:r>
      <w:r>
        <w:t xml:space="preserve"> to participate, yet existing indicators measure actual participation or non-participation. We neither know whether the (non-) participation is regarded as problematic by the individual, or whether he or she has other options. (p. 41)</w:t>
      </w:r>
    </w:p>
    <w:p w:rsidR="001433E0" w:rsidRDefault="001433E0" w:rsidP="001433E0">
      <w:pPr>
        <w:pStyle w:val="BodyText"/>
      </w:pPr>
      <w:r>
        <w:lastRenderedPageBreak/>
        <w:t xml:space="preserve">The European Union (EU) has played a leading role in developing measures of social exclusion. While the member states of the EU differ in what they focus on, there is common ground about what issues need to be covered by the indicators — poverty, deprivation, low educational qualifications, labour market disadvantage, joblessness, poor health, poor housing or homelessness, illiteracy and innumeracy, economic precariousness and incapacity to participate in society (Atkinson et al. 2002). </w:t>
      </w:r>
    </w:p>
    <w:p w:rsidR="001433E0" w:rsidRDefault="001433E0" w:rsidP="001433E0">
      <w:pPr>
        <w:pStyle w:val="BodyText"/>
      </w:pPr>
      <w:r>
        <w:t xml:space="preserve">In Australia, the Social Inclusion Board has produced a compendium of social inclusion indicators based on the EU indicators (Australian Social Inclusion Board 2009; 2012). Saunders and the SPRC have also developed indicators of social exclusion and collaborative work by the Melbourne Institute and Brotherhood of St Laurence has resulted in a Social Exclusion Monitor (SEM). The SEM draws on data available from the HILDA survey and covers various life domains: </w:t>
      </w:r>
    </w:p>
    <w:p w:rsidR="001433E0" w:rsidRDefault="001433E0" w:rsidP="001433E0">
      <w:pPr>
        <w:pStyle w:val="ListBullet"/>
      </w:pPr>
      <w:r>
        <w:t>personal capabilities (current level of education and skills, and presence of long-term health or disability)</w:t>
      </w:r>
    </w:p>
    <w:p w:rsidR="001433E0" w:rsidRDefault="001433E0" w:rsidP="001433E0">
      <w:pPr>
        <w:pStyle w:val="ListBullet"/>
      </w:pPr>
      <w:r>
        <w:t>freedoms (perceptions of personal safety)</w:t>
      </w:r>
    </w:p>
    <w:p w:rsidR="001433E0" w:rsidRDefault="001433E0" w:rsidP="001433E0">
      <w:pPr>
        <w:pStyle w:val="ListBullet"/>
      </w:pPr>
      <w:r>
        <w:t>social and community connections (social support, social contact and neighbourhood interaction)</w:t>
      </w:r>
    </w:p>
    <w:p w:rsidR="001433E0" w:rsidRDefault="001433E0" w:rsidP="001433E0">
      <w:pPr>
        <w:pStyle w:val="ListBullet"/>
      </w:pPr>
      <w:r>
        <w:t>attachment to the labour market (unemployment, under</w:t>
      </w:r>
      <w:r>
        <w:noBreakHyphen/>
        <w:t>employment and marginal attachment)</w:t>
      </w:r>
    </w:p>
    <w:p w:rsidR="001433E0" w:rsidRDefault="001433E0" w:rsidP="001433E0">
      <w:pPr>
        <w:pStyle w:val="ListBullet"/>
      </w:pPr>
      <w:r>
        <w:t xml:space="preserve">level of material resources (income, net worth, consumption and financial hardship). </w:t>
      </w:r>
    </w:p>
    <w:p w:rsidR="001433E0" w:rsidRDefault="001433E0" w:rsidP="001433E0">
      <w:pPr>
        <w:pStyle w:val="BodyText"/>
      </w:pPr>
      <w:r>
        <w:t xml:space="preserve">Chapter 3 presents trends in social exclusion in Australia and analysis of the characteristics of those experiencing deep and persistent exclusion. </w:t>
      </w:r>
    </w:p>
    <w:p w:rsidR="001433E0" w:rsidRDefault="00E6722A" w:rsidP="001433E0">
      <w:pPr>
        <w:pStyle w:val="Heading2"/>
      </w:pPr>
      <w:r>
        <w:fldChar w:fldCharType="begin"/>
      </w:r>
      <w:r>
        <w:instrText xml:space="preserve"> COM</w:instrText>
      </w:r>
      <w:r>
        <w:instrText xml:space="preserve">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5</w:t>
      </w:r>
      <w:r>
        <w:rPr>
          <w:noProof/>
        </w:rPr>
        <w:fldChar w:fldCharType="end"/>
      </w:r>
      <w:r w:rsidR="001433E0">
        <w:tab/>
        <w:t>Bringing together measures of income, deprivation, capabilities and social exclusion</w:t>
      </w:r>
    </w:p>
    <w:p w:rsidR="001433E0" w:rsidRDefault="001433E0" w:rsidP="001433E0">
      <w:pPr>
        <w:pStyle w:val="BodyText"/>
      </w:pPr>
      <w:r>
        <w:t xml:space="preserve">Defining and measuring disadvantage is challenging because it involves many aspects of people’s lives and is influenced by the values and priorities of different societies. The various approaches for understanding and assessing disadvantage presented above represent different lenses through which to view and measure this complex phenomenon. </w:t>
      </w:r>
    </w:p>
    <w:p w:rsidR="001433E0" w:rsidRDefault="001433E0" w:rsidP="001433E0">
      <w:pPr>
        <w:pStyle w:val="BodyText"/>
      </w:pPr>
      <w:r>
        <w:t>Income</w:t>
      </w:r>
      <w:r>
        <w:noBreakHyphen/>
        <w:t>based measures continue to be widely used as a proxy for poverty, despite their well</w:t>
      </w:r>
      <w:r>
        <w:noBreakHyphen/>
        <w:t xml:space="preserve">known limitations. Deprivation indices are broader in that they attempt to measure material aspects of living standards (including social engagement) and </w:t>
      </w:r>
      <w:r>
        <w:lastRenderedPageBreak/>
        <w:t xml:space="preserve">gauge the degree to which individuals have access to items regarded as essential. But concerns about the interpretation of the results of such indices remain. Social inclusion has an even broader and more encompassing focus, and while it complements measures of material disadvantage, its breadth presents both conceptual and measurement challenges. </w:t>
      </w:r>
    </w:p>
    <w:p w:rsidR="001433E0" w:rsidRDefault="001433E0" w:rsidP="001433E0">
      <w:pPr>
        <w:pStyle w:val="BodyText"/>
      </w:pPr>
      <w:r>
        <w:t xml:space="preserve">Wellbeing frameworks based on Sen’s capabilities also cover both material (standard of living) and quality of life indicators. The OECD (2011b) has put considerable effort into choosing indicators that are conceptually sound as well as relevant to measuring wellbeing (or deprivation of wellbeing) across populations from the perspective of informing policy. </w:t>
      </w:r>
    </w:p>
    <w:p w:rsidR="001433E0" w:rsidRDefault="001433E0" w:rsidP="001433E0">
      <w:pPr>
        <w:pStyle w:val="BodyText"/>
      </w:pPr>
      <w:r>
        <w:t xml:space="preserve">While the various approaches are different, they also overlap, and in many ways are complementary. As Headey (2006) said: </w:t>
      </w:r>
    </w:p>
    <w:p w:rsidR="001433E0" w:rsidRDefault="001433E0" w:rsidP="001433E0">
      <w:pPr>
        <w:pStyle w:val="Quote"/>
      </w:pPr>
      <w:r>
        <w:t>… although they differ conceptually, when it comes to measurement, they overlap to a large degree. What Sen calls ‘low capabilities’ and ‘low functionings’ — at least when measured — are in part what proponents of the social exclusion approach call ‘barriers to participation’ (Saunders 2005). And both Sen and social exclusion proponents include in their list of preferred measures, indicators of ‘material deprivation’ of the kind favoured in this third approach. (p. 17)</w:t>
      </w:r>
    </w:p>
    <w:p w:rsidR="001433E0" w:rsidRDefault="001433E0" w:rsidP="001433E0">
      <w:pPr>
        <w:pStyle w:val="BodyText"/>
      </w:pPr>
      <w:r>
        <w:t>Similarly, Saunders, Naidoo and Griffiths (2007) said:</w:t>
      </w:r>
    </w:p>
    <w:p w:rsidR="001433E0" w:rsidRDefault="001433E0" w:rsidP="001433E0">
      <w:pPr>
        <w:pStyle w:val="Quote"/>
      </w:pPr>
      <w:r>
        <w:t>Poverty, deprivation and social exclusion are distinct but overlapping concepts. They cover what most people understand by the term ‘social disadvantage’, which involves restricted access to resources, lack of participation and blocked opportunities. (p. viii)</w:t>
      </w:r>
    </w:p>
    <w:p w:rsidR="001433E0" w:rsidRDefault="001433E0" w:rsidP="001433E0">
      <w:pPr>
        <w:pStyle w:val="BodyText"/>
      </w:pPr>
      <w:r>
        <w:t xml:space="preserve">The various conceptual approaches to analysing disadvantage are not only useful in enhancing our understanding of the theoretical paradigms, but also for helping policy makers identify ‘who’ is experiencing deep and persistent disadvantage and who is least likely to move away from a situation of disadvantage. </w:t>
      </w:r>
    </w:p>
    <w:p w:rsidR="001433E0" w:rsidRDefault="001433E0" w:rsidP="001433E0">
      <w:pPr>
        <w:pStyle w:val="BodyText"/>
      </w:pPr>
      <w:r>
        <w:t>In this way, the concepts and measures of disadvantage complement each other reflecting the multi</w:t>
      </w:r>
      <w:r>
        <w:noBreakHyphen/>
        <w:t>dimensional nature of disadvantage and the experiences of people in terms of material deficits and deficits in less tangible aspects of their lives (such as personal security, social connections and subjective wellbeing). As Saunders (2011) said:</w:t>
      </w:r>
    </w:p>
    <w:p w:rsidR="001433E0" w:rsidRDefault="001433E0" w:rsidP="001433E0">
      <w:pPr>
        <w:pStyle w:val="Quote"/>
      </w:pPr>
      <w:r>
        <w:t>One of the problems facing any single poverty measure is that too much is demanded of it. … More than one measure may be needed to reflect different judgements about what poverty means, and to provide a sensitivity check on how poverty varies when different assumptions are made when measuring it. (pp. 22-23)</w:t>
      </w:r>
    </w:p>
    <w:p w:rsidR="001433E0" w:rsidRDefault="001433E0" w:rsidP="001433E0">
      <w:pPr>
        <w:rPr>
          <w:szCs w:val="20"/>
        </w:rPr>
      </w:pPr>
      <w:r>
        <w:br w:type="page"/>
      </w:r>
    </w:p>
    <w:p w:rsidR="001433E0" w:rsidRDefault="001433E0" w:rsidP="001433E0">
      <w:pPr>
        <w:pStyle w:val="BodyText"/>
      </w:pPr>
      <w:r>
        <w:lastRenderedPageBreak/>
        <w:t>Not everyone identified as having inadequate income will also be experiencing poor living standards, be excluded from society or have poor prospects. Reviews of the literature find areas of overlap between income poverty and deprivation, however</w:t>
      </w:r>
      <w:r w:rsidR="007C23A9">
        <w:t>,</w:t>
      </w:r>
      <w:r>
        <w:t xml:space="preserve"> the relationship is not strong (box 2.6). This remains the case when income poverty and deprivation are observed over an extended period of time. Nolan and Whelan (2011) found that: </w:t>
      </w:r>
    </w:p>
    <w:p w:rsidR="001433E0" w:rsidRDefault="001433E0" w:rsidP="001433E0">
      <w:pPr>
        <w:pStyle w:val="Quote"/>
      </w:pPr>
      <w:r>
        <w:t>… even when we are in a position to observe both income poverty and life</w:t>
      </w:r>
      <w:r>
        <w:noBreakHyphen/>
        <w:t>style deprivation over a reasonable period of time, the available evidence points to the conclusion that, while there is a substantial correlation between these dimensions, they are to a significant extent tapping different phenomena. (p. 179)</w:t>
      </w:r>
    </w:p>
    <w:p w:rsidR="001433E0" w:rsidRDefault="001433E0" w:rsidP="001433E0">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6</w:t>
            </w:r>
            <w:r>
              <w:rPr>
                <w:b w:val="0"/>
              </w:rPr>
              <w:fldChar w:fldCharType="end"/>
            </w:r>
            <w:r>
              <w:tab/>
              <w:t>Some evidence on the relationship between income poverty and material deprivation</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t>An OECD review of empirical research on material deprivation highlights areas of overlap between income poverty and material deprivation.</w:t>
            </w:r>
          </w:p>
          <w:p w:rsidR="001433E0" w:rsidRDefault="001433E0" w:rsidP="001433E0">
            <w:pPr>
              <w:pStyle w:val="BoxListBullet"/>
              <w:spacing w:before="120"/>
            </w:pPr>
            <w:r>
              <w:t>People with low incomes are more likely to experience material deprivation, and deprived individuals are most likely to be counted among the income poor. However, the relationship between people’s income and deprivation is not very strong — only between one</w:t>
            </w:r>
            <w:r>
              <w:noBreakHyphen/>
              <w:t>third and one</w:t>
            </w:r>
            <w:r>
              <w:noBreakHyphen/>
              <w:t>half of people who are income poor are found to be deprived, and vice versa. Most studies report correlation coefficients of between 0.33 and 0.54 (Perry 2002).</w:t>
            </w:r>
          </w:p>
          <w:p w:rsidR="001433E0" w:rsidRDefault="001433E0" w:rsidP="001433E0">
            <w:pPr>
              <w:pStyle w:val="BoxListBullet"/>
              <w:spacing w:before="120"/>
            </w:pPr>
            <w:r>
              <w:t xml:space="preserve">The overlap between income poverty and material deprivation increases when a higher income threshold is used (although the evidence is mixed for the United States) and when assessing deprivation over the long term. Also, the overlap between income poverty and material deprivation generally increases when relying on measures that track individuals over time. </w:t>
            </w:r>
          </w:p>
          <w:p w:rsidR="001433E0" w:rsidRDefault="001433E0" w:rsidP="001433E0">
            <w:pPr>
              <w:pStyle w:val="BoxListBullet"/>
              <w:spacing w:before="120"/>
            </w:pPr>
            <w:r>
              <w:t xml:space="preserve">Tracking people over time shows that most of those reporting material deprivation experience that condition over prolonged periods of time; this implies that material deprivation provides a useful complement to poverty measures where longitudinal income data are not available. </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Source"/>
            </w:pPr>
            <w:r>
              <w:rPr>
                <w:i/>
              </w:rPr>
              <w:t>Sources</w:t>
            </w:r>
            <w:r w:rsidRPr="00167F06">
              <w:t xml:space="preserve">: </w:t>
            </w:r>
            <w:r>
              <w:t xml:space="preserve">OECD (2008); Perry (2002). </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RPr="000863A5" w:rsidTr="00E406E0">
        <w:tc>
          <w:tcPr>
            <w:tcW w:w="8771" w:type="dxa"/>
            <w:tcBorders>
              <w:top w:val="nil"/>
              <w:left w:val="nil"/>
              <w:bottom w:val="nil"/>
              <w:right w:val="nil"/>
            </w:tcBorders>
          </w:tcPr>
          <w:p w:rsidR="001433E0" w:rsidRPr="00626D32" w:rsidRDefault="001433E0" w:rsidP="00E406E0">
            <w:pPr>
              <w:pStyle w:val="BoxSpaceBelow"/>
            </w:pPr>
          </w:p>
        </w:tc>
      </w:tr>
    </w:tbl>
    <w:p w:rsidR="001433E0" w:rsidRPr="006E62A6" w:rsidRDefault="001433E0" w:rsidP="001433E0">
      <w:pPr>
        <w:pStyle w:val="BodyText"/>
      </w:pPr>
      <w:r>
        <w:t xml:space="preserve">As noted in chapter 3, and discussed further in chapter 6, different approaches and thresholds lead to different conclusions about the extent, depth and persistence of disadvantage. To capture the multi-dimensional nature of disadvantage a combination of measures and indicators may be necessary. </w:t>
      </w:r>
    </w:p>
    <w:p w:rsidR="001433E0" w:rsidRDefault="00E6722A" w:rsidP="001433E0">
      <w:pPr>
        <w:pStyle w:val="Heading2"/>
      </w:pPr>
      <w:r>
        <w:lastRenderedPageBreak/>
        <w:fldChar w:fldCharType="begin"/>
      </w:r>
      <w:r>
        <w:instrText xml:space="preserve"> COMMENTS  \* MERGEFORMAT </w:instrText>
      </w:r>
      <w:r>
        <w:fldChar w:fldCharType="separate"/>
      </w:r>
      <w:r w:rsidR="003B44CC">
        <w:t>2.</w:t>
      </w:r>
      <w:r>
        <w:fldChar w:fldCharType="end"/>
      </w:r>
      <w:r>
        <w:fldChar w:fldCharType="begin"/>
      </w:r>
      <w:r>
        <w:instrText xml:space="preserve"> SEQ Heading2 </w:instrText>
      </w:r>
      <w:r>
        <w:fldChar w:fldCharType="separate"/>
      </w:r>
      <w:r w:rsidR="003B44CC">
        <w:rPr>
          <w:noProof/>
        </w:rPr>
        <w:t>6</w:t>
      </w:r>
      <w:r>
        <w:rPr>
          <w:noProof/>
        </w:rPr>
        <w:fldChar w:fldCharType="end"/>
      </w:r>
      <w:r w:rsidR="001433E0">
        <w:tab/>
        <w:t>The importance of dynamics in understanding disadvantage</w:t>
      </w:r>
    </w:p>
    <w:p w:rsidR="001433E0" w:rsidRDefault="001433E0" w:rsidP="001433E0">
      <w:pPr>
        <w:pStyle w:val="BodyText"/>
      </w:pPr>
      <w:r>
        <w:t>Dynamics are critical to understanding disadvantage. Losing a job does not necessarily mean that someone will be in a state of disadvantage for long, but if they remain unemployed over an extended period of time, and they subsequently lose skills and self</w:t>
      </w:r>
      <w:r>
        <w:noBreakHyphen/>
        <w:t>esteem (and they deplete their financial resources), they would be at increased risk of deep and persistent disadvantage. As the Poverty Analysis Discussion Group</w:t>
      </w:r>
      <w:r>
        <w:rPr>
          <w:rStyle w:val="FootnoteReference"/>
        </w:rPr>
        <w:footnoteReference w:id="1"/>
      </w:r>
      <w:r>
        <w:t xml:space="preserve"> (2012) said: </w:t>
      </w:r>
    </w:p>
    <w:p w:rsidR="001433E0" w:rsidRPr="00D618FE" w:rsidRDefault="001433E0" w:rsidP="001433E0">
      <w:pPr>
        <w:pStyle w:val="Quote"/>
      </w:pPr>
      <w:r w:rsidRPr="00D618FE">
        <w:t>Mobility underlies any static picture of deprivation. The transient poor move in and out of poverty; the chronic poor remain trapped in situations and relationships which produce deprivation and capability losses over long periods.</w:t>
      </w:r>
      <w:r>
        <w:t xml:space="preserve"> (p. 6)</w:t>
      </w:r>
    </w:p>
    <w:p w:rsidR="001433E0" w:rsidRDefault="001433E0" w:rsidP="001433E0">
      <w:pPr>
        <w:pStyle w:val="BodyText"/>
        <w:rPr>
          <w:lang w:val="en"/>
        </w:rPr>
      </w:pPr>
      <w:r>
        <w:rPr>
          <w:lang w:val="en"/>
        </w:rPr>
        <w:t>From a policy perspective, it is persistent and recurring disadvantage that is of most concern. As Calvo and Dercon (2007) put it:</w:t>
      </w:r>
    </w:p>
    <w:p w:rsidR="001433E0" w:rsidRPr="00506811" w:rsidRDefault="001433E0" w:rsidP="001433E0">
      <w:pPr>
        <w:pStyle w:val="Quote"/>
        <w:rPr>
          <w:lang w:val="en"/>
        </w:rPr>
      </w:pPr>
      <w:r>
        <w:rPr>
          <w:lang w:val="en"/>
        </w:rPr>
        <w:t xml:space="preserve">… we should be concerned with poverty that does not easily resolve itself, that has a persistence attached to it. Obviously, this is a statement about a future state, but not just about one future period, but related to a </w:t>
      </w:r>
      <w:r w:rsidRPr="00DB52C4">
        <w:rPr>
          <w:lang w:val="en"/>
        </w:rPr>
        <w:t>permanent escape or the lack of escape</w:t>
      </w:r>
      <w:r>
        <w:rPr>
          <w:lang w:val="en"/>
        </w:rPr>
        <w:t xml:space="preserve"> from poverty, persisting in different periods. (p. 5)</w:t>
      </w:r>
    </w:p>
    <w:p w:rsidR="001433E0" w:rsidRDefault="001433E0" w:rsidP="001433E0">
      <w:pPr>
        <w:pStyle w:val="BodyText"/>
      </w:pPr>
      <w:r>
        <w:t>The literature on poverty dynamics categorises people into four groups:</w:t>
      </w:r>
    </w:p>
    <w:p w:rsidR="001433E0" w:rsidRDefault="001433E0" w:rsidP="001433E0">
      <w:pPr>
        <w:pStyle w:val="ListBullet"/>
      </w:pPr>
      <w:r>
        <w:t>those who never experience poverty or disadvantage</w:t>
      </w:r>
    </w:p>
    <w:p w:rsidR="001433E0" w:rsidRDefault="001433E0" w:rsidP="001433E0">
      <w:pPr>
        <w:pStyle w:val="ListBullet"/>
      </w:pPr>
      <w:r>
        <w:t>people who have a one</w:t>
      </w:r>
      <w:r>
        <w:noBreakHyphen/>
        <w:t>off transient experience</w:t>
      </w:r>
    </w:p>
    <w:p w:rsidR="001433E0" w:rsidRDefault="001433E0" w:rsidP="001433E0">
      <w:pPr>
        <w:pStyle w:val="ListBullet"/>
      </w:pPr>
      <w:r>
        <w:t>those who experience recurrent disadvantage</w:t>
      </w:r>
    </w:p>
    <w:p w:rsidR="001433E0" w:rsidRDefault="001433E0" w:rsidP="001433E0">
      <w:pPr>
        <w:pStyle w:val="ListBullet"/>
      </w:pPr>
      <w:r>
        <w:t xml:space="preserve">those in a state of persistent disadvantage (OECD 2008; Smith and Middleton 2007). </w:t>
      </w:r>
    </w:p>
    <w:p w:rsidR="001433E0" w:rsidRDefault="001433E0" w:rsidP="001433E0">
      <w:pPr>
        <w:pStyle w:val="BodyText"/>
      </w:pPr>
      <w:r>
        <w:t xml:space="preserve">In explaining the various states of disadvantage, Bane and Ellwood (1986) used an analogy of patients in a typical hospital — while most people admitted to a hospital in any year stay only a short time, a few chronically ill patients stay for an extended period of time and, as such, occupy most of the hospital beds: </w:t>
      </w:r>
    </w:p>
    <w:p w:rsidR="001433E0" w:rsidRPr="005348DC" w:rsidRDefault="001433E0" w:rsidP="001433E0">
      <w:pPr>
        <w:pStyle w:val="Quote"/>
      </w:pPr>
      <w:r>
        <w:t xml:space="preserve">If we ask what proportion of all admissions are people who are chronically ill, the answer is relatively few. On the other hand, if we ask what fraction of the number of the hospital’s beds are at any one time occupied by the chronically ill, the answer is much larger. The reason is simple. Although the chronically ill account for only a small </w:t>
      </w:r>
      <w:r>
        <w:lastRenderedPageBreak/>
        <w:t>fraction of all admissions, because they stay so long they end up being a sizable part of the hospital population and they consume a sizable proportion of the hospital’s resources. (p. 11)</w:t>
      </w:r>
    </w:p>
    <w:p w:rsidR="001433E0" w:rsidRDefault="001433E0" w:rsidP="001433E0">
      <w:pPr>
        <w:pStyle w:val="BodyText"/>
      </w:pPr>
      <w:r>
        <w:t xml:space="preserve">Likewise, Bane and Ellwood found that while many people had short spells of poverty, the few with very long spells accounted for the bulk of all poverty. </w:t>
      </w:r>
    </w:p>
    <w:p w:rsidR="001433E0" w:rsidRDefault="001433E0" w:rsidP="001433E0">
      <w:pPr>
        <w:pStyle w:val="BodyText"/>
      </w:pPr>
      <w:r>
        <w:t>There are a number of studies that show the longer someone experiences disadvantage</w:t>
      </w:r>
      <w:r w:rsidR="007C23A9">
        <w:t>,</w:t>
      </w:r>
      <w:r>
        <w:t xml:space="preserve"> the lower the probability of exit and the higher the probability of re</w:t>
      </w:r>
      <w:r>
        <w:noBreakHyphen/>
        <w:t>entry (box 2.7</w:t>
      </w:r>
      <w:r w:rsidR="007C23A9">
        <w:t>, chapter 3</w:t>
      </w:r>
      <w:r>
        <w:t xml:space="preserve">). This result is not surprising, as people who are temporarily disadvantaged leave early, leaving behind those who are least likely to exit. </w:t>
      </w:r>
    </w:p>
    <w:p w:rsidR="001433E0" w:rsidRDefault="001433E0" w:rsidP="001433E0">
      <w:pPr>
        <w:pStyle w:val="BoxSpac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1433E0" w:rsidTr="00E406E0">
        <w:tc>
          <w:tcPr>
            <w:tcW w:w="8771" w:type="dxa"/>
            <w:tcBorders>
              <w:top w:val="single" w:sz="6" w:space="0" w:color="auto"/>
              <w:bottom w:val="nil"/>
            </w:tcBorders>
          </w:tcPr>
          <w:p w:rsidR="001433E0" w:rsidRDefault="001433E0" w:rsidP="00E406E0">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3B44CC">
              <w:rPr>
                <w:b w:val="0"/>
              </w:rPr>
              <w:t>2.</w:t>
            </w:r>
            <w:r>
              <w:rPr>
                <w:b w:val="0"/>
              </w:rPr>
              <w:fldChar w:fldCharType="end"/>
            </w:r>
            <w:r>
              <w:rPr>
                <w:b w:val="0"/>
              </w:rPr>
              <w:fldChar w:fldCharType="begin"/>
            </w:r>
            <w:r>
              <w:rPr>
                <w:b w:val="0"/>
              </w:rPr>
              <w:instrText xml:space="preserve"> SEQ Box \* ARABIC </w:instrText>
            </w:r>
            <w:r>
              <w:rPr>
                <w:b w:val="0"/>
              </w:rPr>
              <w:fldChar w:fldCharType="separate"/>
            </w:r>
            <w:r w:rsidR="003B44CC">
              <w:rPr>
                <w:b w:val="0"/>
                <w:noProof/>
              </w:rPr>
              <w:t>7</w:t>
            </w:r>
            <w:r>
              <w:rPr>
                <w:b w:val="0"/>
              </w:rPr>
              <w:fldChar w:fldCharType="end"/>
            </w:r>
            <w:r>
              <w:tab/>
              <w:t>Short spells for most, but a small group experience persistent disadvantage</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
            </w:pPr>
            <w:r>
              <w:t xml:space="preserve">A number of studies show that the probability of leaving income poverty is lower the longer individuals are in poverty. </w:t>
            </w:r>
          </w:p>
          <w:p w:rsidR="001433E0" w:rsidRDefault="001433E0" w:rsidP="001433E0">
            <w:pPr>
              <w:pStyle w:val="BoxListBullet"/>
              <w:spacing w:before="120"/>
            </w:pPr>
            <w:r>
              <w:t xml:space="preserve">Bane and Ellwood (1986) and Stevens (1999) found that the probability of exiting poverty falls rapidly after having been poor for two or more years. </w:t>
            </w:r>
          </w:p>
          <w:p w:rsidR="001433E0" w:rsidRDefault="001433E0" w:rsidP="001433E0">
            <w:pPr>
              <w:pStyle w:val="BoxListBullet"/>
              <w:spacing w:before="120"/>
            </w:pPr>
            <w:r>
              <w:t xml:space="preserve">Oxley, Dang and Antolin (2000), examining poverty across Canada, Germany, the Netherlands, Sweden, the United Kingdom and the United States, found that while the majority of people have short spells in poverty, as spells lengthen, the probability of exiting the state of disadvantage falls such that a small group of the population remains in that state for long periods of time with little chance of exit. In addition, in most cases, low probability of exit is combined with high probability of re-entry if they do manage to exit. </w:t>
            </w:r>
          </w:p>
          <w:p w:rsidR="001433E0" w:rsidRDefault="001433E0" w:rsidP="001433E0">
            <w:pPr>
              <w:pStyle w:val="BoxListBullet"/>
              <w:spacing w:before="120"/>
            </w:pPr>
            <w:r>
              <w:t xml:space="preserve">Smith and Middleton’s (2007) review of poverty dynamics research in the United Kingdom found that people who have experienced income poverty in the past are most at risk of re-entering the state of disadvantage. Also, that the longer someone remains disadvantaged the less likely they are to leave the state of disadvantage. </w:t>
            </w:r>
          </w:p>
          <w:p w:rsidR="001433E0" w:rsidRDefault="001433E0" w:rsidP="001433E0">
            <w:pPr>
              <w:pStyle w:val="BoxListBullet"/>
              <w:spacing w:before="120"/>
            </w:pPr>
            <w:r>
              <w:t xml:space="preserve">Buddelmeyer and Verick (2007), using HILDA data, found that while the majority of Australian households only temporarily experience poverty, the longer they remain poor, the lower their probability of exiting. Tertiary education and employment were found to be key factors keeping households out of poverty; having a disability was associated with a higher probability of becoming poor and remaining poor, as was living in an outer-regional or remote areas. It was also found that life-changing events, especially becoming separated, could lead to households experiencing persistent poverty. </w:t>
            </w:r>
          </w:p>
        </w:tc>
      </w:tr>
      <w:tr w:rsidR="001433E0" w:rsidTr="00E406E0">
        <w:trPr>
          <w:cantSplit/>
        </w:trPr>
        <w:tc>
          <w:tcPr>
            <w:tcW w:w="8771" w:type="dxa"/>
            <w:tcBorders>
              <w:top w:val="nil"/>
              <w:left w:val="single" w:sz="6" w:space="0" w:color="auto"/>
              <w:bottom w:val="nil"/>
              <w:right w:val="single" w:sz="6" w:space="0" w:color="auto"/>
            </w:tcBorders>
          </w:tcPr>
          <w:p w:rsidR="001433E0" w:rsidRDefault="001433E0" w:rsidP="00E406E0">
            <w:pPr>
              <w:pStyle w:val="BoxSource"/>
            </w:pPr>
            <w:r>
              <w:rPr>
                <w:i/>
              </w:rPr>
              <w:t>Sources</w:t>
            </w:r>
            <w:r w:rsidRPr="00167F06">
              <w:t xml:space="preserve">: </w:t>
            </w:r>
            <w:r>
              <w:t>Bane and Ellwood (1986); Buddelmeyer and Verick (2007); Oxley, Dang and Antolin (2000); Smith and Middleton (2007); Stevens (1999).</w:t>
            </w:r>
          </w:p>
        </w:tc>
      </w:tr>
      <w:tr w:rsidR="001433E0" w:rsidTr="00E406E0">
        <w:trPr>
          <w:cantSplit/>
        </w:trPr>
        <w:tc>
          <w:tcPr>
            <w:tcW w:w="8771" w:type="dxa"/>
            <w:tcBorders>
              <w:top w:val="nil"/>
              <w:left w:val="single" w:sz="6" w:space="0" w:color="auto"/>
              <w:bottom w:val="single" w:sz="6" w:space="0" w:color="auto"/>
              <w:right w:val="single" w:sz="6" w:space="0" w:color="auto"/>
            </w:tcBorders>
          </w:tcPr>
          <w:p w:rsidR="001433E0" w:rsidRDefault="001433E0" w:rsidP="00E406E0">
            <w:pPr>
              <w:pStyle w:val="Box"/>
              <w:spacing w:before="0" w:line="120" w:lineRule="exact"/>
            </w:pPr>
          </w:p>
        </w:tc>
      </w:tr>
      <w:tr w:rsidR="001433E0" w:rsidTr="00E406E0">
        <w:tc>
          <w:tcPr>
            <w:tcW w:w="8771" w:type="dxa"/>
            <w:tcBorders>
              <w:top w:val="nil"/>
              <w:left w:val="nil"/>
              <w:bottom w:val="nil"/>
              <w:right w:val="nil"/>
            </w:tcBorders>
          </w:tcPr>
          <w:p w:rsidR="001433E0" w:rsidRDefault="001433E0" w:rsidP="00E406E0">
            <w:pPr>
              <w:pStyle w:val="Box"/>
              <w:keepNext w:val="0"/>
              <w:spacing w:before="60" w:after="60" w:line="80" w:lineRule="exact"/>
              <w:rPr>
                <w:b/>
                <w:color w:val="FF00FF"/>
                <w:sz w:val="14"/>
              </w:rPr>
            </w:pPr>
          </w:p>
        </w:tc>
      </w:tr>
    </w:tbl>
    <w:p w:rsidR="001433E0" w:rsidRDefault="001433E0" w:rsidP="001433E0">
      <w:pPr>
        <w:pStyle w:val="BodyText"/>
      </w:pPr>
    </w:p>
    <w:p w:rsidR="001433E0" w:rsidRDefault="001433E0" w:rsidP="001433E0">
      <w:pPr>
        <w:pStyle w:val="BodyText"/>
      </w:pPr>
      <w:r>
        <w:lastRenderedPageBreak/>
        <w:t xml:space="preserve">Kloprogge (1998) argued that poverty can have both a duration and a composition effect: </w:t>
      </w:r>
    </w:p>
    <w:p w:rsidR="001433E0" w:rsidRDefault="001433E0" w:rsidP="001433E0">
      <w:pPr>
        <w:pStyle w:val="Quote"/>
      </w:pPr>
      <w:r>
        <w:t xml:space="preserve">Poverty … has a self-propagating effect: the longer a person is poor, the more difficult it is to improve their income. This is caused by both a ‘duration effect’ and a ‘composition effect’. The duration effect indicates that the chances of </w:t>
      </w:r>
      <w:r w:rsidRPr="00DB52C4">
        <w:t>escaping from poverty</w:t>
      </w:r>
      <w:r>
        <w:t xml:space="preserve"> reduces for all poor persons over time. The composition effect refers to the fact that as the duration of the poverty increases, the group of poor people becomes increasingly populated by households with the least favourable household and labour market characteristics: more elderly people, more single persons, etc. (p. 4)</w:t>
      </w:r>
    </w:p>
    <w:p w:rsidR="001433E0" w:rsidRDefault="001433E0" w:rsidP="001433E0">
      <w:pPr>
        <w:pStyle w:val="BodyText"/>
      </w:pPr>
      <w:r>
        <w:t xml:space="preserve">The importance of dynamics in understanding disadvantage points to the need to follow individuals longitudinally. By following the same people over an extended period of time, it is possible to discern between those people who experience disadvantage for short periods of time and those who </w:t>
      </w:r>
      <w:r w:rsidR="007C23A9">
        <w:t xml:space="preserve">remain </w:t>
      </w:r>
      <w:r>
        <w:t>disadvantage</w:t>
      </w:r>
      <w:r w:rsidR="007C23A9">
        <w:t>d</w:t>
      </w:r>
      <w:r>
        <w:t xml:space="preserve">. </w:t>
      </w:r>
    </w:p>
    <w:p w:rsidR="001433E0" w:rsidRDefault="001433E0" w:rsidP="001433E0">
      <w:pPr>
        <w:pStyle w:val="BodyText"/>
      </w:pPr>
      <w:r>
        <w:t xml:space="preserve">Longitudinal data can also provide insights into recurring disadvantage (or spells of disadvantage), the types of events that trigger spells of disadvantage, and the factors that assist people to move out of disadvantage. </w:t>
      </w:r>
    </w:p>
    <w:p w:rsidR="001433E0" w:rsidRPr="003E5440" w:rsidRDefault="001433E0" w:rsidP="001433E0">
      <w:pPr>
        <w:pStyle w:val="Quote"/>
      </w:pPr>
      <w:r>
        <w:t xml:space="preserve">… </w:t>
      </w:r>
      <w:r w:rsidRPr="009C2319">
        <w:t xml:space="preserve">longitudinal ethnographic studies provide a rich source of understanding of the factors which reduce or exacerbate poverty over time. Longitudinal studies enable ‘natural experiments’ to emerge from data </w:t>
      </w:r>
      <w:r>
        <w:t xml:space="preserve">— </w:t>
      </w:r>
      <w:r w:rsidRPr="009C2319">
        <w:t>where comparisons can be made both between groups and over time which indicate the importance of particular poverty reduction interventions.</w:t>
      </w:r>
      <w:r>
        <w:t xml:space="preserve"> (Poverty Analysis Discussion Group 2012, p. 10)</w:t>
      </w:r>
    </w:p>
    <w:p w:rsidR="00DB26D2" w:rsidRDefault="001433E0" w:rsidP="001433E0">
      <w:pPr>
        <w:pStyle w:val="BodyText"/>
      </w:pPr>
      <w:r>
        <w:t>The next chapter presents estimates of the indicators of disadvantage for Australia as viewed through the lenses of the various concepts of disadvantage</w:t>
      </w:r>
      <w:r w:rsidR="003A31EF">
        <w:t>.</w:t>
      </w:r>
    </w:p>
    <w:p w:rsidR="009E1844" w:rsidRDefault="009E1844" w:rsidP="00120072">
      <w:pPr>
        <w:pStyle w:val="BodyText"/>
      </w:pPr>
    </w:p>
    <w:p w:rsidR="00F056FC" w:rsidRDefault="00F056FC" w:rsidP="00120072">
      <w:pPr>
        <w:pStyle w:val="BodyText"/>
      </w:pPr>
    </w:p>
    <w:sectPr w:rsidR="00F056FC" w:rsidSect="001433E0">
      <w:headerReference w:type="even" r:id="rId10"/>
      <w:headerReference w:type="default" r:id="rId11"/>
      <w:footerReference w:type="even" r:id="rId12"/>
      <w:footerReference w:type="default" r:id="rId13"/>
      <w:pgSz w:w="11907" w:h="16840" w:code="9"/>
      <w:pgMar w:top="1985" w:right="1304" w:bottom="1418" w:left="1814" w:header="1701" w:footer="567" w:gutter="0"/>
      <w:pgNumType w:start="3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0B7" w:rsidRDefault="005D40B7">
      <w:r>
        <w:separator/>
      </w:r>
    </w:p>
  </w:endnote>
  <w:endnote w:type="continuationSeparator" w:id="0">
    <w:p w:rsidR="005D40B7" w:rsidRDefault="005D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KWOKV+HelveticaNeue-Roman">
    <w:altName w:val="Helvetica Neu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5D40B7">
      <w:trPr>
        <w:trHeight w:hRule="exact" w:val="740"/>
      </w:trPr>
      <w:tc>
        <w:tcPr>
          <w:tcW w:w="510" w:type="dxa"/>
          <w:tcBorders>
            <w:top w:val="single" w:sz="6" w:space="0" w:color="auto"/>
          </w:tcBorders>
        </w:tcPr>
        <w:p w:rsidR="005D40B7" w:rsidRDefault="005D40B7"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E6722A">
            <w:rPr>
              <w:rStyle w:val="PageNumber"/>
              <w:noProof/>
            </w:rPr>
            <w:t>56</w:t>
          </w:r>
          <w:r>
            <w:rPr>
              <w:rStyle w:val="PageNumber"/>
            </w:rPr>
            <w:fldChar w:fldCharType="end"/>
          </w:r>
        </w:p>
      </w:tc>
      <w:tc>
        <w:tcPr>
          <w:tcW w:w="1644" w:type="dxa"/>
          <w:tcBorders>
            <w:top w:val="single" w:sz="6" w:space="0" w:color="auto"/>
          </w:tcBorders>
        </w:tcPr>
        <w:p w:rsidR="005D40B7" w:rsidRDefault="00E6722A" w:rsidP="0019293B">
          <w:pPr>
            <w:pStyle w:val="Footer"/>
          </w:pPr>
          <w:r>
            <w:fldChar w:fldCharType="begin"/>
          </w:r>
          <w:r>
            <w:instrText xml:space="preserve"> SUBJECT  \* MERGEFORMAT </w:instrText>
          </w:r>
          <w:r>
            <w:fldChar w:fldCharType="separate"/>
          </w:r>
          <w:r w:rsidR="003B44CC">
            <w:t>deep and persistent disadvantage</w:t>
          </w:r>
          <w:r>
            <w:fldChar w:fldCharType="end"/>
          </w:r>
        </w:p>
      </w:tc>
      <w:tc>
        <w:tcPr>
          <w:tcW w:w="6634" w:type="dxa"/>
        </w:tcPr>
        <w:p w:rsidR="005D40B7" w:rsidRDefault="005D40B7" w:rsidP="0019293B">
          <w:pPr>
            <w:pStyle w:val="Footer"/>
          </w:pPr>
        </w:p>
      </w:tc>
    </w:tr>
  </w:tbl>
  <w:p w:rsidR="005D40B7" w:rsidRDefault="005D40B7"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5D40B7">
      <w:trPr>
        <w:trHeight w:hRule="exact" w:val="740"/>
      </w:trPr>
      <w:tc>
        <w:tcPr>
          <w:tcW w:w="6634" w:type="dxa"/>
        </w:tcPr>
        <w:p w:rsidR="005D40B7" w:rsidRDefault="005D40B7">
          <w:pPr>
            <w:pStyle w:val="Footer"/>
            <w:ind w:right="360" w:firstLine="360"/>
          </w:pPr>
        </w:p>
      </w:tc>
      <w:tc>
        <w:tcPr>
          <w:tcW w:w="1644" w:type="dxa"/>
          <w:tcBorders>
            <w:top w:val="single" w:sz="6" w:space="0" w:color="auto"/>
          </w:tcBorders>
        </w:tcPr>
        <w:p w:rsidR="005D40B7" w:rsidRDefault="00E6722A">
          <w:pPr>
            <w:pStyle w:val="Footer"/>
          </w:pPr>
          <w:r>
            <w:fldChar w:fldCharType="begin"/>
          </w:r>
          <w:r>
            <w:instrText xml:space="preserve"> TITLE  \* MERGEFORMAT </w:instrText>
          </w:r>
          <w:r>
            <w:fldChar w:fldCharType="separate"/>
          </w:r>
          <w:r w:rsidR="003B44CC">
            <w:t>What does it mean to be disadvantaged?</w:t>
          </w:r>
          <w:r>
            <w:fldChar w:fldCharType="end"/>
          </w:r>
        </w:p>
      </w:tc>
      <w:tc>
        <w:tcPr>
          <w:tcW w:w="510" w:type="dxa"/>
          <w:tcBorders>
            <w:top w:val="single" w:sz="6" w:space="0" w:color="auto"/>
          </w:tcBorders>
        </w:tcPr>
        <w:p w:rsidR="005D40B7" w:rsidRDefault="005D40B7">
          <w:pPr>
            <w:pStyle w:val="Footer"/>
            <w:jc w:val="right"/>
          </w:pPr>
          <w:r>
            <w:rPr>
              <w:rStyle w:val="PageNumber"/>
            </w:rPr>
            <w:fldChar w:fldCharType="begin"/>
          </w:r>
          <w:r>
            <w:rPr>
              <w:rStyle w:val="PageNumber"/>
            </w:rPr>
            <w:instrText xml:space="preserve">PAGE  </w:instrText>
          </w:r>
          <w:r>
            <w:rPr>
              <w:rStyle w:val="PageNumber"/>
            </w:rPr>
            <w:fldChar w:fldCharType="separate"/>
          </w:r>
          <w:r w:rsidR="00E6722A">
            <w:rPr>
              <w:rStyle w:val="PageNumber"/>
              <w:noProof/>
            </w:rPr>
            <w:t>31</w:t>
          </w:r>
          <w:r>
            <w:rPr>
              <w:rStyle w:val="PageNumber"/>
            </w:rPr>
            <w:fldChar w:fldCharType="end"/>
          </w:r>
        </w:p>
      </w:tc>
    </w:tr>
  </w:tbl>
  <w:p w:rsidR="005D40B7" w:rsidRDefault="005D40B7">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0B7" w:rsidRDefault="005D40B7">
      <w:r>
        <w:separator/>
      </w:r>
    </w:p>
  </w:footnote>
  <w:footnote w:type="continuationSeparator" w:id="0">
    <w:p w:rsidR="005D40B7" w:rsidRDefault="005D40B7">
      <w:r>
        <w:continuationSeparator/>
      </w:r>
    </w:p>
  </w:footnote>
  <w:footnote w:id="1">
    <w:p w:rsidR="005D40B7" w:rsidRDefault="005D40B7" w:rsidP="001433E0">
      <w:pPr>
        <w:pStyle w:val="FootnoteText"/>
      </w:pPr>
      <w:r>
        <w:rPr>
          <w:rStyle w:val="FootnoteReference"/>
        </w:rPr>
        <w:footnoteRef/>
      </w:r>
      <w:r>
        <w:t xml:space="preserve"> The United Kingdom Department for International Development (DFID) invited a small group of academics to discuss and take stock of what was known about poverty (roundtable discussions were undertaken in November 2010 and March 2011). The paper, from which the quote is taken, is the product of the roundtable discussions. It sets out the views of the group on key innovations in the meaning and measurement of poverty.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5D40B7">
      <w:tc>
        <w:tcPr>
          <w:tcW w:w="2155" w:type="dxa"/>
          <w:tcBorders>
            <w:top w:val="single" w:sz="24" w:space="0" w:color="auto"/>
          </w:tcBorders>
        </w:tcPr>
        <w:p w:rsidR="005D40B7" w:rsidRDefault="005D40B7" w:rsidP="0019293B">
          <w:pPr>
            <w:pStyle w:val="HeaderEven"/>
          </w:pPr>
        </w:p>
      </w:tc>
      <w:tc>
        <w:tcPr>
          <w:tcW w:w="6634" w:type="dxa"/>
          <w:tcBorders>
            <w:top w:val="single" w:sz="6" w:space="0" w:color="auto"/>
          </w:tcBorders>
        </w:tcPr>
        <w:p w:rsidR="005D40B7" w:rsidRDefault="005D40B7" w:rsidP="0019293B">
          <w:pPr>
            <w:pStyle w:val="HeaderEven"/>
          </w:pPr>
        </w:p>
      </w:tc>
    </w:tr>
  </w:tbl>
  <w:p w:rsidR="005D40B7" w:rsidRDefault="005D40B7"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5D40B7">
      <w:tc>
        <w:tcPr>
          <w:tcW w:w="6634" w:type="dxa"/>
          <w:tcBorders>
            <w:top w:val="single" w:sz="6" w:space="0" w:color="auto"/>
          </w:tcBorders>
        </w:tcPr>
        <w:p w:rsidR="005D40B7" w:rsidRDefault="005D40B7" w:rsidP="00E669E2">
          <w:pPr>
            <w:pStyle w:val="HeaderOdd"/>
          </w:pPr>
        </w:p>
      </w:tc>
      <w:tc>
        <w:tcPr>
          <w:tcW w:w="2155" w:type="dxa"/>
          <w:tcBorders>
            <w:top w:val="single" w:sz="24" w:space="0" w:color="auto"/>
          </w:tcBorders>
        </w:tcPr>
        <w:p w:rsidR="005D40B7" w:rsidRDefault="005D40B7" w:rsidP="00E669E2">
          <w:pPr>
            <w:pStyle w:val="HeaderOdd"/>
          </w:pPr>
        </w:p>
      </w:tc>
    </w:tr>
  </w:tbl>
  <w:p w:rsidR="005D40B7" w:rsidRDefault="005D40B7"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7">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8">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9">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1">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2">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3">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4">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8"/>
  </w:num>
  <w:num w:numId="2">
    <w:abstractNumId w:val="2"/>
  </w:num>
  <w:num w:numId="3">
    <w:abstractNumId w:val="15"/>
  </w:num>
  <w:num w:numId="4">
    <w:abstractNumId w:val="0"/>
  </w:num>
  <w:num w:numId="5">
    <w:abstractNumId w:val="10"/>
  </w:num>
  <w:num w:numId="6">
    <w:abstractNumId w:val="1"/>
  </w:num>
  <w:num w:numId="7">
    <w:abstractNumId w:val="14"/>
  </w:num>
  <w:num w:numId="8">
    <w:abstractNumId w:val="12"/>
  </w:num>
  <w:num w:numId="9">
    <w:abstractNumId w:val="16"/>
  </w:num>
  <w:num w:numId="10">
    <w:abstractNumId w:val="5"/>
  </w:num>
  <w:num w:numId="11">
    <w:abstractNumId w:val="11"/>
  </w:num>
  <w:num w:numId="12">
    <w:abstractNumId w:val="4"/>
  </w:num>
  <w:num w:numId="13">
    <w:abstractNumId w:val="3"/>
  </w:num>
  <w:num w:numId="14">
    <w:abstractNumId w:val="6"/>
  </w:num>
  <w:num w:numId="15">
    <w:abstractNumId w:val="7"/>
  </w:num>
  <w:num w:numId="16">
    <w:abstractNumId w:val="9"/>
  </w:num>
  <w:num w:numId="17">
    <w:abstractNumId w:val="2"/>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What does it mean to be disadvantaged?"/>
    <w:docVar w:name="ShortReportTitle" w:val="deep and persistent disadvantage"/>
  </w:docVars>
  <w:rsids>
    <w:rsidRoot w:val="001433E0"/>
    <w:rsid w:val="000227D5"/>
    <w:rsid w:val="000245AA"/>
    <w:rsid w:val="0003664B"/>
    <w:rsid w:val="0004111F"/>
    <w:rsid w:val="000565B3"/>
    <w:rsid w:val="0007150B"/>
    <w:rsid w:val="000734A5"/>
    <w:rsid w:val="000938F5"/>
    <w:rsid w:val="00096E55"/>
    <w:rsid w:val="000B601B"/>
    <w:rsid w:val="000C207E"/>
    <w:rsid w:val="000F0035"/>
    <w:rsid w:val="000F420B"/>
    <w:rsid w:val="00110116"/>
    <w:rsid w:val="00120072"/>
    <w:rsid w:val="00126EB8"/>
    <w:rsid w:val="001274D4"/>
    <w:rsid w:val="001363AA"/>
    <w:rsid w:val="001433E0"/>
    <w:rsid w:val="00183E82"/>
    <w:rsid w:val="001878BB"/>
    <w:rsid w:val="00191AE0"/>
    <w:rsid w:val="0019293B"/>
    <w:rsid w:val="0019426B"/>
    <w:rsid w:val="001B5003"/>
    <w:rsid w:val="001C0865"/>
    <w:rsid w:val="001C3ABA"/>
    <w:rsid w:val="001E7BE8"/>
    <w:rsid w:val="001F0248"/>
    <w:rsid w:val="001F3EB3"/>
    <w:rsid w:val="001F4F86"/>
    <w:rsid w:val="00202C2C"/>
    <w:rsid w:val="002135AB"/>
    <w:rsid w:val="002144BE"/>
    <w:rsid w:val="00242279"/>
    <w:rsid w:val="00245C82"/>
    <w:rsid w:val="00291B40"/>
    <w:rsid w:val="002B4008"/>
    <w:rsid w:val="002C0E27"/>
    <w:rsid w:val="002D0E8E"/>
    <w:rsid w:val="00301189"/>
    <w:rsid w:val="00323E09"/>
    <w:rsid w:val="00333932"/>
    <w:rsid w:val="003518AA"/>
    <w:rsid w:val="00352165"/>
    <w:rsid w:val="00353182"/>
    <w:rsid w:val="003565D9"/>
    <w:rsid w:val="003602E1"/>
    <w:rsid w:val="0037026F"/>
    <w:rsid w:val="00371240"/>
    <w:rsid w:val="00374731"/>
    <w:rsid w:val="00376E59"/>
    <w:rsid w:val="003919F9"/>
    <w:rsid w:val="003A31EF"/>
    <w:rsid w:val="003B44CC"/>
    <w:rsid w:val="003C38B5"/>
    <w:rsid w:val="003C5D99"/>
    <w:rsid w:val="003E2F59"/>
    <w:rsid w:val="003F0789"/>
    <w:rsid w:val="00401882"/>
    <w:rsid w:val="004100C8"/>
    <w:rsid w:val="00411DBD"/>
    <w:rsid w:val="00412ACE"/>
    <w:rsid w:val="00431249"/>
    <w:rsid w:val="00434C19"/>
    <w:rsid w:val="00450810"/>
    <w:rsid w:val="00477144"/>
    <w:rsid w:val="00491380"/>
    <w:rsid w:val="0049459F"/>
    <w:rsid w:val="004A38DD"/>
    <w:rsid w:val="004B43AE"/>
    <w:rsid w:val="004C30ED"/>
    <w:rsid w:val="004D5675"/>
    <w:rsid w:val="00523639"/>
    <w:rsid w:val="00531FE5"/>
    <w:rsid w:val="005402FA"/>
    <w:rsid w:val="00583C39"/>
    <w:rsid w:val="00587F28"/>
    <w:rsid w:val="005909CF"/>
    <w:rsid w:val="00591E71"/>
    <w:rsid w:val="005A0D41"/>
    <w:rsid w:val="005D40B7"/>
    <w:rsid w:val="00600037"/>
    <w:rsid w:val="00607BF1"/>
    <w:rsid w:val="00630D4D"/>
    <w:rsid w:val="00632A74"/>
    <w:rsid w:val="006A4655"/>
    <w:rsid w:val="006B2B3C"/>
    <w:rsid w:val="006C1D81"/>
    <w:rsid w:val="006C7038"/>
    <w:rsid w:val="006E73EF"/>
    <w:rsid w:val="00714D4D"/>
    <w:rsid w:val="007604BB"/>
    <w:rsid w:val="00785232"/>
    <w:rsid w:val="007A21EB"/>
    <w:rsid w:val="007B1A93"/>
    <w:rsid w:val="007C23A9"/>
    <w:rsid w:val="007C36C9"/>
    <w:rsid w:val="007D6401"/>
    <w:rsid w:val="007E01E4"/>
    <w:rsid w:val="007F7107"/>
    <w:rsid w:val="00800D4C"/>
    <w:rsid w:val="0081030F"/>
    <w:rsid w:val="0082087D"/>
    <w:rsid w:val="00835771"/>
    <w:rsid w:val="00842933"/>
    <w:rsid w:val="0086082C"/>
    <w:rsid w:val="00864ADC"/>
    <w:rsid w:val="00880153"/>
    <w:rsid w:val="00880F97"/>
    <w:rsid w:val="0088133A"/>
    <w:rsid w:val="0089285E"/>
    <w:rsid w:val="0089436C"/>
    <w:rsid w:val="008A1D34"/>
    <w:rsid w:val="008D365C"/>
    <w:rsid w:val="009030BF"/>
    <w:rsid w:val="0091032F"/>
    <w:rsid w:val="00914368"/>
    <w:rsid w:val="00931076"/>
    <w:rsid w:val="009345D9"/>
    <w:rsid w:val="00934B15"/>
    <w:rsid w:val="00940C87"/>
    <w:rsid w:val="00942B62"/>
    <w:rsid w:val="0095323B"/>
    <w:rsid w:val="00956A0C"/>
    <w:rsid w:val="00956BD9"/>
    <w:rsid w:val="00962489"/>
    <w:rsid w:val="00990C2C"/>
    <w:rsid w:val="009E1844"/>
    <w:rsid w:val="009E5228"/>
    <w:rsid w:val="009F0D1B"/>
    <w:rsid w:val="009F696D"/>
    <w:rsid w:val="009F6BC6"/>
    <w:rsid w:val="00A17328"/>
    <w:rsid w:val="00A23A20"/>
    <w:rsid w:val="00A268B9"/>
    <w:rsid w:val="00A2703A"/>
    <w:rsid w:val="00A33DFF"/>
    <w:rsid w:val="00A35115"/>
    <w:rsid w:val="00A36D9A"/>
    <w:rsid w:val="00A554AB"/>
    <w:rsid w:val="00A57062"/>
    <w:rsid w:val="00A72342"/>
    <w:rsid w:val="00A92B53"/>
    <w:rsid w:val="00A94FA6"/>
    <w:rsid w:val="00AA49A0"/>
    <w:rsid w:val="00AA6710"/>
    <w:rsid w:val="00AB0681"/>
    <w:rsid w:val="00AD520B"/>
    <w:rsid w:val="00B425C3"/>
    <w:rsid w:val="00B440AD"/>
    <w:rsid w:val="00B479BB"/>
    <w:rsid w:val="00B53E7E"/>
    <w:rsid w:val="00B6342E"/>
    <w:rsid w:val="00B7113F"/>
    <w:rsid w:val="00BA73B6"/>
    <w:rsid w:val="00BA7E27"/>
    <w:rsid w:val="00BB2603"/>
    <w:rsid w:val="00BB4FCD"/>
    <w:rsid w:val="00BC04E9"/>
    <w:rsid w:val="00BD13EA"/>
    <w:rsid w:val="00BE3808"/>
    <w:rsid w:val="00C062E9"/>
    <w:rsid w:val="00C07B64"/>
    <w:rsid w:val="00C13721"/>
    <w:rsid w:val="00C14FE4"/>
    <w:rsid w:val="00C3066D"/>
    <w:rsid w:val="00C52416"/>
    <w:rsid w:val="00C543F4"/>
    <w:rsid w:val="00C6291C"/>
    <w:rsid w:val="00C633CB"/>
    <w:rsid w:val="00C736B7"/>
    <w:rsid w:val="00C81D4A"/>
    <w:rsid w:val="00C8762C"/>
    <w:rsid w:val="00CA00F9"/>
    <w:rsid w:val="00CA2961"/>
    <w:rsid w:val="00CB50D7"/>
    <w:rsid w:val="00CB7177"/>
    <w:rsid w:val="00CC1998"/>
    <w:rsid w:val="00CC4946"/>
    <w:rsid w:val="00D270A4"/>
    <w:rsid w:val="00D31FE9"/>
    <w:rsid w:val="00D34E1B"/>
    <w:rsid w:val="00D376BA"/>
    <w:rsid w:val="00D45634"/>
    <w:rsid w:val="00D5568A"/>
    <w:rsid w:val="00D63D73"/>
    <w:rsid w:val="00D64452"/>
    <w:rsid w:val="00D66E1E"/>
    <w:rsid w:val="00D75722"/>
    <w:rsid w:val="00D80CF5"/>
    <w:rsid w:val="00DA5BBA"/>
    <w:rsid w:val="00DB26D2"/>
    <w:rsid w:val="00DB67C9"/>
    <w:rsid w:val="00DC0C95"/>
    <w:rsid w:val="00DD6580"/>
    <w:rsid w:val="00E17C72"/>
    <w:rsid w:val="00E21FC6"/>
    <w:rsid w:val="00E406E0"/>
    <w:rsid w:val="00E431A9"/>
    <w:rsid w:val="00E669E2"/>
    <w:rsid w:val="00E6722A"/>
    <w:rsid w:val="00E76135"/>
    <w:rsid w:val="00E82F4F"/>
    <w:rsid w:val="00EC2844"/>
    <w:rsid w:val="00EC5500"/>
    <w:rsid w:val="00ED18F8"/>
    <w:rsid w:val="00EE5772"/>
    <w:rsid w:val="00EF6C6C"/>
    <w:rsid w:val="00F056FC"/>
    <w:rsid w:val="00F10476"/>
    <w:rsid w:val="00F135D8"/>
    <w:rsid w:val="00F31299"/>
    <w:rsid w:val="00F3534A"/>
    <w:rsid w:val="00F51609"/>
    <w:rsid w:val="00F81006"/>
    <w:rsid w:val="00F85325"/>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List Bullet" w:uiPriority="99"/>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1433E0"/>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7"/>
      </w:numPr>
      <w:spacing w:before="60" w:line="280" w:lineRule="atLeast"/>
    </w:pPr>
    <w:rPr>
      <w:rFonts w:ascii="Arial" w:hAnsi="Arial"/>
      <w:sz w:val="22"/>
    </w:rPr>
  </w:style>
  <w:style w:type="paragraph" w:customStyle="1" w:styleId="BoxListNumber">
    <w:name w:val="Box List Number"/>
    <w:basedOn w:val="BodyText"/>
    <w:rsid w:val="00376E59"/>
    <w:pPr>
      <w:keepNext/>
      <w:numPr>
        <w:numId w:val="13"/>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uiPriority w:val="99"/>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8"/>
      </w:numPr>
      <w:tabs>
        <w:tab w:val="left" w:pos="907"/>
      </w:tabs>
      <w:spacing w:before="60" w:line="280" w:lineRule="atLeast"/>
      <w:ind w:left="907" w:hanging="340"/>
    </w:pPr>
    <w:rPr>
      <w:rFonts w:ascii="Arial" w:hAnsi="Arial"/>
      <w:sz w:val="22"/>
    </w:rPr>
  </w:style>
  <w:style w:type="character" w:styleId="Emphasis">
    <w:name w:val="Emphasis"/>
    <w:basedOn w:val="DefaultParagraphFont"/>
    <w:uiPriority w:val="20"/>
    <w:qForma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1433E0"/>
    <w:pPr>
      <w:keepNext/>
      <w:spacing w:before="360" w:line="80" w:lineRule="exact"/>
      <w:jc w:val="left"/>
    </w:pPr>
  </w:style>
  <w:style w:type="character" w:styleId="Hyperlink">
    <w:name w:val="Hyperlink"/>
    <w:basedOn w:val="DefaultParagraphFont"/>
    <w:uiPriority w:val="99"/>
    <w:unhideWhenUsed/>
    <w:rsid w:val="001433E0"/>
    <w:rPr>
      <w:color w:val="005E81"/>
      <w:u w:val="single"/>
    </w:rPr>
  </w:style>
  <w:style w:type="paragraph" w:styleId="NormalWeb">
    <w:name w:val="Normal (Web)"/>
    <w:basedOn w:val="Normal"/>
    <w:uiPriority w:val="99"/>
    <w:unhideWhenUsed/>
    <w:rsid w:val="001433E0"/>
    <w:pPr>
      <w:spacing w:after="338"/>
    </w:pPr>
    <w:rPr>
      <w:sz w:val="24"/>
    </w:rPr>
  </w:style>
  <w:style w:type="character" w:customStyle="1" w:styleId="textorange1">
    <w:name w:val="text_orange1"/>
    <w:basedOn w:val="DefaultParagraphFont"/>
    <w:rsid w:val="001433E0"/>
    <w:rPr>
      <w:color w:val="F68026"/>
    </w:rPr>
  </w:style>
  <w:style w:type="character" w:styleId="Strong">
    <w:name w:val="Strong"/>
    <w:basedOn w:val="DefaultParagraphFont"/>
    <w:uiPriority w:val="22"/>
    <w:qFormat/>
    <w:rsid w:val="001433E0"/>
    <w:rPr>
      <w:b/>
      <w:bCs/>
    </w:rPr>
  </w:style>
  <w:style w:type="paragraph" w:customStyle="1" w:styleId="Default">
    <w:name w:val="Default"/>
    <w:rsid w:val="001433E0"/>
    <w:pPr>
      <w:autoSpaceDE w:val="0"/>
      <w:autoSpaceDN w:val="0"/>
      <w:adjustRightInd w:val="0"/>
    </w:pPr>
    <w:rPr>
      <w:color w:val="000000"/>
      <w:sz w:val="24"/>
      <w:szCs w:val="24"/>
    </w:rPr>
  </w:style>
  <w:style w:type="character" w:customStyle="1" w:styleId="A5">
    <w:name w:val="A5"/>
    <w:uiPriority w:val="99"/>
    <w:rsid w:val="001433E0"/>
    <w:rPr>
      <w:rFonts w:cs="IKWOKV+HelveticaNeue-Roman"/>
      <w:color w:val="000000"/>
      <w:sz w:val="20"/>
      <w:szCs w:val="20"/>
    </w:rPr>
  </w:style>
  <w:style w:type="character" w:customStyle="1" w:styleId="BodyTextChar">
    <w:name w:val="Body Text Char"/>
    <w:basedOn w:val="DefaultParagraphFont"/>
    <w:link w:val="BodyText"/>
    <w:locked/>
    <w:rsid w:val="001433E0"/>
    <w:rPr>
      <w:sz w:val="26"/>
    </w:rPr>
  </w:style>
  <w:style w:type="character" w:customStyle="1" w:styleId="QuoteChar">
    <w:name w:val="Quote Char"/>
    <w:basedOn w:val="DefaultParagraphFont"/>
    <w:link w:val="Quote"/>
    <w:uiPriority w:val="29"/>
    <w:rsid w:val="001433E0"/>
    <w:rPr>
      <w:sz w:val="24"/>
    </w:rPr>
  </w:style>
  <w:style w:type="character" w:customStyle="1" w:styleId="CommentTextChar">
    <w:name w:val="Comment Text Char"/>
    <w:basedOn w:val="DefaultParagraphFont"/>
    <w:semiHidden/>
    <w:rsid w:val="001433E0"/>
    <w:rPr>
      <w:szCs w:val="24"/>
    </w:rPr>
  </w:style>
  <w:style w:type="paragraph" w:styleId="CommentSubject">
    <w:name w:val="annotation subject"/>
    <w:basedOn w:val="CommentText"/>
    <w:next w:val="CommentText"/>
    <w:link w:val="CommentSubjectChar"/>
    <w:rsid w:val="001433E0"/>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1433E0"/>
    <w:rPr>
      <w:szCs w:val="24"/>
    </w:rPr>
  </w:style>
  <w:style w:type="character" w:customStyle="1" w:styleId="CommentSubjectChar">
    <w:name w:val="Comment Subject Char"/>
    <w:basedOn w:val="CommentTextChar1"/>
    <w:link w:val="CommentSubject"/>
    <w:rsid w:val="001433E0"/>
    <w:rPr>
      <w:b/>
      <w:bCs/>
      <w:szCs w:val="24"/>
    </w:rPr>
  </w:style>
  <w:style w:type="paragraph" w:styleId="Revision">
    <w:name w:val="Revision"/>
    <w:hidden/>
    <w:uiPriority w:val="99"/>
    <w:semiHidden/>
    <w:rsid w:val="001433E0"/>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List Bullet" w:uiPriority="99"/>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1433E0"/>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7"/>
      </w:numPr>
      <w:spacing w:before="60" w:line="280" w:lineRule="atLeast"/>
    </w:pPr>
    <w:rPr>
      <w:rFonts w:ascii="Arial" w:hAnsi="Arial"/>
      <w:sz w:val="22"/>
    </w:rPr>
  </w:style>
  <w:style w:type="paragraph" w:customStyle="1" w:styleId="BoxListNumber">
    <w:name w:val="Box List Number"/>
    <w:basedOn w:val="BodyText"/>
    <w:rsid w:val="00376E59"/>
    <w:pPr>
      <w:keepNext/>
      <w:numPr>
        <w:numId w:val="13"/>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1"/>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uiPriority w:val="99"/>
    <w:rsid w:val="00DB67C9"/>
    <w:pPr>
      <w:numPr>
        <w:numId w:val="5"/>
      </w:numPr>
      <w:spacing w:before="120"/>
    </w:pPr>
  </w:style>
  <w:style w:type="paragraph" w:styleId="ListBullet2">
    <w:name w:val="List Bullet 2"/>
    <w:basedOn w:val="BodyText"/>
    <w:rsid w:val="00DB67C9"/>
    <w:pPr>
      <w:numPr>
        <w:numId w:val="6"/>
      </w:numPr>
      <w:spacing w:before="120"/>
    </w:pPr>
  </w:style>
  <w:style w:type="paragraph" w:styleId="ListBullet3">
    <w:name w:val="List Bullet 3"/>
    <w:basedOn w:val="BodyText"/>
    <w:rsid w:val="00DB67C9"/>
    <w:pPr>
      <w:numPr>
        <w:numId w:val="7"/>
      </w:numPr>
      <w:spacing w:before="120"/>
    </w:pPr>
  </w:style>
  <w:style w:type="paragraph" w:styleId="ListNumber">
    <w:name w:val="List Number"/>
    <w:basedOn w:val="BodyText"/>
    <w:rsid w:val="00864ADC"/>
    <w:pPr>
      <w:numPr>
        <w:numId w:val="1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link w:val="QuoteChar"/>
    <w:uiPriority w:val="29"/>
    <w:qFormat/>
    <w:rsid w:val="00A17328"/>
    <w:pPr>
      <w:spacing w:before="120" w:line="280" w:lineRule="exact"/>
      <w:ind w:left="340"/>
    </w:pPr>
    <w:rPr>
      <w:sz w:val="24"/>
    </w:rPr>
  </w:style>
  <w:style w:type="paragraph" w:customStyle="1" w:styleId="QuoteBullet">
    <w:name w:val="Quote Bullet"/>
    <w:basedOn w:val="Quote"/>
    <w:rsid w:val="00323E09"/>
    <w:pPr>
      <w:numPr>
        <w:numId w:val="8"/>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9"/>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14"/>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0"/>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1"/>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8"/>
      </w:numPr>
      <w:tabs>
        <w:tab w:val="left" w:pos="907"/>
      </w:tabs>
      <w:spacing w:before="60" w:line="280" w:lineRule="atLeast"/>
      <w:ind w:left="907" w:hanging="340"/>
    </w:pPr>
    <w:rPr>
      <w:rFonts w:ascii="Arial" w:hAnsi="Arial"/>
      <w:sz w:val="22"/>
    </w:rPr>
  </w:style>
  <w:style w:type="character" w:styleId="Emphasis">
    <w:name w:val="Emphasis"/>
    <w:basedOn w:val="DefaultParagraphFont"/>
    <w:uiPriority w:val="20"/>
    <w:qFormat/>
    <w:rsid w:val="00DA5BBA"/>
    <w:rPr>
      <w:i/>
      <w:iCs/>
    </w:rPr>
  </w:style>
  <w:style w:type="paragraph" w:customStyle="1" w:styleId="BoxQuoteBullet">
    <w:name w:val="Box Quote Bullet"/>
    <w:basedOn w:val="BoxQuote"/>
    <w:next w:val="Box"/>
    <w:rsid w:val="00C81D4A"/>
    <w:pPr>
      <w:numPr>
        <w:numId w:val="15"/>
      </w:numPr>
      <w:ind w:left="568" w:hanging="284"/>
    </w:pPr>
  </w:style>
  <w:style w:type="paragraph" w:customStyle="1" w:styleId="InformationRequestBullet">
    <w:name w:val="Information Request Bullet"/>
    <w:basedOn w:val="ListBullet"/>
    <w:next w:val="BodyText"/>
    <w:rsid w:val="00BA7E27"/>
    <w:pPr>
      <w:numPr>
        <w:numId w:val="1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customStyle="1" w:styleId="BoxSpace">
    <w:name w:val="Box Space"/>
    <w:basedOn w:val="BodyText"/>
    <w:rsid w:val="001433E0"/>
    <w:pPr>
      <w:keepNext/>
      <w:spacing w:before="360" w:line="80" w:lineRule="exact"/>
      <w:jc w:val="left"/>
    </w:pPr>
  </w:style>
  <w:style w:type="character" w:styleId="Hyperlink">
    <w:name w:val="Hyperlink"/>
    <w:basedOn w:val="DefaultParagraphFont"/>
    <w:uiPriority w:val="99"/>
    <w:unhideWhenUsed/>
    <w:rsid w:val="001433E0"/>
    <w:rPr>
      <w:color w:val="005E81"/>
      <w:u w:val="single"/>
    </w:rPr>
  </w:style>
  <w:style w:type="paragraph" w:styleId="NormalWeb">
    <w:name w:val="Normal (Web)"/>
    <w:basedOn w:val="Normal"/>
    <w:uiPriority w:val="99"/>
    <w:unhideWhenUsed/>
    <w:rsid w:val="001433E0"/>
    <w:pPr>
      <w:spacing w:after="338"/>
    </w:pPr>
    <w:rPr>
      <w:sz w:val="24"/>
    </w:rPr>
  </w:style>
  <w:style w:type="character" w:customStyle="1" w:styleId="textorange1">
    <w:name w:val="text_orange1"/>
    <w:basedOn w:val="DefaultParagraphFont"/>
    <w:rsid w:val="001433E0"/>
    <w:rPr>
      <w:color w:val="F68026"/>
    </w:rPr>
  </w:style>
  <w:style w:type="character" w:styleId="Strong">
    <w:name w:val="Strong"/>
    <w:basedOn w:val="DefaultParagraphFont"/>
    <w:uiPriority w:val="22"/>
    <w:qFormat/>
    <w:rsid w:val="001433E0"/>
    <w:rPr>
      <w:b/>
      <w:bCs/>
    </w:rPr>
  </w:style>
  <w:style w:type="paragraph" w:customStyle="1" w:styleId="Default">
    <w:name w:val="Default"/>
    <w:rsid w:val="001433E0"/>
    <w:pPr>
      <w:autoSpaceDE w:val="0"/>
      <w:autoSpaceDN w:val="0"/>
      <w:adjustRightInd w:val="0"/>
    </w:pPr>
    <w:rPr>
      <w:color w:val="000000"/>
      <w:sz w:val="24"/>
      <w:szCs w:val="24"/>
    </w:rPr>
  </w:style>
  <w:style w:type="character" w:customStyle="1" w:styleId="A5">
    <w:name w:val="A5"/>
    <w:uiPriority w:val="99"/>
    <w:rsid w:val="001433E0"/>
    <w:rPr>
      <w:rFonts w:cs="IKWOKV+HelveticaNeue-Roman"/>
      <w:color w:val="000000"/>
      <w:sz w:val="20"/>
      <w:szCs w:val="20"/>
    </w:rPr>
  </w:style>
  <w:style w:type="character" w:customStyle="1" w:styleId="BodyTextChar">
    <w:name w:val="Body Text Char"/>
    <w:basedOn w:val="DefaultParagraphFont"/>
    <w:link w:val="BodyText"/>
    <w:locked/>
    <w:rsid w:val="001433E0"/>
    <w:rPr>
      <w:sz w:val="26"/>
    </w:rPr>
  </w:style>
  <w:style w:type="character" w:customStyle="1" w:styleId="QuoteChar">
    <w:name w:val="Quote Char"/>
    <w:basedOn w:val="DefaultParagraphFont"/>
    <w:link w:val="Quote"/>
    <w:uiPriority w:val="29"/>
    <w:rsid w:val="001433E0"/>
    <w:rPr>
      <w:sz w:val="24"/>
    </w:rPr>
  </w:style>
  <w:style w:type="character" w:customStyle="1" w:styleId="CommentTextChar">
    <w:name w:val="Comment Text Char"/>
    <w:basedOn w:val="DefaultParagraphFont"/>
    <w:semiHidden/>
    <w:rsid w:val="001433E0"/>
    <w:rPr>
      <w:szCs w:val="24"/>
    </w:rPr>
  </w:style>
  <w:style w:type="paragraph" w:styleId="CommentSubject">
    <w:name w:val="annotation subject"/>
    <w:basedOn w:val="CommentText"/>
    <w:next w:val="CommentText"/>
    <w:link w:val="CommentSubjectChar"/>
    <w:rsid w:val="001433E0"/>
    <w:pPr>
      <w:spacing w:before="0" w:line="240" w:lineRule="auto"/>
      <w:ind w:left="0" w:firstLine="0"/>
    </w:pPr>
    <w:rPr>
      <w:b/>
      <w:bCs/>
      <w:szCs w:val="20"/>
    </w:rPr>
  </w:style>
  <w:style w:type="character" w:customStyle="1" w:styleId="CommentTextChar1">
    <w:name w:val="Comment Text Char1"/>
    <w:basedOn w:val="DefaultParagraphFont"/>
    <w:link w:val="CommentText"/>
    <w:semiHidden/>
    <w:rsid w:val="001433E0"/>
    <w:rPr>
      <w:szCs w:val="24"/>
    </w:rPr>
  </w:style>
  <w:style w:type="character" w:customStyle="1" w:styleId="CommentSubjectChar">
    <w:name w:val="Comment Subject Char"/>
    <w:basedOn w:val="CommentTextChar1"/>
    <w:link w:val="CommentSubject"/>
    <w:rsid w:val="001433E0"/>
    <w:rPr>
      <w:b/>
      <w:bCs/>
      <w:szCs w:val="24"/>
    </w:rPr>
  </w:style>
  <w:style w:type="paragraph" w:styleId="Revision">
    <w:name w:val="Revision"/>
    <w:hidden/>
    <w:uiPriority w:val="99"/>
    <w:semiHidden/>
    <w:rsid w:val="001433E0"/>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8A2AE-3947-4A53-A88F-60C28BCB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26</Pages>
  <Words>9820</Words>
  <Characters>54685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What does it mean to be disadvantaged?</vt:lpstr>
    </vt:vector>
  </TitlesOfParts>
  <Company>Productivity Commission</Company>
  <LinksUpToDate>false</LinksUpToDate>
  <CharactersWithSpaces>64377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does it mean to be disadvantaged?</dc:title>
  <dc:subject>deep and persistent disadvantage</dc:subject>
  <dc:creator>Productivity Commission</dc:creator>
  <dc:description>2.</dc:description>
  <cp:lastModifiedBy>Productivity Commission</cp:lastModifiedBy>
  <cp:revision>2</cp:revision>
  <cp:lastPrinted>2013-07-03T07:56:00Z</cp:lastPrinted>
  <dcterms:created xsi:type="dcterms:W3CDTF">2013-07-17T00:58:00Z</dcterms:created>
  <dcterms:modified xsi:type="dcterms:W3CDTF">2013-07-17T00:58:00Z</dcterms:modified>
</cp:coreProperties>
</file>