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492" w:rsidRPr="0099418E" w:rsidRDefault="00833BF4" w:rsidP="00833BF4">
      <w:pPr>
        <w:pStyle w:val="Chapter"/>
        <w:ind w:left="907" w:hanging="907"/>
        <w:rPr>
          <w:szCs w:val="52"/>
        </w:rPr>
      </w:pPr>
      <w:bookmarkStart w:id="0" w:name="ChapterNumber"/>
      <w:bookmarkStart w:id="1" w:name="_GoBack"/>
      <w:bookmarkEnd w:id="1"/>
      <w:r>
        <w:rPr>
          <w:szCs w:val="52"/>
        </w:rPr>
        <w:t>3</w:t>
      </w:r>
      <w:bookmarkEnd w:id="0"/>
      <w:r>
        <w:rPr>
          <w:szCs w:val="52"/>
        </w:rPr>
        <w:tab/>
      </w:r>
      <w:bookmarkStart w:id="2" w:name="ChapterTitle"/>
      <w:r>
        <w:rPr>
          <w:szCs w:val="52"/>
        </w:rPr>
        <w:t>The extent of disadvantage in Australia</w:t>
      </w:r>
      <w:bookmarkEnd w:id="2"/>
    </w:p>
    <w:p w:rsidR="00F76492" w:rsidRDefault="00F76492" w:rsidP="00F76492">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76492" w:rsidTr="00F76492">
        <w:tc>
          <w:tcPr>
            <w:tcW w:w="8771" w:type="dxa"/>
            <w:tcBorders>
              <w:top w:val="single" w:sz="6" w:space="0" w:color="auto"/>
              <w:bottom w:val="nil"/>
            </w:tcBorders>
          </w:tcPr>
          <w:p w:rsidR="00F76492" w:rsidRDefault="00F76492" w:rsidP="00F76492">
            <w:pPr>
              <w:pStyle w:val="BoxTitle"/>
            </w:pPr>
            <w:r>
              <w:t xml:space="preserve">Key points </w:t>
            </w:r>
          </w:p>
        </w:tc>
      </w:tr>
      <w:tr w:rsidR="00F76492" w:rsidTr="00F76492">
        <w:trPr>
          <w:cantSplit/>
        </w:trPr>
        <w:tc>
          <w:tcPr>
            <w:tcW w:w="8771" w:type="dxa"/>
            <w:tcBorders>
              <w:top w:val="nil"/>
              <w:left w:val="single" w:sz="6" w:space="0" w:color="auto"/>
              <w:bottom w:val="nil"/>
              <w:right w:val="single" w:sz="6" w:space="0" w:color="auto"/>
            </w:tcBorders>
          </w:tcPr>
          <w:p w:rsidR="005E1BE3" w:rsidRDefault="000B1627" w:rsidP="006B3BAA">
            <w:pPr>
              <w:pStyle w:val="BoxListBullet"/>
              <w:spacing w:before="120"/>
            </w:pPr>
            <w:r>
              <w:t xml:space="preserve">A number of researchers produce </w:t>
            </w:r>
            <w:r w:rsidR="005E1BE3">
              <w:t>e</w:t>
            </w:r>
            <w:r w:rsidR="00A4347A" w:rsidRPr="0048482B">
              <w:t xml:space="preserve">stimates </w:t>
            </w:r>
            <w:r>
              <w:t xml:space="preserve">of </w:t>
            </w:r>
            <w:r w:rsidR="00030C80">
              <w:t>t</w:t>
            </w:r>
            <w:r w:rsidR="00A835DC">
              <w:t>he extent</w:t>
            </w:r>
            <w:r w:rsidR="00A835DC" w:rsidRPr="0048482B">
              <w:t xml:space="preserve"> </w:t>
            </w:r>
            <w:r w:rsidR="00A4347A" w:rsidRPr="0048482B">
              <w:t>of disadvantage</w:t>
            </w:r>
            <w:r w:rsidR="00A4347A">
              <w:t xml:space="preserve"> in Australia</w:t>
            </w:r>
            <w:r w:rsidR="00967F98">
              <w:t>. E</w:t>
            </w:r>
            <w:r w:rsidR="005E3B2C">
              <w:t>ach relies on contestable assumptions and thresholds.</w:t>
            </w:r>
          </w:p>
          <w:p w:rsidR="00E66E70" w:rsidRDefault="005E1BE3" w:rsidP="006B3BAA">
            <w:pPr>
              <w:pStyle w:val="BoxListBullet"/>
              <w:spacing w:before="120"/>
            </w:pPr>
            <w:r>
              <w:t>Estimates based on broad proxies of disadvantage</w:t>
            </w:r>
            <w:r w:rsidR="00C77AC1">
              <w:t>,</w:t>
            </w:r>
            <w:r>
              <w:t xml:space="preserve"> </w:t>
            </w:r>
            <w:r w:rsidR="00967F98">
              <w:t xml:space="preserve">including </w:t>
            </w:r>
            <w:r w:rsidR="00A4347A">
              <w:t xml:space="preserve">income poverty, deprivation </w:t>
            </w:r>
            <w:r w:rsidR="00DC34E0">
              <w:t xml:space="preserve">and </w:t>
            </w:r>
            <w:r w:rsidR="000E472B">
              <w:t xml:space="preserve">social </w:t>
            </w:r>
            <w:r w:rsidR="00A4347A">
              <w:t>exclusion</w:t>
            </w:r>
            <w:r w:rsidR="00C77AC1">
              <w:t>,</w:t>
            </w:r>
            <w:r>
              <w:t xml:space="preserve"> show </w:t>
            </w:r>
            <w:r w:rsidR="003D6CA9">
              <w:t>many</w:t>
            </w:r>
            <w:r>
              <w:t xml:space="preserve"> Australians experience disadvantage at some point </w:t>
            </w:r>
            <w:r w:rsidR="00730FAB">
              <w:t xml:space="preserve">in </w:t>
            </w:r>
            <w:r>
              <w:t>their lives</w:t>
            </w:r>
            <w:r w:rsidR="00CE68F2">
              <w:t>. In 2010:</w:t>
            </w:r>
          </w:p>
          <w:p w:rsidR="00E66E70" w:rsidRDefault="00967F98" w:rsidP="00E66E70">
            <w:pPr>
              <w:pStyle w:val="BoxListBullet2"/>
              <w:tabs>
                <w:tab w:val="left" w:pos="284"/>
              </w:tabs>
            </w:pPr>
            <w:r>
              <w:t>b</w:t>
            </w:r>
            <w:r w:rsidR="00730FAB">
              <w:t xml:space="preserve">etween 10 and </w:t>
            </w:r>
            <w:r w:rsidR="00741FC4">
              <w:t xml:space="preserve">13 per cent of </w:t>
            </w:r>
            <w:r w:rsidR="00390E9A">
              <w:t>Australian</w:t>
            </w:r>
            <w:r w:rsidR="00730FAB">
              <w:t>s</w:t>
            </w:r>
            <w:r w:rsidR="00390E9A">
              <w:t xml:space="preserve"> </w:t>
            </w:r>
            <w:r w:rsidR="00741FC4">
              <w:t>(</w:t>
            </w:r>
            <w:r w:rsidR="00730FAB">
              <w:t>or between 2.</w:t>
            </w:r>
            <w:r w:rsidR="0043580D">
              <w:t>3</w:t>
            </w:r>
            <w:r w:rsidR="00730FAB">
              <w:t xml:space="preserve"> and </w:t>
            </w:r>
            <w:r w:rsidR="00741FC4">
              <w:t>2.</w:t>
            </w:r>
            <w:r w:rsidR="00EA29CC">
              <w:t>8</w:t>
            </w:r>
            <w:r w:rsidR="00741FC4">
              <w:t xml:space="preserve"> million) were </w:t>
            </w:r>
            <w:r w:rsidR="003635BB">
              <w:t xml:space="preserve">estimated to be </w:t>
            </w:r>
            <w:r w:rsidR="00741FC4" w:rsidRPr="006B3BAA">
              <w:t>income poor</w:t>
            </w:r>
            <w:r w:rsidR="00741FC4">
              <w:t xml:space="preserve"> </w:t>
            </w:r>
            <w:r w:rsidR="002C6D1B">
              <w:t xml:space="preserve">in </w:t>
            </w:r>
            <w:r w:rsidR="00CE68F2">
              <w:t>relative terms</w:t>
            </w:r>
          </w:p>
          <w:p w:rsidR="00967F98" w:rsidRDefault="00967F98" w:rsidP="00DD1F2D">
            <w:pPr>
              <w:pStyle w:val="BoxListBullet2"/>
              <w:tabs>
                <w:tab w:val="left" w:pos="284"/>
              </w:tabs>
            </w:pPr>
            <w:r>
              <w:t xml:space="preserve">17 per cent of adults </w:t>
            </w:r>
            <w:r w:rsidR="00BE7422">
              <w:t>(</w:t>
            </w:r>
            <w:r w:rsidR="00754B0B">
              <w:t>2.9</w:t>
            </w:r>
            <w:r w:rsidR="00BE7422">
              <w:t xml:space="preserve"> million) </w:t>
            </w:r>
            <w:r>
              <w:t>experienced multiple deprivation</w:t>
            </w:r>
            <w:r w:rsidR="00DC6199">
              <w:t>. T</w:t>
            </w:r>
            <w:r>
              <w:t xml:space="preserve">he main source of deprivation </w:t>
            </w:r>
            <w:r w:rsidR="00DC6199">
              <w:t xml:space="preserve">was </w:t>
            </w:r>
            <w:r>
              <w:t xml:space="preserve">going without dental services </w:t>
            </w:r>
            <w:r w:rsidRPr="00C77AC1">
              <w:t xml:space="preserve">due to </w:t>
            </w:r>
            <w:r>
              <w:t xml:space="preserve">lack of </w:t>
            </w:r>
            <w:r w:rsidRPr="00C77AC1">
              <w:t>affordability</w:t>
            </w:r>
          </w:p>
          <w:p w:rsidR="000B1627" w:rsidRDefault="00A835DC" w:rsidP="00DD1F2D">
            <w:pPr>
              <w:pStyle w:val="BoxListBullet2"/>
              <w:tabs>
                <w:tab w:val="left" w:pos="284"/>
              </w:tabs>
            </w:pPr>
            <w:r>
              <w:t>a quarter</w:t>
            </w:r>
            <w:r w:rsidR="00C46123">
              <w:t xml:space="preserve"> of </w:t>
            </w:r>
            <w:r w:rsidR="00390E9A">
              <w:t xml:space="preserve">Australians </w:t>
            </w:r>
            <w:r w:rsidR="001261E6">
              <w:t xml:space="preserve">aged 15 years plus </w:t>
            </w:r>
            <w:r w:rsidR="00C46123">
              <w:t>(</w:t>
            </w:r>
            <w:r w:rsidR="00BA5CB6">
              <w:t>4</w:t>
            </w:r>
            <w:r w:rsidR="00C46123">
              <w:t>.</w:t>
            </w:r>
            <w:r w:rsidR="00D714A7">
              <w:t>5</w:t>
            </w:r>
            <w:r w:rsidR="00C41E75">
              <w:t> </w:t>
            </w:r>
            <w:r w:rsidR="00C46123">
              <w:t xml:space="preserve">million) </w:t>
            </w:r>
            <w:r w:rsidR="00BA5CB6">
              <w:t xml:space="preserve">experienced </w:t>
            </w:r>
            <w:r w:rsidR="00567F0C">
              <w:t xml:space="preserve">some </w:t>
            </w:r>
            <w:r w:rsidR="00FD4470">
              <w:t xml:space="preserve">degree </w:t>
            </w:r>
            <w:r w:rsidR="00567F0C">
              <w:t xml:space="preserve">of </w:t>
            </w:r>
            <w:r w:rsidR="00BA5CB6">
              <w:t>social exclusion</w:t>
            </w:r>
            <w:r w:rsidR="002449B0">
              <w:t>.</w:t>
            </w:r>
          </w:p>
          <w:p w:rsidR="00E673E3" w:rsidRDefault="0092308B" w:rsidP="00967F98">
            <w:pPr>
              <w:pStyle w:val="BoxListBullet"/>
            </w:pPr>
            <w:r>
              <w:t>E</w:t>
            </w:r>
            <w:r w:rsidR="003D6CA9">
              <w:t>stimates</w:t>
            </w:r>
            <w:r w:rsidR="005E1BE3">
              <w:t xml:space="preserve"> which take into account consumption and wealth,</w:t>
            </w:r>
            <w:r w:rsidR="00777D58" w:rsidRPr="008965CA">
              <w:t xml:space="preserve"> show a </w:t>
            </w:r>
            <w:r w:rsidR="00163859">
              <w:t xml:space="preserve">much </w:t>
            </w:r>
            <w:r w:rsidR="00777D58" w:rsidRPr="008965CA">
              <w:t>smaller proportion of the Australian population experience deep</w:t>
            </w:r>
            <w:r w:rsidR="00163859">
              <w:t>er</w:t>
            </w:r>
            <w:r w:rsidR="00777D58" w:rsidRPr="008965CA">
              <w:t xml:space="preserve"> </w:t>
            </w:r>
            <w:r w:rsidR="003D6CA9">
              <w:t>financial</w:t>
            </w:r>
            <w:r w:rsidR="00777D58" w:rsidRPr="008965CA">
              <w:t xml:space="preserve"> disadvantage</w:t>
            </w:r>
            <w:r w:rsidR="00E673E3">
              <w:t>:</w:t>
            </w:r>
          </w:p>
          <w:p w:rsidR="000773F7" w:rsidRDefault="00A835DC" w:rsidP="00E673E3">
            <w:pPr>
              <w:pStyle w:val="BoxListBullet2"/>
            </w:pPr>
            <w:r>
              <w:t xml:space="preserve">just over </w:t>
            </w:r>
            <w:r w:rsidR="000773F7">
              <w:t>3</w:t>
            </w:r>
            <w:r w:rsidR="0069516A">
              <w:t> per </w:t>
            </w:r>
            <w:r w:rsidR="000773F7">
              <w:t xml:space="preserve">cent of </w:t>
            </w:r>
            <w:r w:rsidR="00945A21">
              <w:t>Australians</w:t>
            </w:r>
            <w:r w:rsidR="000773F7">
              <w:t xml:space="preserve"> </w:t>
            </w:r>
            <w:r w:rsidR="00B63377">
              <w:t>(</w:t>
            </w:r>
            <w:r w:rsidR="00CE6FA0">
              <w:t>670 </w:t>
            </w:r>
            <w:r w:rsidR="00B63377">
              <w:t>000</w:t>
            </w:r>
            <w:r w:rsidR="0048482B">
              <w:t>)</w:t>
            </w:r>
            <w:r w:rsidR="006B3BAA">
              <w:t xml:space="preserve"> </w:t>
            </w:r>
            <w:r w:rsidR="004F239D">
              <w:t>experience</w:t>
            </w:r>
            <w:r w:rsidR="006520C2">
              <w:t>d</w:t>
            </w:r>
            <w:r w:rsidR="004F239D">
              <w:t xml:space="preserve"> </w:t>
            </w:r>
            <w:r w:rsidR="003635BB">
              <w:t xml:space="preserve">a </w:t>
            </w:r>
            <w:r w:rsidR="000773F7">
              <w:t>combination of low income, low consumption and low net wealth</w:t>
            </w:r>
            <w:r w:rsidR="00D5495A">
              <w:t xml:space="preserve"> in 2007</w:t>
            </w:r>
            <w:r w:rsidR="00A44BA6">
              <w:t>.</w:t>
            </w:r>
          </w:p>
          <w:p w:rsidR="00B76DF3" w:rsidRDefault="005A1E4D" w:rsidP="00B06152">
            <w:pPr>
              <w:pStyle w:val="BoxListBullet"/>
            </w:pPr>
            <w:r>
              <w:t xml:space="preserve">Around </w:t>
            </w:r>
            <w:r w:rsidR="00F76492">
              <w:t>5</w:t>
            </w:r>
            <w:r w:rsidR="0069516A">
              <w:t> per </w:t>
            </w:r>
            <w:r w:rsidR="00F76492">
              <w:t xml:space="preserve">cent of </w:t>
            </w:r>
            <w:r w:rsidR="00DD1F2D">
              <w:t xml:space="preserve">Australians </w:t>
            </w:r>
            <w:r w:rsidR="00E477E7">
              <w:t>aged 15 years</w:t>
            </w:r>
            <w:r w:rsidR="00EF09AB">
              <w:t xml:space="preserve"> plus</w:t>
            </w:r>
            <w:r w:rsidR="00052087">
              <w:t xml:space="preserve"> </w:t>
            </w:r>
            <w:r w:rsidR="00E673E3">
              <w:t>(</w:t>
            </w:r>
            <w:r w:rsidR="00B04586">
              <w:t>860 </w:t>
            </w:r>
            <w:r w:rsidR="00E477E7">
              <w:t>000</w:t>
            </w:r>
            <w:r w:rsidR="00E673E3">
              <w:t xml:space="preserve">) </w:t>
            </w:r>
            <w:r w:rsidR="00F76492">
              <w:t>experience</w:t>
            </w:r>
            <w:r w:rsidR="00052087">
              <w:t>d</w:t>
            </w:r>
            <w:r w:rsidR="00F76492">
              <w:t xml:space="preserve"> </w:t>
            </w:r>
            <w:r w:rsidR="00F76492" w:rsidRPr="00777D58">
              <w:t>deep</w:t>
            </w:r>
            <w:r w:rsidR="00F76492">
              <w:t xml:space="preserve"> </w:t>
            </w:r>
            <w:r w:rsidR="00FF7DC4">
              <w:t xml:space="preserve">social </w:t>
            </w:r>
            <w:r w:rsidR="00F76492">
              <w:t xml:space="preserve">exclusion </w:t>
            </w:r>
            <w:r w:rsidR="00DD1F2D">
              <w:t xml:space="preserve">in </w:t>
            </w:r>
            <w:r w:rsidR="0092308B">
              <w:t xml:space="preserve">2010 </w:t>
            </w:r>
            <w:r w:rsidR="00694843">
              <w:t>—</w:t>
            </w:r>
            <w:r w:rsidR="000B1627">
              <w:t xml:space="preserve"> slightly fewer than in 2001</w:t>
            </w:r>
            <w:r w:rsidR="00DD1F2D">
              <w:t xml:space="preserve"> </w:t>
            </w:r>
            <w:r w:rsidR="000B1627">
              <w:t>(</w:t>
            </w:r>
            <w:r w:rsidR="00DD1F2D">
              <w:t>7 per cent</w:t>
            </w:r>
            <w:r w:rsidR="0092308B">
              <w:t xml:space="preserve"> or 1.1 million</w:t>
            </w:r>
            <w:r w:rsidR="000B1627">
              <w:t>)</w:t>
            </w:r>
            <w:r w:rsidR="00DD1F2D">
              <w:t xml:space="preserve">. The rate of very deep exclusion </w:t>
            </w:r>
            <w:r w:rsidR="00967F98">
              <w:t xml:space="preserve">was </w:t>
            </w:r>
            <w:r w:rsidR="000B1627">
              <w:t xml:space="preserve">relatively stable </w:t>
            </w:r>
            <w:r w:rsidR="00DD1F2D">
              <w:t xml:space="preserve">at around </w:t>
            </w:r>
            <w:r w:rsidR="00F76492">
              <w:t>1</w:t>
            </w:r>
            <w:r w:rsidR="00F708BA">
              <w:t> per </w:t>
            </w:r>
            <w:r w:rsidR="00F76492">
              <w:t>cent</w:t>
            </w:r>
            <w:r w:rsidR="0092308B">
              <w:t xml:space="preserve"> </w:t>
            </w:r>
            <w:r w:rsidR="00400804">
              <w:t>in the decade to</w:t>
            </w:r>
            <w:r w:rsidR="0092308B">
              <w:t xml:space="preserve"> 2010</w:t>
            </w:r>
            <w:r w:rsidR="008C727B">
              <w:t xml:space="preserve">. </w:t>
            </w:r>
          </w:p>
          <w:p w:rsidR="00F76492" w:rsidRDefault="00E904E2" w:rsidP="00F76492">
            <w:pPr>
              <w:pStyle w:val="BoxListBullet"/>
            </w:pPr>
            <w:r>
              <w:t xml:space="preserve">Experience </w:t>
            </w:r>
            <w:r w:rsidR="005E1BE3">
              <w:t xml:space="preserve">of </w:t>
            </w:r>
            <w:r>
              <w:t xml:space="preserve">persistent </w:t>
            </w:r>
            <w:r w:rsidR="005E1BE3">
              <w:t xml:space="preserve">disadvantage is </w:t>
            </w:r>
            <w:r w:rsidR="0099418E">
              <w:t>l</w:t>
            </w:r>
            <w:r w:rsidR="005E1BE3">
              <w:t xml:space="preserve">ess common. </w:t>
            </w:r>
            <w:r w:rsidR="003D6CA9">
              <w:t>B</w:t>
            </w:r>
            <w:r w:rsidR="00F76492">
              <w:t xml:space="preserve">etween 2001 and </w:t>
            </w:r>
            <w:r w:rsidR="002102B9">
              <w:t>2010</w:t>
            </w:r>
            <w:r w:rsidR="00F76492">
              <w:t>:</w:t>
            </w:r>
          </w:p>
          <w:p w:rsidR="00F76492" w:rsidRDefault="00CC7080" w:rsidP="00F76492">
            <w:pPr>
              <w:pStyle w:val="BoxListBullet2"/>
            </w:pPr>
            <w:r>
              <w:t>10 </w:t>
            </w:r>
            <w:r w:rsidR="00F708BA">
              <w:t>per </w:t>
            </w:r>
            <w:r w:rsidR="00F76492">
              <w:t xml:space="preserve">cent </w:t>
            </w:r>
            <w:r w:rsidR="00B76DF3">
              <w:t xml:space="preserve">of </w:t>
            </w:r>
            <w:r w:rsidR="00DA46D0">
              <w:t>Australians</w:t>
            </w:r>
            <w:r w:rsidR="00F35932">
              <w:t xml:space="preserve"> </w:t>
            </w:r>
            <w:r w:rsidR="00E477E7">
              <w:t>(</w:t>
            </w:r>
            <w:r>
              <w:t>2</w:t>
            </w:r>
            <w:r w:rsidR="00C41E75">
              <w:t> </w:t>
            </w:r>
            <w:r w:rsidR="00E477E7">
              <w:t xml:space="preserve">million) </w:t>
            </w:r>
            <w:r w:rsidR="00702E82">
              <w:t xml:space="preserve">experienced </w:t>
            </w:r>
            <w:r w:rsidR="00FD0670">
              <w:t xml:space="preserve">relative </w:t>
            </w:r>
            <w:r w:rsidR="00F76492">
              <w:t>income po</w:t>
            </w:r>
            <w:r w:rsidR="00702E82">
              <w:t xml:space="preserve">verty </w:t>
            </w:r>
            <w:r w:rsidR="00F76492">
              <w:t xml:space="preserve">for at least </w:t>
            </w:r>
            <w:r w:rsidR="00390E9A">
              <w:t xml:space="preserve">five </w:t>
            </w:r>
            <w:r w:rsidR="00052087">
              <w:t xml:space="preserve">years </w:t>
            </w:r>
            <w:r w:rsidR="00FF7DC4">
              <w:t>a</w:t>
            </w:r>
            <w:r w:rsidR="006600DA">
              <w:t xml:space="preserve">nd </w:t>
            </w:r>
            <w:r>
              <w:t>5 </w:t>
            </w:r>
            <w:r w:rsidR="00F708BA">
              <w:t>per </w:t>
            </w:r>
            <w:r w:rsidR="00B76DF3">
              <w:t xml:space="preserve">cent </w:t>
            </w:r>
            <w:r w:rsidR="00E477E7">
              <w:t>(</w:t>
            </w:r>
            <w:r>
              <w:t>1 million</w:t>
            </w:r>
            <w:r w:rsidR="00E477E7">
              <w:t xml:space="preserve">) </w:t>
            </w:r>
            <w:r w:rsidR="00B76DF3">
              <w:t xml:space="preserve">for </w:t>
            </w:r>
            <w:r w:rsidR="00390E9A">
              <w:t xml:space="preserve">seven </w:t>
            </w:r>
            <w:r w:rsidR="00B76DF3">
              <w:t>or more</w:t>
            </w:r>
            <w:r w:rsidR="00336983">
              <w:t xml:space="preserve"> years</w:t>
            </w:r>
          </w:p>
          <w:p w:rsidR="00F76492" w:rsidRDefault="0043580D" w:rsidP="00F76492">
            <w:pPr>
              <w:pStyle w:val="BoxListBullet2"/>
            </w:pPr>
            <w:r>
              <w:t xml:space="preserve">just under </w:t>
            </w:r>
            <w:r w:rsidR="00994E22">
              <w:t>3 </w:t>
            </w:r>
            <w:r w:rsidR="00F708BA">
              <w:t>per </w:t>
            </w:r>
            <w:r w:rsidR="00F76492">
              <w:t xml:space="preserve">cent </w:t>
            </w:r>
            <w:r w:rsidR="00B948CC">
              <w:t xml:space="preserve">of </w:t>
            </w:r>
            <w:r w:rsidR="00DA46D0">
              <w:t xml:space="preserve">Australians </w:t>
            </w:r>
            <w:r w:rsidR="00B948CC">
              <w:t>aged 15 years</w:t>
            </w:r>
            <w:r w:rsidR="00284BC2">
              <w:t xml:space="preserve"> plus </w:t>
            </w:r>
            <w:r w:rsidR="006914C6">
              <w:t>(</w:t>
            </w:r>
            <w:r w:rsidR="00B670EA">
              <w:t>46</w:t>
            </w:r>
            <w:r w:rsidR="00CB0759">
              <w:t>5</w:t>
            </w:r>
            <w:r w:rsidR="00B670EA">
              <w:t> </w:t>
            </w:r>
            <w:r w:rsidR="00955F53">
              <w:t xml:space="preserve">000) </w:t>
            </w:r>
            <w:r w:rsidR="00B76DF3">
              <w:t xml:space="preserve">experienced </w:t>
            </w:r>
            <w:r w:rsidR="00233F0B">
              <w:t>deep</w:t>
            </w:r>
            <w:r w:rsidR="00B76DF3">
              <w:t xml:space="preserve"> </w:t>
            </w:r>
            <w:r w:rsidR="00F76492">
              <w:t>social</w:t>
            </w:r>
            <w:r w:rsidR="00B76DF3">
              <w:t xml:space="preserve"> exclusion </w:t>
            </w:r>
            <w:r w:rsidR="00F76492">
              <w:t xml:space="preserve">for </w:t>
            </w:r>
            <w:r w:rsidR="00390E9A">
              <w:t xml:space="preserve">five </w:t>
            </w:r>
            <w:r w:rsidR="00F76492">
              <w:t>or more years</w:t>
            </w:r>
            <w:r w:rsidR="00244C6C">
              <w:t xml:space="preserve"> and </w:t>
            </w:r>
            <w:r w:rsidR="0063516F">
              <w:t>just under 1</w:t>
            </w:r>
            <w:r w:rsidR="00244C6C">
              <w:t xml:space="preserve"> per cent (</w:t>
            </w:r>
            <w:r w:rsidR="00B670EA">
              <w:t>16</w:t>
            </w:r>
            <w:r w:rsidR="00CB0759">
              <w:t>5</w:t>
            </w:r>
            <w:r w:rsidR="00B670EA">
              <w:t> </w:t>
            </w:r>
            <w:r w:rsidR="00244C6C">
              <w:t xml:space="preserve">000) </w:t>
            </w:r>
            <w:r w:rsidR="001E6353">
              <w:t xml:space="preserve">for </w:t>
            </w:r>
            <w:r w:rsidR="00390E9A">
              <w:t xml:space="preserve">seven </w:t>
            </w:r>
            <w:r w:rsidR="001E6353">
              <w:t>year</w:t>
            </w:r>
            <w:r w:rsidR="00F93558">
              <w:t>s or more</w:t>
            </w:r>
            <w:r w:rsidR="001E26F6">
              <w:t>.</w:t>
            </w:r>
          </w:p>
          <w:p w:rsidR="005E1BE3" w:rsidRDefault="00BD61B8" w:rsidP="0063516F">
            <w:pPr>
              <w:pStyle w:val="BoxListBullet"/>
            </w:pPr>
            <w:r>
              <w:t xml:space="preserve">Groups </w:t>
            </w:r>
            <w:r w:rsidR="00F35932">
              <w:t xml:space="preserve">who are </w:t>
            </w:r>
            <w:r w:rsidR="007E4554">
              <w:t xml:space="preserve">most </w:t>
            </w:r>
            <w:r w:rsidR="00F76492">
              <w:t xml:space="preserve">likely to </w:t>
            </w:r>
            <w:r w:rsidR="0099488B">
              <w:t>experience</w:t>
            </w:r>
            <w:r w:rsidR="00F76492">
              <w:t xml:space="preserve"> deep and persistent disadvantage</w:t>
            </w:r>
            <w:r w:rsidR="0099488B">
              <w:t xml:space="preserve"> include </w:t>
            </w:r>
            <w:r w:rsidR="00F76492">
              <w:t xml:space="preserve">lone parents, </w:t>
            </w:r>
            <w:r w:rsidR="0099488B">
              <w:t>Indigenous Australians</w:t>
            </w:r>
            <w:r w:rsidR="00F76492">
              <w:t>, people with a long</w:t>
            </w:r>
            <w:r w:rsidR="0063516F">
              <w:noBreakHyphen/>
            </w:r>
            <w:r w:rsidR="00F76492">
              <w:t xml:space="preserve">term health condition </w:t>
            </w:r>
            <w:r w:rsidR="0099488B">
              <w:t xml:space="preserve">or disability </w:t>
            </w:r>
            <w:r w:rsidR="00F76492">
              <w:t xml:space="preserve">and </w:t>
            </w:r>
            <w:r w:rsidR="0099488B">
              <w:t>people with low educational attainment</w:t>
            </w:r>
            <w:r w:rsidR="00F76492">
              <w:t>.</w:t>
            </w:r>
            <w:r w:rsidR="00962C98">
              <w:t xml:space="preserve"> </w:t>
            </w:r>
          </w:p>
          <w:p w:rsidR="00145CFF" w:rsidRPr="00145CFF" w:rsidRDefault="000B6980" w:rsidP="00DD1F2D">
            <w:pPr>
              <w:pStyle w:val="BoxListBullet2"/>
              <w:rPr>
                <w:szCs w:val="24"/>
              </w:rPr>
            </w:pPr>
            <w:r>
              <w:t>M</w:t>
            </w:r>
            <w:r w:rsidR="009C06EF">
              <w:t xml:space="preserve">any are public housing tenants and </w:t>
            </w:r>
            <w:r w:rsidR="00145CFF">
              <w:t>are weakly</w:t>
            </w:r>
            <w:r w:rsidR="009C06EF">
              <w:t xml:space="preserve"> attache</w:t>
            </w:r>
            <w:r w:rsidR="00145CFF">
              <w:t>d</w:t>
            </w:r>
            <w:r w:rsidR="009C06EF">
              <w:t xml:space="preserve"> to the labour market. </w:t>
            </w:r>
          </w:p>
          <w:p w:rsidR="00BD09BC" w:rsidRPr="00145CFF" w:rsidRDefault="000B6980" w:rsidP="006E306F">
            <w:pPr>
              <w:pStyle w:val="BoxListBullet2"/>
              <w:rPr>
                <w:szCs w:val="24"/>
              </w:rPr>
            </w:pPr>
            <w:r>
              <w:t>M</w:t>
            </w:r>
            <w:r w:rsidR="00145CFF">
              <w:t xml:space="preserve">ost </w:t>
            </w:r>
            <w:r w:rsidR="003D6CA9">
              <w:t xml:space="preserve">people </w:t>
            </w:r>
            <w:r w:rsidR="00145CFF">
              <w:t xml:space="preserve">within these groups do not experience deep and persistent disadvantage </w:t>
            </w:r>
            <w:r w:rsidR="003D6CA9">
              <w:t xml:space="preserve">— </w:t>
            </w:r>
            <w:r w:rsidR="00145CFF">
              <w:t xml:space="preserve">indicating </w:t>
            </w:r>
            <w:r w:rsidR="002353E8">
              <w:t xml:space="preserve">that </w:t>
            </w:r>
            <w:r w:rsidR="00B6750C">
              <w:t>a small</w:t>
            </w:r>
            <w:r w:rsidR="006E306F">
              <w:t>er</w:t>
            </w:r>
            <w:r w:rsidR="00B6750C">
              <w:t xml:space="preserve"> proportion </w:t>
            </w:r>
            <w:r w:rsidR="00145CFF">
              <w:t xml:space="preserve">are </w:t>
            </w:r>
            <w:r w:rsidR="003D6CA9">
              <w:t xml:space="preserve">less </w:t>
            </w:r>
            <w:r w:rsidR="00145CFF">
              <w:t>resilient.</w:t>
            </w:r>
          </w:p>
        </w:tc>
      </w:tr>
      <w:tr w:rsidR="00F76492" w:rsidTr="00F76492">
        <w:trPr>
          <w:cantSplit/>
        </w:trPr>
        <w:tc>
          <w:tcPr>
            <w:tcW w:w="8771" w:type="dxa"/>
            <w:tcBorders>
              <w:top w:val="nil"/>
              <w:left w:val="single" w:sz="6" w:space="0" w:color="auto"/>
              <w:bottom w:val="single" w:sz="6" w:space="0" w:color="auto"/>
              <w:right w:val="single" w:sz="6" w:space="0" w:color="auto"/>
            </w:tcBorders>
          </w:tcPr>
          <w:p w:rsidR="00F76492" w:rsidRDefault="00F76492" w:rsidP="00F76492">
            <w:pPr>
              <w:pStyle w:val="Box"/>
              <w:spacing w:before="0" w:line="120" w:lineRule="exact"/>
            </w:pPr>
          </w:p>
        </w:tc>
      </w:tr>
    </w:tbl>
    <w:p w:rsidR="005E5E9E" w:rsidRDefault="00CB6C8E" w:rsidP="00F76492">
      <w:pPr>
        <w:pStyle w:val="BodyText"/>
      </w:pPr>
      <w:r>
        <w:lastRenderedPageBreak/>
        <w:t xml:space="preserve">The previous chapter </w:t>
      </w:r>
      <w:r w:rsidR="001C0551">
        <w:t>detailed</w:t>
      </w:r>
      <w:r w:rsidR="00AB0172">
        <w:t xml:space="preserve"> the various </w:t>
      </w:r>
      <w:r w:rsidR="00B93907">
        <w:t xml:space="preserve">ways of </w:t>
      </w:r>
      <w:r w:rsidR="00AA5B36">
        <w:t>understanding disadvantage</w:t>
      </w:r>
      <w:r>
        <w:t>.</w:t>
      </w:r>
      <w:r w:rsidR="005E3B2C">
        <w:t xml:space="preserve"> </w:t>
      </w:r>
      <w:r w:rsidR="004D3184">
        <w:t>T</w:t>
      </w:r>
      <w:r w:rsidR="005E3B2C">
        <w:t>he role of th</w:t>
      </w:r>
      <w:r w:rsidR="00F76492">
        <w:t xml:space="preserve">is chapter </w:t>
      </w:r>
      <w:r w:rsidR="005E3B2C">
        <w:t xml:space="preserve">is to apply that understanding to the Australian context </w:t>
      </w:r>
      <w:r w:rsidR="00413807">
        <w:t>by</w:t>
      </w:r>
      <w:r w:rsidR="005E3B2C">
        <w:t xml:space="preserve"> </w:t>
      </w:r>
      <w:r w:rsidR="00413807">
        <w:t>pr</w:t>
      </w:r>
      <w:r w:rsidR="0016074C">
        <w:t xml:space="preserve">esenting </w:t>
      </w:r>
      <w:r w:rsidR="005E5E9E">
        <w:t>estimates of the degree of disadvantage experienced by Australians.</w:t>
      </w:r>
    </w:p>
    <w:p w:rsidR="00175B0A" w:rsidRDefault="005E5E9E" w:rsidP="00F76492">
      <w:pPr>
        <w:pStyle w:val="BodyText"/>
      </w:pPr>
      <w:r>
        <w:t>Th</w:t>
      </w:r>
      <w:r w:rsidR="004D3184">
        <w:t>e</w:t>
      </w:r>
      <w:r>
        <w:t xml:space="preserve"> </w:t>
      </w:r>
      <w:r w:rsidR="0063516F">
        <w:t xml:space="preserve">chapter </w:t>
      </w:r>
      <w:r>
        <w:t xml:space="preserve">begins with </w:t>
      </w:r>
      <w:r w:rsidR="0016074C">
        <w:t xml:space="preserve">estimates of </w:t>
      </w:r>
      <w:r w:rsidR="004645B9">
        <w:t>relative income poverty</w:t>
      </w:r>
      <w:r w:rsidR="0016074C">
        <w:t xml:space="preserve"> in Australia</w:t>
      </w:r>
      <w:r w:rsidR="004D3184">
        <w:t xml:space="preserve">, </w:t>
      </w:r>
      <w:r w:rsidR="0016074C">
        <w:t xml:space="preserve">followed by </w:t>
      </w:r>
      <w:r w:rsidR="00444135">
        <w:t xml:space="preserve">estimates of a more comprehensive measure of </w:t>
      </w:r>
      <w:r w:rsidR="0016074C">
        <w:t xml:space="preserve">financial poverty which includes </w:t>
      </w:r>
      <w:r w:rsidR="00623D8B">
        <w:t xml:space="preserve">income, </w:t>
      </w:r>
      <w:r w:rsidR="004645B9">
        <w:t>consumption and asset</w:t>
      </w:r>
      <w:r w:rsidR="0016074C">
        <w:t xml:space="preserve"> threshold</w:t>
      </w:r>
      <w:r w:rsidR="004645B9">
        <w:t>s</w:t>
      </w:r>
      <w:r w:rsidR="00650065">
        <w:t xml:space="preserve"> (section 3.1)</w:t>
      </w:r>
      <w:r w:rsidR="004645B9">
        <w:t xml:space="preserve">. The </w:t>
      </w:r>
      <w:r w:rsidR="0016074C">
        <w:t xml:space="preserve">evidence on the extent </w:t>
      </w:r>
      <w:r w:rsidR="004645B9">
        <w:t xml:space="preserve">of deprivation </w:t>
      </w:r>
      <w:r w:rsidR="0016074C">
        <w:t xml:space="preserve">(the number of Australians who go without items, activities and services considered essential because they cannot afford them) </w:t>
      </w:r>
      <w:r w:rsidR="004645B9">
        <w:t xml:space="preserve">is </w:t>
      </w:r>
      <w:r w:rsidR="0016074C">
        <w:t xml:space="preserve">presented </w:t>
      </w:r>
      <w:r w:rsidR="00163859">
        <w:t>in section 3.2</w:t>
      </w:r>
      <w:r w:rsidR="0016074C">
        <w:t xml:space="preserve">. </w:t>
      </w:r>
    </w:p>
    <w:p w:rsidR="006444F7" w:rsidRDefault="00650065" w:rsidP="005957A3">
      <w:pPr>
        <w:pStyle w:val="BodyText"/>
        <w:rPr>
          <w:szCs w:val="24"/>
        </w:rPr>
      </w:pPr>
      <w:r>
        <w:t>Multi</w:t>
      </w:r>
      <w:r>
        <w:noBreakHyphen/>
        <w:t xml:space="preserve">dimensional measures of disadvantage such as social exclusion, multiple disadvantage and the overlap between income poverty, deprivation and </w:t>
      </w:r>
      <w:r w:rsidR="007371C8">
        <w:t xml:space="preserve">social exclusion are </w:t>
      </w:r>
      <w:r w:rsidR="0016074C">
        <w:t xml:space="preserve">presented </w:t>
      </w:r>
      <w:r w:rsidR="007371C8">
        <w:t>in section</w:t>
      </w:r>
      <w:r w:rsidR="007C4C32">
        <w:t> </w:t>
      </w:r>
      <w:r w:rsidR="0013485C">
        <w:t>3</w:t>
      </w:r>
      <w:r w:rsidR="007371C8">
        <w:t xml:space="preserve">.3. </w:t>
      </w:r>
      <w:r w:rsidR="0016074C">
        <w:t xml:space="preserve">Section 3.4 </w:t>
      </w:r>
      <w:r w:rsidR="004D3184">
        <w:t xml:space="preserve">identifies </w:t>
      </w:r>
      <w:r w:rsidR="007371C8">
        <w:t xml:space="preserve">groups who are </w:t>
      </w:r>
      <w:r w:rsidR="0013485C">
        <w:t>most likely to experience deeper and more persistent disadvantage</w:t>
      </w:r>
      <w:r w:rsidR="004D3184">
        <w:t>.</w:t>
      </w:r>
      <w:r w:rsidR="0013485C">
        <w:t xml:space="preserve"> </w:t>
      </w:r>
      <w:r w:rsidR="00B37893">
        <w:t>S</w:t>
      </w:r>
      <w:r w:rsidR="0013485C">
        <w:t>ection</w:t>
      </w:r>
      <w:r w:rsidR="007C4C32">
        <w:t> </w:t>
      </w:r>
      <w:r w:rsidR="00B37893">
        <w:t xml:space="preserve">3.5 </w:t>
      </w:r>
      <w:r w:rsidR="00AF252D">
        <w:t>provides</w:t>
      </w:r>
      <w:r w:rsidR="0048298F">
        <w:t xml:space="preserve"> a brief analysis of</w:t>
      </w:r>
      <w:r w:rsidR="00702E82">
        <w:t xml:space="preserve"> locational disadvantage</w:t>
      </w:r>
      <w:bookmarkStart w:id="3" w:name="begin"/>
      <w:bookmarkEnd w:id="3"/>
      <w:r w:rsidR="00E650DD">
        <w:t xml:space="preserve">. </w:t>
      </w:r>
      <w:r w:rsidR="004D3184">
        <w:t>The chapter concludes by</w:t>
      </w:r>
      <w:r w:rsidR="00AF252D">
        <w:t xml:space="preserve"> </w:t>
      </w:r>
      <w:r w:rsidR="004D3184">
        <w:t xml:space="preserve">summarising </w:t>
      </w:r>
      <w:r w:rsidR="00AF252D">
        <w:t xml:space="preserve">the merits </w:t>
      </w:r>
      <w:r>
        <w:t xml:space="preserve">and shortcomings </w:t>
      </w:r>
      <w:r w:rsidR="00AF252D">
        <w:t>of the different measures of disadvantage</w:t>
      </w:r>
      <w:r w:rsidR="0016074C">
        <w:t xml:space="preserve">. </w:t>
      </w:r>
    </w:p>
    <w:p w:rsidR="00BF0F77" w:rsidRDefault="00833BF4" w:rsidP="00BF0F77">
      <w:pPr>
        <w:pStyle w:val="Heading2"/>
      </w:pPr>
      <w:r>
        <w:t>3.</w:t>
      </w:r>
      <w:r w:rsidR="0069448C">
        <w:rPr>
          <w:noProof/>
        </w:rPr>
        <w:t>1</w:t>
      </w:r>
      <w:r w:rsidR="00E82E7C">
        <w:tab/>
      </w:r>
      <w:r w:rsidR="00BF0F77" w:rsidRPr="0085546A">
        <w:t>Income based measures of disadvantage</w:t>
      </w:r>
    </w:p>
    <w:p w:rsidR="00BF0F77" w:rsidRDefault="00BF0F77" w:rsidP="00BF0F77">
      <w:pPr>
        <w:pStyle w:val="Heading3"/>
      </w:pPr>
      <w:r>
        <w:t>Estimates of relative income poverty in Australia</w:t>
      </w:r>
    </w:p>
    <w:p w:rsidR="001B518F" w:rsidRDefault="004D3184">
      <w:pPr>
        <w:pStyle w:val="BodyText"/>
      </w:pPr>
      <w:r>
        <w:t xml:space="preserve">As noted </w:t>
      </w:r>
      <w:r w:rsidR="00E55CD0">
        <w:t xml:space="preserve">in </w:t>
      </w:r>
      <w:r w:rsidR="00F55C9D">
        <w:t>c</w:t>
      </w:r>
      <w:r w:rsidR="00E55CD0">
        <w:t xml:space="preserve">hapter 2, </w:t>
      </w:r>
      <w:r>
        <w:t>measures</w:t>
      </w:r>
      <w:r w:rsidR="005516CD">
        <w:t xml:space="preserve"> of relative </w:t>
      </w:r>
      <w:r>
        <w:t xml:space="preserve">income </w:t>
      </w:r>
      <w:r w:rsidR="005516CD">
        <w:t>poverty</w:t>
      </w:r>
      <w:r>
        <w:t xml:space="preserve"> are</w:t>
      </w:r>
      <w:r w:rsidR="00F31EC6">
        <w:t xml:space="preserve"> relatively</w:t>
      </w:r>
      <w:r>
        <w:t xml:space="preserve"> well understood and internationally recognised</w:t>
      </w:r>
      <w:r w:rsidR="005516CD">
        <w:t xml:space="preserve"> as </w:t>
      </w:r>
      <w:r w:rsidR="00F31EC6">
        <w:t>proxies</w:t>
      </w:r>
      <w:r w:rsidR="005516CD">
        <w:t xml:space="preserve"> for disadvantage</w:t>
      </w:r>
      <w:r>
        <w:t>. Measures of relative income poverty</w:t>
      </w:r>
      <w:r w:rsidR="005516CD">
        <w:t xml:space="preserve"> require the choice of a specific threshold or distance from median </w:t>
      </w:r>
      <w:r w:rsidR="00E55CD0">
        <w:t xml:space="preserve">household </w:t>
      </w:r>
      <w:r w:rsidR="005516CD">
        <w:t xml:space="preserve">income. </w:t>
      </w:r>
      <w:r>
        <w:t xml:space="preserve">If an individual lives in a household below this threshold they are assessed as living in relative income poverty. </w:t>
      </w:r>
      <w:r w:rsidR="005516CD">
        <w:t>A threshold of 50 per cent of median household equivalised</w:t>
      </w:r>
      <w:r w:rsidR="00890AD0" w:rsidRPr="00233A96">
        <w:rPr>
          <w:rStyle w:val="FootnoteReference"/>
        </w:rPr>
        <w:footnoteReference w:id="1"/>
      </w:r>
      <w:r w:rsidR="005516CD">
        <w:t xml:space="preserve"> income has </w:t>
      </w:r>
      <w:r w:rsidR="00D51920">
        <w:t xml:space="preserve">generally </w:t>
      </w:r>
      <w:r w:rsidR="005516CD">
        <w:t>been adopted by the O</w:t>
      </w:r>
      <w:r w:rsidR="004B2635">
        <w:t xml:space="preserve">rganisation for </w:t>
      </w:r>
      <w:r w:rsidR="005516CD">
        <w:t>E</w:t>
      </w:r>
      <w:r w:rsidR="004B2635">
        <w:t xml:space="preserve">conomic </w:t>
      </w:r>
      <w:r w:rsidR="005516CD">
        <w:t>C</w:t>
      </w:r>
      <w:r w:rsidR="004B2635">
        <w:t xml:space="preserve">o-operation and </w:t>
      </w:r>
      <w:r w:rsidR="005516CD">
        <w:t>D</w:t>
      </w:r>
      <w:r w:rsidR="004B2635">
        <w:t>evelopment (OECD)</w:t>
      </w:r>
      <w:r w:rsidR="005516CD">
        <w:t xml:space="preserve"> and many other research organisations.</w:t>
      </w:r>
      <w:r w:rsidR="00E55CD0">
        <w:t xml:space="preserve"> </w:t>
      </w:r>
      <w:r w:rsidR="00890AD0">
        <w:t>This threshold has also been used in this report</w:t>
      </w:r>
      <w:r w:rsidR="00D51920">
        <w:t xml:space="preserve">. </w:t>
      </w:r>
    </w:p>
    <w:p w:rsidR="00A44BA6" w:rsidRDefault="004F5F39" w:rsidP="007371C8">
      <w:pPr>
        <w:pStyle w:val="BodyText"/>
      </w:pPr>
      <w:r>
        <w:t>T</w:t>
      </w:r>
      <w:r w:rsidR="00006F64">
        <w:t xml:space="preserve">he most recent </w:t>
      </w:r>
      <w:r w:rsidR="00F31EC6">
        <w:t>estimates</w:t>
      </w:r>
      <w:r>
        <w:t xml:space="preserve"> show </w:t>
      </w:r>
      <w:r w:rsidR="00692E43">
        <w:t>between 1</w:t>
      </w:r>
      <w:r w:rsidR="00422529">
        <w:t>0</w:t>
      </w:r>
      <w:r w:rsidR="00692E43">
        <w:t xml:space="preserve"> and 13 per cent of Australians experience</w:t>
      </w:r>
      <w:r w:rsidR="006D4A99">
        <w:t>d</w:t>
      </w:r>
      <w:r w:rsidR="00692E43">
        <w:t xml:space="preserve"> </w:t>
      </w:r>
      <w:r w:rsidR="00736BC6">
        <w:t xml:space="preserve">relative </w:t>
      </w:r>
      <w:r w:rsidR="00692E43">
        <w:t>income poverty</w:t>
      </w:r>
      <w:r w:rsidR="005F4DAB">
        <w:t xml:space="preserve"> </w:t>
      </w:r>
      <w:r w:rsidR="006D4A99">
        <w:t xml:space="preserve">in 2010 </w:t>
      </w:r>
      <w:r w:rsidR="00E71A19">
        <w:t>(table</w:t>
      </w:r>
      <w:r w:rsidR="00A6288B">
        <w:t xml:space="preserve"> </w:t>
      </w:r>
      <w:r w:rsidR="00833BF4">
        <w:t>3.1</w:t>
      </w:r>
      <w:r w:rsidR="00A6288B">
        <w:t>)</w:t>
      </w:r>
      <w:r w:rsidR="00504CB1">
        <w:t>.</w:t>
      </w:r>
    </w:p>
    <w:p w:rsidR="005E277D" w:rsidRDefault="005E277D" w:rsidP="007371C8">
      <w:pPr>
        <w:pStyle w:val="BodyText"/>
      </w:pPr>
      <w:r>
        <w:t>Estimates for relative income poverty vary slightly, reflecting different data sources and methodologies employed by researchers.</w:t>
      </w:r>
    </w:p>
    <w:p w:rsidR="001B518F" w:rsidRDefault="001B518F" w:rsidP="001B518F">
      <w:pPr>
        <w:pStyle w:val="TableTitle"/>
        <w:rPr>
          <w:rStyle w:val="NoteLabel"/>
          <w:b/>
        </w:rPr>
      </w:pPr>
      <w:r>
        <w:rPr>
          <w:b w:val="0"/>
        </w:rPr>
        <w:lastRenderedPageBreak/>
        <w:t xml:space="preserve">Table </w:t>
      </w:r>
      <w:bookmarkStart w:id="4" w:name="OLE_LINK2"/>
      <w:r w:rsidR="00833BF4">
        <w:rPr>
          <w:b w:val="0"/>
        </w:rPr>
        <w:t>3.</w:t>
      </w:r>
      <w:r w:rsidR="0069448C">
        <w:rPr>
          <w:b w:val="0"/>
          <w:noProof/>
        </w:rPr>
        <w:t>1</w:t>
      </w:r>
      <w:bookmarkEnd w:id="4"/>
      <w:r>
        <w:tab/>
        <w:t>Estimates of relative income poverty in Australia</w:t>
      </w:r>
      <w:r w:rsidRPr="00CB794E">
        <w:rPr>
          <w:rStyle w:val="NoteLabel"/>
          <w:b/>
        </w:rPr>
        <w:t>a</w:t>
      </w:r>
    </w:p>
    <w:p w:rsidR="00F31EC6" w:rsidRPr="00263118" w:rsidRDefault="00247167" w:rsidP="00967F98">
      <w:pPr>
        <w:pStyle w:val="Subtitle"/>
      </w:pPr>
      <w:r>
        <w:t>V</w:t>
      </w:r>
      <w:r w:rsidR="00F31EC6" w:rsidRPr="004E3038">
        <w:t>arious years</w:t>
      </w:r>
    </w:p>
    <w:tbl>
      <w:tblPr>
        <w:tblW w:w="5000" w:type="pct"/>
        <w:tblCellMar>
          <w:left w:w="0" w:type="dxa"/>
          <w:right w:w="0" w:type="dxa"/>
        </w:tblCellMar>
        <w:tblLook w:val="0000" w:firstRow="0" w:lastRow="0" w:firstColumn="0" w:lastColumn="0" w:noHBand="0" w:noVBand="0"/>
      </w:tblPr>
      <w:tblGrid>
        <w:gridCol w:w="4962"/>
        <w:gridCol w:w="1417"/>
        <w:gridCol w:w="1276"/>
        <w:gridCol w:w="1134"/>
      </w:tblGrid>
      <w:tr w:rsidR="001B518F" w:rsidTr="00680404">
        <w:tc>
          <w:tcPr>
            <w:tcW w:w="2823" w:type="pct"/>
            <w:tcBorders>
              <w:top w:val="single" w:sz="6" w:space="0" w:color="auto"/>
              <w:bottom w:val="single" w:sz="4" w:space="0" w:color="auto"/>
            </w:tcBorders>
            <w:shd w:val="clear" w:color="auto" w:fill="auto"/>
          </w:tcPr>
          <w:p w:rsidR="001B518F" w:rsidRDefault="001B518F" w:rsidP="001B518F">
            <w:pPr>
              <w:pStyle w:val="TableColumnHeading"/>
              <w:jc w:val="left"/>
            </w:pPr>
            <w:r>
              <w:t>Estimate Source</w:t>
            </w:r>
          </w:p>
        </w:tc>
        <w:tc>
          <w:tcPr>
            <w:tcW w:w="806" w:type="pct"/>
            <w:tcBorders>
              <w:top w:val="single" w:sz="6" w:space="0" w:color="auto"/>
              <w:bottom w:val="single" w:sz="4" w:space="0" w:color="auto"/>
            </w:tcBorders>
            <w:shd w:val="clear" w:color="auto" w:fill="auto"/>
          </w:tcPr>
          <w:p w:rsidR="001B518F" w:rsidRDefault="001B518F" w:rsidP="00680404">
            <w:pPr>
              <w:pStyle w:val="TableColumnHeading"/>
            </w:pPr>
            <w:r>
              <w:t>Data Source</w:t>
            </w:r>
            <w:r w:rsidR="00680404">
              <w:rPr>
                <w:rStyle w:val="NoteLabel"/>
              </w:rPr>
              <w:t>d</w:t>
            </w:r>
          </w:p>
        </w:tc>
        <w:tc>
          <w:tcPr>
            <w:tcW w:w="726" w:type="pct"/>
            <w:tcBorders>
              <w:top w:val="single" w:sz="6" w:space="0" w:color="auto"/>
              <w:bottom w:val="single" w:sz="4" w:space="0" w:color="auto"/>
            </w:tcBorders>
          </w:tcPr>
          <w:p w:rsidR="001B518F" w:rsidRDefault="001B518F" w:rsidP="001B518F">
            <w:pPr>
              <w:pStyle w:val="TableColumnHeading"/>
              <w:ind w:right="28"/>
            </w:pPr>
            <w:r>
              <w:t>Rate (%)</w:t>
            </w:r>
          </w:p>
        </w:tc>
        <w:tc>
          <w:tcPr>
            <w:tcW w:w="645" w:type="pct"/>
            <w:tcBorders>
              <w:top w:val="single" w:sz="6" w:space="0" w:color="auto"/>
              <w:bottom w:val="single" w:sz="4" w:space="0" w:color="auto"/>
            </w:tcBorders>
            <w:shd w:val="clear" w:color="auto" w:fill="auto"/>
          </w:tcPr>
          <w:p w:rsidR="001B518F" w:rsidRDefault="001B518F" w:rsidP="001B518F">
            <w:pPr>
              <w:pStyle w:val="TableColumnHeading"/>
              <w:ind w:right="28"/>
            </w:pPr>
            <w:r>
              <w:t>Year</w:t>
            </w:r>
          </w:p>
        </w:tc>
      </w:tr>
      <w:tr w:rsidR="001B518F" w:rsidTr="00680404">
        <w:tc>
          <w:tcPr>
            <w:tcW w:w="2823" w:type="pct"/>
          </w:tcPr>
          <w:p w:rsidR="001B518F" w:rsidRDefault="00F55C9D" w:rsidP="008C727B">
            <w:pPr>
              <w:pStyle w:val="TableBodyText"/>
              <w:spacing w:before="60"/>
              <w:jc w:val="left"/>
            </w:pPr>
            <w:r>
              <w:t xml:space="preserve">Productivity </w:t>
            </w:r>
            <w:r w:rsidR="001B518F">
              <w:t xml:space="preserve">Commission </w:t>
            </w:r>
            <w:r w:rsidR="008C727B">
              <w:t>(PC)</w:t>
            </w:r>
            <w:r w:rsidR="001B518F" w:rsidRPr="00A36E59">
              <w:rPr>
                <w:rStyle w:val="NoteLabel"/>
              </w:rPr>
              <w:t>b</w:t>
            </w:r>
          </w:p>
        </w:tc>
        <w:tc>
          <w:tcPr>
            <w:tcW w:w="806" w:type="pct"/>
          </w:tcPr>
          <w:p w:rsidR="001B518F" w:rsidRDefault="001B518F" w:rsidP="001B518F">
            <w:pPr>
              <w:pStyle w:val="TableBodyText"/>
              <w:spacing w:before="60"/>
            </w:pPr>
            <w:r>
              <w:t>ABS HES</w:t>
            </w:r>
          </w:p>
        </w:tc>
        <w:tc>
          <w:tcPr>
            <w:tcW w:w="726" w:type="pct"/>
          </w:tcPr>
          <w:p w:rsidR="001B518F" w:rsidRDefault="001B518F" w:rsidP="001B518F">
            <w:pPr>
              <w:pStyle w:val="TableBodyText"/>
              <w:spacing w:before="60"/>
              <w:ind w:right="28"/>
            </w:pPr>
            <w:r>
              <w:t>10.3</w:t>
            </w:r>
          </w:p>
        </w:tc>
        <w:tc>
          <w:tcPr>
            <w:tcW w:w="645" w:type="pct"/>
          </w:tcPr>
          <w:p w:rsidR="001B518F" w:rsidRDefault="001B518F" w:rsidP="001B518F">
            <w:pPr>
              <w:pStyle w:val="TableBodyText"/>
              <w:spacing w:before="60"/>
              <w:ind w:right="28"/>
            </w:pPr>
            <w:r>
              <w:t>2009</w:t>
            </w:r>
            <w:r>
              <w:noBreakHyphen/>
              <w:t>10</w:t>
            </w:r>
          </w:p>
        </w:tc>
      </w:tr>
      <w:tr w:rsidR="001B518F" w:rsidTr="00680404">
        <w:tc>
          <w:tcPr>
            <w:tcW w:w="2823" w:type="pct"/>
          </w:tcPr>
          <w:p w:rsidR="001B518F" w:rsidRDefault="001B518F" w:rsidP="001B518F">
            <w:pPr>
              <w:pStyle w:val="TableBodyText"/>
              <w:jc w:val="left"/>
            </w:pPr>
            <w:r>
              <w:t>S</w:t>
            </w:r>
            <w:r w:rsidR="00EA73A5">
              <w:t>ocial Policy Research Centre (S</w:t>
            </w:r>
            <w:r>
              <w:t>PRC</w:t>
            </w:r>
            <w:r w:rsidR="00EA73A5">
              <w:t>)</w:t>
            </w:r>
            <w:r w:rsidRPr="00CE69B6">
              <w:rPr>
                <w:rStyle w:val="NoteLabel"/>
              </w:rPr>
              <w:t>c</w:t>
            </w:r>
          </w:p>
        </w:tc>
        <w:tc>
          <w:tcPr>
            <w:tcW w:w="806" w:type="pct"/>
          </w:tcPr>
          <w:p w:rsidR="001B518F" w:rsidRDefault="001B518F" w:rsidP="001B518F">
            <w:pPr>
              <w:pStyle w:val="TableBodyText"/>
            </w:pPr>
            <w:r>
              <w:t>ABS SIH</w:t>
            </w:r>
          </w:p>
        </w:tc>
        <w:tc>
          <w:tcPr>
            <w:tcW w:w="726" w:type="pct"/>
          </w:tcPr>
          <w:p w:rsidR="001B518F" w:rsidRDefault="001B518F" w:rsidP="001B518F">
            <w:pPr>
              <w:pStyle w:val="TableBodyText"/>
              <w:ind w:right="28"/>
            </w:pPr>
            <w:r>
              <w:t>12.8</w:t>
            </w:r>
          </w:p>
        </w:tc>
        <w:tc>
          <w:tcPr>
            <w:tcW w:w="645" w:type="pct"/>
          </w:tcPr>
          <w:p w:rsidR="001B518F" w:rsidRDefault="001B518F" w:rsidP="001B518F">
            <w:pPr>
              <w:pStyle w:val="TableBodyText"/>
              <w:ind w:right="28"/>
            </w:pPr>
            <w:r>
              <w:t>2009</w:t>
            </w:r>
            <w:r>
              <w:noBreakHyphen/>
              <w:t>10</w:t>
            </w:r>
          </w:p>
        </w:tc>
      </w:tr>
      <w:tr w:rsidR="001B518F" w:rsidTr="00680404">
        <w:tc>
          <w:tcPr>
            <w:tcW w:w="2823" w:type="pct"/>
          </w:tcPr>
          <w:p w:rsidR="001B518F" w:rsidRDefault="001B518F" w:rsidP="00CE68F2">
            <w:pPr>
              <w:pStyle w:val="TableBodyText"/>
              <w:jc w:val="left"/>
            </w:pPr>
            <w:r>
              <w:t>Melbourne Institute</w:t>
            </w:r>
            <w:r w:rsidR="00F823BD">
              <w:t xml:space="preserve"> of Applied Economic and Social Research (M</w:t>
            </w:r>
            <w:r w:rsidR="008C727B">
              <w:t xml:space="preserve">elbourne </w:t>
            </w:r>
            <w:r w:rsidR="00F823BD">
              <w:t>I</w:t>
            </w:r>
            <w:r w:rsidR="008C727B">
              <w:t>nstitute</w:t>
            </w:r>
            <w:r w:rsidR="00F823BD">
              <w:t>)</w:t>
            </w:r>
          </w:p>
        </w:tc>
        <w:tc>
          <w:tcPr>
            <w:tcW w:w="806" w:type="pct"/>
          </w:tcPr>
          <w:p w:rsidR="001B518F" w:rsidRDefault="001B518F" w:rsidP="001B518F">
            <w:pPr>
              <w:pStyle w:val="TableBodyText"/>
            </w:pPr>
            <w:r>
              <w:t>HILDA</w:t>
            </w:r>
          </w:p>
        </w:tc>
        <w:tc>
          <w:tcPr>
            <w:tcW w:w="726" w:type="pct"/>
          </w:tcPr>
          <w:p w:rsidR="001B518F" w:rsidRDefault="00DC6199" w:rsidP="001B518F">
            <w:pPr>
              <w:pStyle w:val="TableBodyText"/>
              <w:ind w:right="28"/>
            </w:pPr>
            <w:r>
              <w:t>12.4</w:t>
            </w:r>
          </w:p>
        </w:tc>
        <w:tc>
          <w:tcPr>
            <w:tcW w:w="645" w:type="pct"/>
          </w:tcPr>
          <w:p w:rsidR="001B518F" w:rsidRDefault="00DC6199" w:rsidP="00DC6199">
            <w:pPr>
              <w:pStyle w:val="TableBodyText"/>
              <w:ind w:right="28"/>
            </w:pPr>
            <w:r>
              <w:t>2010</w:t>
            </w:r>
          </w:p>
        </w:tc>
      </w:tr>
      <w:tr w:rsidR="001B518F" w:rsidTr="00680404">
        <w:tc>
          <w:tcPr>
            <w:tcW w:w="2823" w:type="pct"/>
          </w:tcPr>
          <w:p w:rsidR="001B518F" w:rsidRDefault="001B518F" w:rsidP="00CE68F2">
            <w:pPr>
              <w:pStyle w:val="TableBodyText"/>
              <w:jc w:val="left"/>
            </w:pPr>
            <w:r>
              <w:t>Australian Institute of Health and Welfare (AIHW)</w:t>
            </w:r>
          </w:p>
        </w:tc>
        <w:tc>
          <w:tcPr>
            <w:tcW w:w="806" w:type="pct"/>
          </w:tcPr>
          <w:p w:rsidR="001B518F" w:rsidRDefault="001B518F" w:rsidP="001B518F">
            <w:pPr>
              <w:pStyle w:val="TableBodyText"/>
            </w:pPr>
            <w:r>
              <w:t>ABS SIH</w:t>
            </w:r>
          </w:p>
        </w:tc>
        <w:tc>
          <w:tcPr>
            <w:tcW w:w="726" w:type="pct"/>
          </w:tcPr>
          <w:p w:rsidR="001B518F" w:rsidRDefault="001B518F" w:rsidP="001B518F">
            <w:pPr>
              <w:pStyle w:val="TableBodyText"/>
              <w:ind w:right="28"/>
            </w:pPr>
            <w:r>
              <w:t>11.3</w:t>
            </w:r>
          </w:p>
        </w:tc>
        <w:tc>
          <w:tcPr>
            <w:tcW w:w="645" w:type="pct"/>
          </w:tcPr>
          <w:p w:rsidR="001B518F" w:rsidRDefault="001B518F" w:rsidP="001B518F">
            <w:pPr>
              <w:pStyle w:val="TableBodyText"/>
              <w:ind w:right="28"/>
            </w:pPr>
            <w:r>
              <w:t>2005</w:t>
            </w:r>
            <w:r>
              <w:noBreakHyphen/>
              <w:t>06</w:t>
            </w:r>
          </w:p>
        </w:tc>
      </w:tr>
      <w:tr w:rsidR="001B518F" w:rsidTr="00680404">
        <w:tc>
          <w:tcPr>
            <w:tcW w:w="2823" w:type="pct"/>
          </w:tcPr>
          <w:p w:rsidR="001B518F" w:rsidRDefault="00DD1F2D" w:rsidP="00CE68F2">
            <w:pPr>
              <w:pStyle w:val="TableBodyText"/>
              <w:jc w:val="left"/>
            </w:pPr>
            <w:r>
              <w:t>SPRC</w:t>
            </w:r>
          </w:p>
        </w:tc>
        <w:tc>
          <w:tcPr>
            <w:tcW w:w="806" w:type="pct"/>
          </w:tcPr>
          <w:p w:rsidR="001B518F" w:rsidRDefault="001B518F" w:rsidP="001B518F">
            <w:pPr>
              <w:pStyle w:val="TableBodyText"/>
            </w:pPr>
            <w:r>
              <w:t>ABS SIH</w:t>
            </w:r>
          </w:p>
        </w:tc>
        <w:tc>
          <w:tcPr>
            <w:tcW w:w="726" w:type="pct"/>
          </w:tcPr>
          <w:p w:rsidR="001B518F" w:rsidRDefault="001B518F" w:rsidP="001B518F">
            <w:pPr>
              <w:pStyle w:val="TableBodyText"/>
              <w:ind w:right="28"/>
            </w:pPr>
            <w:r>
              <w:t>11.1</w:t>
            </w:r>
          </w:p>
        </w:tc>
        <w:tc>
          <w:tcPr>
            <w:tcW w:w="645" w:type="pct"/>
          </w:tcPr>
          <w:p w:rsidR="001B518F" w:rsidRDefault="001B518F" w:rsidP="001B518F">
            <w:pPr>
              <w:pStyle w:val="TableBodyText"/>
              <w:ind w:right="28"/>
            </w:pPr>
            <w:r>
              <w:t>2005</w:t>
            </w:r>
            <w:r>
              <w:noBreakHyphen/>
              <w:t>06</w:t>
            </w:r>
          </w:p>
        </w:tc>
      </w:tr>
      <w:tr w:rsidR="001B518F" w:rsidTr="00680404">
        <w:tc>
          <w:tcPr>
            <w:tcW w:w="2823" w:type="pct"/>
          </w:tcPr>
          <w:p w:rsidR="001B518F" w:rsidRDefault="001B518F" w:rsidP="00CE68F2">
            <w:pPr>
              <w:pStyle w:val="TableBodyText"/>
              <w:jc w:val="left"/>
            </w:pPr>
            <w:r>
              <w:t xml:space="preserve">Australian Social Inclusion </w:t>
            </w:r>
            <w:r w:rsidR="00DD1F2D">
              <w:t>Board</w:t>
            </w:r>
          </w:p>
        </w:tc>
        <w:tc>
          <w:tcPr>
            <w:tcW w:w="806" w:type="pct"/>
          </w:tcPr>
          <w:p w:rsidR="001B518F" w:rsidRDefault="001B518F" w:rsidP="001B518F">
            <w:pPr>
              <w:pStyle w:val="TableBodyText"/>
            </w:pPr>
            <w:r>
              <w:t>ABS SIH</w:t>
            </w:r>
          </w:p>
        </w:tc>
        <w:tc>
          <w:tcPr>
            <w:tcW w:w="726" w:type="pct"/>
          </w:tcPr>
          <w:p w:rsidR="001B518F" w:rsidRDefault="001B518F" w:rsidP="001B518F">
            <w:pPr>
              <w:pStyle w:val="TableBodyText"/>
              <w:ind w:right="28"/>
            </w:pPr>
            <w:r>
              <w:t>10.9</w:t>
            </w:r>
          </w:p>
        </w:tc>
        <w:tc>
          <w:tcPr>
            <w:tcW w:w="645" w:type="pct"/>
          </w:tcPr>
          <w:p w:rsidR="001B518F" w:rsidRDefault="001B518F" w:rsidP="001B518F">
            <w:pPr>
              <w:pStyle w:val="TableBodyText"/>
              <w:ind w:right="28"/>
            </w:pPr>
            <w:r>
              <w:t>2005</w:t>
            </w:r>
            <w:r>
              <w:noBreakHyphen/>
              <w:t>06</w:t>
            </w:r>
          </w:p>
        </w:tc>
      </w:tr>
      <w:tr w:rsidR="001B518F" w:rsidTr="00680404">
        <w:tc>
          <w:tcPr>
            <w:tcW w:w="2823" w:type="pct"/>
            <w:tcBorders>
              <w:bottom w:val="single" w:sz="4" w:space="0" w:color="auto"/>
            </w:tcBorders>
          </w:tcPr>
          <w:p w:rsidR="001B518F" w:rsidRDefault="001B518F" w:rsidP="00CE68F2">
            <w:pPr>
              <w:pStyle w:val="TableBodyText"/>
              <w:ind w:left="0"/>
              <w:jc w:val="left"/>
            </w:pPr>
            <w:r>
              <w:t>Australian Institute of Family Studies (AIFS)</w:t>
            </w:r>
            <w:r w:rsidR="00DD1F2D">
              <w:rPr>
                <w:rStyle w:val="NoteLabel"/>
              </w:rPr>
              <w:t xml:space="preserve"> </w:t>
            </w:r>
          </w:p>
        </w:tc>
        <w:tc>
          <w:tcPr>
            <w:tcW w:w="806" w:type="pct"/>
            <w:tcBorders>
              <w:bottom w:val="single" w:sz="4" w:space="0" w:color="auto"/>
            </w:tcBorders>
          </w:tcPr>
          <w:p w:rsidR="001B518F" w:rsidRDefault="001B518F" w:rsidP="001B518F">
            <w:pPr>
              <w:pStyle w:val="TableBodyText"/>
            </w:pPr>
            <w:r>
              <w:t>ABS SIH</w:t>
            </w:r>
          </w:p>
        </w:tc>
        <w:tc>
          <w:tcPr>
            <w:tcW w:w="726" w:type="pct"/>
            <w:tcBorders>
              <w:bottom w:val="single" w:sz="4" w:space="0" w:color="auto"/>
            </w:tcBorders>
          </w:tcPr>
          <w:p w:rsidR="001B518F" w:rsidRDefault="001B518F" w:rsidP="001B518F">
            <w:pPr>
              <w:pStyle w:val="TableBodyText"/>
              <w:ind w:right="28"/>
            </w:pPr>
            <w:r>
              <w:t>10.8</w:t>
            </w:r>
          </w:p>
        </w:tc>
        <w:tc>
          <w:tcPr>
            <w:tcW w:w="645" w:type="pct"/>
            <w:tcBorders>
              <w:bottom w:val="single" w:sz="4" w:space="0" w:color="auto"/>
            </w:tcBorders>
          </w:tcPr>
          <w:p w:rsidR="001B518F" w:rsidRDefault="001B518F" w:rsidP="001B518F">
            <w:pPr>
              <w:pStyle w:val="TableBodyText"/>
              <w:ind w:right="28"/>
            </w:pPr>
            <w:r>
              <w:t>2005</w:t>
            </w:r>
            <w:r>
              <w:noBreakHyphen/>
              <w:t>06</w:t>
            </w:r>
          </w:p>
        </w:tc>
      </w:tr>
    </w:tbl>
    <w:p w:rsidR="001B518F" w:rsidRDefault="001B518F" w:rsidP="001B518F">
      <w:pPr>
        <w:pStyle w:val="Note"/>
      </w:pPr>
      <w:r w:rsidRPr="0028226A">
        <w:rPr>
          <w:rStyle w:val="NoteLabel"/>
        </w:rPr>
        <w:t>a</w:t>
      </w:r>
      <w:r>
        <w:rPr>
          <w:rFonts w:cs="Arial"/>
        </w:rPr>
        <w:t xml:space="preserve"> </w:t>
      </w:r>
      <w:r w:rsidR="00B8148D">
        <w:rPr>
          <w:rFonts w:cs="Arial"/>
        </w:rPr>
        <w:t xml:space="preserve">Estimates are for all Australians </w:t>
      </w:r>
      <w:r w:rsidR="00F55C9D">
        <w:rPr>
          <w:rFonts w:cs="Arial"/>
        </w:rPr>
        <w:t>b</w:t>
      </w:r>
      <w:r>
        <w:t xml:space="preserve">ased on 50 per cent of median household equivalised disposable income. </w:t>
      </w:r>
      <w:r w:rsidR="00B8148D">
        <w:t xml:space="preserve">It is not always clear which equivalised scale is used in deriving income poverty estimates. </w:t>
      </w:r>
      <w:r w:rsidR="00CE68F2" w:rsidRPr="00A36E59">
        <w:rPr>
          <w:rStyle w:val="NoteLabel"/>
        </w:rPr>
        <w:t>b</w:t>
      </w:r>
      <w:r w:rsidR="00CE68F2">
        <w:t xml:space="preserve"> </w:t>
      </w:r>
      <w:r w:rsidR="00C2377F">
        <w:t xml:space="preserve">The </w:t>
      </w:r>
      <w:r w:rsidR="00F55C9D">
        <w:t xml:space="preserve">Productivity </w:t>
      </w:r>
      <w:r w:rsidR="00C2377F">
        <w:t xml:space="preserve">Commission </w:t>
      </w:r>
      <w:r w:rsidR="00F55C9D">
        <w:t xml:space="preserve">(PC) </w:t>
      </w:r>
      <w:r w:rsidR="003B66CB">
        <w:t xml:space="preserve">and the Melbourne Institute </w:t>
      </w:r>
      <w:r w:rsidR="00C2377F">
        <w:t>used the modified OECD equivalence scale in developing their income poverty estimate</w:t>
      </w:r>
      <w:r w:rsidR="003B66CB">
        <w:t>s</w:t>
      </w:r>
      <w:r w:rsidR="00C2377F">
        <w:t xml:space="preserve">. </w:t>
      </w:r>
      <w:r>
        <w:t xml:space="preserve">The </w:t>
      </w:r>
      <w:r w:rsidR="00F55C9D">
        <w:t xml:space="preserve">PC </w:t>
      </w:r>
      <w:r>
        <w:t>estimate has added net imputed rent to household income where applicable</w:t>
      </w:r>
      <w:r w:rsidR="00680404">
        <w:t>.</w:t>
      </w:r>
      <w:r>
        <w:t xml:space="preserve"> </w:t>
      </w:r>
      <w:r w:rsidR="00CE68F2">
        <w:rPr>
          <w:rStyle w:val="NoteLabel"/>
        </w:rPr>
        <w:t>c</w:t>
      </w:r>
      <w:r w:rsidR="00CE68F2">
        <w:t xml:space="preserve"> T</w:t>
      </w:r>
      <w:r>
        <w:t xml:space="preserve">he SPRC estimate adjusts household income where applicable by deducting average housing costs. </w:t>
      </w:r>
      <w:r w:rsidR="00680404">
        <w:rPr>
          <w:rStyle w:val="NoteLabel"/>
        </w:rPr>
        <w:t>d</w:t>
      </w:r>
      <w:r w:rsidR="00680404" w:rsidRPr="00680404">
        <w:t xml:space="preserve"> </w:t>
      </w:r>
      <w:r>
        <w:t xml:space="preserve">ABS HES </w:t>
      </w:r>
      <w:r w:rsidR="00F55C9D">
        <w:t>—</w:t>
      </w:r>
      <w:r>
        <w:t xml:space="preserve"> ABS Household Expenditure Survey; HILDA </w:t>
      </w:r>
      <w:r w:rsidR="00F55C9D">
        <w:t>—</w:t>
      </w:r>
      <w:r>
        <w:t xml:space="preserve"> Household Income and Labour Dynamics in Australia; ABS SIH </w:t>
      </w:r>
      <w:r w:rsidR="00F55C9D">
        <w:t>—</w:t>
      </w:r>
      <w:r>
        <w:t xml:space="preserve"> ABS Survey of Income and Housing.</w:t>
      </w:r>
    </w:p>
    <w:p w:rsidR="001B518F" w:rsidRDefault="001B518F" w:rsidP="00A470B0">
      <w:pPr>
        <w:pStyle w:val="Note"/>
      </w:pPr>
      <w:r>
        <w:rPr>
          <w:i/>
        </w:rPr>
        <w:t>Sources</w:t>
      </w:r>
      <w:r>
        <w:t xml:space="preserve">: </w:t>
      </w:r>
      <w:r w:rsidR="00F55C9D" w:rsidRPr="00A470B0">
        <w:t xml:space="preserve">PC </w:t>
      </w:r>
      <w:r w:rsidRPr="00A470B0">
        <w:t>estimate based on ABS HES</w:t>
      </w:r>
      <w:r>
        <w:t xml:space="preserve">, Cat no. 6503.0, Confidentialised Unit Record File </w:t>
      </w:r>
      <w:r w:rsidR="00A44BA6">
        <w:t>(CURF)</w:t>
      </w:r>
      <w:r w:rsidR="00CE68F2">
        <w:t>;</w:t>
      </w:r>
      <w:r w:rsidR="00DB4511">
        <w:t xml:space="preserve"> </w:t>
      </w:r>
      <w:r>
        <w:rPr>
          <w:rStyle w:val="NoteLabel"/>
        </w:rPr>
        <w:t xml:space="preserve"> </w:t>
      </w:r>
      <w:r>
        <w:t>SPRC estimate published in ACOSS (2012)</w:t>
      </w:r>
      <w:r w:rsidR="00CE68F2">
        <w:t>;</w:t>
      </w:r>
      <w:r>
        <w:t xml:space="preserve"> Melbourne Institute (</w:t>
      </w:r>
      <w:r w:rsidR="00DC6199">
        <w:t>2013</w:t>
      </w:r>
      <w:r>
        <w:t>)</w:t>
      </w:r>
      <w:r w:rsidR="00CE68F2">
        <w:t>;</w:t>
      </w:r>
      <w:r>
        <w:t xml:space="preserve"> AIHW (2007)</w:t>
      </w:r>
      <w:r w:rsidR="00CE68F2">
        <w:t>;</w:t>
      </w:r>
      <w:r>
        <w:t xml:space="preserve"> Saunders</w:t>
      </w:r>
      <w:r w:rsidR="00770814">
        <w:t xml:space="preserve"> </w:t>
      </w:r>
      <w:r>
        <w:t>(2007)</w:t>
      </w:r>
      <w:r w:rsidR="00CE68F2">
        <w:t>;</w:t>
      </w:r>
      <w:r>
        <w:t xml:space="preserve"> </w:t>
      </w:r>
      <w:r w:rsidR="00DD1F2D">
        <w:rPr>
          <w:rStyle w:val="NoteLabel"/>
        </w:rPr>
        <w:t xml:space="preserve"> </w:t>
      </w:r>
      <w:r>
        <w:t>Australian Social Inclusion Board (2012)</w:t>
      </w:r>
      <w:r w:rsidR="00CE68F2">
        <w:t>;</w:t>
      </w:r>
      <w:r>
        <w:t xml:space="preserve"> </w:t>
      </w:r>
      <w:r w:rsidR="00DD1F2D">
        <w:rPr>
          <w:rStyle w:val="NoteLabel"/>
        </w:rPr>
        <w:t xml:space="preserve"> </w:t>
      </w:r>
      <w:r>
        <w:t>AIFS</w:t>
      </w:r>
      <w:r w:rsidR="0077182A">
        <w:t>, Payne</w:t>
      </w:r>
      <w:r>
        <w:t xml:space="preserve"> (2009).</w:t>
      </w:r>
    </w:p>
    <w:p w:rsidR="00E675C0" w:rsidRDefault="0030169D" w:rsidP="00CE69B6">
      <w:pPr>
        <w:pStyle w:val="BodyText"/>
        <w:spacing w:before="360"/>
      </w:pPr>
      <w:r>
        <w:t>M</w:t>
      </w:r>
      <w:r w:rsidR="00F31EC6">
        <w:t>ethodological differences include</w:t>
      </w:r>
      <w:r w:rsidR="00770814">
        <w:t>:</w:t>
      </w:r>
      <w:r w:rsidR="00886003">
        <w:t xml:space="preserve"> </w:t>
      </w:r>
    </w:p>
    <w:p w:rsidR="00E675C0" w:rsidRDefault="006D4A99" w:rsidP="00E570F3">
      <w:pPr>
        <w:pStyle w:val="ListBullet"/>
      </w:pPr>
      <w:r>
        <w:t>whether allowance is made for</w:t>
      </w:r>
      <w:r w:rsidR="001B5F1F">
        <w:t xml:space="preserve"> housing costs and imputed rents</w:t>
      </w:r>
      <w:r w:rsidR="00213132" w:rsidRPr="00233A96">
        <w:rPr>
          <w:rStyle w:val="FootnoteReference"/>
        </w:rPr>
        <w:footnoteReference w:id="2"/>
      </w:r>
    </w:p>
    <w:p w:rsidR="00E675C0" w:rsidRDefault="00770814" w:rsidP="00E570F3">
      <w:pPr>
        <w:pStyle w:val="ListBullet"/>
      </w:pPr>
      <w:r>
        <w:t xml:space="preserve">the </w:t>
      </w:r>
      <w:r w:rsidR="00040A55">
        <w:t>approach</w:t>
      </w:r>
      <w:r>
        <w:t xml:space="preserve"> used </w:t>
      </w:r>
      <w:r w:rsidR="00040A55">
        <w:t>to estimat</w:t>
      </w:r>
      <w:r>
        <w:t xml:space="preserve">e </w:t>
      </w:r>
      <w:r w:rsidR="00040A55">
        <w:t>the non</w:t>
      </w:r>
      <w:r w:rsidR="00040A55">
        <w:noBreakHyphen/>
        <w:t>wage sources of income (including government transfers and income from self</w:t>
      </w:r>
      <w:r w:rsidR="00040A55">
        <w:noBreakHyphen/>
        <w:t>employment)</w:t>
      </w:r>
    </w:p>
    <w:p w:rsidR="00E675C0" w:rsidRDefault="00770814" w:rsidP="00E570F3">
      <w:pPr>
        <w:pStyle w:val="ListBullet"/>
      </w:pPr>
      <w:r>
        <w:t xml:space="preserve">the </w:t>
      </w:r>
      <w:r w:rsidR="008C79EA">
        <w:t xml:space="preserve">treatment of </w:t>
      </w:r>
      <w:r w:rsidR="00040A55">
        <w:t>negative incomes</w:t>
      </w:r>
      <w:r w:rsidR="00040A55" w:rsidRPr="00233A96">
        <w:rPr>
          <w:rStyle w:val="FootnoteReference"/>
        </w:rPr>
        <w:footnoteReference w:id="3"/>
      </w:r>
    </w:p>
    <w:p w:rsidR="00FD2B17" w:rsidRDefault="00770814" w:rsidP="00E570F3">
      <w:pPr>
        <w:pStyle w:val="ListBullet"/>
      </w:pPr>
      <w:r>
        <w:t>t</w:t>
      </w:r>
      <w:r w:rsidR="00FD2B17">
        <w:t xml:space="preserve">he use of different equivalence scales to account for household resident composition. For example, </w:t>
      </w:r>
      <w:r w:rsidR="006D4A99">
        <w:t xml:space="preserve">the </w:t>
      </w:r>
      <w:r w:rsidR="00FD2B17">
        <w:t>Commission</w:t>
      </w:r>
      <w:r>
        <w:t>’s</w:t>
      </w:r>
      <w:r w:rsidR="00FD2B17">
        <w:t xml:space="preserve"> estimate</w:t>
      </w:r>
      <w:r w:rsidR="001C489D">
        <w:t xml:space="preserve"> of</w:t>
      </w:r>
      <w:r w:rsidR="00FD2B17">
        <w:t xml:space="preserve"> relative income poverty was slightly higher when a square root equivalence scale was used rather than the modified OECD equivalence scale.</w:t>
      </w:r>
    </w:p>
    <w:p w:rsidR="00AE7F54" w:rsidRDefault="00AE7F54">
      <w:pPr>
        <w:rPr>
          <w:rFonts w:ascii="Arial" w:hAnsi="Arial"/>
          <w:i/>
          <w:sz w:val="24"/>
          <w:szCs w:val="20"/>
        </w:rPr>
      </w:pPr>
      <w:r>
        <w:br w:type="page"/>
      </w:r>
    </w:p>
    <w:p w:rsidR="00886003" w:rsidRDefault="00886003" w:rsidP="00886003">
      <w:pPr>
        <w:pStyle w:val="Heading4"/>
      </w:pPr>
      <w:r>
        <w:lastRenderedPageBreak/>
        <w:t>OECD estimates for relative income poverty in Australia</w:t>
      </w:r>
    </w:p>
    <w:p w:rsidR="00955662" w:rsidRDefault="00213132" w:rsidP="00886003">
      <w:pPr>
        <w:pStyle w:val="BodyText"/>
      </w:pPr>
      <w:r>
        <w:t xml:space="preserve">The OECD </w:t>
      </w:r>
      <w:r w:rsidR="009D2432">
        <w:t>also</w:t>
      </w:r>
      <w:r>
        <w:t xml:space="preserve"> report</w:t>
      </w:r>
      <w:r w:rsidR="00770814">
        <w:t xml:space="preserve">s </w:t>
      </w:r>
      <w:r>
        <w:t xml:space="preserve">relative income poverty estimates for Australia </w:t>
      </w:r>
      <w:r w:rsidR="00262CFA">
        <w:t>which can be compared</w:t>
      </w:r>
      <w:r w:rsidR="00770814">
        <w:t xml:space="preserve"> </w:t>
      </w:r>
      <w:r>
        <w:t xml:space="preserve">with </w:t>
      </w:r>
      <w:r w:rsidR="00262CFA">
        <w:t xml:space="preserve">estimates for </w:t>
      </w:r>
      <w:r>
        <w:t xml:space="preserve">other OECD countries. </w:t>
      </w:r>
      <w:r w:rsidR="00886003" w:rsidRPr="00EA73A5">
        <w:t>The OECD estimates show Australia’s relative income poverty rate trended up from 11.4 per cent in 1994</w:t>
      </w:r>
      <w:r w:rsidR="00886003" w:rsidRPr="00EA73A5">
        <w:noBreakHyphen/>
        <w:t>95 to 14.6 per cent in 2007</w:t>
      </w:r>
      <w:r w:rsidR="00886003" w:rsidRPr="00EA73A5">
        <w:noBreakHyphen/>
        <w:t>08 (OECD 2012</w:t>
      </w:r>
      <w:r w:rsidR="00200AA9">
        <w:t>a</w:t>
      </w:r>
      <w:r w:rsidR="00886003" w:rsidRPr="00EA73A5">
        <w:t>)</w:t>
      </w:r>
      <w:r w:rsidR="004B2635">
        <w:t xml:space="preserve">, which </w:t>
      </w:r>
      <w:r w:rsidR="00EA73A5" w:rsidRPr="00DD1F2D">
        <w:t xml:space="preserve">reflects a widening of income inequality </w:t>
      </w:r>
      <w:r w:rsidR="004B2635">
        <w:t xml:space="preserve">in </w:t>
      </w:r>
      <w:r w:rsidR="00EA73A5" w:rsidRPr="00DD1F2D">
        <w:t>Australia over the p</w:t>
      </w:r>
      <w:r w:rsidR="004B2635">
        <w:t>eriod</w:t>
      </w:r>
      <w:r w:rsidR="00EA73A5">
        <w:t>.</w:t>
      </w:r>
      <w:r w:rsidR="00EA73A5" w:rsidRPr="00233A96">
        <w:rPr>
          <w:rStyle w:val="FootnoteReference"/>
        </w:rPr>
        <w:footnoteReference w:id="4"/>
      </w:r>
      <w:r w:rsidR="00886003" w:rsidRPr="00EA73A5">
        <w:t xml:space="preserve"> </w:t>
      </w:r>
      <w:r w:rsidR="00770814">
        <w:t xml:space="preserve">Based on </w:t>
      </w:r>
      <w:r w:rsidR="00886003" w:rsidRPr="00EA73A5">
        <w:t>these estimates, Australia had the 8</w:t>
      </w:r>
      <w:r w:rsidR="00886003" w:rsidRPr="00EA73A5">
        <w:rPr>
          <w:vertAlign w:val="superscript"/>
        </w:rPr>
        <w:t>th</w:t>
      </w:r>
      <w:r w:rsidR="00886003" w:rsidRPr="00EA73A5">
        <w:t xml:space="preserve"> highest relative income poverty rate </w:t>
      </w:r>
      <w:r w:rsidR="00770814" w:rsidRPr="00EA73A5">
        <w:t xml:space="preserve">among 34 </w:t>
      </w:r>
      <w:r w:rsidR="00770814">
        <w:t xml:space="preserve">OECD </w:t>
      </w:r>
      <w:r w:rsidR="00770814" w:rsidRPr="00EA73A5">
        <w:t xml:space="preserve">countries </w:t>
      </w:r>
      <w:r w:rsidR="00886003" w:rsidRPr="00EA73A5">
        <w:t>in 2007</w:t>
      </w:r>
      <w:r w:rsidR="00886003" w:rsidRPr="00EA73A5">
        <w:noBreakHyphen/>
      </w:r>
      <w:r w:rsidR="00770814" w:rsidRPr="00EA73A5">
        <w:t>08</w:t>
      </w:r>
      <w:r w:rsidR="00886003" w:rsidRPr="00EA73A5">
        <w:t xml:space="preserve">. </w:t>
      </w:r>
    </w:p>
    <w:p w:rsidR="00886003" w:rsidRPr="00EA73A5" w:rsidRDefault="00955662" w:rsidP="00886003">
      <w:pPr>
        <w:pStyle w:val="BodyText"/>
      </w:pPr>
      <w:r>
        <w:t xml:space="preserve">The </w:t>
      </w:r>
      <w:r w:rsidR="004B2635">
        <w:t xml:space="preserve">OECD </w:t>
      </w:r>
      <w:r>
        <w:t>estimates are prepared by the A</w:t>
      </w:r>
      <w:r w:rsidR="004B2635">
        <w:t xml:space="preserve">ustralian </w:t>
      </w:r>
      <w:r>
        <w:t>B</w:t>
      </w:r>
      <w:r w:rsidR="004B2635">
        <w:t xml:space="preserve">ureau of </w:t>
      </w:r>
      <w:r>
        <w:t>S</w:t>
      </w:r>
      <w:r w:rsidR="004B2635">
        <w:t>tatistics (ABS)</w:t>
      </w:r>
      <w:r>
        <w:t xml:space="preserve"> using the OECD’s methodology which is different to th</w:t>
      </w:r>
      <w:r w:rsidR="004B2635">
        <w:t xml:space="preserve">at </w:t>
      </w:r>
      <w:r>
        <w:t>used by Australian researchers.</w:t>
      </w:r>
      <w:r w:rsidRPr="00233A96">
        <w:rPr>
          <w:rStyle w:val="FootnoteReference"/>
        </w:rPr>
        <w:footnoteReference w:id="5"/>
      </w:r>
      <w:r>
        <w:t xml:space="preserve"> Differences in methodological approaches complicate comparisons between estimates published by the OECD </w:t>
      </w:r>
      <w:r w:rsidR="0086054E">
        <w:t>and</w:t>
      </w:r>
      <w:r>
        <w:t xml:space="preserve"> those derived and published by Australian researchers (as reported in table </w:t>
      </w:r>
      <w:r w:rsidR="00833BF4">
        <w:t>3.1</w:t>
      </w:r>
      <w:r w:rsidR="00A6288B">
        <w:t>)</w:t>
      </w:r>
      <w:r>
        <w:t>.</w:t>
      </w:r>
    </w:p>
    <w:p w:rsidR="00E50969" w:rsidRDefault="00E50969" w:rsidP="00DD1F2D">
      <w:pPr>
        <w:pStyle w:val="Heading4"/>
      </w:pPr>
      <w:r w:rsidRPr="00B13C49">
        <w:t>Limitations of relative income measures</w:t>
      </w:r>
    </w:p>
    <w:p w:rsidR="00E50969" w:rsidRDefault="00886003" w:rsidP="00E50969">
      <w:pPr>
        <w:pStyle w:val="BodyText"/>
      </w:pPr>
      <w:r>
        <w:t>While relative income poverty is a well-</w:t>
      </w:r>
      <w:r w:rsidR="00940908">
        <w:t xml:space="preserve">established </w:t>
      </w:r>
      <w:r>
        <w:t>measure of disadvantage, it is not without its limitations</w:t>
      </w:r>
      <w:r w:rsidR="00F6680F">
        <w:t xml:space="preserve">. As discussed in </w:t>
      </w:r>
      <w:r w:rsidR="004B2635">
        <w:t>chapter 2</w:t>
      </w:r>
      <w:r w:rsidR="00F6680F">
        <w:t xml:space="preserve">, one of the limitations of a relative income poverty line is </w:t>
      </w:r>
      <w:r w:rsidR="00E93345">
        <w:t xml:space="preserve">that </w:t>
      </w:r>
      <w:r w:rsidR="00F6680F">
        <w:t xml:space="preserve">it does not take into account a person’s access to resources </w:t>
      </w:r>
      <w:r w:rsidR="00E93345">
        <w:t xml:space="preserve">other than income </w:t>
      </w:r>
      <w:r w:rsidR="00F6680F">
        <w:t>(such as savings</w:t>
      </w:r>
      <w:r w:rsidR="00E93345">
        <w:t xml:space="preserve"> or </w:t>
      </w:r>
      <w:r w:rsidR="00F6680F">
        <w:t>wealth</w:t>
      </w:r>
      <w:r w:rsidR="00E93345">
        <w:t xml:space="preserve">). Many older Australians, for example, are income poor because they are not in </w:t>
      </w:r>
      <w:r w:rsidR="00E50969">
        <w:t>regular paid work</w:t>
      </w:r>
      <w:r w:rsidR="00E93345">
        <w:t>,</w:t>
      </w:r>
      <w:r w:rsidR="00E50969">
        <w:t xml:space="preserve"> but </w:t>
      </w:r>
      <w:r w:rsidR="00E93345">
        <w:t xml:space="preserve">they may be </w:t>
      </w:r>
      <w:r w:rsidR="00E50969">
        <w:t>draw</w:t>
      </w:r>
      <w:r w:rsidR="00E93345">
        <w:t>ing</w:t>
      </w:r>
      <w:r w:rsidR="00E50969">
        <w:t xml:space="preserve"> on superannuation and savings to finance their retirement.</w:t>
      </w:r>
    </w:p>
    <w:p w:rsidR="00886003" w:rsidRDefault="00E93345" w:rsidP="00886003">
      <w:pPr>
        <w:pStyle w:val="BodyText"/>
      </w:pPr>
      <w:r>
        <w:t>S</w:t>
      </w:r>
      <w:r w:rsidR="00E50969">
        <w:t>imilar</w:t>
      </w:r>
      <w:r>
        <w:t>ly</w:t>
      </w:r>
      <w:r w:rsidR="00E50969">
        <w:t xml:space="preserve">, estimates that have not been adjusted to take account of housing costs </w:t>
      </w:r>
      <w:r w:rsidR="00886003">
        <w:t>will overstate income poverty for groups with relatively high rates of home ownership (such as the elderly). Conversely</w:t>
      </w:r>
      <w:r w:rsidR="00955662">
        <w:t>,</w:t>
      </w:r>
      <w:r w:rsidR="00886003">
        <w:t xml:space="preserve"> unadjusted estimates </w:t>
      </w:r>
      <w:r w:rsidR="006D4A99">
        <w:t xml:space="preserve">may </w:t>
      </w:r>
      <w:r w:rsidR="00886003">
        <w:t>understate the poverty rate of groups with high housing costs (for example</w:t>
      </w:r>
      <w:r>
        <w:t>,</w:t>
      </w:r>
      <w:r w:rsidR="00886003">
        <w:t xml:space="preserve"> families with young children). </w:t>
      </w:r>
    </w:p>
    <w:p w:rsidR="00886003" w:rsidRDefault="00E50969" w:rsidP="00886003">
      <w:pPr>
        <w:pStyle w:val="BodyText"/>
      </w:pPr>
      <w:r w:rsidRPr="00DD1F2D">
        <w:t>Estimates of r</w:t>
      </w:r>
      <w:r w:rsidR="00886003" w:rsidRPr="00DD1F2D">
        <w:t xml:space="preserve">elative income poverty </w:t>
      </w:r>
      <w:r w:rsidRPr="00DD1F2D">
        <w:t>can also be sensitive to c</w:t>
      </w:r>
      <w:r w:rsidR="00886003" w:rsidRPr="00DD1F2D">
        <w:t xml:space="preserve">hanges in </w:t>
      </w:r>
      <w:r w:rsidR="00A45D9D">
        <w:t>income support payments (</w:t>
      </w:r>
      <w:r w:rsidR="0086054E">
        <w:t xml:space="preserve">including </w:t>
      </w:r>
      <w:r w:rsidR="00886003" w:rsidRPr="00DD1F2D">
        <w:t>the Age Pension</w:t>
      </w:r>
      <w:r w:rsidR="00A45D9D">
        <w:t xml:space="preserve">, </w:t>
      </w:r>
      <w:r w:rsidR="00886003" w:rsidRPr="00DD1F2D">
        <w:t>Newstart Allowance, Parenting Payment and the Disability Support Pension</w:t>
      </w:r>
      <w:r w:rsidR="00A45D9D">
        <w:t>)</w:t>
      </w:r>
      <w:r w:rsidRPr="00DD1F2D">
        <w:t xml:space="preserve">. This is </w:t>
      </w:r>
      <w:r w:rsidR="00940908" w:rsidRPr="00DD1F2D">
        <w:t>because</w:t>
      </w:r>
      <w:r w:rsidR="00886003" w:rsidRPr="00DD1F2D">
        <w:t xml:space="preserve"> people in receipt of </w:t>
      </w:r>
      <w:r w:rsidR="00886003" w:rsidRPr="00DD1F2D">
        <w:lastRenderedPageBreak/>
        <w:t xml:space="preserve">the pension and other </w:t>
      </w:r>
      <w:r w:rsidR="00262CFA">
        <w:t xml:space="preserve">forms of </w:t>
      </w:r>
      <w:r w:rsidR="00886003" w:rsidRPr="00DD1F2D">
        <w:t>income support are often clustered close to where the poverty threshold is set.</w:t>
      </w:r>
      <w:r w:rsidR="00886003" w:rsidRPr="00233A96">
        <w:rPr>
          <w:rStyle w:val="FootnoteReference"/>
        </w:rPr>
        <w:footnoteReference w:id="6"/>
      </w:r>
      <w:r w:rsidR="00886003" w:rsidRPr="00092251">
        <w:rPr>
          <w:rStyle w:val="FootnoteReference"/>
        </w:rPr>
        <w:t xml:space="preserve"> </w:t>
      </w:r>
      <w:r w:rsidR="00886003">
        <w:t xml:space="preserve"> </w:t>
      </w:r>
    </w:p>
    <w:p w:rsidR="004E3038" w:rsidRDefault="00A45D9D" w:rsidP="00DD1F2D">
      <w:pPr>
        <w:pStyle w:val="BodyText"/>
      </w:pPr>
      <w:r>
        <w:t xml:space="preserve">Concerns about the reporting of income suggest </w:t>
      </w:r>
      <w:r w:rsidR="00242B21">
        <w:t xml:space="preserve">the need for caution when interpreting </w:t>
      </w:r>
      <w:r w:rsidR="00623D8B">
        <w:t xml:space="preserve">income poverty </w:t>
      </w:r>
      <w:r w:rsidR="00242B21">
        <w:t xml:space="preserve">estimates. </w:t>
      </w:r>
      <w:r w:rsidR="00D91BEB" w:rsidRPr="004E3038">
        <w:t>For example, t</w:t>
      </w:r>
      <w:r w:rsidR="00213132" w:rsidRPr="004E3038">
        <w:t xml:space="preserve">he composition of the bottom decile </w:t>
      </w:r>
      <w:r w:rsidR="00B8148D" w:rsidRPr="004E3038">
        <w:t xml:space="preserve">(or bottom ten per cent) </w:t>
      </w:r>
      <w:r w:rsidR="00213132" w:rsidRPr="004E3038">
        <w:t xml:space="preserve">of the income distribution includes </w:t>
      </w:r>
      <w:r w:rsidR="007C50BF">
        <w:t xml:space="preserve">households with self-employed people earning negative incomes. </w:t>
      </w:r>
      <w:r w:rsidR="00213132">
        <w:t>Saunders, Hill and Bradbury</w:t>
      </w:r>
      <w:r w:rsidR="00691B9A">
        <w:t xml:space="preserve"> </w:t>
      </w:r>
      <w:r w:rsidR="00213132">
        <w:t xml:space="preserve">(2007) noted the problem with </w:t>
      </w:r>
      <w:r w:rsidR="00242B21">
        <w:t xml:space="preserve">the </w:t>
      </w:r>
      <w:r w:rsidR="00213132">
        <w:t>reporting of negative incomes by self</w:t>
      </w:r>
      <w:r w:rsidR="00213132">
        <w:noBreakHyphen/>
        <w:t>employed people in their poverty analysis and adjust</w:t>
      </w:r>
      <w:r w:rsidR="00691B9A">
        <w:t>ed</w:t>
      </w:r>
      <w:r w:rsidR="00213132">
        <w:t xml:space="preserve"> their estimates to allow for this group. </w:t>
      </w:r>
    </w:p>
    <w:p w:rsidR="00E50969" w:rsidRDefault="00E50969" w:rsidP="00357EC8">
      <w:pPr>
        <w:pStyle w:val="BodyText"/>
      </w:pPr>
      <w:r w:rsidRPr="00357EC8">
        <w:t>A further limitation of relative income poverty estimates is that they do not reveal whether there have been real improvements in the living</w:t>
      </w:r>
      <w:r w:rsidRPr="00DD1F2D">
        <w:t xml:space="preserve"> standards of those classified as income poor, or </w:t>
      </w:r>
      <w:r>
        <w:t xml:space="preserve">in </w:t>
      </w:r>
      <w:r w:rsidRPr="00DD1F2D">
        <w:t>the severity of poverty (also known as the poverty gap).</w:t>
      </w:r>
      <w:r>
        <w:t xml:space="preserve"> </w:t>
      </w:r>
    </w:p>
    <w:p w:rsidR="00260646" w:rsidRDefault="004114ED">
      <w:pPr>
        <w:pStyle w:val="Heading4"/>
      </w:pPr>
      <w:r>
        <w:t>Taking account of improvements in living standards — t</w:t>
      </w:r>
      <w:r w:rsidR="00437B46">
        <w:t>rends in r</w:t>
      </w:r>
      <w:r w:rsidR="00260646">
        <w:t>elative and absolute poverty rates</w:t>
      </w:r>
    </w:p>
    <w:p w:rsidR="006D1F68" w:rsidRDefault="00E50969" w:rsidP="006D1F68">
      <w:pPr>
        <w:pStyle w:val="BodyText"/>
      </w:pPr>
      <w:r w:rsidRPr="00DD1F2D">
        <w:t xml:space="preserve">With </w:t>
      </w:r>
      <w:r w:rsidR="00357EC8">
        <w:t>broad</w:t>
      </w:r>
      <w:r w:rsidR="002353E8">
        <w:noBreakHyphen/>
      </w:r>
      <w:r w:rsidR="00357EC8">
        <w:t xml:space="preserve">based </w:t>
      </w:r>
      <w:r w:rsidR="000C21A7">
        <w:t xml:space="preserve">economic or income </w:t>
      </w:r>
      <w:r w:rsidR="00242B21">
        <w:t xml:space="preserve">growth, </w:t>
      </w:r>
      <w:r w:rsidRPr="00DD1F2D">
        <w:t>absolute poverty fall</w:t>
      </w:r>
      <w:r w:rsidR="000C21A7">
        <w:t>s</w:t>
      </w:r>
      <w:r w:rsidRPr="00DD1F2D">
        <w:t>, but the same is not necessarily true for relative measures</w:t>
      </w:r>
      <w:r w:rsidR="004114ED" w:rsidRPr="00DD1F2D">
        <w:t xml:space="preserve"> of poverty</w:t>
      </w:r>
      <w:r w:rsidRPr="00DD1F2D">
        <w:t xml:space="preserve">. </w:t>
      </w:r>
    </w:p>
    <w:p w:rsidR="00FA7BC5" w:rsidRDefault="00FA7BC5" w:rsidP="00E50969">
      <w:pPr>
        <w:pStyle w:val="BodyText"/>
      </w:pPr>
      <w:r>
        <w:t xml:space="preserve">Absolute poverty measures provide an indication of the change in the proportion of Australians that would fall below a poverty line that has its real value held constant over time </w:t>
      </w:r>
      <w:r w:rsidR="00972745">
        <w:t xml:space="preserve">— </w:t>
      </w:r>
      <w:r>
        <w:t>rather than having it adjusted for changes in average living standards — as is the case for relative income poverty estimates.</w:t>
      </w:r>
    </w:p>
    <w:p w:rsidR="00694843" w:rsidRDefault="006E6A30" w:rsidP="00E50969">
      <w:pPr>
        <w:pStyle w:val="BodyText"/>
      </w:pPr>
      <w:r>
        <w:t>T</w:t>
      </w:r>
      <w:r w:rsidRPr="00161D7D">
        <w:t>he Melbourne Institute</w:t>
      </w:r>
      <w:r w:rsidR="000C21A7">
        <w:t xml:space="preserve"> </w:t>
      </w:r>
      <w:r w:rsidR="007F10AA">
        <w:t>of Ap</w:t>
      </w:r>
      <w:r w:rsidR="00597480">
        <w:t>p</w:t>
      </w:r>
      <w:r w:rsidR="007F10AA">
        <w:t xml:space="preserve">lied Economic and </w:t>
      </w:r>
      <w:r w:rsidR="00597480">
        <w:t xml:space="preserve">Social Research (Melbourne Institute) </w:t>
      </w:r>
      <w:r w:rsidR="00FA7BC5">
        <w:t xml:space="preserve">estimated </w:t>
      </w:r>
      <w:r w:rsidR="00B91B0A">
        <w:t xml:space="preserve">that </w:t>
      </w:r>
      <w:r w:rsidR="004E3038">
        <w:t xml:space="preserve">the share of Australians whose </w:t>
      </w:r>
      <w:r w:rsidR="00694843">
        <w:t xml:space="preserve">household </w:t>
      </w:r>
      <w:r w:rsidR="004E3038">
        <w:t>income f</w:t>
      </w:r>
      <w:r w:rsidR="0086054E">
        <w:t>e</w:t>
      </w:r>
      <w:r w:rsidR="006105EB">
        <w:t xml:space="preserve">ll </w:t>
      </w:r>
      <w:r w:rsidR="004E3038">
        <w:t>below an absolute</w:t>
      </w:r>
      <w:r w:rsidR="004A29A8" w:rsidRPr="004E3038">
        <w:t xml:space="preserve"> </w:t>
      </w:r>
      <w:r w:rsidR="004E3038">
        <w:t xml:space="preserve">real </w:t>
      </w:r>
      <w:r w:rsidR="00323661" w:rsidRPr="004E3038">
        <w:t xml:space="preserve">income poverty </w:t>
      </w:r>
      <w:r w:rsidR="004E3038">
        <w:t xml:space="preserve">threshold </w:t>
      </w:r>
      <w:r w:rsidR="000C21A7">
        <w:t>(</w:t>
      </w:r>
      <w:r w:rsidR="00972745">
        <w:t xml:space="preserve">held constant </w:t>
      </w:r>
      <w:r w:rsidR="000C21A7">
        <w:t xml:space="preserve">at </w:t>
      </w:r>
      <w:r w:rsidR="006105EB">
        <w:t xml:space="preserve">the </w:t>
      </w:r>
      <w:r w:rsidR="000C21A7">
        <w:t xml:space="preserve">2001 level of </w:t>
      </w:r>
      <w:r w:rsidR="004A29A8" w:rsidRPr="004E3038">
        <w:t>$15 </w:t>
      </w:r>
      <w:r w:rsidR="00972745">
        <w:t>559</w:t>
      </w:r>
      <w:r w:rsidR="000C21A7">
        <w:t xml:space="preserve">) more than halved </w:t>
      </w:r>
      <w:r w:rsidR="00FA7BC5">
        <w:t>between</w:t>
      </w:r>
      <w:r w:rsidR="000C21A7">
        <w:t xml:space="preserve"> 2001 </w:t>
      </w:r>
      <w:r w:rsidR="00FA7BC5">
        <w:t xml:space="preserve">and </w:t>
      </w:r>
      <w:r w:rsidR="00972745">
        <w:t xml:space="preserve">2010 </w:t>
      </w:r>
      <w:r w:rsidR="000C21A7">
        <w:t xml:space="preserve">— </w:t>
      </w:r>
      <w:r w:rsidR="004A29A8" w:rsidRPr="004E3038">
        <w:t xml:space="preserve">from </w:t>
      </w:r>
      <w:r>
        <w:t xml:space="preserve">just over </w:t>
      </w:r>
      <w:r w:rsidR="004A29A8" w:rsidRPr="004E3038">
        <w:t xml:space="preserve">13 per cent </w:t>
      </w:r>
      <w:r w:rsidR="000C21A7">
        <w:t xml:space="preserve">to </w:t>
      </w:r>
      <w:r w:rsidR="00972745">
        <w:t xml:space="preserve">just under </w:t>
      </w:r>
      <w:r w:rsidR="004A29A8" w:rsidRPr="004E3038">
        <w:t>6 per cent</w:t>
      </w:r>
      <w:r w:rsidR="006105EB">
        <w:t xml:space="preserve"> (figure </w:t>
      </w:r>
      <w:r w:rsidR="00833BF4">
        <w:t>3.1</w:t>
      </w:r>
      <w:r w:rsidR="00A6288B">
        <w:t>)</w:t>
      </w:r>
      <w:r w:rsidR="000C21A7">
        <w:t>.</w:t>
      </w:r>
      <w:r w:rsidR="00B27458">
        <w:rPr>
          <w:rStyle w:val="FootnoteReference"/>
        </w:rPr>
        <w:footnoteReference w:id="7"/>
      </w:r>
      <w:r w:rsidR="008A255D">
        <w:t xml:space="preserve"> </w:t>
      </w:r>
      <w:r w:rsidR="0065172B">
        <w:t xml:space="preserve">The data </w:t>
      </w:r>
      <w:r w:rsidR="00E074C6">
        <w:t xml:space="preserve">also </w:t>
      </w:r>
      <w:r w:rsidR="0065172B">
        <w:t>show a slowing in the rate of decrease in the absolute poverty rate after 2006.</w:t>
      </w:r>
    </w:p>
    <w:p w:rsidR="00E50969" w:rsidRDefault="00B91B0A" w:rsidP="00E50969">
      <w:pPr>
        <w:pStyle w:val="BodyText"/>
      </w:pPr>
      <w:r>
        <w:lastRenderedPageBreak/>
        <w:t>In contrast, s</w:t>
      </w:r>
      <w:r w:rsidR="006105EB">
        <w:t xml:space="preserve">ustained economic growth </w:t>
      </w:r>
      <w:r w:rsidR="0065172B">
        <w:t>between 2001 and 2010</w:t>
      </w:r>
      <w:r w:rsidR="006105EB">
        <w:t xml:space="preserve"> did not have much impact on the estimated </w:t>
      </w:r>
      <w:r w:rsidR="004A29A8">
        <w:t xml:space="preserve">proportion of Australians in relative income poverty </w:t>
      </w:r>
      <w:r w:rsidR="0065172B">
        <w:t xml:space="preserve">— </w:t>
      </w:r>
      <w:r w:rsidR="007535F6">
        <w:t>despite growth in real incomes for those at the bottom of the income distribution</w:t>
      </w:r>
      <w:r>
        <w:t xml:space="preserve"> (Greenville, Pobke and Rogers 2013)</w:t>
      </w:r>
      <w:r w:rsidR="007535F6">
        <w:t xml:space="preserve">. The relative income poverty rate </w:t>
      </w:r>
      <w:r w:rsidR="00E80833">
        <w:t xml:space="preserve">in Australia </w:t>
      </w:r>
      <w:r w:rsidR="006105EB">
        <w:t xml:space="preserve">remained </w:t>
      </w:r>
      <w:r w:rsidR="004A29A8">
        <w:t xml:space="preserve">within </w:t>
      </w:r>
      <w:r w:rsidR="0065172B">
        <w:t xml:space="preserve">a </w:t>
      </w:r>
      <w:r w:rsidR="004A29A8">
        <w:t>range of 12 to 14 per cent</w:t>
      </w:r>
      <w:r w:rsidR="004A29A8" w:rsidRPr="00822C1E">
        <w:t xml:space="preserve"> </w:t>
      </w:r>
      <w:r w:rsidR="00940908">
        <w:t>(figure </w:t>
      </w:r>
      <w:r w:rsidR="00833BF4">
        <w:t>3.1</w:t>
      </w:r>
      <w:r w:rsidR="00A6288B">
        <w:t>)</w:t>
      </w:r>
      <w:r w:rsidR="00940908">
        <w:t>.</w:t>
      </w:r>
      <w:r w:rsidR="006105EB">
        <w:t xml:space="preserve"> </w:t>
      </w:r>
    </w:p>
    <w:p w:rsidR="0027126A" w:rsidRDefault="004147D2" w:rsidP="0027126A">
      <w:pPr>
        <w:pStyle w:val="FigureTitle"/>
      </w:pPr>
      <w:r>
        <w:rPr>
          <w:b w:val="0"/>
        </w:rPr>
        <w:t xml:space="preserve">Figure </w:t>
      </w:r>
      <w:bookmarkStart w:id="5" w:name="OLE_LINK4"/>
      <w:r w:rsidR="00833BF4">
        <w:rPr>
          <w:b w:val="0"/>
        </w:rPr>
        <w:t>3.</w:t>
      </w:r>
      <w:r w:rsidR="0069448C">
        <w:rPr>
          <w:b w:val="0"/>
          <w:noProof/>
        </w:rPr>
        <w:t>1</w:t>
      </w:r>
      <w:bookmarkEnd w:id="5"/>
      <w:r w:rsidR="0027126A">
        <w:tab/>
        <w:t xml:space="preserve">Trends in </w:t>
      </w:r>
      <w:r w:rsidR="00D22E43">
        <w:t xml:space="preserve">the proportion of </w:t>
      </w:r>
      <w:r w:rsidR="0027126A">
        <w:t xml:space="preserve">Australians </w:t>
      </w:r>
      <w:r w:rsidR="007535F6">
        <w:t xml:space="preserve">experiencing </w:t>
      </w:r>
      <w:r w:rsidR="0027126A">
        <w:t>relative and absolute income poverty</w:t>
      </w:r>
      <w:r w:rsidR="0027126A" w:rsidRPr="009C3C98">
        <w:rPr>
          <w:rStyle w:val="NoteLabel"/>
          <w:b/>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C163B8" w:rsidTr="00F216A4">
        <w:tc>
          <w:tcPr>
            <w:tcW w:w="8777" w:type="dxa"/>
          </w:tcPr>
          <w:p w:rsidR="00C163B8" w:rsidRDefault="00267F46" w:rsidP="00895832">
            <w:pPr>
              <w:pStyle w:val="Figure"/>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hows the relative income poverty rate in Australia remained within a range of 12 to 14 per cent" style="width:424.5pt;height:225.75pt">
                  <v:imagedata r:id="rId9" o:title=""/>
                </v:shape>
              </w:pict>
            </w:r>
          </w:p>
        </w:tc>
      </w:tr>
    </w:tbl>
    <w:p w:rsidR="0027126A" w:rsidRDefault="0027126A" w:rsidP="0027126A">
      <w:pPr>
        <w:pStyle w:val="Source"/>
      </w:pPr>
      <w:r>
        <w:rPr>
          <w:rStyle w:val="NoteLabel"/>
        </w:rPr>
        <w:t xml:space="preserve">a </w:t>
      </w:r>
      <w:r>
        <w:t xml:space="preserve">Relative poverty refers to the proportion of </w:t>
      </w:r>
      <w:r w:rsidR="00C96DE6">
        <w:t>all</w:t>
      </w:r>
      <w:r>
        <w:t xml:space="preserve"> </w:t>
      </w:r>
      <w:r w:rsidR="00BB1F5B">
        <w:t>Australian</w:t>
      </w:r>
      <w:r w:rsidR="00C96DE6">
        <w:t xml:space="preserve">s </w:t>
      </w:r>
      <w:r>
        <w:t xml:space="preserve">having household income below 50 per cent of median household equivalised income. Absolute poverty is calculated by keeping the real value of median household income at </w:t>
      </w:r>
      <w:r w:rsidR="00B14C62">
        <w:t xml:space="preserve">the 2001 poverty threshold of </w:t>
      </w:r>
      <w:r>
        <w:t>$15</w:t>
      </w:r>
      <w:r w:rsidR="00326CF2">
        <w:t> </w:t>
      </w:r>
      <w:r w:rsidR="00972745">
        <w:t>559</w:t>
      </w:r>
      <w:r w:rsidR="00326CF2">
        <w:t>,</w:t>
      </w:r>
      <w:r>
        <w:t xml:space="preserve"> using December </w:t>
      </w:r>
      <w:r w:rsidR="00972745">
        <w:t xml:space="preserve">2010 </w:t>
      </w:r>
      <w:r>
        <w:t>prices</w:t>
      </w:r>
      <w:r w:rsidR="008F0EEC">
        <w:t>.</w:t>
      </w:r>
      <w:r w:rsidR="00E938FA">
        <w:t xml:space="preserve"> </w:t>
      </w:r>
      <w:r w:rsidR="00B27458">
        <w:t xml:space="preserve">The </w:t>
      </w:r>
      <w:r w:rsidR="00C163B8">
        <w:t>threshold</w:t>
      </w:r>
      <w:r w:rsidR="00B27458">
        <w:t xml:space="preserve"> can be interpreted as the annual income after taxes and government benefits that a single person household would require to avoid relative income poverty.</w:t>
      </w:r>
      <w:r w:rsidR="00193018">
        <w:t xml:space="preserve"> The poverty rates refer to the proportion of persons (not households) living in poverty.</w:t>
      </w:r>
    </w:p>
    <w:p w:rsidR="0027126A" w:rsidRDefault="0027126A" w:rsidP="0027126A">
      <w:pPr>
        <w:pStyle w:val="Source"/>
      </w:pPr>
      <w:r w:rsidRPr="00DC2E3D">
        <w:rPr>
          <w:i/>
        </w:rPr>
        <w:t>Source:</w:t>
      </w:r>
      <w:r>
        <w:t xml:space="preserve"> Melbourne Institute</w:t>
      </w:r>
      <w:r w:rsidR="00326CF2">
        <w:t xml:space="preserve"> (</w:t>
      </w:r>
      <w:r w:rsidR="00972745">
        <w:t>2013</w:t>
      </w:r>
      <w:r w:rsidR="00326CF2">
        <w:t>)</w:t>
      </w:r>
      <w:r>
        <w:t>.</w:t>
      </w:r>
    </w:p>
    <w:p w:rsidR="00693D63" w:rsidRDefault="00693D63" w:rsidP="00213132">
      <w:pPr>
        <w:pStyle w:val="BodyText"/>
      </w:pPr>
      <w:r>
        <w:t xml:space="preserve">This can be explained by the finding that median real incomes grew at a slightly faster rate than the real incomes of those in the bottom </w:t>
      </w:r>
      <w:r w:rsidR="003A73AE">
        <w:t>decile (or bottom 1</w:t>
      </w:r>
      <w:r>
        <w:t>0</w:t>
      </w:r>
      <w:r w:rsidR="00C6793A">
        <w:t> </w:t>
      </w:r>
      <w:r>
        <w:t>per</w:t>
      </w:r>
      <w:r w:rsidR="00C6793A">
        <w:t> </w:t>
      </w:r>
      <w:r>
        <w:t xml:space="preserve">cent of the income distribution) over the period from 2001 to 2010. </w:t>
      </w:r>
    </w:p>
    <w:p w:rsidR="00213132" w:rsidRPr="00213132" w:rsidRDefault="006105EB" w:rsidP="00213132">
      <w:pPr>
        <w:pStyle w:val="BodyText"/>
      </w:pPr>
      <w:r>
        <w:t xml:space="preserve">The </w:t>
      </w:r>
      <w:r w:rsidR="00213132">
        <w:t>OECD</w:t>
      </w:r>
      <w:r>
        <w:t>’s</w:t>
      </w:r>
      <w:r w:rsidR="00213132">
        <w:t xml:space="preserve"> estimate of relative income poverty </w:t>
      </w:r>
      <w:r w:rsidR="00871905">
        <w:t xml:space="preserve">in Australia </w:t>
      </w:r>
      <w:r w:rsidR="001F6F92">
        <w:t xml:space="preserve">similarly </w:t>
      </w:r>
      <w:r w:rsidR="00213132">
        <w:t>mask</w:t>
      </w:r>
      <w:r w:rsidR="00871905">
        <w:t>s</w:t>
      </w:r>
      <w:r w:rsidR="00213132">
        <w:t xml:space="preserve"> </w:t>
      </w:r>
      <w:r w:rsidR="001F6F92">
        <w:t xml:space="preserve">relatively strong </w:t>
      </w:r>
      <w:r w:rsidR="00871905">
        <w:t xml:space="preserve">growth </w:t>
      </w:r>
      <w:r w:rsidR="00213132">
        <w:t>in real income</w:t>
      </w:r>
      <w:r w:rsidR="007F12E1">
        <w:t>s</w:t>
      </w:r>
      <w:r w:rsidR="00213132">
        <w:t xml:space="preserve"> of poorer households in Australia</w:t>
      </w:r>
      <w:r w:rsidR="002353E8">
        <w:t xml:space="preserve"> — i</w:t>
      </w:r>
      <w:r w:rsidR="001F6F92">
        <w:t xml:space="preserve">n this case </w:t>
      </w:r>
      <w:r w:rsidR="00871905">
        <w:t>relative</w:t>
      </w:r>
      <w:r w:rsidR="00213132">
        <w:t xml:space="preserve"> to </w:t>
      </w:r>
      <w:r w:rsidR="00871905">
        <w:t xml:space="preserve">poorer households in </w:t>
      </w:r>
      <w:r w:rsidR="00213132">
        <w:t xml:space="preserve">other OECD countries. </w:t>
      </w:r>
      <w:r>
        <w:t>R</w:t>
      </w:r>
      <w:r w:rsidR="00213132">
        <w:t>eal household income for the bottom decile of Australia</w:t>
      </w:r>
      <w:r>
        <w:t>n households</w:t>
      </w:r>
      <w:r w:rsidR="00213132">
        <w:t xml:space="preserve"> grew by </w:t>
      </w:r>
      <w:r w:rsidR="00262CFA">
        <w:t>an annual average of 3</w:t>
      </w:r>
      <w:r w:rsidR="00C6793A">
        <w:t> </w:t>
      </w:r>
      <w:r w:rsidR="00262CFA">
        <w:t>per</w:t>
      </w:r>
      <w:r w:rsidR="00C6793A">
        <w:t> </w:t>
      </w:r>
      <w:r w:rsidR="00262CFA">
        <w:t>cent between the mid</w:t>
      </w:r>
      <w:r w:rsidR="000771FE">
        <w:noBreakHyphen/>
      </w:r>
      <w:r w:rsidR="00262CFA">
        <w:t>1980s and the late 2000s</w:t>
      </w:r>
      <w:r w:rsidR="00D45A23">
        <w:t xml:space="preserve">. This is </w:t>
      </w:r>
      <w:r w:rsidR="000771FE">
        <w:t xml:space="preserve">more than </w:t>
      </w:r>
      <w:r w:rsidR="00213132">
        <w:t xml:space="preserve">twice the </w:t>
      </w:r>
      <w:r w:rsidR="00D45A23">
        <w:t xml:space="preserve">growth </w:t>
      </w:r>
      <w:r w:rsidR="00213132">
        <w:t xml:space="preserve">rate for the bottom decile </w:t>
      </w:r>
      <w:r w:rsidR="00D45A23">
        <w:t xml:space="preserve">of the OECD average </w:t>
      </w:r>
      <w:r w:rsidR="00213132">
        <w:t>(1.3 per cent</w:t>
      </w:r>
      <w:r w:rsidR="00262CFA">
        <w:t xml:space="preserve"> per annum)</w:t>
      </w:r>
      <w:r w:rsidR="000771FE">
        <w:t>,</w:t>
      </w:r>
      <w:r w:rsidR="00213132">
        <w:t xml:space="preserve"> </w:t>
      </w:r>
      <w:r w:rsidR="00213132">
        <w:lastRenderedPageBreak/>
        <w:t xml:space="preserve">and six times the </w:t>
      </w:r>
      <w:r w:rsidR="00D45A23">
        <w:t xml:space="preserve">growth </w:t>
      </w:r>
      <w:r w:rsidR="00213132">
        <w:t xml:space="preserve">rate </w:t>
      </w:r>
      <w:r w:rsidR="00D45A23">
        <w:t xml:space="preserve">for the bottom decile in </w:t>
      </w:r>
      <w:r w:rsidR="00213132">
        <w:t>the United States (0.5 per cent</w:t>
      </w:r>
      <w:r w:rsidR="00262CFA">
        <w:t xml:space="preserve"> per annum</w:t>
      </w:r>
      <w:r w:rsidR="00213132">
        <w:t>) (OECD 2011</w:t>
      </w:r>
      <w:r w:rsidR="006F52ED">
        <w:t>c</w:t>
      </w:r>
      <w:r w:rsidR="00213132">
        <w:t>).</w:t>
      </w:r>
      <w:r w:rsidR="000124C7">
        <w:rPr>
          <w:rStyle w:val="FootnoteReference"/>
        </w:rPr>
        <w:footnoteReference w:id="8"/>
      </w:r>
    </w:p>
    <w:p w:rsidR="002862E4" w:rsidRDefault="004114ED" w:rsidP="002862E4">
      <w:pPr>
        <w:pStyle w:val="Heading4"/>
      </w:pPr>
      <w:r>
        <w:t>Taking account of the severity of poverty — p</w:t>
      </w:r>
      <w:r w:rsidR="002862E4">
        <w:t>overty gaps</w:t>
      </w:r>
    </w:p>
    <w:p w:rsidR="002862E4" w:rsidRDefault="002862E4" w:rsidP="002862E4">
      <w:pPr>
        <w:pStyle w:val="BodyText"/>
      </w:pPr>
      <w:r>
        <w:t>One way to assess the severity of poverty is to estimate the extent of the ‘poverty gap’</w:t>
      </w:r>
      <w:r w:rsidR="00961414">
        <w:t>.</w:t>
      </w:r>
      <w:r w:rsidR="00961414" w:rsidRPr="00233A96">
        <w:rPr>
          <w:rStyle w:val="FootnoteReference"/>
        </w:rPr>
        <w:footnoteReference w:id="9"/>
      </w:r>
      <w:r w:rsidR="00326CF2">
        <w:t xml:space="preserve"> </w:t>
      </w:r>
      <w:r w:rsidR="006D1F68">
        <w:rPr>
          <w:lang w:val="en"/>
        </w:rPr>
        <w:t>Poverty gaps estimate the depth of poverty by considering how far, on average, the poor are from the poverty line.</w:t>
      </w:r>
    </w:p>
    <w:p w:rsidR="002862E4" w:rsidRDefault="002862E4" w:rsidP="00523102">
      <w:pPr>
        <w:pStyle w:val="BodyText"/>
      </w:pPr>
      <w:r>
        <w:t>The poverty gap in Australia is relatively low by international standards. A</w:t>
      </w:r>
      <w:r w:rsidR="00326CF2">
        <w:t xml:space="preserve">ustralia’s poverty gap of </w:t>
      </w:r>
      <w:r w:rsidR="006D1F68">
        <w:t xml:space="preserve">around </w:t>
      </w:r>
      <w:r>
        <w:t>2</w:t>
      </w:r>
      <w:r w:rsidR="006D1F68">
        <w:t>4</w:t>
      </w:r>
      <w:r>
        <w:t> per cent in the mid</w:t>
      </w:r>
      <w:r>
        <w:noBreakHyphen/>
        <w:t xml:space="preserve">2000s was less than the OECD average of </w:t>
      </w:r>
      <w:r w:rsidR="006D1F68">
        <w:t xml:space="preserve">just under </w:t>
      </w:r>
      <w:r>
        <w:t>2</w:t>
      </w:r>
      <w:r w:rsidR="006D1F68">
        <w:t>9</w:t>
      </w:r>
      <w:r>
        <w:t xml:space="preserve"> per cent and </w:t>
      </w:r>
      <w:r w:rsidR="00AC53B0">
        <w:t xml:space="preserve">much less than </w:t>
      </w:r>
      <w:r>
        <w:t xml:space="preserve">the gap recorded by the United States of </w:t>
      </w:r>
      <w:r w:rsidR="00457F82">
        <w:t xml:space="preserve">over </w:t>
      </w:r>
      <w:r>
        <w:t xml:space="preserve">38 per cent (OECD 2008). The inference is that while Australia </w:t>
      </w:r>
      <w:r w:rsidR="00CF16CA">
        <w:t xml:space="preserve">records </w:t>
      </w:r>
      <w:r>
        <w:t xml:space="preserve">a slightly higher share of the population living in relative income poverty </w:t>
      </w:r>
      <w:r w:rsidR="00CF16CA">
        <w:t xml:space="preserve"> (</w:t>
      </w:r>
      <w:r>
        <w:t>compared to many other OECD countries</w:t>
      </w:r>
      <w:r w:rsidR="00CF16CA">
        <w:t>)</w:t>
      </w:r>
      <w:r>
        <w:t>, the depth of poverty is (on average) l</w:t>
      </w:r>
      <w:r w:rsidR="00F93558">
        <w:t>ower</w:t>
      </w:r>
      <w:r>
        <w:t>.</w:t>
      </w:r>
    </w:p>
    <w:p w:rsidR="00523102" w:rsidRDefault="00523102" w:rsidP="00523102">
      <w:pPr>
        <w:pStyle w:val="BodyText"/>
      </w:pPr>
      <w:r>
        <w:t>The poverty gap in Australia also appears to be narrowing</w:t>
      </w:r>
      <w:r w:rsidR="000D61F5">
        <w:t>, albeit slightly</w:t>
      </w:r>
      <w:r>
        <w:t>. Commission estimates (using the 50</w:t>
      </w:r>
      <w:r w:rsidR="00385073">
        <w:t> </w:t>
      </w:r>
      <w:r>
        <w:t>per</w:t>
      </w:r>
      <w:r w:rsidR="00385073">
        <w:t> </w:t>
      </w:r>
      <w:r>
        <w:t xml:space="preserve">cent of median household income threshold) show the </w:t>
      </w:r>
      <w:r w:rsidR="000D61F5">
        <w:t xml:space="preserve">Australian </w:t>
      </w:r>
      <w:r>
        <w:t>poverty gap at 2</w:t>
      </w:r>
      <w:r w:rsidR="000D61F5">
        <w:t>6</w:t>
      </w:r>
      <w:r>
        <w:t> per cent in 2009</w:t>
      </w:r>
      <w:r w:rsidR="003B64A8">
        <w:noBreakHyphen/>
        <w:t>10</w:t>
      </w:r>
      <w:r>
        <w:t xml:space="preserve"> compared to a gap of 27 per cent in 2003</w:t>
      </w:r>
      <w:r w:rsidR="003B64A8">
        <w:noBreakHyphen/>
        <w:t>04</w:t>
      </w:r>
      <w:r>
        <w:t xml:space="preserve"> and 30 per cent in 1988</w:t>
      </w:r>
      <w:r w:rsidR="003B64A8">
        <w:noBreakHyphen/>
        <w:t>89</w:t>
      </w:r>
      <w:r w:rsidR="000E242A">
        <w:t>.</w:t>
      </w:r>
      <w:r w:rsidR="000D61F5">
        <w:t xml:space="preserve"> Allowing for imputed rent in 2009</w:t>
      </w:r>
      <w:r w:rsidR="003B64A8">
        <w:noBreakHyphen/>
        <w:t>10</w:t>
      </w:r>
      <w:r w:rsidR="000D61F5">
        <w:t xml:space="preserve"> lowers the poverty gap further to 22 per cent. </w:t>
      </w:r>
      <w:r w:rsidR="00B4552A" w:rsidRPr="00233A96">
        <w:rPr>
          <w:rStyle w:val="FootnoteReference"/>
        </w:rPr>
        <w:footnoteReference w:id="10"/>
      </w:r>
      <w:r w:rsidR="00E95EF5">
        <w:t xml:space="preserve"> </w:t>
      </w:r>
    </w:p>
    <w:p w:rsidR="00450FA3" w:rsidRDefault="00EF4BDC" w:rsidP="00450FA3">
      <w:pPr>
        <w:pStyle w:val="Heading3"/>
      </w:pPr>
      <w:r>
        <w:t xml:space="preserve">Evidence of </w:t>
      </w:r>
      <w:r w:rsidR="00441830">
        <w:t xml:space="preserve">persistent </w:t>
      </w:r>
      <w:r w:rsidR="00D94600">
        <w:t xml:space="preserve">and recurring </w:t>
      </w:r>
      <w:r w:rsidR="00F85FB5">
        <w:t xml:space="preserve">relative </w:t>
      </w:r>
      <w:r w:rsidR="00450FA3">
        <w:t>income poverty</w:t>
      </w:r>
    </w:p>
    <w:p w:rsidR="009B0460" w:rsidRDefault="00F85FB5" w:rsidP="009B0460">
      <w:pPr>
        <w:pStyle w:val="BodyText"/>
      </w:pPr>
      <w:r>
        <w:t>Experience of relative i</w:t>
      </w:r>
      <w:r w:rsidR="00441830">
        <w:t>ncome poverty</w:t>
      </w:r>
      <w:r w:rsidR="009C2DD0">
        <w:t xml:space="preserve"> is a far more dynamic phenomenon than point</w:t>
      </w:r>
      <w:r w:rsidR="00E947B0">
        <w:noBreakHyphen/>
      </w:r>
      <w:r w:rsidR="009C2DD0">
        <w:t>in</w:t>
      </w:r>
      <w:r w:rsidR="00E947B0">
        <w:noBreakHyphen/>
      </w:r>
      <w:r w:rsidR="009C2DD0">
        <w:t xml:space="preserve">time estimates reveal. </w:t>
      </w:r>
      <w:r w:rsidR="009B0460" w:rsidRPr="00D91BEB">
        <w:t>Th</w:t>
      </w:r>
      <w:r w:rsidR="00444135">
        <w:t xml:space="preserve">is is </w:t>
      </w:r>
      <w:r w:rsidR="009B0460" w:rsidRPr="00D91BEB">
        <w:t xml:space="preserve">illustrated by the finding that between 5 and 6 per cent of </w:t>
      </w:r>
      <w:r w:rsidR="00444135">
        <w:t xml:space="preserve">Australians </w:t>
      </w:r>
      <w:r w:rsidR="009B0460" w:rsidRPr="00D91BEB">
        <w:t xml:space="preserve">enter income poverty in any given year, and </w:t>
      </w:r>
      <w:r w:rsidR="00A6767A">
        <w:t>a similar</w:t>
      </w:r>
      <w:r w:rsidR="009B0460" w:rsidRPr="00D91BEB">
        <w:t xml:space="preserve"> proportion exit (</w:t>
      </w:r>
      <w:r w:rsidR="00472B41">
        <w:t>table 3.2</w:t>
      </w:r>
      <w:r w:rsidR="009B0460" w:rsidRPr="00D91BEB">
        <w:t>).</w:t>
      </w:r>
      <w:r w:rsidR="009B0460">
        <w:t xml:space="preserve"> </w:t>
      </w:r>
    </w:p>
    <w:p w:rsidR="00184421" w:rsidRDefault="00303AEA" w:rsidP="00184421">
      <w:pPr>
        <w:pStyle w:val="BodyText"/>
      </w:pPr>
      <w:r>
        <w:t xml:space="preserve">For many Australians, the period </w:t>
      </w:r>
      <w:r w:rsidR="00262CFA">
        <w:t xml:space="preserve">spent </w:t>
      </w:r>
      <w:r>
        <w:t xml:space="preserve">in relative income poverty remains relatively short. Others experience recurring poverty — falling in and out of poverty over successive years. And, for a much smaller group of highly disadvantaged </w:t>
      </w:r>
      <w:r>
        <w:lastRenderedPageBreak/>
        <w:t>Australians, the experience of poverty is ongoing</w:t>
      </w:r>
      <w:r w:rsidR="00357EC8">
        <w:t>.</w:t>
      </w:r>
      <w:r w:rsidR="00184421" w:rsidRPr="00184421">
        <w:t xml:space="preserve"> </w:t>
      </w:r>
      <w:r w:rsidR="00184421">
        <w:t xml:space="preserve">As discussed in chapter 2, </w:t>
      </w:r>
      <w:r w:rsidR="00262CFA">
        <w:t xml:space="preserve">the availability of </w:t>
      </w:r>
      <w:r w:rsidR="00184421">
        <w:t xml:space="preserve">longitudinal data is crucial </w:t>
      </w:r>
      <w:r w:rsidR="00262CFA">
        <w:t xml:space="preserve">in </w:t>
      </w:r>
      <w:r w:rsidR="00184421">
        <w:t xml:space="preserve">helping shed light on the extent of persistent disadvantage in Australia. Box </w:t>
      </w:r>
      <w:r w:rsidR="00833BF4">
        <w:t>3.1</w:t>
      </w:r>
      <w:r w:rsidR="00184421">
        <w:t xml:space="preserve"> provides a summary of the main Australian longitudinal data sets</w:t>
      </w:r>
      <w:r w:rsidR="00611738">
        <w:t xml:space="preserve"> used to inform the extent of disadvantage</w:t>
      </w:r>
      <w:r w:rsidR="00184421">
        <w:t xml:space="preserve">. </w:t>
      </w:r>
    </w:p>
    <w:p w:rsidR="007206CF" w:rsidRDefault="007206CF" w:rsidP="007206CF">
      <w:pPr>
        <w:pStyle w:val="BodyText"/>
      </w:pPr>
      <w:r>
        <w:t>While this chapter mainly draws on HILDA data, the following chapter draws on the results of many of the other longitudinal studies to help in explaining factors which contribute to disadvantage.</w:t>
      </w:r>
    </w:p>
    <w:p w:rsidR="00871905" w:rsidRDefault="00871905" w:rsidP="00871905">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871905" w:rsidTr="00871905">
        <w:tc>
          <w:tcPr>
            <w:tcW w:w="8771" w:type="dxa"/>
            <w:tcBorders>
              <w:top w:val="single" w:sz="6" w:space="0" w:color="auto"/>
              <w:bottom w:val="nil"/>
            </w:tcBorders>
          </w:tcPr>
          <w:p w:rsidR="00871905" w:rsidRDefault="00871905" w:rsidP="00871905">
            <w:pPr>
              <w:pStyle w:val="BoxTitle"/>
            </w:pPr>
            <w:r>
              <w:rPr>
                <w:b w:val="0"/>
              </w:rPr>
              <w:t>Box 3.</w:t>
            </w:r>
            <w:r w:rsidR="0069448C">
              <w:rPr>
                <w:b w:val="0"/>
                <w:noProof/>
              </w:rPr>
              <w:t>1</w:t>
            </w:r>
            <w:r>
              <w:tab/>
              <w:t>The main publicly available data sets used to measure persistent disadvantage</w:t>
            </w:r>
          </w:p>
        </w:tc>
      </w:tr>
      <w:tr w:rsidR="00871905" w:rsidTr="00871905">
        <w:trPr>
          <w:cantSplit/>
        </w:trPr>
        <w:tc>
          <w:tcPr>
            <w:tcW w:w="8771" w:type="dxa"/>
            <w:tcBorders>
              <w:top w:val="nil"/>
              <w:left w:val="single" w:sz="6" w:space="0" w:color="auto"/>
              <w:bottom w:val="nil"/>
              <w:right w:val="single" w:sz="6" w:space="0" w:color="auto"/>
            </w:tcBorders>
          </w:tcPr>
          <w:p w:rsidR="00871905" w:rsidRDefault="00871905" w:rsidP="00871905">
            <w:pPr>
              <w:pStyle w:val="Box"/>
            </w:pPr>
            <w:r>
              <w:t>A number of longitudinal data sets are available that provide insights on the persistence of disadvantage in Australia.</w:t>
            </w:r>
          </w:p>
          <w:p w:rsidR="00871905" w:rsidRDefault="00871905" w:rsidP="00871905">
            <w:pPr>
              <w:pStyle w:val="BoxListBullet"/>
            </w:pPr>
            <w:r w:rsidRPr="00155007">
              <w:rPr>
                <w:i/>
              </w:rPr>
              <w:t>Household Income and Labour Dynamics in Australia</w:t>
            </w:r>
            <w:r>
              <w:t xml:space="preserve"> </w:t>
            </w:r>
            <w:r w:rsidRPr="00DB47EC">
              <w:rPr>
                <w:i/>
              </w:rPr>
              <w:t xml:space="preserve">(HILDA) </w:t>
            </w:r>
            <w:r>
              <w:rPr>
                <w:i/>
              </w:rPr>
              <w:t xml:space="preserve">— </w:t>
            </w:r>
            <w:r>
              <w:t>conducted annually (since 2001) by the Melbourne Institute. The number of individuals interviewed has varied between 12 400 and 14 000 with an annual average of 13 000. The survey is funded by the Department of Families, Housing, Community Services and Indigenous Affairs (FaHCSIA).</w:t>
            </w:r>
          </w:p>
          <w:p w:rsidR="002024E2" w:rsidRDefault="002024E2" w:rsidP="00871905">
            <w:pPr>
              <w:pStyle w:val="BoxListBullet"/>
            </w:pPr>
            <w:r>
              <w:rPr>
                <w:i/>
              </w:rPr>
              <w:t xml:space="preserve">Longitudinal Study of Australian Children (LSAC) — </w:t>
            </w:r>
            <w:r>
              <w:t>5 000 children from each of two cohorts (aged zero to 12 months old and four to five years old in 2003-04), conducted every two years since 2004. This study is managed in partnership between FaHCSIA, Australian Institute of Family Studies (AIFS) and the ABS.</w:t>
            </w:r>
          </w:p>
          <w:p w:rsidR="00871905" w:rsidRPr="00153EAA" w:rsidRDefault="00871905" w:rsidP="00871905">
            <w:pPr>
              <w:pStyle w:val="BoxListBullet"/>
            </w:pPr>
            <w:r w:rsidRPr="00B445A1">
              <w:rPr>
                <w:i/>
              </w:rPr>
              <w:t xml:space="preserve">Footprints in Time: Longitudinal Study of Indigenous Children (LSIC) — </w:t>
            </w:r>
            <w:r w:rsidRPr="00361A6D">
              <w:t xml:space="preserve">two cohorts of Indigenous children aged from </w:t>
            </w:r>
            <w:r>
              <w:t>six</w:t>
            </w:r>
            <w:r w:rsidRPr="00361A6D">
              <w:t xml:space="preserve"> months to </w:t>
            </w:r>
            <w:r>
              <w:t>two</w:t>
            </w:r>
            <w:r w:rsidRPr="00361A6D">
              <w:t xml:space="preserve"> years</w:t>
            </w:r>
            <w:r>
              <w:t xml:space="preserve"> old,</w:t>
            </w:r>
            <w:r w:rsidRPr="00361A6D">
              <w:t xml:space="preserve"> and from </w:t>
            </w:r>
            <w:r>
              <w:t>three</w:t>
            </w:r>
            <w:r w:rsidRPr="00361A6D">
              <w:t xml:space="preserve"> years</w:t>
            </w:r>
            <w:r>
              <w:t xml:space="preserve"> and</w:t>
            </w:r>
            <w:r w:rsidRPr="00361A6D">
              <w:t xml:space="preserve"> </w:t>
            </w:r>
            <w:r>
              <w:t>six</w:t>
            </w:r>
            <w:r w:rsidRPr="00361A6D">
              <w:t xml:space="preserve"> months </w:t>
            </w:r>
            <w:r>
              <w:t xml:space="preserve">old </w:t>
            </w:r>
            <w:r w:rsidRPr="00361A6D">
              <w:t xml:space="preserve">to </w:t>
            </w:r>
            <w:r>
              <w:t>five</w:t>
            </w:r>
            <w:r w:rsidRPr="00361A6D">
              <w:t xml:space="preserve"> years</w:t>
            </w:r>
            <w:r>
              <w:t xml:space="preserve"> old</w:t>
            </w:r>
            <w:r w:rsidRPr="00361A6D">
              <w:t xml:space="preserve">. </w:t>
            </w:r>
            <w:r>
              <w:t>S</w:t>
            </w:r>
            <w:r w:rsidRPr="00361A6D">
              <w:t xml:space="preserve">tudy sample of </w:t>
            </w:r>
            <w:r>
              <w:t xml:space="preserve">around </w:t>
            </w:r>
            <w:r w:rsidRPr="00361A6D">
              <w:t>1</w:t>
            </w:r>
            <w:r>
              <w:t> 500</w:t>
            </w:r>
            <w:r w:rsidRPr="00361A6D">
              <w:t xml:space="preserve"> Indigenous children in 11 sites in different parts of Australia.</w:t>
            </w:r>
            <w:r>
              <w:t xml:space="preserve"> Conducted and funded by FaHCSIA under the guidance of the Footprints in Time Steering Committee.</w:t>
            </w:r>
          </w:p>
          <w:p w:rsidR="00871905" w:rsidRDefault="00871905" w:rsidP="00871905">
            <w:pPr>
              <w:pStyle w:val="BoxListBullet"/>
            </w:pPr>
            <w:r>
              <w:rPr>
                <w:i/>
              </w:rPr>
              <w:t>Longitudinal Survey</w:t>
            </w:r>
            <w:r w:rsidR="00310B14">
              <w:rPr>
                <w:i/>
              </w:rPr>
              <w:t>s</w:t>
            </w:r>
            <w:r>
              <w:rPr>
                <w:i/>
              </w:rPr>
              <w:t xml:space="preserve"> of Australian Youth (LSAY) </w:t>
            </w:r>
            <w:r w:rsidRPr="00361A6D">
              <w:t>—</w:t>
            </w:r>
            <w:r>
              <w:rPr>
                <w:i/>
              </w:rPr>
              <w:t xml:space="preserve"> </w:t>
            </w:r>
            <w:r>
              <w:t>10 000 young people aged 15 to 24 years. Conducted annually since 1995, managed by the National Centre for Vocational Education Research (NCVER) and funded by the Department of Education, Employment and Workplace Relations (DEEWR).</w:t>
            </w:r>
          </w:p>
          <w:p w:rsidR="00871905" w:rsidRDefault="00871905" w:rsidP="00871905">
            <w:pPr>
              <w:pStyle w:val="BoxListBullet"/>
            </w:pPr>
            <w:r w:rsidRPr="004D5451">
              <w:rPr>
                <w:i/>
              </w:rPr>
              <w:t>Journeys Home —</w:t>
            </w:r>
            <w:r w:rsidRPr="004D5451">
              <w:t xml:space="preserve"> sample of around 3 000 Centrelink clients flagged as </w:t>
            </w:r>
            <w:r>
              <w:t xml:space="preserve">either </w:t>
            </w:r>
            <w:r w:rsidRPr="004D5451">
              <w:t xml:space="preserve">‘homeless’ or ‘at risk of homelessness’. </w:t>
            </w:r>
            <w:r>
              <w:t>Managed</w:t>
            </w:r>
            <w:r w:rsidRPr="004D5451">
              <w:t xml:space="preserve"> by the Melbourne Institute and funded by FaHCSIA.</w:t>
            </w:r>
          </w:p>
          <w:p w:rsidR="00871905" w:rsidRDefault="00871905" w:rsidP="002024E2">
            <w:pPr>
              <w:pStyle w:val="BoxListBullet"/>
            </w:pPr>
            <w:r w:rsidRPr="00984DDA">
              <w:rPr>
                <w:i/>
              </w:rPr>
              <w:t>Building a new life in Australia:</w:t>
            </w:r>
            <w:r w:rsidRPr="00E80311">
              <w:rPr>
                <w:i/>
              </w:rPr>
              <w:t xml:space="preserve"> The Longitudinal Survey of Humanitarian Migrants</w:t>
            </w:r>
            <w:r>
              <w:t>. It is expected that around 1</w:t>
            </w:r>
            <w:r w:rsidR="00A6767A">
              <w:t> </w:t>
            </w:r>
            <w:r>
              <w:t>500 humanitarian migrant families will join the survey. The survey will be managed by the AIFS and is funded by the Department of Immigration and Citizenship. The survey will be conducted annually between 2013 and 2017-18.</w:t>
            </w:r>
          </w:p>
        </w:tc>
      </w:tr>
      <w:tr w:rsidR="00871905" w:rsidTr="00871905">
        <w:trPr>
          <w:cantSplit/>
        </w:trPr>
        <w:tc>
          <w:tcPr>
            <w:tcW w:w="8771" w:type="dxa"/>
            <w:tcBorders>
              <w:top w:val="nil"/>
              <w:left w:val="single" w:sz="6" w:space="0" w:color="auto"/>
              <w:bottom w:val="single" w:sz="6" w:space="0" w:color="auto"/>
              <w:right w:val="single" w:sz="6" w:space="0" w:color="auto"/>
            </w:tcBorders>
          </w:tcPr>
          <w:p w:rsidR="00871905" w:rsidRDefault="00871905" w:rsidP="00871905">
            <w:pPr>
              <w:pStyle w:val="Box"/>
              <w:spacing w:before="0" w:line="120" w:lineRule="exact"/>
            </w:pPr>
          </w:p>
        </w:tc>
      </w:tr>
      <w:tr w:rsidR="00871905" w:rsidRPr="000863A5" w:rsidTr="00871905">
        <w:tc>
          <w:tcPr>
            <w:tcW w:w="8771" w:type="dxa"/>
            <w:tcBorders>
              <w:top w:val="nil"/>
              <w:left w:val="nil"/>
              <w:bottom w:val="nil"/>
              <w:right w:val="nil"/>
            </w:tcBorders>
          </w:tcPr>
          <w:p w:rsidR="00871905" w:rsidRPr="00626D32" w:rsidRDefault="00871905" w:rsidP="00871905">
            <w:pPr>
              <w:pStyle w:val="BoxSpaceBelow"/>
            </w:pPr>
          </w:p>
        </w:tc>
      </w:tr>
    </w:tbl>
    <w:p w:rsidR="002024E2" w:rsidRDefault="002024E2" w:rsidP="002024E2">
      <w:pPr>
        <w:pStyle w:val="BodyText"/>
      </w:pPr>
      <w:r>
        <w:br w:type="page"/>
      </w:r>
    </w:p>
    <w:p w:rsidR="00444135" w:rsidRDefault="00933E64" w:rsidP="00457F82">
      <w:pPr>
        <w:pStyle w:val="BodyText"/>
      </w:pPr>
      <w:r>
        <w:lastRenderedPageBreak/>
        <w:t xml:space="preserve">A relatively large share of </w:t>
      </w:r>
      <w:r w:rsidR="00881F41">
        <w:t>Australian</w:t>
      </w:r>
      <w:r>
        <w:t>s</w:t>
      </w:r>
      <w:r w:rsidR="00D94600">
        <w:t xml:space="preserve"> </w:t>
      </w:r>
      <w:r>
        <w:t>(just under 40</w:t>
      </w:r>
      <w:r w:rsidR="00EA29CC">
        <w:t> </w:t>
      </w:r>
      <w:r>
        <w:t>per</w:t>
      </w:r>
      <w:r w:rsidR="00EA29CC">
        <w:t> </w:t>
      </w:r>
      <w:r>
        <w:t xml:space="preserve">cent) </w:t>
      </w:r>
      <w:r w:rsidR="00881F41">
        <w:t xml:space="preserve">experienced </w:t>
      </w:r>
      <w:r w:rsidR="00F85FB5">
        <w:t xml:space="preserve">relative </w:t>
      </w:r>
      <w:r w:rsidR="00881F41">
        <w:t xml:space="preserve">income poverty </w:t>
      </w:r>
      <w:r>
        <w:t xml:space="preserve">for </w:t>
      </w:r>
      <w:r w:rsidRPr="00F308E2">
        <w:rPr>
          <w:i/>
        </w:rPr>
        <w:t>at least</w:t>
      </w:r>
      <w:r>
        <w:t xml:space="preserve"> one year between 2001 and </w:t>
      </w:r>
      <w:r w:rsidR="00780D90">
        <w:t xml:space="preserve">2010 </w:t>
      </w:r>
      <w:r w:rsidR="00A7666A">
        <w:t xml:space="preserve">(Melbourne Institute </w:t>
      </w:r>
      <w:r w:rsidR="0019103E">
        <w:t>2013</w:t>
      </w:r>
      <w:r w:rsidR="00A7666A">
        <w:t>)</w:t>
      </w:r>
      <w:r w:rsidR="00DF6F6E">
        <w:t>.</w:t>
      </w:r>
      <w:r w:rsidR="00444135">
        <w:t xml:space="preserve"> </w:t>
      </w:r>
      <w:r w:rsidRPr="00967F98">
        <w:t xml:space="preserve">But a closer look at the length of time </w:t>
      </w:r>
      <w:r w:rsidR="00444135">
        <w:t xml:space="preserve">Australians </w:t>
      </w:r>
      <w:r w:rsidRPr="00967F98">
        <w:t>spen</w:t>
      </w:r>
      <w:r w:rsidR="00444135">
        <w:t xml:space="preserve">d </w:t>
      </w:r>
      <w:r w:rsidRPr="00967F98">
        <w:t xml:space="preserve">in poverty reveals </w:t>
      </w:r>
      <w:r w:rsidR="0019103E">
        <w:t>a</w:t>
      </w:r>
      <w:r w:rsidR="0019103E" w:rsidRPr="00967F98">
        <w:t xml:space="preserve"> </w:t>
      </w:r>
      <w:r w:rsidRPr="00967F98">
        <w:t xml:space="preserve">smaller </w:t>
      </w:r>
      <w:r w:rsidR="0019103E">
        <w:t>proportion</w:t>
      </w:r>
      <w:r w:rsidR="0019103E" w:rsidRPr="00967F98">
        <w:t xml:space="preserve"> </w:t>
      </w:r>
      <w:r w:rsidRPr="00967F98">
        <w:t>experience persistent poverty</w:t>
      </w:r>
      <w:r w:rsidR="00444135">
        <w:t>:</w:t>
      </w:r>
    </w:p>
    <w:p w:rsidR="00444135" w:rsidRDefault="00132E94" w:rsidP="00357EC8">
      <w:pPr>
        <w:pStyle w:val="ListBullet"/>
      </w:pPr>
      <w:r>
        <w:t>j</w:t>
      </w:r>
      <w:r w:rsidR="00457F82" w:rsidRPr="00967F98">
        <w:t xml:space="preserve">ust under </w:t>
      </w:r>
      <w:r w:rsidR="00C969F3">
        <w:t>10</w:t>
      </w:r>
      <w:r w:rsidR="00C969F3" w:rsidRPr="00967F98">
        <w:t> </w:t>
      </w:r>
      <w:r w:rsidR="00C813E8" w:rsidRPr="00967F98">
        <w:t xml:space="preserve">per cent </w:t>
      </w:r>
      <w:r w:rsidR="00256EC7" w:rsidRPr="00967F98">
        <w:t>(</w:t>
      </w:r>
      <w:r w:rsidR="0094262E">
        <w:t>2</w:t>
      </w:r>
      <w:r w:rsidR="00385073" w:rsidRPr="00967F98">
        <w:t> </w:t>
      </w:r>
      <w:r w:rsidR="00CD4D28">
        <w:t>million</w:t>
      </w:r>
      <w:r w:rsidR="00256EC7" w:rsidRPr="00967F98">
        <w:t xml:space="preserve">) </w:t>
      </w:r>
      <w:r w:rsidR="004E1A40" w:rsidRPr="00967F98">
        <w:t>experience</w:t>
      </w:r>
      <w:r w:rsidR="00691B9A" w:rsidRPr="00967F98">
        <w:t>d</w:t>
      </w:r>
      <w:r w:rsidR="004E1A40" w:rsidRPr="00967F98">
        <w:t xml:space="preserve"> </w:t>
      </w:r>
      <w:r w:rsidR="00A7666A" w:rsidRPr="00967F98">
        <w:t>relative income poverty for five years or more</w:t>
      </w:r>
      <w:r w:rsidR="008D5ED2" w:rsidRPr="00967F98">
        <w:t xml:space="preserve"> </w:t>
      </w:r>
      <w:r>
        <w:t>and</w:t>
      </w:r>
      <w:r w:rsidRPr="00967F98">
        <w:t xml:space="preserve"> </w:t>
      </w:r>
      <w:r w:rsidR="00EA29CC">
        <w:t xml:space="preserve">just over </w:t>
      </w:r>
      <w:r w:rsidR="00C969F3">
        <w:t>5</w:t>
      </w:r>
      <w:r w:rsidR="00C969F3" w:rsidRPr="00967F98">
        <w:t> </w:t>
      </w:r>
      <w:r w:rsidR="0006595E" w:rsidRPr="00967F98">
        <w:t>per </w:t>
      </w:r>
      <w:r w:rsidR="00342EEB" w:rsidRPr="00967F98">
        <w:t xml:space="preserve">cent </w:t>
      </w:r>
      <w:r w:rsidR="0094262E">
        <w:t xml:space="preserve">(1 million) </w:t>
      </w:r>
      <w:r w:rsidR="00B8776E" w:rsidRPr="00967F98">
        <w:t>for seven years or more</w:t>
      </w:r>
    </w:p>
    <w:p w:rsidR="000C5F52" w:rsidRDefault="00E074C6" w:rsidP="00357EC8">
      <w:pPr>
        <w:pStyle w:val="ListBullet"/>
      </w:pPr>
      <w:r>
        <w:t xml:space="preserve">just over </w:t>
      </w:r>
      <w:r w:rsidR="00AE365D" w:rsidRPr="00967F98">
        <w:t>1</w:t>
      </w:r>
      <w:r w:rsidR="00C813E8" w:rsidRPr="00967F98">
        <w:t xml:space="preserve"> per cent </w:t>
      </w:r>
      <w:r w:rsidR="008D5ED2" w:rsidRPr="00967F98">
        <w:t xml:space="preserve">of Australians </w:t>
      </w:r>
      <w:r w:rsidR="00C25A79" w:rsidRPr="00967F98">
        <w:t>(</w:t>
      </w:r>
      <w:r w:rsidR="00454157" w:rsidRPr="00967F98">
        <w:t>2</w:t>
      </w:r>
      <w:r w:rsidR="00454157">
        <w:t>3</w:t>
      </w:r>
      <w:r w:rsidR="00454157" w:rsidRPr="00967F98">
        <w:t>0 </w:t>
      </w:r>
      <w:r w:rsidR="00C25A79" w:rsidRPr="00967F98">
        <w:t>000</w:t>
      </w:r>
      <w:r w:rsidR="00B4735E" w:rsidRPr="00967F98">
        <w:t>)</w:t>
      </w:r>
      <w:r w:rsidR="00385073" w:rsidRPr="00967F98">
        <w:t xml:space="preserve"> </w:t>
      </w:r>
      <w:r w:rsidR="00B8776E" w:rsidRPr="00967F98">
        <w:t>experienced</w:t>
      </w:r>
      <w:r w:rsidR="00A670B4" w:rsidRPr="00967F98">
        <w:t xml:space="preserve"> </w:t>
      </w:r>
      <w:r w:rsidR="003C1309">
        <w:t xml:space="preserve">relative </w:t>
      </w:r>
      <w:r w:rsidR="001E569B" w:rsidRPr="00967F98">
        <w:t xml:space="preserve">income </w:t>
      </w:r>
      <w:r w:rsidR="00A670B4" w:rsidRPr="00967F98">
        <w:t>poverty</w:t>
      </w:r>
      <w:r w:rsidR="00AE365D" w:rsidRPr="00967F98">
        <w:t xml:space="preserve"> for </w:t>
      </w:r>
      <w:r w:rsidR="00C813E8" w:rsidRPr="00967F98">
        <w:t xml:space="preserve">all </w:t>
      </w:r>
      <w:r w:rsidR="00871905">
        <w:t>ten</w:t>
      </w:r>
      <w:r w:rsidR="00871905" w:rsidRPr="00967F98">
        <w:t xml:space="preserve"> </w:t>
      </w:r>
      <w:r w:rsidR="00C813E8" w:rsidRPr="00967F98">
        <w:t>years</w:t>
      </w:r>
      <w:r w:rsidR="004504F4" w:rsidRPr="00967F98">
        <w:t xml:space="preserve"> (figure</w:t>
      </w:r>
      <w:r w:rsidR="00385073" w:rsidRPr="00967F98">
        <w:t> </w:t>
      </w:r>
      <w:r w:rsidR="00833BF4">
        <w:t>3.2</w:t>
      </w:r>
      <w:r w:rsidR="00A6288B">
        <w:t>)</w:t>
      </w:r>
      <w:r w:rsidR="00B12210" w:rsidRPr="00967F98">
        <w:t>.</w:t>
      </w:r>
      <w:r w:rsidR="00B12210">
        <w:t xml:space="preserve"> </w:t>
      </w:r>
    </w:p>
    <w:p w:rsidR="00984F0B" w:rsidRDefault="004147D2" w:rsidP="00F22A7C">
      <w:pPr>
        <w:pStyle w:val="FigureTitle"/>
      </w:pPr>
      <w:r>
        <w:rPr>
          <w:b w:val="0"/>
        </w:rPr>
        <w:t xml:space="preserve">Figure </w:t>
      </w:r>
      <w:bookmarkStart w:id="6" w:name="OLE_LINK5"/>
      <w:r w:rsidR="00833BF4">
        <w:rPr>
          <w:b w:val="0"/>
        </w:rPr>
        <w:t>3.</w:t>
      </w:r>
      <w:r w:rsidR="0069448C">
        <w:rPr>
          <w:b w:val="0"/>
          <w:noProof/>
        </w:rPr>
        <w:t>2</w:t>
      </w:r>
      <w:bookmarkEnd w:id="6"/>
      <w:r w:rsidR="00984F0B">
        <w:tab/>
        <w:t xml:space="preserve">Years in relative income </w:t>
      </w:r>
      <w:r w:rsidR="00F22A7C">
        <w:t>poverty</w:t>
      </w:r>
      <w:r w:rsidR="00F22A7C" w:rsidRPr="00F22A7C">
        <w:rPr>
          <w:rStyle w:val="NoteLabel"/>
        </w:rPr>
        <w:t>a</w:t>
      </w:r>
      <w:r w:rsidR="00F22A7C">
        <w:t xml:space="preserve">, </w:t>
      </w:r>
      <w:r w:rsidR="00984F0B">
        <w:t xml:space="preserve">2001 to </w:t>
      </w:r>
      <w:r w:rsidR="004D2174">
        <w:t>2010</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C163B8" w:rsidTr="003A73AE">
        <w:trPr>
          <w:trHeight w:val="4769"/>
        </w:trPr>
        <w:tc>
          <w:tcPr>
            <w:tcW w:w="8777" w:type="dxa"/>
          </w:tcPr>
          <w:p w:rsidR="00C163B8" w:rsidRDefault="00267F46" w:rsidP="00984F0B">
            <w:pPr>
              <w:pStyle w:val="Figure"/>
              <w:rPr>
                <w:noProof/>
              </w:rPr>
            </w:pPr>
            <w:r>
              <w:rPr>
                <w:noProof/>
              </w:rPr>
              <w:pict>
                <v:shape id="_x0000_i1026" type="#_x0000_t75" alt="This figure shows the share of the population aged 15 years or more who experience marginal, deep or very deep exclusion for the perod 2001 through to 2009" style="width:427.5pt;height:243.75pt">
                  <v:imagedata r:id="rId10" o:title=""/>
                </v:shape>
              </w:pict>
            </w:r>
          </w:p>
        </w:tc>
      </w:tr>
    </w:tbl>
    <w:p w:rsidR="00C96DE6" w:rsidRDefault="00C96DE6" w:rsidP="00C96DE6">
      <w:pPr>
        <w:pStyle w:val="Note"/>
      </w:pPr>
      <w:r w:rsidRPr="00C96DE6">
        <w:rPr>
          <w:rStyle w:val="NoteLabel"/>
        </w:rPr>
        <w:t>a</w:t>
      </w:r>
      <w:r>
        <w:t xml:space="preserve"> Data relates to all Australians</w:t>
      </w:r>
      <w:r w:rsidR="00E904E2">
        <w:t xml:space="preserve"> using a poverty threshold of 50 per cent of median household equivalised income</w:t>
      </w:r>
      <w:r>
        <w:t>.</w:t>
      </w:r>
    </w:p>
    <w:p w:rsidR="00984F0B" w:rsidRDefault="00984F0B" w:rsidP="00984F0B">
      <w:pPr>
        <w:pStyle w:val="Source"/>
      </w:pPr>
      <w:r>
        <w:rPr>
          <w:i/>
        </w:rPr>
        <w:t>Source</w:t>
      </w:r>
      <w:r w:rsidRPr="00167F06">
        <w:t xml:space="preserve">: </w:t>
      </w:r>
      <w:r>
        <w:t xml:space="preserve">Melbourne Institute, </w:t>
      </w:r>
      <w:r w:rsidR="006235A6">
        <w:t xml:space="preserve">unpublished estimates </w:t>
      </w:r>
      <w:r w:rsidR="00597480">
        <w:t>using HILDA data</w:t>
      </w:r>
      <w:r>
        <w:t>.</w:t>
      </w:r>
    </w:p>
    <w:p w:rsidR="00646670" w:rsidRDefault="00871905" w:rsidP="00871905">
      <w:pPr>
        <w:pStyle w:val="BodyText"/>
      </w:pPr>
      <w:r>
        <w:t xml:space="preserve">People aged 65 years and over (especially singles) are </w:t>
      </w:r>
      <w:r w:rsidR="00AA2106">
        <w:t>far</w:t>
      </w:r>
      <w:r w:rsidR="00646670">
        <w:t xml:space="preserve"> </w:t>
      </w:r>
      <w:r>
        <w:t xml:space="preserve">more likely to experience persistent poverty </w:t>
      </w:r>
      <w:r w:rsidR="00646670">
        <w:t xml:space="preserve">than other households </w:t>
      </w:r>
      <w:r>
        <w:t xml:space="preserve">— particularly where estimates have not been adjusted to account for housing costs. </w:t>
      </w:r>
      <w:r w:rsidR="00646670">
        <w:t xml:space="preserve">Around 17 per cent of elderly couples, 30 per cent of elderly single males and 36 per cent of elderly single females experienced relative income poverty for between six and ten years between 2001 and 2010 (Melbourne Institute 2013). </w:t>
      </w:r>
    </w:p>
    <w:p w:rsidR="00871905" w:rsidRDefault="00871905" w:rsidP="00871905">
      <w:pPr>
        <w:pStyle w:val="BodyText"/>
      </w:pPr>
      <w:r>
        <w:t xml:space="preserve">As discussed earlier, this is </w:t>
      </w:r>
      <w:r w:rsidR="00646670">
        <w:t xml:space="preserve">predominantly </w:t>
      </w:r>
      <w:r>
        <w:t xml:space="preserve">because the majority of people aged 65 years and above have left the workforce, and their incomes tend not to change significantly over time. But they may experience shallower poverty and, as </w:t>
      </w:r>
      <w:r>
        <w:lastRenderedPageBreak/>
        <w:t>previously noted, many have access to accumulated wealth in the form of housing, savings and other assets.</w:t>
      </w:r>
    </w:p>
    <w:p w:rsidR="00C14B80" w:rsidRDefault="00A6767A" w:rsidP="00871905">
      <w:pPr>
        <w:pStyle w:val="BodyText"/>
      </w:pPr>
      <w:r>
        <w:t xml:space="preserve">Children of lone parents also experience higher rates of persistent poverty. </w:t>
      </w:r>
      <w:r w:rsidR="00C14B80">
        <w:t xml:space="preserve">Just under 9 per cent of children </w:t>
      </w:r>
      <w:r w:rsidR="00E57B46">
        <w:t xml:space="preserve">aged under 10 years </w:t>
      </w:r>
      <w:r w:rsidR="00C14B80">
        <w:t xml:space="preserve">who had lived with a lone parent for all ten years </w:t>
      </w:r>
      <w:r w:rsidR="004F5F39">
        <w:t xml:space="preserve">between 2001 and 2010 </w:t>
      </w:r>
      <w:r w:rsidR="00C14B80">
        <w:t xml:space="preserve">experienced poverty for </w:t>
      </w:r>
      <w:r w:rsidR="005A2AB7">
        <w:t xml:space="preserve">between </w:t>
      </w:r>
      <w:r w:rsidR="00C14B80">
        <w:t xml:space="preserve">six </w:t>
      </w:r>
      <w:r w:rsidR="005A2AB7">
        <w:t>and</w:t>
      </w:r>
      <w:r w:rsidR="00C14B80">
        <w:t xml:space="preserve"> ten years. This compares with </w:t>
      </w:r>
      <w:r w:rsidR="004F5F39">
        <w:t xml:space="preserve">only </w:t>
      </w:r>
      <w:r w:rsidR="00C14B80">
        <w:t>2 per cent of children who had lived with both parents for all ten years (Melbourne Institute 2013).</w:t>
      </w:r>
      <w:r w:rsidR="004F5F39">
        <w:rPr>
          <w:rStyle w:val="FootnoteReference"/>
        </w:rPr>
        <w:footnoteReference w:id="11"/>
      </w:r>
    </w:p>
    <w:p w:rsidR="00871905" w:rsidRDefault="00871905" w:rsidP="00871905">
      <w:pPr>
        <w:pStyle w:val="BodyText"/>
      </w:pPr>
      <w:r>
        <w:t>F</w:t>
      </w:r>
      <w:r w:rsidRPr="004F2D14">
        <w:t xml:space="preserve">or those Australians who experience persistent poverty, the likelihood of moving out of poverty </w:t>
      </w:r>
      <w:r>
        <w:t xml:space="preserve">in the future </w:t>
      </w:r>
      <w:r w:rsidRPr="004F2D14">
        <w:t>is much lower</w:t>
      </w:r>
      <w:r w:rsidR="00AA2106">
        <w:t xml:space="preserve"> than for those experiencing episodic poverty</w:t>
      </w:r>
      <w:r w:rsidRPr="004F2D14">
        <w:t>. Azpitarte (2012</w:t>
      </w:r>
      <w:r w:rsidR="0009295E">
        <w:t>a</w:t>
      </w:r>
      <w:r w:rsidRPr="004F2D14">
        <w:t xml:space="preserve">) found the likelihood of exiting poverty </w:t>
      </w:r>
      <w:r>
        <w:t xml:space="preserve">in the following year, </w:t>
      </w:r>
      <w:r w:rsidRPr="004F2D14">
        <w:t xml:space="preserve">for a person who had experienced poverty for six or more years in the previous nine </w:t>
      </w:r>
      <w:r>
        <w:t xml:space="preserve">years, </w:t>
      </w:r>
      <w:r w:rsidRPr="004F2D14">
        <w:t xml:space="preserve">was around </w:t>
      </w:r>
      <w:r w:rsidR="009D4ABF">
        <w:t>a</w:t>
      </w:r>
      <w:r w:rsidRPr="004F2D14">
        <w:t xml:space="preserve"> third </w:t>
      </w:r>
      <w:r w:rsidR="009D4ABF">
        <w:t>of the likelihood of</w:t>
      </w:r>
      <w:r w:rsidRPr="004F2D14">
        <w:t xml:space="preserve"> someone who had experienced poverty for only one or two years </w:t>
      </w:r>
      <w:r w:rsidR="009D4ABF">
        <w:t xml:space="preserve">in the same interval </w:t>
      </w:r>
      <w:r w:rsidRPr="004F2D14">
        <w:t>(23 per cent versus 62 per cent).</w:t>
      </w:r>
      <w:r w:rsidRPr="00241738">
        <w:t xml:space="preserve"> </w:t>
      </w:r>
    </w:p>
    <w:p w:rsidR="00184421" w:rsidRDefault="00184421" w:rsidP="00184421">
      <w:pPr>
        <w:pStyle w:val="BodyText"/>
      </w:pPr>
      <w:r>
        <w:t>It is important to note that t</w:t>
      </w:r>
      <w:r w:rsidRPr="00D94600" w:rsidDel="00D128D4">
        <w:t>he</w:t>
      </w:r>
      <w:r>
        <w:t xml:space="preserve"> </w:t>
      </w:r>
      <w:r w:rsidR="0059689B">
        <w:t xml:space="preserve">Australian </w:t>
      </w:r>
      <w:r w:rsidRPr="00D94600" w:rsidDel="00D128D4">
        <w:t xml:space="preserve">estimates </w:t>
      </w:r>
      <w:r>
        <w:t xml:space="preserve">of persistent relative income poverty are likely to </w:t>
      </w:r>
      <w:r w:rsidRPr="00D94600" w:rsidDel="00D128D4">
        <w:t>be conservative</w:t>
      </w:r>
      <w:r>
        <w:t xml:space="preserve">. Measures of time spent in poverty are necessarily drawn from longitudinal surveys such as HILDA. But these surveys do not include many of the most disadvantaged — people who are homeless, in nursing homes, boarding homes or in prison. </w:t>
      </w:r>
      <w:r w:rsidR="002B11D6">
        <w:t>Further, d</w:t>
      </w:r>
      <w:r>
        <w:t xml:space="preserve">isadvantaged individuals who are </w:t>
      </w:r>
      <w:r w:rsidR="00E904E2">
        <w:t xml:space="preserve">included </w:t>
      </w:r>
      <w:r w:rsidR="00EF386B">
        <w:t xml:space="preserve">in </w:t>
      </w:r>
      <w:r w:rsidR="002B11D6">
        <w:t>longitudinal</w:t>
      </w:r>
      <w:r w:rsidR="00EF386B">
        <w:t xml:space="preserve"> surveys</w:t>
      </w:r>
      <w:r>
        <w:t xml:space="preserve"> ar</w:t>
      </w:r>
      <w:r w:rsidRPr="00D94600" w:rsidDel="00D128D4">
        <w:t xml:space="preserve">e </w:t>
      </w:r>
      <w:r>
        <w:t xml:space="preserve">more </w:t>
      </w:r>
      <w:r w:rsidRPr="00D94600" w:rsidDel="00D128D4">
        <w:t xml:space="preserve">likely to </w:t>
      </w:r>
      <w:r>
        <w:t xml:space="preserve">drop out of </w:t>
      </w:r>
      <w:r w:rsidR="0043560D">
        <w:t xml:space="preserve">the </w:t>
      </w:r>
      <w:r>
        <w:t>survey over time</w:t>
      </w:r>
      <w:r w:rsidR="002B11D6">
        <w:t xml:space="preserve"> than those who are not disadvantaged</w:t>
      </w:r>
      <w:r>
        <w:t>.</w:t>
      </w:r>
      <w:r w:rsidRPr="00233A96">
        <w:rPr>
          <w:rStyle w:val="FootnoteReference"/>
        </w:rPr>
        <w:footnoteReference w:id="12"/>
      </w:r>
      <w:r w:rsidRPr="00822C1E" w:rsidDel="00D128D4">
        <w:t xml:space="preserve"> </w:t>
      </w:r>
    </w:p>
    <w:p w:rsidR="00184421" w:rsidRDefault="00184421" w:rsidP="00184421">
      <w:pPr>
        <w:pStyle w:val="BodyText"/>
      </w:pPr>
      <w:r>
        <w:t>And not all individuals who exit poverty do so permanently. Income poverty can be a recurring situation. Successive movements into and out of poverty are more likely where movements out of poverty have only been marginal, that is, just above the poverty threshold. This suggests that a number of Australians who have experienced poverty in the past may be at risk of falling into income poverty at some time in the future. The</w:t>
      </w:r>
      <w:r w:rsidRPr="00237E64">
        <w:t xml:space="preserve"> </w:t>
      </w:r>
      <w:r>
        <w:t xml:space="preserve">HILDA data show that between 2001 and </w:t>
      </w:r>
      <w:r w:rsidR="002E1ED9">
        <w:t xml:space="preserve">2010 </w:t>
      </w:r>
      <w:r>
        <w:t xml:space="preserve">around 20 per cent of the population could be considered as being at risk of income poverty over any 24 month period (table </w:t>
      </w:r>
      <w:r w:rsidR="00833BF4">
        <w:t>3.2</w:t>
      </w:r>
      <w:r w:rsidR="00A6288B">
        <w:t>)</w:t>
      </w:r>
      <w:r w:rsidR="004F5F39">
        <w:t>.</w:t>
      </w:r>
    </w:p>
    <w:p w:rsidR="00D335E3" w:rsidRDefault="00E82E7C">
      <w:pPr>
        <w:pStyle w:val="TableTitle"/>
      </w:pPr>
      <w:r>
        <w:rPr>
          <w:b w:val="0"/>
        </w:rPr>
        <w:lastRenderedPageBreak/>
        <w:t xml:space="preserve">Table </w:t>
      </w:r>
      <w:bookmarkStart w:id="7" w:name="OLE_LINK6"/>
      <w:r w:rsidR="00833BF4">
        <w:rPr>
          <w:b w:val="0"/>
        </w:rPr>
        <w:t>3.</w:t>
      </w:r>
      <w:r w:rsidR="0069448C">
        <w:rPr>
          <w:b w:val="0"/>
          <w:noProof/>
        </w:rPr>
        <w:t>2</w:t>
      </w:r>
      <w:bookmarkEnd w:id="7"/>
      <w:r w:rsidR="00D335E3">
        <w:tab/>
        <w:t>Two-year income poverty status</w:t>
      </w:r>
    </w:p>
    <w:p w:rsidR="00F2252C" w:rsidRPr="00F2252C" w:rsidRDefault="00F2252C" w:rsidP="00F2252C">
      <w:pPr>
        <w:pStyle w:val="Subtitle"/>
      </w:pPr>
      <w:r w:rsidRPr="00F2252C">
        <w:t>Per cent of all Australians</w:t>
      </w:r>
    </w:p>
    <w:tbl>
      <w:tblPr>
        <w:tblW w:w="5000" w:type="pct"/>
        <w:tblCellMar>
          <w:left w:w="0" w:type="dxa"/>
          <w:right w:w="0" w:type="dxa"/>
        </w:tblCellMar>
        <w:tblLook w:val="0000" w:firstRow="0" w:lastRow="0" w:firstColumn="0" w:lastColumn="0" w:noHBand="0" w:noVBand="0"/>
      </w:tblPr>
      <w:tblGrid>
        <w:gridCol w:w="3283"/>
        <w:gridCol w:w="917"/>
        <w:gridCol w:w="917"/>
        <w:gridCol w:w="918"/>
        <w:gridCol w:w="918"/>
        <w:gridCol w:w="918"/>
        <w:gridCol w:w="918"/>
      </w:tblGrid>
      <w:tr w:rsidR="005D1A1E" w:rsidTr="0031433A">
        <w:tc>
          <w:tcPr>
            <w:tcW w:w="1868" w:type="pct"/>
            <w:tcBorders>
              <w:top w:val="single" w:sz="6" w:space="0" w:color="auto"/>
              <w:bottom w:val="single" w:sz="6" w:space="0" w:color="auto"/>
            </w:tcBorders>
            <w:shd w:val="clear" w:color="auto" w:fill="auto"/>
          </w:tcPr>
          <w:p w:rsidR="005D1A1E" w:rsidRDefault="005D1A1E" w:rsidP="00805522">
            <w:pPr>
              <w:pStyle w:val="TableColumnHeading"/>
            </w:pPr>
            <w:r>
              <w:t xml:space="preserve"> </w:t>
            </w:r>
          </w:p>
        </w:tc>
        <w:tc>
          <w:tcPr>
            <w:tcW w:w="522" w:type="pct"/>
            <w:tcBorders>
              <w:top w:val="single" w:sz="6" w:space="0" w:color="auto"/>
              <w:bottom w:val="single" w:sz="6" w:space="0" w:color="auto"/>
            </w:tcBorders>
          </w:tcPr>
          <w:p w:rsidR="005D1A1E" w:rsidRDefault="005D1A1E" w:rsidP="00F2252C">
            <w:pPr>
              <w:pStyle w:val="TableColumnHeading"/>
            </w:pPr>
            <w:r>
              <w:t>2001 and 2002</w:t>
            </w:r>
          </w:p>
        </w:tc>
        <w:tc>
          <w:tcPr>
            <w:tcW w:w="522" w:type="pct"/>
            <w:tcBorders>
              <w:top w:val="single" w:sz="6" w:space="0" w:color="auto"/>
              <w:bottom w:val="single" w:sz="6" w:space="0" w:color="auto"/>
            </w:tcBorders>
          </w:tcPr>
          <w:p w:rsidR="005D1A1E" w:rsidRDefault="005D1A1E" w:rsidP="00F2252C">
            <w:pPr>
              <w:pStyle w:val="TableColumnHeading"/>
            </w:pPr>
            <w:r>
              <w:t>2003 and 2004</w:t>
            </w:r>
          </w:p>
        </w:tc>
        <w:tc>
          <w:tcPr>
            <w:tcW w:w="522" w:type="pct"/>
            <w:tcBorders>
              <w:top w:val="single" w:sz="6" w:space="0" w:color="auto"/>
              <w:bottom w:val="single" w:sz="6" w:space="0" w:color="auto"/>
            </w:tcBorders>
            <w:shd w:val="clear" w:color="auto" w:fill="auto"/>
          </w:tcPr>
          <w:p w:rsidR="005D1A1E" w:rsidRDefault="005D1A1E" w:rsidP="00F2252C">
            <w:pPr>
              <w:pStyle w:val="TableColumnHeading"/>
            </w:pPr>
            <w:r>
              <w:t>2005 and 2006</w:t>
            </w:r>
          </w:p>
        </w:tc>
        <w:tc>
          <w:tcPr>
            <w:tcW w:w="522" w:type="pct"/>
            <w:tcBorders>
              <w:top w:val="single" w:sz="6" w:space="0" w:color="auto"/>
              <w:bottom w:val="single" w:sz="6" w:space="0" w:color="auto"/>
            </w:tcBorders>
            <w:shd w:val="clear" w:color="auto" w:fill="auto"/>
          </w:tcPr>
          <w:p w:rsidR="005D1A1E" w:rsidRDefault="005D1A1E" w:rsidP="008206C9">
            <w:pPr>
              <w:pStyle w:val="TableColumnHeading"/>
            </w:pPr>
            <w:r>
              <w:t>2007 and 2008</w:t>
            </w:r>
          </w:p>
        </w:tc>
        <w:tc>
          <w:tcPr>
            <w:tcW w:w="522" w:type="pct"/>
            <w:tcBorders>
              <w:top w:val="single" w:sz="6" w:space="0" w:color="auto"/>
              <w:bottom w:val="single" w:sz="6" w:space="0" w:color="auto"/>
            </w:tcBorders>
            <w:shd w:val="clear" w:color="auto" w:fill="auto"/>
          </w:tcPr>
          <w:p w:rsidR="005D1A1E" w:rsidRDefault="005D1A1E" w:rsidP="00F2252C">
            <w:pPr>
              <w:pStyle w:val="TableColumnHeading"/>
            </w:pPr>
            <w:r>
              <w:t>2008 and 2009</w:t>
            </w:r>
          </w:p>
        </w:tc>
        <w:tc>
          <w:tcPr>
            <w:tcW w:w="522" w:type="pct"/>
            <w:tcBorders>
              <w:top w:val="single" w:sz="6" w:space="0" w:color="auto"/>
              <w:bottom w:val="single" w:sz="6" w:space="0" w:color="auto"/>
            </w:tcBorders>
            <w:shd w:val="clear" w:color="auto" w:fill="auto"/>
          </w:tcPr>
          <w:p w:rsidR="005D1A1E" w:rsidRDefault="005D1A1E" w:rsidP="00F2252C">
            <w:pPr>
              <w:pStyle w:val="TableColumnHeading"/>
            </w:pPr>
            <w:r>
              <w:t>2009 and 2010</w:t>
            </w:r>
          </w:p>
        </w:tc>
      </w:tr>
      <w:tr w:rsidR="005D1A1E" w:rsidTr="0031433A">
        <w:tc>
          <w:tcPr>
            <w:tcW w:w="1868" w:type="pct"/>
            <w:tcBorders>
              <w:top w:val="single" w:sz="6" w:space="0" w:color="auto"/>
            </w:tcBorders>
          </w:tcPr>
          <w:p w:rsidR="005D1A1E" w:rsidRDefault="005D1A1E" w:rsidP="00805522">
            <w:pPr>
              <w:pStyle w:val="TableUnitsRow"/>
              <w:jc w:val="left"/>
            </w:pPr>
            <w:r>
              <w:t>Not in income poverty in either year</w:t>
            </w:r>
          </w:p>
        </w:tc>
        <w:tc>
          <w:tcPr>
            <w:tcW w:w="522" w:type="pct"/>
            <w:tcBorders>
              <w:top w:val="single" w:sz="6" w:space="0" w:color="auto"/>
            </w:tcBorders>
          </w:tcPr>
          <w:p w:rsidR="005D1A1E" w:rsidRDefault="005D1A1E" w:rsidP="00805522">
            <w:pPr>
              <w:pStyle w:val="TableUnitsRow"/>
            </w:pPr>
            <w:r>
              <w:t>80.3</w:t>
            </w:r>
          </w:p>
        </w:tc>
        <w:tc>
          <w:tcPr>
            <w:tcW w:w="522" w:type="pct"/>
            <w:tcBorders>
              <w:top w:val="single" w:sz="6" w:space="0" w:color="auto"/>
            </w:tcBorders>
          </w:tcPr>
          <w:p w:rsidR="005D1A1E" w:rsidRDefault="005D1A1E" w:rsidP="00805522">
            <w:pPr>
              <w:pStyle w:val="TableUnitsRow"/>
            </w:pPr>
            <w:r>
              <w:t>82.0</w:t>
            </w:r>
          </w:p>
        </w:tc>
        <w:tc>
          <w:tcPr>
            <w:tcW w:w="522" w:type="pct"/>
            <w:tcBorders>
              <w:top w:val="single" w:sz="6" w:space="0" w:color="auto"/>
            </w:tcBorders>
          </w:tcPr>
          <w:p w:rsidR="005D1A1E" w:rsidRDefault="005D1A1E" w:rsidP="00805522">
            <w:pPr>
              <w:pStyle w:val="TableUnitsRow"/>
            </w:pPr>
            <w:r>
              <w:t>83.0</w:t>
            </w:r>
          </w:p>
        </w:tc>
        <w:tc>
          <w:tcPr>
            <w:tcW w:w="522" w:type="pct"/>
            <w:tcBorders>
              <w:top w:val="single" w:sz="6" w:space="0" w:color="auto"/>
            </w:tcBorders>
          </w:tcPr>
          <w:p w:rsidR="005D1A1E" w:rsidRDefault="005D1A1E" w:rsidP="00805522">
            <w:pPr>
              <w:pStyle w:val="TableUnitsRow"/>
            </w:pPr>
            <w:r>
              <w:t>80.9</w:t>
            </w:r>
          </w:p>
        </w:tc>
        <w:tc>
          <w:tcPr>
            <w:tcW w:w="522" w:type="pct"/>
            <w:tcBorders>
              <w:top w:val="single" w:sz="6" w:space="0" w:color="auto"/>
            </w:tcBorders>
          </w:tcPr>
          <w:p w:rsidR="005D1A1E" w:rsidRDefault="005D1A1E" w:rsidP="00805522">
            <w:pPr>
              <w:pStyle w:val="TableUnitsRow"/>
            </w:pPr>
            <w:r>
              <w:t>81.6</w:t>
            </w:r>
          </w:p>
        </w:tc>
        <w:tc>
          <w:tcPr>
            <w:tcW w:w="522" w:type="pct"/>
            <w:tcBorders>
              <w:top w:val="single" w:sz="6" w:space="0" w:color="auto"/>
            </w:tcBorders>
          </w:tcPr>
          <w:p w:rsidR="005D1A1E" w:rsidRDefault="005D1A1E" w:rsidP="00805522">
            <w:pPr>
              <w:pStyle w:val="TableUnitsRow"/>
            </w:pPr>
            <w:r>
              <w:t>81.2</w:t>
            </w:r>
          </w:p>
        </w:tc>
      </w:tr>
      <w:tr w:rsidR="005D1A1E" w:rsidTr="00472B41">
        <w:tc>
          <w:tcPr>
            <w:tcW w:w="1868" w:type="pct"/>
          </w:tcPr>
          <w:p w:rsidR="005D1A1E" w:rsidRDefault="00472B41" w:rsidP="00472B41">
            <w:pPr>
              <w:pStyle w:val="TableBodyText"/>
              <w:jc w:val="left"/>
            </w:pPr>
            <w:r>
              <w:t>Not in</w:t>
            </w:r>
            <w:r w:rsidR="005D1A1E">
              <w:t xml:space="preserve"> income poverty in 1</w:t>
            </w:r>
            <w:r w:rsidR="005D1A1E" w:rsidRPr="00E9519D">
              <w:rPr>
                <w:vertAlign w:val="superscript"/>
              </w:rPr>
              <w:t>st</w:t>
            </w:r>
            <w:r w:rsidR="005D1A1E">
              <w:t xml:space="preserve"> year </w:t>
            </w:r>
            <w:r>
              <w:t>but entered</w:t>
            </w:r>
            <w:r w:rsidR="005D1A1E">
              <w:t xml:space="preserve"> poverty in 2</w:t>
            </w:r>
            <w:r w:rsidR="005D1A1E" w:rsidRPr="00E9519D">
              <w:rPr>
                <w:vertAlign w:val="superscript"/>
              </w:rPr>
              <w:t>nd</w:t>
            </w:r>
            <w:r w:rsidR="005D1A1E">
              <w:t xml:space="preserve"> year</w:t>
            </w:r>
          </w:p>
        </w:tc>
        <w:tc>
          <w:tcPr>
            <w:tcW w:w="522" w:type="pct"/>
          </w:tcPr>
          <w:p w:rsidR="005D1A1E" w:rsidRDefault="005D1A1E" w:rsidP="00805522">
            <w:pPr>
              <w:pStyle w:val="TableBodyText"/>
            </w:pPr>
            <w:r>
              <w:t>6.1</w:t>
            </w:r>
          </w:p>
        </w:tc>
        <w:tc>
          <w:tcPr>
            <w:tcW w:w="522" w:type="pct"/>
          </w:tcPr>
          <w:p w:rsidR="005D1A1E" w:rsidRDefault="005D1A1E" w:rsidP="00805522">
            <w:pPr>
              <w:pStyle w:val="TableBodyText"/>
            </w:pPr>
            <w:r>
              <w:t>6.3</w:t>
            </w:r>
          </w:p>
        </w:tc>
        <w:tc>
          <w:tcPr>
            <w:tcW w:w="522" w:type="pct"/>
          </w:tcPr>
          <w:p w:rsidR="005D1A1E" w:rsidRDefault="005D1A1E" w:rsidP="00805522">
            <w:pPr>
              <w:pStyle w:val="TableBodyText"/>
            </w:pPr>
            <w:r>
              <w:t>5.5</w:t>
            </w:r>
          </w:p>
        </w:tc>
        <w:tc>
          <w:tcPr>
            <w:tcW w:w="522" w:type="pct"/>
          </w:tcPr>
          <w:p w:rsidR="005D1A1E" w:rsidRDefault="005D1A1E" w:rsidP="00805522">
            <w:pPr>
              <w:pStyle w:val="TableBodyText"/>
            </w:pPr>
            <w:r>
              <w:t>5.6</w:t>
            </w:r>
          </w:p>
        </w:tc>
        <w:tc>
          <w:tcPr>
            <w:tcW w:w="522" w:type="pct"/>
          </w:tcPr>
          <w:p w:rsidR="005D1A1E" w:rsidRDefault="005D1A1E" w:rsidP="00805522">
            <w:pPr>
              <w:pStyle w:val="TableBodyText"/>
            </w:pPr>
            <w:r>
              <w:t>5.5</w:t>
            </w:r>
          </w:p>
        </w:tc>
        <w:tc>
          <w:tcPr>
            <w:tcW w:w="522" w:type="pct"/>
          </w:tcPr>
          <w:p w:rsidR="005D1A1E" w:rsidRDefault="005D1A1E" w:rsidP="00805522">
            <w:pPr>
              <w:pStyle w:val="TableBodyText"/>
            </w:pPr>
            <w:r>
              <w:t>5.8</w:t>
            </w:r>
          </w:p>
        </w:tc>
      </w:tr>
      <w:tr w:rsidR="005D1A1E" w:rsidTr="0031433A">
        <w:tc>
          <w:tcPr>
            <w:tcW w:w="1868" w:type="pct"/>
          </w:tcPr>
          <w:p w:rsidR="005D1A1E" w:rsidRDefault="005D1A1E" w:rsidP="00472B41">
            <w:pPr>
              <w:pStyle w:val="TableBodyText"/>
              <w:jc w:val="left"/>
            </w:pPr>
            <w:r>
              <w:t>In income poverty in 1</w:t>
            </w:r>
            <w:r w:rsidRPr="00E9519D">
              <w:rPr>
                <w:vertAlign w:val="superscript"/>
              </w:rPr>
              <w:t>st</w:t>
            </w:r>
            <w:r>
              <w:t xml:space="preserve"> year and </w:t>
            </w:r>
            <w:r w:rsidR="00472B41">
              <w:t>exited</w:t>
            </w:r>
            <w:r>
              <w:t xml:space="preserve"> poverty in 2</w:t>
            </w:r>
            <w:r w:rsidRPr="00E9519D">
              <w:rPr>
                <w:vertAlign w:val="superscript"/>
              </w:rPr>
              <w:t>nd</w:t>
            </w:r>
            <w:r>
              <w:t xml:space="preserve"> year</w:t>
            </w:r>
          </w:p>
        </w:tc>
        <w:tc>
          <w:tcPr>
            <w:tcW w:w="522" w:type="pct"/>
          </w:tcPr>
          <w:p w:rsidR="005D1A1E" w:rsidRDefault="005D1A1E" w:rsidP="00805522">
            <w:pPr>
              <w:pStyle w:val="TableBodyText"/>
            </w:pPr>
            <w:r>
              <w:t>7.4</w:t>
            </w:r>
          </w:p>
        </w:tc>
        <w:tc>
          <w:tcPr>
            <w:tcW w:w="522" w:type="pct"/>
          </w:tcPr>
          <w:p w:rsidR="005D1A1E" w:rsidRDefault="005D1A1E" w:rsidP="00805522">
            <w:pPr>
              <w:pStyle w:val="TableBodyText"/>
            </w:pPr>
            <w:r>
              <w:t>5.4</w:t>
            </w:r>
          </w:p>
        </w:tc>
        <w:tc>
          <w:tcPr>
            <w:tcW w:w="522" w:type="pct"/>
          </w:tcPr>
          <w:p w:rsidR="005D1A1E" w:rsidRDefault="005D1A1E" w:rsidP="00805522">
            <w:pPr>
              <w:pStyle w:val="TableBodyText"/>
            </w:pPr>
            <w:r>
              <w:t>5.1</w:t>
            </w:r>
          </w:p>
        </w:tc>
        <w:tc>
          <w:tcPr>
            <w:tcW w:w="522" w:type="pct"/>
          </w:tcPr>
          <w:p w:rsidR="005D1A1E" w:rsidRDefault="005D1A1E" w:rsidP="00805522">
            <w:pPr>
              <w:pStyle w:val="TableBodyText"/>
            </w:pPr>
            <w:r>
              <w:t>5.6</w:t>
            </w:r>
          </w:p>
        </w:tc>
        <w:tc>
          <w:tcPr>
            <w:tcW w:w="522" w:type="pct"/>
          </w:tcPr>
          <w:p w:rsidR="005D1A1E" w:rsidRDefault="005D1A1E" w:rsidP="00805522">
            <w:pPr>
              <w:pStyle w:val="TableBodyText"/>
            </w:pPr>
            <w:r>
              <w:t>5.6</w:t>
            </w:r>
          </w:p>
        </w:tc>
        <w:tc>
          <w:tcPr>
            <w:tcW w:w="522" w:type="pct"/>
          </w:tcPr>
          <w:p w:rsidR="005D1A1E" w:rsidRDefault="005D1A1E" w:rsidP="00805522">
            <w:pPr>
              <w:pStyle w:val="TableBodyText"/>
            </w:pPr>
            <w:r>
              <w:t>5.7</w:t>
            </w:r>
          </w:p>
        </w:tc>
      </w:tr>
      <w:tr w:rsidR="005D1A1E" w:rsidTr="0031433A">
        <w:tc>
          <w:tcPr>
            <w:tcW w:w="1868" w:type="pct"/>
          </w:tcPr>
          <w:p w:rsidR="005D1A1E" w:rsidRDefault="005D1A1E" w:rsidP="00805522">
            <w:pPr>
              <w:pStyle w:val="TableBodyText"/>
              <w:jc w:val="left"/>
            </w:pPr>
            <w:r>
              <w:t>In poverty in both years</w:t>
            </w:r>
          </w:p>
        </w:tc>
        <w:tc>
          <w:tcPr>
            <w:tcW w:w="522" w:type="pct"/>
          </w:tcPr>
          <w:p w:rsidR="005D1A1E" w:rsidRDefault="005D1A1E" w:rsidP="00805522">
            <w:pPr>
              <w:pStyle w:val="TableBodyText"/>
            </w:pPr>
            <w:r>
              <w:t>6.3</w:t>
            </w:r>
          </w:p>
        </w:tc>
        <w:tc>
          <w:tcPr>
            <w:tcW w:w="522" w:type="pct"/>
          </w:tcPr>
          <w:p w:rsidR="005D1A1E" w:rsidRDefault="005D1A1E" w:rsidP="00805522">
            <w:pPr>
              <w:pStyle w:val="TableBodyText"/>
            </w:pPr>
            <w:r>
              <w:t>6.3</w:t>
            </w:r>
          </w:p>
        </w:tc>
        <w:tc>
          <w:tcPr>
            <w:tcW w:w="522" w:type="pct"/>
          </w:tcPr>
          <w:p w:rsidR="005D1A1E" w:rsidRDefault="005D1A1E" w:rsidP="00805522">
            <w:pPr>
              <w:pStyle w:val="TableBodyText"/>
            </w:pPr>
            <w:r>
              <w:t>6.5</w:t>
            </w:r>
          </w:p>
        </w:tc>
        <w:tc>
          <w:tcPr>
            <w:tcW w:w="522" w:type="pct"/>
          </w:tcPr>
          <w:p w:rsidR="005D1A1E" w:rsidRDefault="005D1A1E" w:rsidP="00805522">
            <w:pPr>
              <w:pStyle w:val="TableBodyText"/>
            </w:pPr>
            <w:r>
              <w:t>7.9</w:t>
            </w:r>
          </w:p>
        </w:tc>
        <w:tc>
          <w:tcPr>
            <w:tcW w:w="522" w:type="pct"/>
          </w:tcPr>
          <w:p w:rsidR="005D1A1E" w:rsidRDefault="005D1A1E" w:rsidP="00805522">
            <w:pPr>
              <w:pStyle w:val="TableBodyText"/>
            </w:pPr>
            <w:r>
              <w:t>7.4</w:t>
            </w:r>
          </w:p>
        </w:tc>
        <w:tc>
          <w:tcPr>
            <w:tcW w:w="522" w:type="pct"/>
          </w:tcPr>
          <w:p w:rsidR="005D1A1E" w:rsidRDefault="005D1A1E" w:rsidP="00805522">
            <w:pPr>
              <w:pStyle w:val="TableBodyText"/>
            </w:pPr>
            <w:r>
              <w:t>7.4</w:t>
            </w:r>
          </w:p>
        </w:tc>
      </w:tr>
      <w:tr w:rsidR="005D1A1E" w:rsidRPr="000E242A" w:rsidTr="0031433A">
        <w:tc>
          <w:tcPr>
            <w:tcW w:w="1868" w:type="pct"/>
            <w:tcBorders>
              <w:bottom w:val="single" w:sz="6" w:space="0" w:color="auto"/>
            </w:tcBorders>
            <w:shd w:val="clear" w:color="auto" w:fill="auto"/>
          </w:tcPr>
          <w:p w:rsidR="005D1A1E" w:rsidRPr="000E242A" w:rsidRDefault="005D1A1E" w:rsidP="000E242A">
            <w:pPr>
              <w:pStyle w:val="TableBodyText"/>
              <w:spacing w:before="120"/>
              <w:jc w:val="left"/>
              <w:rPr>
                <w:b/>
              </w:rPr>
            </w:pPr>
            <w:r w:rsidRPr="000E242A">
              <w:rPr>
                <w:b/>
              </w:rPr>
              <w:t>Total</w:t>
            </w:r>
          </w:p>
        </w:tc>
        <w:tc>
          <w:tcPr>
            <w:tcW w:w="522" w:type="pct"/>
            <w:tcBorders>
              <w:bottom w:val="single" w:sz="6" w:space="0" w:color="auto"/>
            </w:tcBorders>
          </w:tcPr>
          <w:p w:rsidR="005D1A1E" w:rsidRPr="000E242A" w:rsidRDefault="005D1A1E" w:rsidP="000E242A">
            <w:pPr>
              <w:pStyle w:val="TableBodyText"/>
              <w:spacing w:before="120"/>
              <w:rPr>
                <w:b/>
              </w:rPr>
            </w:pPr>
            <w:r>
              <w:rPr>
                <w:b/>
              </w:rPr>
              <w:t>100.0</w:t>
            </w:r>
          </w:p>
        </w:tc>
        <w:tc>
          <w:tcPr>
            <w:tcW w:w="522" w:type="pct"/>
            <w:tcBorders>
              <w:bottom w:val="single" w:sz="6" w:space="0" w:color="auto"/>
            </w:tcBorders>
          </w:tcPr>
          <w:p w:rsidR="005D1A1E" w:rsidRPr="000E242A" w:rsidRDefault="005D1A1E" w:rsidP="000E242A">
            <w:pPr>
              <w:pStyle w:val="TableBodyText"/>
              <w:spacing w:before="120"/>
              <w:rPr>
                <w:b/>
              </w:rPr>
            </w:pPr>
            <w:r>
              <w:rPr>
                <w:b/>
              </w:rPr>
              <w:t>100.0</w:t>
            </w:r>
          </w:p>
        </w:tc>
        <w:tc>
          <w:tcPr>
            <w:tcW w:w="522" w:type="pct"/>
            <w:tcBorders>
              <w:bottom w:val="single" w:sz="6" w:space="0" w:color="auto"/>
            </w:tcBorders>
            <w:shd w:val="clear" w:color="auto" w:fill="auto"/>
          </w:tcPr>
          <w:p w:rsidR="005D1A1E" w:rsidRPr="000E242A" w:rsidRDefault="005D1A1E" w:rsidP="000E242A">
            <w:pPr>
              <w:pStyle w:val="TableBodyText"/>
              <w:spacing w:before="120"/>
              <w:rPr>
                <w:b/>
              </w:rPr>
            </w:pPr>
            <w:r>
              <w:rPr>
                <w:b/>
              </w:rPr>
              <w:t>100.0</w:t>
            </w:r>
          </w:p>
        </w:tc>
        <w:tc>
          <w:tcPr>
            <w:tcW w:w="522" w:type="pct"/>
            <w:tcBorders>
              <w:bottom w:val="single" w:sz="6" w:space="0" w:color="auto"/>
            </w:tcBorders>
            <w:shd w:val="clear" w:color="auto" w:fill="auto"/>
          </w:tcPr>
          <w:p w:rsidR="005D1A1E" w:rsidRPr="000E242A" w:rsidRDefault="005D1A1E" w:rsidP="000E242A">
            <w:pPr>
              <w:pStyle w:val="TableBodyText"/>
              <w:spacing w:before="120"/>
              <w:rPr>
                <w:b/>
              </w:rPr>
            </w:pPr>
            <w:r>
              <w:rPr>
                <w:b/>
              </w:rPr>
              <w:t>100.0</w:t>
            </w:r>
          </w:p>
        </w:tc>
        <w:tc>
          <w:tcPr>
            <w:tcW w:w="522" w:type="pct"/>
            <w:tcBorders>
              <w:bottom w:val="single" w:sz="6" w:space="0" w:color="auto"/>
            </w:tcBorders>
            <w:shd w:val="clear" w:color="auto" w:fill="auto"/>
          </w:tcPr>
          <w:p w:rsidR="005D1A1E" w:rsidRPr="000E242A" w:rsidRDefault="005D1A1E" w:rsidP="000E242A">
            <w:pPr>
              <w:pStyle w:val="TableBodyText"/>
              <w:spacing w:before="120"/>
              <w:rPr>
                <w:b/>
              </w:rPr>
            </w:pPr>
            <w:r>
              <w:rPr>
                <w:b/>
              </w:rPr>
              <w:t>100.0</w:t>
            </w:r>
          </w:p>
        </w:tc>
        <w:tc>
          <w:tcPr>
            <w:tcW w:w="522" w:type="pct"/>
            <w:tcBorders>
              <w:bottom w:val="single" w:sz="6" w:space="0" w:color="auto"/>
            </w:tcBorders>
            <w:shd w:val="clear" w:color="auto" w:fill="auto"/>
          </w:tcPr>
          <w:p w:rsidR="005D1A1E" w:rsidRPr="000E242A" w:rsidRDefault="005D1A1E" w:rsidP="000E242A">
            <w:pPr>
              <w:pStyle w:val="TableBodyText"/>
              <w:spacing w:before="120"/>
              <w:rPr>
                <w:b/>
              </w:rPr>
            </w:pPr>
            <w:r>
              <w:rPr>
                <w:b/>
              </w:rPr>
              <w:t>100.0</w:t>
            </w:r>
          </w:p>
        </w:tc>
      </w:tr>
    </w:tbl>
    <w:p w:rsidR="00D335E3" w:rsidRDefault="00D335E3" w:rsidP="00D335E3">
      <w:pPr>
        <w:pStyle w:val="Source"/>
      </w:pPr>
      <w:r w:rsidRPr="000E242A">
        <w:rPr>
          <w:i/>
        </w:rPr>
        <w:t>Source:</w:t>
      </w:r>
      <w:r>
        <w:t xml:space="preserve"> Melbourne Institute</w:t>
      </w:r>
      <w:r w:rsidR="00BF062F">
        <w:t xml:space="preserve"> (</w:t>
      </w:r>
      <w:r w:rsidR="005D1A1E">
        <w:t>2013</w:t>
      </w:r>
      <w:r w:rsidR="00BF062F">
        <w:t xml:space="preserve">). </w:t>
      </w:r>
    </w:p>
    <w:p w:rsidR="00013A26" w:rsidRDefault="006541D1" w:rsidP="00013A26">
      <w:pPr>
        <w:pStyle w:val="Heading3"/>
      </w:pPr>
      <w:r>
        <w:t>F</w:t>
      </w:r>
      <w:r w:rsidR="00013A26">
        <w:t>inancial poverty</w:t>
      </w:r>
    </w:p>
    <w:p w:rsidR="00C27BF8" w:rsidRDefault="00B57873" w:rsidP="00895832">
      <w:pPr>
        <w:pStyle w:val="BodyText"/>
      </w:pPr>
      <w:r>
        <w:t xml:space="preserve">Relative </w:t>
      </w:r>
      <w:r w:rsidR="00371A87">
        <w:t xml:space="preserve">income </w:t>
      </w:r>
      <w:r>
        <w:t xml:space="preserve">poverty rates may overstate the proportion of the population experiencing financial disadvantage. </w:t>
      </w:r>
      <w:r w:rsidR="00C27BF8">
        <w:t>For example, recent analysis highlight</w:t>
      </w:r>
      <w:r w:rsidR="002353E8">
        <w:t>s</w:t>
      </w:r>
      <w:r w:rsidR="00C27BF8">
        <w:t xml:space="preserve"> the importance of adjusting for wealth when calculating relative income poverty rates. Approximately 30 per cent of individuals classified as experiencing relative income poverty in 2010 were found to be in the top half of the wealth distribution — indicating that they probably should not be considered as having inadequate economic resources. Of these, around 36 per cent were elderly couples (Melbourne</w:t>
      </w:r>
      <w:r w:rsidR="000F0735">
        <w:t> </w:t>
      </w:r>
      <w:r w:rsidR="00C27BF8">
        <w:t>Institute 2013).</w:t>
      </w:r>
    </w:p>
    <w:p w:rsidR="00257215" w:rsidRDefault="009F74C4" w:rsidP="00895832">
      <w:pPr>
        <w:pStyle w:val="BodyText"/>
      </w:pPr>
      <w:r>
        <w:t>As noted in chapter 2, t</w:t>
      </w:r>
      <w:r w:rsidR="00B57873">
        <w:t xml:space="preserve">he adoption of </w:t>
      </w:r>
      <w:r w:rsidR="00257215">
        <w:t xml:space="preserve">a </w:t>
      </w:r>
      <w:r w:rsidR="00265624">
        <w:t>more comprehensive</w:t>
      </w:r>
      <w:r w:rsidR="00257215">
        <w:t xml:space="preserve"> measure of financial poverty</w:t>
      </w:r>
      <w:r w:rsidR="008E1554">
        <w:t>,</w:t>
      </w:r>
      <w:r w:rsidR="00363E17">
        <w:t xml:space="preserve"> which </w:t>
      </w:r>
      <w:r w:rsidR="00237E64">
        <w:t>takes account of factors</w:t>
      </w:r>
      <w:r w:rsidR="00363E17">
        <w:t xml:space="preserve"> such as consumption and net worth</w:t>
      </w:r>
      <w:r>
        <w:t xml:space="preserve">, </w:t>
      </w:r>
      <w:r w:rsidR="009873EF">
        <w:t>provides a more accurate assessment of a person’s (and hous</w:t>
      </w:r>
      <w:r w:rsidR="006541D1">
        <w:t>e</w:t>
      </w:r>
      <w:r w:rsidR="009873EF">
        <w:t>hold’s) access to economic resources.</w:t>
      </w:r>
      <w:r w:rsidR="00FD691B" w:rsidRPr="00233A96">
        <w:rPr>
          <w:rStyle w:val="FootnoteReference"/>
        </w:rPr>
        <w:footnoteReference w:id="13"/>
      </w:r>
    </w:p>
    <w:p w:rsidR="00FA2EF7" w:rsidRDefault="003305D2" w:rsidP="00FA2EF7">
      <w:pPr>
        <w:pStyle w:val="BodyText"/>
      </w:pPr>
      <w:r>
        <w:t xml:space="preserve">With this in mind, </w:t>
      </w:r>
      <w:r w:rsidR="00FA2EF7">
        <w:t>Headey, Krause and Wagner (2009) defined an individual to be financially poor if they have the combination of:</w:t>
      </w:r>
    </w:p>
    <w:p w:rsidR="007236B3" w:rsidRDefault="00613929" w:rsidP="00FA2EF7">
      <w:pPr>
        <w:pStyle w:val="ListBullet"/>
      </w:pPr>
      <w:r>
        <w:t xml:space="preserve">household </w:t>
      </w:r>
      <w:r w:rsidR="00FA2EF7">
        <w:t xml:space="preserve">income below </w:t>
      </w:r>
      <w:r w:rsidR="007B41CE">
        <w:t>50 per </w:t>
      </w:r>
      <w:r w:rsidR="00FA2EF7">
        <w:t xml:space="preserve">cent </w:t>
      </w:r>
      <w:r w:rsidR="00780184">
        <w:t xml:space="preserve">of median equivalised </w:t>
      </w:r>
      <w:r w:rsidR="003B5A8B">
        <w:t xml:space="preserve">household </w:t>
      </w:r>
      <w:r w:rsidR="00780184">
        <w:t>income</w:t>
      </w:r>
    </w:p>
    <w:p w:rsidR="007236B3" w:rsidRDefault="00613929" w:rsidP="00FA2EF7">
      <w:pPr>
        <w:pStyle w:val="ListBullet"/>
      </w:pPr>
      <w:r>
        <w:t xml:space="preserve">household </w:t>
      </w:r>
      <w:r w:rsidR="00FA2EF7">
        <w:t xml:space="preserve">consumption below </w:t>
      </w:r>
      <w:r w:rsidR="007B41CE">
        <w:t>50 per </w:t>
      </w:r>
      <w:r w:rsidR="00FA2EF7">
        <w:t xml:space="preserve">cent </w:t>
      </w:r>
      <w:r w:rsidR="00780184">
        <w:t xml:space="preserve">of median equivalised </w:t>
      </w:r>
      <w:r w:rsidR="003B5A8B">
        <w:t xml:space="preserve">household </w:t>
      </w:r>
      <w:r w:rsidR="00780184">
        <w:t>consumption</w:t>
      </w:r>
    </w:p>
    <w:p w:rsidR="00FA2EF7" w:rsidRDefault="000E5292" w:rsidP="00FA2EF7">
      <w:pPr>
        <w:pStyle w:val="ListBullet"/>
      </w:pPr>
      <w:r>
        <w:t xml:space="preserve">household </w:t>
      </w:r>
      <w:r w:rsidR="00FA2EF7">
        <w:t>net worth less than $200 000</w:t>
      </w:r>
    </w:p>
    <w:p w:rsidR="00FA2EF7" w:rsidRDefault="00FA2EF7" w:rsidP="00FA2EF7">
      <w:pPr>
        <w:pStyle w:val="ListBullet"/>
      </w:pPr>
      <w:r>
        <w:t>little in the way of liquid assets (lack</w:t>
      </w:r>
      <w:r w:rsidR="0063662F">
        <w:t>ing</w:t>
      </w:r>
      <w:r>
        <w:t xml:space="preserve"> enough wealth to survive for three months in an emergency, excluding assets like housing, businesses, farms).</w:t>
      </w:r>
    </w:p>
    <w:p w:rsidR="006541D1" w:rsidRDefault="00B57873" w:rsidP="00B57873">
      <w:pPr>
        <w:pStyle w:val="BodyText"/>
      </w:pPr>
      <w:r>
        <w:lastRenderedPageBreak/>
        <w:t xml:space="preserve">The </w:t>
      </w:r>
      <w:r w:rsidR="00385073">
        <w:t xml:space="preserve">use of </w:t>
      </w:r>
      <w:r>
        <w:t>addition</w:t>
      </w:r>
      <w:r w:rsidR="006541D1">
        <w:t xml:space="preserve">al </w:t>
      </w:r>
      <w:r>
        <w:t xml:space="preserve">filters </w:t>
      </w:r>
      <w:r w:rsidR="003305D2">
        <w:t>more fully tak</w:t>
      </w:r>
      <w:r w:rsidR="00237E64">
        <w:t>e</w:t>
      </w:r>
      <w:r w:rsidR="005D0ECC">
        <w:t>s</w:t>
      </w:r>
      <w:r w:rsidR="003305D2">
        <w:t xml:space="preserve"> </w:t>
      </w:r>
      <w:r w:rsidR="00054225">
        <w:t xml:space="preserve">into </w:t>
      </w:r>
      <w:r w:rsidR="003305D2">
        <w:t xml:space="preserve">account an individual’s </w:t>
      </w:r>
      <w:r w:rsidR="00840509">
        <w:t xml:space="preserve">financial </w:t>
      </w:r>
      <w:r w:rsidR="003305D2">
        <w:t>circumstance</w:t>
      </w:r>
      <w:r w:rsidR="00840509">
        <w:t>s</w:t>
      </w:r>
      <w:r w:rsidR="003305D2">
        <w:t xml:space="preserve">, </w:t>
      </w:r>
      <w:r w:rsidR="00237E64">
        <w:t xml:space="preserve">and </w:t>
      </w:r>
      <w:r>
        <w:t>significantly reduce</w:t>
      </w:r>
      <w:r w:rsidR="005D0ECC">
        <w:t>s</w:t>
      </w:r>
      <w:r>
        <w:t xml:space="preserve"> the estimated number of </w:t>
      </w:r>
      <w:r w:rsidR="006541D1">
        <w:t xml:space="preserve">Australians </w:t>
      </w:r>
      <w:r>
        <w:t>experiencing financial disadvantage</w:t>
      </w:r>
      <w:r w:rsidR="006541D1">
        <w:t>:</w:t>
      </w:r>
    </w:p>
    <w:p w:rsidR="006541D1" w:rsidRDefault="000E5292" w:rsidP="00BD53E1">
      <w:pPr>
        <w:pStyle w:val="ListBullet"/>
      </w:pPr>
      <w:r>
        <w:t xml:space="preserve">the </w:t>
      </w:r>
      <w:r w:rsidR="00054225">
        <w:t xml:space="preserve">addition of a </w:t>
      </w:r>
      <w:r>
        <w:t>consumption filter reduce</w:t>
      </w:r>
      <w:r w:rsidR="006541D1">
        <w:t xml:space="preserve">s </w:t>
      </w:r>
      <w:r>
        <w:t xml:space="preserve">the proportion of Australians </w:t>
      </w:r>
      <w:r w:rsidR="006541D1">
        <w:t xml:space="preserve">considered </w:t>
      </w:r>
      <w:r>
        <w:t xml:space="preserve">poor by more than </w:t>
      </w:r>
      <w:r w:rsidR="002353E8">
        <w:t>10</w:t>
      </w:r>
      <w:r>
        <w:t xml:space="preserve"> percentage points to </w:t>
      </w:r>
      <w:r w:rsidR="00054225">
        <w:t>3.6</w:t>
      </w:r>
      <w:r w:rsidR="003305D2">
        <w:t xml:space="preserve"> </w:t>
      </w:r>
      <w:r>
        <w:t>per cent (</w:t>
      </w:r>
      <w:r w:rsidR="00C55459">
        <w:t>760 </w:t>
      </w:r>
      <w:r>
        <w:t>000</w:t>
      </w:r>
      <w:r w:rsidR="00385073">
        <w:t xml:space="preserve"> people</w:t>
      </w:r>
      <w:r>
        <w:t>)</w:t>
      </w:r>
    </w:p>
    <w:p w:rsidR="006541D1" w:rsidRDefault="002B11D6" w:rsidP="00BD53E1">
      <w:pPr>
        <w:pStyle w:val="ListBullet"/>
      </w:pPr>
      <w:r>
        <w:t xml:space="preserve">adding </w:t>
      </w:r>
      <w:r w:rsidR="006541D1">
        <w:t>t</w:t>
      </w:r>
      <w:r w:rsidR="00DC1EAA">
        <w:t>he net worth filter makes a smaller difference</w:t>
      </w:r>
      <w:r w:rsidR="006541D1">
        <w:t xml:space="preserve"> — </w:t>
      </w:r>
      <w:r w:rsidR="00DC1EAA">
        <w:t xml:space="preserve">reducing the percentage </w:t>
      </w:r>
      <w:r w:rsidR="006541D1">
        <w:t xml:space="preserve">considered </w:t>
      </w:r>
      <w:r w:rsidR="00DC1EAA">
        <w:t xml:space="preserve">poor </w:t>
      </w:r>
      <w:r>
        <w:t xml:space="preserve">by around half a percentage point </w:t>
      </w:r>
      <w:r w:rsidR="00DC1EAA">
        <w:t xml:space="preserve">to </w:t>
      </w:r>
      <w:r w:rsidR="003305D2">
        <w:t xml:space="preserve">just over </w:t>
      </w:r>
      <w:r w:rsidR="00DC1EAA">
        <w:t>3 per cent</w:t>
      </w:r>
      <w:r>
        <w:t xml:space="preserve"> (</w:t>
      </w:r>
      <w:r w:rsidR="00054225">
        <w:t>670 000)</w:t>
      </w:r>
    </w:p>
    <w:p w:rsidR="00B57873" w:rsidRDefault="006541D1" w:rsidP="00BD53E1">
      <w:pPr>
        <w:pStyle w:val="ListBullet"/>
      </w:pPr>
      <w:r>
        <w:t xml:space="preserve">the estimate of </w:t>
      </w:r>
      <w:r w:rsidR="00DC1EAA">
        <w:t xml:space="preserve">those experiencing income and consumption poverty and low levels of liquid assets </w:t>
      </w:r>
      <w:r>
        <w:t xml:space="preserve">is </w:t>
      </w:r>
      <w:r w:rsidR="00DC1EAA">
        <w:t xml:space="preserve">lower </w:t>
      </w:r>
      <w:r>
        <w:t xml:space="preserve">again </w:t>
      </w:r>
      <w:r w:rsidR="00C96DE6">
        <w:t>at 2</w:t>
      </w:r>
      <w:r w:rsidR="00054225">
        <w:t>.5</w:t>
      </w:r>
      <w:r w:rsidR="00DC1EAA">
        <w:t> per cent (</w:t>
      </w:r>
      <w:r w:rsidR="00C55459">
        <w:t>530 </w:t>
      </w:r>
      <w:r w:rsidR="00DC1EAA">
        <w:t xml:space="preserve">000) </w:t>
      </w:r>
      <w:r w:rsidR="000E5292">
        <w:t xml:space="preserve">(table </w:t>
      </w:r>
      <w:r w:rsidR="00833BF4">
        <w:t>3.3</w:t>
      </w:r>
      <w:r w:rsidR="00054225">
        <w:t>)</w:t>
      </w:r>
      <w:r w:rsidR="000E5292">
        <w:t>.</w:t>
      </w:r>
    </w:p>
    <w:p w:rsidR="003B5A8B" w:rsidRDefault="00E82E7C" w:rsidP="003B5A8B">
      <w:pPr>
        <w:pStyle w:val="TableTitle"/>
      </w:pPr>
      <w:r>
        <w:rPr>
          <w:b w:val="0"/>
        </w:rPr>
        <w:t xml:space="preserve">Table </w:t>
      </w:r>
      <w:bookmarkStart w:id="8" w:name="OLE_LINK7"/>
      <w:r w:rsidR="00833BF4">
        <w:rPr>
          <w:b w:val="0"/>
        </w:rPr>
        <w:t>3.</w:t>
      </w:r>
      <w:r w:rsidR="0069448C">
        <w:rPr>
          <w:b w:val="0"/>
          <w:noProof/>
        </w:rPr>
        <w:t>3</w:t>
      </w:r>
      <w:bookmarkEnd w:id="8"/>
      <w:r w:rsidR="003B5A8B">
        <w:tab/>
        <w:t>Different estimates for financial poverty, 2007</w:t>
      </w:r>
    </w:p>
    <w:p w:rsidR="003B5A8B" w:rsidRDefault="003B5A8B" w:rsidP="003B5A8B">
      <w:pPr>
        <w:pStyle w:val="Subtitle"/>
      </w:pPr>
      <w:r>
        <w:t>Per cent</w:t>
      </w:r>
      <w:r w:rsidR="00F2252C">
        <w:t xml:space="preserve"> of all Australians</w:t>
      </w:r>
    </w:p>
    <w:tbl>
      <w:tblPr>
        <w:tblW w:w="5000" w:type="pct"/>
        <w:tblCellMar>
          <w:left w:w="0" w:type="dxa"/>
          <w:right w:w="0" w:type="dxa"/>
        </w:tblCellMar>
        <w:tblLook w:val="0000" w:firstRow="0" w:lastRow="0" w:firstColumn="0" w:lastColumn="0" w:noHBand="0" w:noVBand="0"/>
      </w:tblPr>
      <w:tblGrid>
        <w:gridCol w:w="4962"/>
        <w:gridCol w:w="1985"/>
        <w:gridCol w:w="1842"/>
      </w:tblGrid>
      <w:tr w:rsidR="003B5A8B" w:rsidTr="003B5A8B">
        <w:tc>
          <w:tcPr>
            <w:tcW w:w="2823" w:type="pct"/>
            <w:tcBorders>
              <w:top w:val="single" w:sz="6" w:space="0" w:color="auto"/>
              <w:bottom w:val="single" w:sz="6" w:space="0" w:color="auto"/>
            </w:tcBorders>
            <w:shd w:val="clear" w:color="auto" w:fill="auto"/>
          </w:tcPr>
          <w:p w:rsidR="003B5A8B" w:rsidRDefault="003B5A8B" w:rsidP="003B5A8B">
            <w:pPr>
              <w:pStyle w:val="TableColumnHeading"/>
              <w:jc w:val="left"/>
            </w:pPr>
          </w:p>
        </w:tc>
        <w:tc>
          <w:tcPr>
            <w:tcW w:w="1129" w:type="pct"/>
            <w:tcBorders>
              <w:top w:val="single" w:sz="6" w:space="0" w:color="auto"/>
              <w:bottom w:val="single" w:sz="6" w:space="0" w:color="auto"/>
            </w:tcBorders>
            <w:shd w:val="clear" w:color="auto" w:fill="auto"/>
          </w:tcPr>
          <w:p w:rsidR="003B5A8B" w:rsidRDefault="003B5A8B" w:rsidP="003B5A8B">
            <w:pPr>
              <w:pStyle w:val="TableColumnHeading"/>
            </w:pPr>
            <w:r>
              <w:t>&lt;50 per cent of median income</w:t>
            </w:r>
          </w:p>
        </w:tc>
        <w:tc>
          <w:tcPr>
            <w:tcW w:w="1048" w:type="pct"/>
            <w:tcBorders>
              <w:top w:val="single" w:sz="6" w:space="0" w:color="auto"/>
              <w:bottom w:val="single" w:sz="6" w:space="0" w:color="auto"/>
            </w:tcBorders>
            <w:shd w:val="clear" w:color="auto" w:fill="auto"/>
          </w:tcPr>
          <w:p w:rsidR="003B5A8B" w:rsidRDefault="003B5A8B" w:rsidP="003B5A8B">
            <w:pPr>
              <w:pStyle w:val="TableColumnHeading"/>
              <w:ind w:right="28"/>
            </w:pPr>
            <w:r>
              <w:t>&lt;60 per cent of median income</w:t>
            </w:r>
          </w:p>
        </w:tc>
      </w:tr>
      <w:tr w:rsidR="003B5A8B" w:rsidTr="003B5A8B">
        <w:tc>
          <w:tcPr>
            <w:tcW w:w="2823" w:type="pct"/>
            <w:tcBorders>
              <w:top w:val="single" w:sz="6" w:space="0" w:color="auto"/>
            </w:tcBorders>
          </w:tcPr>
          <w:p w:rsidR="003B5A8B" w:rsidRDefault="003B5A8B" w:rsidP="003B5A8B">
            <w:pPr>
              <w:pStyle w:val="TableUnitsRow"/>
              <w:jc w:val="left"/>
            </w:pPr>
            <w:r>
              <w:t>Income poor</w:t>
            </w:r>
          </w:p>
        </w:tc>
        <w:tc>
          <w:tcPr>
            <w:tcW w:w="1129" w:type="pct"/>
            <w:tcBorders>
              <w:top w:val="single" w:sz="6" w:space="0" w:color="auto"/>
            </w:tcBorders>
          </w:tcPr>
          <w:p w:rsidR="003B5A8B" w:rsidRDefault="003B5A8B" w:rsidP="003B5A8B">
            <w:pPr>
              <w:pStyle w:val="TableUnitsRow"/>
            </w:pPr>
            <w:r>
              <w:t>13.7</w:t>
            </w:r>
          </w:p>
        </w:tc>
        <w:tc>
          <w:tcPr>
            <w:tcW w:w="1048" w:type="pct"/>
            <w:tcBorders>
              <w:top w:val="single" w:sz="6" w:space="0" w:color="auto"/>
            </w:tcBorders>
          </w:tcPr>
          <w:p w:rsidR="003B5A8B" w:rsidRDefault="003B5A8B" w:rsidP="003B5A8B">
            <w:pPr>
              <w:pStyle w:val="TableUnitsRow"/>
              <w:ind w:right="28"/>
            </w:pPr>
            <w:r>
              <w:t>19.9</w:t>
            </w:r>
          </w:p>
        </w:tc>
      </w:tr>
      <w:tr w:rsidR="003B5A8B" w:rsidTr="003B5A8B">
        <w:tc>
          <w:tcPr>
            <w:tcW w:w="2823" w:type="pct"/>
          </w:tcPr>
          <w:p w:rsidR="003B5A8B" w:rsidRDefault="003B5A8B" w:rsidP="003B5A8B">
            <w:pPr>
              <w:pStyle w:val="TableBodyText"/>
              <w:jc w:val="left"/>
            </w:pPr>
            <w:r>
              <w:t>Consumption poor</w:t>
            </w:r>
          </w:p>
        </w:tc>
        <w:tc>
          <w:tcPr>
            <w:tcW w:w="1129" w:type="pct"/>
          </w:tcPr>
          <w:p w:rsidR="003B5A8B" w:rsidRDefault="003B5A8B" w:rsidP="003B5A8B">
            <w:pPr>
              <w:pStyle w:val="TableBodyText"/>
            </w:pPr>
            <w:r>
              <w:t>9.9</w:t>
            </w:r>
          </w:p>
        </w:tc>
        <w:tc>
          <w:tcPr>
            <w:tcW w:w="1048" w:type="pct"/>
          </w:tcPr>
          <w:p w:rsidR="003B5A8B" w:rsidRDefault="003B5A8B" w:rsidP="003B5A8B">
            <w:pPr>
              <w:pStyle w:val="TableBodyText"/>
              <w:ind w:right="28"/>
            </w:pPr>
            <w:r>
              <w:t>15.9</w:t>
            </w:r>
          </w:p>
        </w:tc>
      </w:tr>
      <w:tr w:rsidR="003B5A8B" w:rsidTr="003B5A8B">
        <w:tc>
          <w:tcPr>
            <w:tcW w:w="2823" w:type="pct"/>
            <w:shd w:val="clear" w:color="auto" w:fill="auto"/>
          </w:tcPr>
          <w:p w:rsidR="003B5A8B" w:rsidRDefault="003B5A8B" w:rsidP="003B5A8B">
            <w:pPr>
              <w:pStyle w:val="TableBodyText"/>
              <w:jc w:val="left"/>
            </w:pPr>
            <w:r>
              <w:t>Income poor</w:t>
            </w:r>
            <w:r w:rsidR="00C96DE6">
              <w:t xml:space="preserve"> </w:t>
            </w:r>
            <w:r>
              <w:t>+ consumption poor</w:t>
            </w:r>
          </w:p>
        </w:tc>
        <w:tc>
          <w:tcPr>
            <w:tcW w:w="1129" w:type="pct"/>
            <w:shd w:val="clear" w:color="auto" w:fill="auto"/>
          </w:tcPr>
          <w:p w:rsidR="003B5A8B" w:rsidRDefault="003B5A8B" w:rsidP="003B5A8B">
            <w:pPr>
              <w:pStyle w:val="TableBodyText"/>
            </w:pPr>
            <w:r>
              <w:t>3.6</w:t>
            </w:r>
          </w:p>
        </w:tc>
        <w:tc>
          <w:tcPr>
            <w:tcW w:w="1048" w:type="pct"/>
            <w:shd w:val="clear" w:color="auto" w:fill="auto"/>
          </w:tcPr>
          <w:p w:rsidR="003B5A8B" w:rsidRDefault="003B5A8B" w:rsidP="003B5A8B">
            <w:pPr>
              <w:pStyle w:val="TableBodyText"/>
              <w:ind w:right="28"/>
            </w:pPr>
            <w:r>
              <w:t>7.2</w:t>
            </w:r>
          </w:p>
        </w:tc>
      </w:tr>
      <w:tr w:rsidR="003B5A8B" w:rsidRPr="000B3A79" w:rsidTr="003B5A8B">
        <w:tc>
          <w:tcPr>
            <w:tcW w:w="2823" w:type="pct"/>
            <w:shd w:val="clear" w:color="auto" w:fill="auto"/>
          </w:tcPr>
          <w:p w:rsidR="003B5A8B" w:rsidRPr="000B3A79" w:rsidRDefault="003B5A8B" w:rsidP="003B5A8B">
            <w:pPr>
              <w:pStyle w:val="TableBodyText"/>
              <w:jc w:val="left"/>
            </w:pPr>
            <w:r w:rsidRPr="000B3A79">
              <w:t>Income poor</w:t>
            </w:r>
            <w:r w:rsidR="00C96DE6">
              <w:t xml:space="preserve"> </w:t>
            </w:r>
            <w:r w:rsidRPr="000B3A79">
              <w:t>+ consumption poor</w:t>
            </w:r>
            <w:r w:rsidR="00C96DE6">
              <w:t xml:space="preserve"> </w:t>
            </w:r>
            <w:r w:rsidRPr="000B3A79">
              <w:t>+ net worth poor</w:t>
            </w:r>
            <w:r>
              <w:t xml:space="preserve"> </w:t>
            </w:r>
            <w:r w:rsidRPr="00C96DE6">
              <w:rPr>
                <w:rStyle w:val="NoteLabel"/>
              </w:rPr>
              <w:t>a</w:t>
            </w:r>
          </w:p>
        </w:tc>
        <w:tc>
          <w:tcPr>
            <w:tcW w:w="1129" w:type="pct"/>
            <w:shd w:val="clear" w:color="auto" w:fill="auto"/>
          </w:tcPr>
          <w:p w:rsidR="003B5A8B" w:rsidRPr="000B3A79" w:rsidRDefault="003B5A8B" w:rsidP="003B5A8B">
            <w:pPr>
              <w:pStyle w:val="TableBodyText"/>
            </w:pPr>
            <w:r w:rsidRPr="000B3A79">
              <w:t>3.2</w:t>
            </w:r>
          </w:p>
        </w:tc>
        <w:tc>
          <w:tcPr>
            <w:tcW w:w="1048" w:type="pct"/>
            <w:shd w:val="clear" w:color="auto" w:fill="auto"/>
          </w:tcPr>
          <w:p w:rsidR="003B5A8B" w:rsidRPr="000B3A79" w:rsidRDefault="003B5A8B" w:rsidP="003B5A8B">
            <w:pPr>
              <w:pStyle w:val="TableBodyText"/>
              <w:ind w:right="28"/>
            </w:pPr>
            <w:r w:rsidRPr="000B3A79">
              <w:t>6.3</w:t>
            </w:r>
          </w:p>
        </w:tc>
      </w:tr>
      <w:tr w:rsidR="003B5A8B" w:rsidRPr="000B3A79" w:rsidTr="003B5A8B">
        <w:tc>
          <w:tcPr>
            <w:tcW w:w="2823" w:type="pct"/>
            <w:tcBorders>
              <w:bottom w:val="single" w:sz="6" w:space="0" w:color="auto"/>
            </w:tcBorders>
            <w:shd w:val="clear" w:color="auto" w:fill="auto"/>
          </w:tcPr>
          <w:p w:rsidR="003B5A8B" w:rsidRPr="000B3A79" w:rsidRDefault="003B5A8B" w:rsidP="003B5A8B">
            <w:pPr>
              <w:pStyle w:val="TableBodyText"/>
              <w:jc w:val="left"/>
            </w:pPr>
            <w:r w:rsidRPr="000B3A79">
              <w:t>Income poor + consumption poor</w:t>
            </w:r>
            <w:r w:rsidR="00C96DE6">
              <w:t xml:space="preserve"> </w:t>
            </w:r>
            <w:r w:rsidRPr="000B3A79">
              <w:t>+ liquid asset poor</w:t>
            </w:r>
            <w:r>
              <w:t xml:space="preserve"> </w:t>
            </w:r>
            <w:r w:rsidRPr="00C96DE6">
              <w:rPr>
                <w:rStyle w:val="NoteLabel"/>
              </w:rPr>
              <w:t>a</w:t>
            </w:r>
          </w:p>
        </w:tc>
        <w:tc>
          <w:tcPr>
            <w:tcW w:w="1129" w:type="pct"/>
            <w:tcBorders>
              <w:bottom w:val="single" w:sz="6" w:space="0" w:color="auto"/>
            </w:tcBorders>
            <w:shd w:val="clear" w:color="auto" w:fill="auto"/>
          </w:tcPr>
          <w:p w:rsidR="003B5A8B" w:rsidRPr="000B3A79" w:rsidRDefault="003B5A8B" w:rsidP="003B5A8B">
            <w:pPr>
              <w:pStyle w:val="TableBodyText"/>
            </w:pPr>
            <w:r w:rsidRPr="000B3A79">
              <w:t>2.5</w:t>
            </w:r>
          </w:p>
        </w:tc>
        <w:tc>
          <w:tcPr>
            <w:tcW w:w="1048" w:type="pct"/>
            <w:tcBorders>
              <w:bottom w:val="single" w:sz="6" w:space="0" w:color="auto"/>
            </w:tcBorders>
            <w:shd w:val="clear" w:color="auto" w:fill="auto"/>
          </w:tcPr>
          <w:p w:rsidR="003B5A8B" w:rsidRPr="000B3A79" w:rsidRDefault="003B5A8B" w:rsidP="003B5A8B">
            <w:pPr>
              <w:pStyle w:val="TableBodyText"/>
              <w:ind w:right="28"/>
            </w:pPr>
            <w:r w:rsidRPr="000B3A79">
              <w:t>4.9</w:t>
            </w:r>
          </w:p>
        </w:tc>
      </w:tr>
    </w:tbl>
    <w:p w:rsidR="003B5A8B" w:rsidRDefault="003B5A8B" w:rsidP="003B5A8B">
      <w:pPr>
        <w:pStyle w:val="Note"/>
      </w:pPr>
      <w:r w:rsidRPr="00DC6643">
        <w:rPr>
          <w:rStyle w:val="NoteLabel"/>
        </w:rPr>
        <w:t>a</w:t>
      </w:r>
      <w:r>
        <w:rPr>
          <w:rFonts w:cs="Arial"/>
        </w:rPr>
        <w:t xml:space="preserve"> Net worth and liquid asset poor are alte</w:t>
      </w:r>
      <w:r w:rsidR="00C96DE6">
        <w:rPr>
          <w:rFonts w:cs="Arial"/>
        </w:rPr>
        <w:t>rnative measures of low wealth.</w:t>
      </w:r>
    </w:p>
    <w:p w:rsidR="003B5A8B" w:rsidRPr="00C32E2C" w:rsidRDefault="003B5A8B" w:rsidP="003B5A8B">
      <w:pPr>
        <w:pStyle w:val="Source"/>
        <w:rPr>
          <w:i/>
        </w:rPr>
      </w:pPr>
      <w:r>
        <w:rPr>
          <w:i/>
        </w:rPr>
        <w:t>Source</w:t>
      </w:r>
      <w:r>
        <w:t>: Headey, Krause and Wagner (2009, p. 19)</w:t>
      </w:r>
      <w:r w:rsidR="00C96DE6">
        <w:t>.</w:t>
      </w:r>
    </w:p>
    <w:p w:rsidR="00FA2EF7" w:rsidRDefault="00BC73DF" w:rsidP="00FA2EF7">
      <w:pPr>
        <w:pStyle w:val="BodyText"/>
      </w:pPr>
      <w:r>
        <w:t xml:space="preserve">In explaining why the inclusion of consumption has such as large effect on the proportion designated as poor, </w:t>
      </w:r>
      <w:r w:rsidR="00AC0823">
        <w:t xml:space="preserve">Headey, Krause and Wagner (2009) </w:t>
      </w:r>
      <w:r>
        <w:t>noted</w:t>
      </w:r>
      <w:r w:rsidR="00FA2EF7">
        <w:t>:</w:t>
      </w:r>
    </w:p>
    <w:p w:rsidR="00FA2EF7" w:rsidRDefault="00FA2EF7" w:rsidP="00FA2EF7">
      <w:pPr>
        <w:pStyle w:val="Quote"/>
      </w:pPr>
      <w:r>
        <w:t>Fundamentally, the reason why inclusion of consumption has such a large effect is that consumption is about 20 per cent more equally distributed than income. It is also only moderately highly correlated with income.</w:t>
      </w:r>
    </w:p>
    <w:p w:rsidR="00FA2EF7" w:rsidRDefault="00FA2EF7" w:rsidP="00FA2EF7">
      <w:pPr>
        <w:pStyle w:val="Quote"/>
      </w:pPr>
      <w:r>
        <w:t>…</w:t>
      </w:r>
      <w:r w:rsidR="0063662F">
        <w:t xml:space="preserve"> </w:t>
      </w:r>
      <w:r>
        <w:t>Many households appear to engage in consumption smoothing, maintaining their standard of living during putatively temporary periods of low income. (pp. 19</w:t>
      </w:r>
      <w:r>
        <w:noBreakHyphen/>
        <w:t>20)</w:t>
      </w:r>
    </w:p>
    <w:p w:rsidR="000F7F6B" w:rsidRPr="003305D2" w:rsidRDefault="00BC73DF" w:rsidP="00764D10">
      <w:pPr>
        <w:pStyle w:val="BodyText"/>
      </w:pPr>
      <w:r>
        <w:t xml:space="preserve">Many households that engage in ‘consumption smoothing’ are able to do so by drawing down their stock of wealth. This pattern is particularly evident among those older Australians </w:t>
      </w:r>
      <w:r w:rsidR="003305D2">
        <w:t xml:space="preserve">who </w:t>
      </w:r>
      <w:r>
        <w:t xml:space="preserve">are </w:t>
      </w:r>
      <w:r w:rsidR="003305D2">
        <w:t>asset rich but income poor.</w:t>
      </w:r>
    </w:p>
    <w:p w:rsidR="004039D2" w:rsidRDefault="004039D2">
      <w:pPr>
        <w:rPr>
          <w:rFonts w:ascii="Arial" w:hAnsi="Arial"/>
          <w:b/>
          <w:sz w:val="32"/>
          <w:szCs w:val="20"/>
        </w:rPr>
      </w:pPr>
      <w:r>
        <w:br w:type="page"/>
      </w:r>
    </w:p>
    <w:p w:rsidR="007F7D26" w:rsidRDefault="00833BF4" w:rsidP="007F7D26">
      <w:pPr>
        <w:pStyle w:val="Heading2"/>
      </w:pPr>
      <w:r>
        <w:lastRenderedPageBreak/>
        <w:t>3.</w:t>
      </w:r>
      <w:r w:rsidR="0069448C">
        <w:rPr>
          <w:noProof/>
        </w:rPr>
        <w:t>2</w:t>
      </w:r>
      <w:r w:rsidR="004147D2">
        <w:tab/>
      </w:r>
      <w:r w:rsidR="00A93DAB">
        <w:t>I</w:t>
      </w:r>
      <w:r w:rsidR="00BC224A">
        <w:t xml:space="preserve">ndicators </w:t>
      </w:r>
      <w:r w:rsidR="009C23C7">
        <w:t xml:space="preserve">of </w:t>
      </w:r>
      <w:r w:rsidR="00BC224A">
        <w:t>deprivation</w:t>
      </w:r>
    </w:p>
    <w:p w:rsidR="003E756A" w:rsidRDefault="00623D8B" w:rsidP="00645723">
      <w:pPr>
        <w:pStyle w:val="BodyText"/>
      </w:pPr>
      <w:r>
        <w:t xml:space="preserve">Deprivation indicators are another approach to measuring disadvantage. </w:t>
      </w:r>
      <w:r w:rsidR="003E756A" w:rsidRPr="00EA73A5">
        <w:t>While</w:t>
      </w:r>
      <w:r w:rsidR="003E756A">
        <w:t xml:space="preserve"> Bray (2001)</w:t>
      </w:r>
      <w:r w:rsidR="007C033E">
        <w:t>, Travers and Richardson (1993)</w:t>
      </w:r>
      <w:r w:rsidR="003E756A">
        <w:t xml:space="preserve"> and others initiated early work on deprivation in Australia, Saunders and the SPRC have undertaken the most substantial and recent application of this approach. </w:t>
      </w:r>
    </w:p>
    <w:p w:rsidR="002C37E5" w:rsidRDefault="00645723" w:rsidP="00645723">
      <w:pPr>
        <w:pStyle w:val="BodyText"/>
      </w:pPr>
      <w:r>
        <w:t>The deprivation approach seeks to measure the extent to which people are</w:t>
      </w:r>
      <w:r w:rsidR="002C37E5">
        <w:t>:</w:t>
      </w:r>
    </w:p>
    <w:p w:rsidR="002C37E5" w:rsidRDefault="00645723" w:rsidP="00385073">
      <w:pPr>
        <w:pStyle w:val="ListBullet"/>
      </w:pPr>
      <w:r>
        <w:t xml:space="preserve">missing out </w:t>
      </w:r>
      <w:r w:rsidR="002068A5">
        <w:t>on</w:t>
      </w:r>
      <w:r w:rsidR="000E5292">
        <w:t xml:space="preserve"> </w:t>
      </w:r>
      <w:r w:rsidR="00B62847">
        <w:t xml:space="preserve">purchasable </w:t>
      </w:r>
      <w:r>
        <w:t>items</w:t>
      </w:r>
      <w:r w:rsidR="00A431D4">
        <w:t>, activities</w:t>
      </w:r>
      <w:r>
        <w:t xml:space="preserve"> </w:t>
      </w:r>
      <w:r w:rsidR="00D1644E">
        <w:t xml:space="preserve">or services </w:t>
      </w:r>
      <w:r>
        <w:t>regarded as essential by a majority of the population</w:t>
      </w:r>
      <w:r w:rsidR="00F93558">
        <w:t xml:space="preserve">, </w:t>
      </w:r>
      <w:r w:rsidR="00692724">
        <w:t>and</w:t>
      </w:r>
    </w:p>
    <w:p w:rsidR="00645723" w:rsidRDefault="00645723" w:rsidP="002C37E5">
      <w:pPr>
        <w:pStyle w:val="ListBullet"/>
      </w:pPr>
      <w:r>
        <w:t xml:space="preserve">whether any lack of take up was because the items were </w:t>
      </w:r>
      <w:r w:rsidRPr="008D19C2">
        <w:rPr>
          <w:i/>
        </w:rPr>
        <w:t>not affordable</w:t>
      </w:r>
      <w:r>
        <w:t xml:space="preserve"> (chapter</w:t>
      </w:r>
      <w:r w:rsidR="006541D1">
        <w:t> </w:t>
      </w:r>
      <w:r>
        <w:t xml:space="preserve">2). </w:t>
      </w:r>
    </w:p>
    <w:p w:rsidR="000E242A" w:rsidRDefault="000E242A" w:rsidP="000E242A">
      <w:pPr>
        <w:pStyle w:val="Heading3"/>
      </w:pPr>
      <w:r>
        <w:t>Evidence of deprivation in Australia</w:t>
      </w:r>
    </w:p>
    <w:p w:rsidR="007C033E" w:rsidRDefault="00DD4741" w:rsidP="000E242A">
      <w:pPr>
        <w:pStyle w:val="BodyText"/>
      </w:pPr>
      <w:r>
        <w:t xml:space="preserve">In order to better understand the nature of poverty and other forms of disadvantage in Australia, </w:t>
      </w:r>
      <w:r w:rsidR="007C033E">
        <w:t xml:space="preserve">Saunders and </w:t>
      </w:r>
      <w:r w:rsidR="0090409F">
        <w:t xml:space="preserve">others </w:t>
      </w:r>
      <w:r w:rsidR="007C033E">
        <w:t>from the SPRC developed and conducted two tailored surveys</w:t>
      </w:r>
      <w:r w:rsidR="00284ABE">
        <w:t xml:space="preserve"> —</w:t>
      </w:r>
      <w:r w:rsidR="007C033E">
        <w:t xml:space="preserve"> </w:t>
      </w:r>
      <w:r w:rsidR="00284ABE">
        <w:t>t</w:t>
      </w:r>
      <w:r w:rsidR="00284ABE" w:rsidRPr="00284ABE">
        <w:t xml:space="preserve">he </w:t>
      </w:r>
      <w:r w:rsidR="00284ABE" w:rsidRPr="00DC296F">
        <w:rPr>
          <w:i/>
        </w:rPr>
        <w:t>Community Understanding of Poverty and Social Exclusion</w:t>
      </w:r>
      <w:r w:rsidR="00284ABE" w:rsidRPr="00284ABE">
        <w:t xml:space="preserve"> (CUPSE) survey in 2006, and the </w:t>
      </w:r>
      <w:r w:rsidR="00284ABE" w:rsidRPr="00DC296F">
        <w:rPr>
          <w:i/>
        </w:rPr>
        <w:t>Poverty and Exclusion in Modern Australia</w:t>
      </w:r>
      <w:r w:rsidR="00284ABE" w:rsidRPr="00284ABE">
        <w:t xml:space="preserve"> (PEMA) survey in 2010. </w:t>
      </w:r>
      <w:r w:rsidR="007C033E">
        <w:t>Part of the survey</w:t>
      </w:r>
      <w:r>
        <w:t>s</w:t>
      </w:r>
      <w:r w:rsidR="007C033E">
        <w:t xml:space="preserve"> involved capturing </w:t>
      </w:r>
      <w:r w:rsidR="00EA73A5">
        <w:t xml:space="preserve">the extent </w:t>
      </w:r>
      <w:r w:rsidR="009E7967">
        <w:t>to which</w:t>
      </w:r>
      <w:r w:rsidR="00EA73A5">
        <w:t xml:space="preserve"> adult Australians </w:t>
      </w:r>
      <w:r w:rsidR="007C033E">
        <w:t>are deprived of</w:t>
      </w:r>
      <w:r w:rsidR="00EA73A5">
        <w:t xml:space="preserve"> </w:t>
      </w:r>
      <w:r w:rsidR="007C033E">
        <w:t xml:space="preserve">essential </w:t>
      </w:r>
      <w:r w:rsidR="00EA73A5">
        <w:t>items, activities and services.</w:t>
      </w:r>
      <w:r w:rsidR="00EA73A5" w:rsidRPr="00233A96">
        <w:rPr>
          <w:rStyle w:val="FootnoteReference"/>
        </w:rPr>
        <w:footnoteReference w:id="14"/>
      </w:r>
      <w:r w:rsidR="00EA73A5">
        <w:t xml:space="preserve"> </w:t>
      </w:r>
    </w:p>
    <w:p w:rsidR="00EA73A5" w:rsidRDefault="005D0ECC" w:rsidP="000E242A">
      <w:pPr>
        <w:pStyle w:val="BodyText"/>
      </w:pPr>
      <w:r>
        <w:t>Previous s</w:t>
      </w:r>
      <w:r w:rsidR="003E756A">
        <w:t xml:space="preserve">urveys </w:t>
      </w:r>
      <w:r w:rsidR="007C033E">
        <w:t xml:space="preserve">of disadvantage had been </w:t>
      </w:r>
      <w:r w:rsidR="003E756A">
        <w:t>restricted in their usefulness by the lack of sampling of people who experience more severe levels of disadvantage — particularly the homeless</w:t>
      </w:r>
      <w:r w:rsidR="009E7967">
        <w:t>. In order to overcome this problem, the</w:t>
      </w:r>
      <w:r w:rsidR="007E54A9">
        <w:t xml:space="preserve"> </w:t>
      </w:r>
      <w:r w:rsidR="00EA73A5">
        <w:t>researchers</w:t>
      </w:r>
      <w:r w:rsidR="009E7967">
        <w:t>, in their</w:t>
      </w:r>
      <w:r w:rsidR="00EA73A5">
        <w:t xml:space="preserve"> 2006 survey</w:t>
      </w:r>
      <w:r w:rsidR="009E7967">
        <w:t>,</w:t>
      </w:r>
      <w:r w:rsidR="00EA73A5">
        <w:t xml:space="preserve"> target</w:t>
      </w:r>
      <w:r w:rsidR="009E7967">
        <w:t>ed</w:t>
      </w:r>
      <w:r w:rsidR="00EA73A5">
        <w:t xml:space="preserve"> </w:t>
      </w:r>
      <w:r w:rsidR="007E54A9">
        <w:t>disadvantaged people</w:t>
      </w:r>
      <w:r w:rsidR="003E756A">
        <w:t xml:space="preserve"> </w:t>
      </w:r>
      <w:r w:rsidR="007E54A9">
        <w:t xml:space="preserve">dependent upon the services of key welfare organisations </w:t>
      </w:r>
      <w:r w:rsidR="00480711">
        <w:t>(such as Mission Australia</w:t>
      </w:r>
      <w:r w:rsidR="009E7967">
        <w:t xml:space="preserve"> and </w:t>
      </w:r>
      <w:r w:rsidR="00480711">
        <w:t>the Brotherhood of St Laurence)</w:t>
      </w:r>
      <w:r w:rsidR="009E7967">
        <w:t>. The researchers then</w:t>
      </w:r>
      <w:r w:rsidR="007E54A9">
        <w:t xml:space="preserve"> compared the extent of </w:t>
      </w:r>
      <w:r w:rsidR="003E756A">
        <w:t xml:space="preserve">the </w:t>
      </w:r>
      <w:r w:rsidR="007E54A9">
        <w:t xml:space="preserve">deprivation experienced </w:t>
      </w:r>
      <w:r w:rsidR="009E7967">
        <w:t xml:space="preserve">by this targeted group of welfare clients </w:t>
      </w:r>
      <w:r w:rsidR="007E54A9">
        <w:t xml:space="preserve">with that of the general community. </w:t>
      </w:r>
    </w:p>
    <w:p w:rsidR="009E7967" w:rsidRDefault="009E7967" w:rsidP="009E7967">
      <w:pPr>
        <w:pStyle w:val="BodyText"/>
      </w:pPr>
      <w:r>
        <w:t xml:space="preserve">Survey participants were asked to </w:t>
      </w:r>
      <w:r w:rsidR="00840509">
        <w:t xml:space="preserve">indicate which </w:t>
      </w:r>
      <w:r>
        <w:t xml:space="preserve">items, activities and services </w:t>
      </w:r>
      <w:r w:rsidR="00AE3095" w:rsidRPr="00840509">
        <w:t>they considered essential</w:t>
      </w:r>
      <w:r w:rsidRPr="00840509">
        <w:t xml:space="preserve">. </w:t>
      </w:r>
      <w:r w:rsidR="000E242A" w:rsidRPr="0090409F">
        <w:t>The</w:t>
      </w:r>
      <w:r w:rsidR="000E242A">
        <w:t xml:space="preserve"> same ten items </w:t>
      </w:r>
      <w:r w:rsidR="00054225">
        <w:t xml:space="preserve">shown in table 3.4 </w:t>
      </w:r>
      <w:r w:rsidR="000E242A">
        <w:t>were attributed the highest rankings by the community sample in both the 2006 and 2010 surveys</w:t>
      </w:r>
      <w:r w:rsidR="00200AA9">
        <w:t xml:space="preserve">. In general, the magnitude of deprivation was much higher for welfare clients compared with the community sample across the essential items considered. </w:t>
      </w:r>
    </w:p>
    <w:p w:rsidR="00200AA9" w:rsidRDefault="00200AA9" w:rsidP="00200AA9">
      <w:pPr>
        <w:pStyle w:val="TableTitle"/>
      </w:pPr>
      <w:r>
        <w:rPr>
          <w:b w:val="0"/>
        </w:rPr>
        <w:lastRenderedPageBreak/>
        <w:t xml:space="preserve">Table </w:t>
      </w:r>
      <w:bookmarkStart w:id="9" w:name="OLE_LINK11"/>
      <w:r>
        <w:rPr>
          <w:b w:val="0"/>
        </w:rPr>
        <w:t>3.</w:t>
      </w:r>
      <w:r w:rsidR="0069448C">
        <w:rPr>
          <w:b w:val="0"/>
          <w:noProof/>
        </w:rPr>
        <w:t>4</w:t>
      </w:r>
      <w:bookmarkEnd w:id="9"/>
      <w:r>
        <w:tab/>
        <w:t>Items regarded as essential, who has them, and who does not have them because they cannot afford them</w:t>
      </w:r>
      <w:r w:rsidRPr="00856E9E">
        <w:rPr>
          <w:rStyle w:val="NoteLabel"/>
          <w:b/>
        </w:rPr>
        <w:t>a</w:t>
      </w:r>
      <w:r>
        <w:t>, 2006</w:t>
      </w:r>
    </w:p>
    <w:tbl>
      <w:tblPr>
        <w:tblW w:w="5000" w:type="pct"/>
        <w:tblCellMar>
          <w:left w:w="0" w:type="dxa"/>
          <w:right w:w="0" w:type="dxa"/>
        </w:tblCellMar>
        <w:tblLook w:val="0000" w:firstRow="0" w:lastRow="0" w:firstColumn="0" w:lastColumn="0" w:noHBand="0" w:noVBand="0"/>
      </w:tblPr>
      <w:tblGrid>
        <w:gridCol w:w="2694"/>
        <w:gridCol w:w="1133"/>
        <w:gridCol w:w="1032"/>
        <w:gridCol w:w="1131"/>
        <w:gridCol w:w="835"/>
        <w:gridCol w:w="1131"/>
        <w:gridCol w:w="833"/>
      </w:tblGrid>
      <w:tr w:rsidR="00200AA9" w:rsidTr="001222D0">
        <w:tc>
          <w:tcPr>
            <w:tcW w:w="1533" w:type="pct"/>
            <w:tcBorders>
              <w:top w:val="single" w:sz="6" w:space="0" w:color="auto"/>
            </w:tcBorders>
            <w:shd w:val="clear" w:color="auto" w:fill="auto"/>
          </w:tcPr>
          <w:p w:rsidR="00200AA9" w:rsidRDefault="00200AA9" w:rsidP="001222D0">
            <w:pPr>
              <w:pStyle w:val="TableColumnHeading"/>
              <w:jc w:val="left"/>
            </w:pPr>
          </w:p>
        </w:tc>
        <w:tc>
          <w:tcPr>
            <w:tcW w:w="1232" w:type="pct"/>
            <w:gridSpan w:val="2"/>
            <w:tcBorders>
              <w:top w:val="single" w:sz="6" w:space="0" w:color="auto"/>
              <w:bottom w:val="single" w:sz="6" w:space="0" w:color="auto"/>
            </w:tcBorders>
            <w:shd w:val="clear" w:color="auto" w:fill="auto"/>
            <w:vAlign w:val="bottom"/>
          </w:tcPr>
          <w:p w:rsidR="00200AA9" w:rsidRPr="009C3C98" w:rsidRDefault="00200AA9" w:rsidP="001222D0">
            <w:pPr>
              <w:pStyle w:val="TableColumnHeading"/>
              <w:jc w:val="center"/>
            </w:pPr>
            <w:r w:rsidRPr="009C3C98">
              <w:t>Is it essential?</w:t>
            </w:r>
          </w:p>
        </w:tc>
        <w:tc>
          <w:tcPr>
            <w:tcW w:w="1118" w:type="pct"/>
            <w:gridSpan w:val="2"/>
            <w:tcBorders>
              <w:top w:val="single" w:sz="6" w:space="0" w:color="auto"/>
              <w:bottom w:val="single" w:sz="6" w:space="0" w:color="auto"/>
            </w:tcBorders>
            <w:shd w:val="clear" w:color="auto" w:fill="auto"/>
            <w:vAlign w:val="bottom"/>
          </w:tcPr>
          <w:p w:rsidR="00200AA9" w:rsidRPr="009C3C98" w:rsidRDefault="00200AA9" w:rsidP="001222D0">
            <w:pPr>
              <w:pStyle w:val="TableColumnHeading"/>
              <w:jc w:val="center"/>
            </w:pPr>
            <w:r w:rsidRPr="009C3C98">
              <w:t>Do you have it?</w:t>
            </w:r>
          </w:p>
        </w:tc>
        <w:tc>
          <w:tcPr>
            <w:tcW w:w="1117" w:type="pct"/>
            <w:gridSpan w:val="2"/>
            <w:tcBorders>
              <w:top w:val="single" w:sz="6" w:space="0" w:color="auto"/>
              <w:bottom w:val="single" w:sz="6" w:space="0" w:color="auto"/>
            </w:tcBorders>
            <w:vAlign w:val="bottom"/>
          </w:tcPr>
          <w:p w:rsidR="00200AA9" w:rsidRPr="009C3C98" w:rsidRDefault="00200AA9" w:rsidP="001222D0">
            <w:pPr>
              <w:pStyle w:val="TableColumnHeading"/>
              <w:jc w:val="center"/>
            </w:pPr>
            <w:r w:rsidRPr="009C3C98">
              <w:t>Prevalence of deprivation – does not have and cannot afford</w:t>
            </w:r>
          </w:p>
        </w:tc>
      </w:tr>
      <w:tr w:rsidR="00200AA9" w:rsidTr="001222D0">
        <w:tc>
          <w:tcPr>
            <w:tcW w:w="1533" w:type="pct"/>
            <w:tcBorders>
              <w:bottom w:val="single" w:sz="6" w:space="0" w:color="auto"/>
            </w:tcBorders>
            <w:shd w:val="clear" w:color="auto" w:fill="auto"/>
            <w:vAlign w:val="bottom"/>
          </w:tcPr>
          <w:p w:rsidR="00200AA9" w:rsidRDefault="00200AA9" w:rsidP="001222D0">
            <w:pPr>
              <w:pStyle w:val="TableColumnHeading"/>
              <w:jc w:val="left"/>
            </w:pPr>
            <w:r>
              <w:t>Item</w:t>
            </w:r>
          </w:p>
        </w:tc>
        <w:tc>
          <w:tcPr>
            <w:tcW w:w="645" w:type="pct"/>
            <w:tcBorders>
              <w:top w:val="single" w:sz="6" w:space="0" w:color="auto"/>
              <w:bottom w:val="single" w:sz="6" w:space="0" w:color="auto"/>
            </w:tcBorders>
            <w:shd w:val="clear" w:color="auto" w:fill="auto"/>
            <w:vAlign w:val="bottom"/>
          </w:tcPr>
          <w:p w:rsidR="00200AA9" w:rsidRPr="00DC2E3D" w:rsidRDefault="00200AA9" w:rsidP="001222D0">
            <w:pPr>
              <w:pStyle w:val="TableColumnHeading"/>
              <w:rPr>
                <w:b/>
                <w:position w:val="6"/>
                <w:sz w:val="18"/>
              </w:rPr>
            </w:pPr>
            <w:r>
              <w:t>Community sample</w:t>
            </w:r>
            <w:r>
              <w:rPr>
                <w:rStyle w:val="NoteLabel"/>
              </w:rPr>
              <w:t>b</w:t>
            </w:r>
          </w:p>
        </w:tc>
        <w:tc>
          <w:tcPr>
            <w:tcW w:w="587" w:type="pct"/>
            <w:tcBorders>
              <w:top w:val="single" w:sz="6" w:space="0" w:color="auto"/>
              <w:bottom w:val="single" w:sz="6" w:space="0" w:color="auto"/>
            </w:tcBorders>
            <w:shd w:val="clear" w:color="auto" w:fill="auto"/>
            <w:vAlign w:val="bottom"/>
          </w:tcPr>
          <w:p w:rsidR="00200AA9" w:rsidRPr="00DC2E3D" w:rsidRDefault="00200AA9" w:rsidP="001222D0">
            <w:pPr>
              <w:pStyle w:val="TableColumnHeading"/>
              <w:rPr>
                <w:b/>
                <w:position w:val="6"/>
                <w:sz w:val="18"/>
              </w:rPr>
            </w:pPr>
            <w:r>
              <w:t>Welfare client sample</w:t>
            </w:r>
            <w:r>
              <w:rPr>
                <w:rStyle w:val="NoteLabel"/>
              </w:rPr>
              <w:t>c</w:t>
            </w:r>
          </w:p>
        </w:tc>
        <w:tc>
          <w:tcPr>
            <w:tcW w:w="643" w:type="pct"/>
            <w:tcBorders>
              <w:top w:val="single" w:sz="6" w:space="0" w:color="auto"/>
              <w:bottom w:val="single" w:sz="6" w:space="0" w:color="auto"/>
            </w:tcBorders>
            <w:shd w:val="clear" w:color="auto" w:fill="auto"/>
            <w:vAlign w:val="bottom"/>
          </w:tcPr>
          <w:p w:rsidR="00200AA9" w:rsidRPr="00DC2E3D" w:rsidRDefault="00200AA9" w:rsidP="001222D0">
            <w:pPr>
              <w:pStyle w:val="TableColumnHeading"/>
              <w:rPr>
                <w:b/>
                <w:position w:val="6"/>
                <w:sz w:val="18"/>
              </w:rPr>
            </w:pPr>
            <w:r>
              <w:t xml:space="preserve">Community sample </w:t>
            </w:r>
          </w:p>
        </w:tc>
        <w:tc>
          <w:tcPr>
            <w:tcW w:w="475" w:type="pct"/>
            <w:tcBorders>
              <w:top w:val="single" w:sz="6" w:space="0" w:color="auto"/>
              <w:bottom w:val="single" w:sz="6" w:space="0" w:color="auto"/>
            </w:tcBorders>
            <w:shd w:val="clear" w:color="auto" w:fill="auto"/>
            <w:vAlign w:val="bottom"/>
          </w:tcPr>
          <w:p w:rsidR="00200AA9" w:rsidRPr="00DC2E3D" w:rsidRDefault="00200AA9" w:rsidP="001222D0">
            <w:pPr>
              <w:pStyle w:val="TableColumnHeading"/>
              <w:ind w:right="28"/>
              <w:rPr>
                <w:b/>
                <w:position w:val="6"/>
                <w:sz w:val="18"/>
              </w:rPr>
            </w:pPr>
            <w:r>
              <w:t>Welfare client sample</w:t>
            </w:r>
            <w:r>
              <w:rPr>
                <w:rStyle w:val="NoteLabel"/>
              </w:rPr>
              <w:t>c</w:t>
            </w:r>
          </w:p>
        </w:tc>
        <w:tc>
          <w:tcPr>
            <w:tcW w:w="643" w:type="pct"/>
            <w:tcBorders>
              <w:top w:val="single" w:sz="6" w:space="0" w:color="auto"/>
              <w:bottom w:val="single" w:sz="6" w:space="0" w:color="auto"/>
            </w:tcBorders>
            <w:vAlign w:val="bottom"/>
          </w:tcPr>
          <w:p w:rsidR="00200AA9" w:rsidRPr="00DC2E3D" w:rsidRDefault="00200AA9" w:rsidP="001222D0">
            <w:pPr>
              <w:pStyle w:val="TableColumnHeading"/>
              <w:rPr>
                <w:b/>
                <w:position w:val="6"/>
                <w:sz w:val="18"/>
              </w:rPr>
            </w:pPr>
            <w:r>
              <w:t>Community sample</w:t>
            </w:r>
            <w:r>
              <w:rPr>
                <w:rStyle w:val="NoteLabel"/>
              </w:rPr>
              <w:t>b</w:t>
            </w:r>
          </w:p>
        </w:tc>
        <w:tc>
          <w:tcPr>
            <w:tcW w:w="474" w:type="pct"/>
            <w:tcBorders>
              <w:top w:val="single" w:sz="6" w:space="0" w:color="auto"/>
              <w:bottom w:val="single" w:sz="6" w:space="0" w:color="auto"/>
            </w:tcBorders>
            <w:vAlign w:val="bottom"/>
          </w:tcPr>
          <w:p w:rsidR="00200AA9" w:rsidRPr="00DC2E3D" w:rsidRDefault="00200AA9" w:rsidP="001222D0">
            <w:pPr>
              <w:pStyle w:val="TableColumnHeading"/>
              <w:ind w:right="28"/>
              <w:rPr>
                <w:b/>
                <w:position w:val="6"/>
                <w:sz w:val="18"/>
              </w:rPr>
            </w:pPr>
            <w:r>
              <w:t>Welfare client sample</w:t>
            </w:r>
            <w:r>
              <w:rPr>
                <w:rStyle w:val="NoteLabel"/>
              </w:rPr>
              <w:t>c</w:t>
            </w:r>
          </w:p>
        </w:tc>
      </w:tr>
      <w:tr w:rsidR="00200AA9" w:rsidRPr="00DC2E3D" w:rsidTr="001222D0">
        <w:tc>
          <w:tcPr>
            <w:tcW w:w="1533" w:type="pct"/>
            <w:tcBorders>
              <w:top w:val="single" w:sz="6" w:space="0" w:color="auto"/>
            </w:tcBorders>
          </w:tcPr>
          <w:p w:rsidR="00200AA9" w:rsidRPr="00DC2E3D" w:rsidRDefault="00200AA9" w:rsidP="001222D0">
            <w:pPr>
              <w:pStyle w:val="TableUnitsRow"/>
            </w:pPr>
          </w:p>
        </w:tc>
        <w:tc>
          <w:tcPr>
            <w:tcW w:w="645" w:type="pct"/>
            <w:tcBorders>
              <w:top w:val="single" w:sz="6" w:space="0" w:color="auto"/>
            </w:tcBorders>
          </w:tcPr>
          <w:p w:rsidR="00200AA9" w:rsidRPr="00DC2E3D" w:rsidRDefault="00200AA9" w:rsidP="001222D0">
            <w:pPr>
              <w:pStyle w:val="TableUnitsRow"/>
            </w:pPr>
            <w:r w:rsidRPr="00DC2E3D">
              <w:t>%</w:t>
            </w:r>
          </w:p>
        </w:tc>
        <w:tc>
          <w:tcPr>
            <w:tcW w:w="587" w:type="pct"/>
            <w:tcBorders>
              <w:top w:val="single" w:sz="6" w:space="0" w:color="auto"/>
            </w:tcBorders>
          </w:tcPr>
          <w:p w:rsidR="00200AA9" w:rsidRPr="00DC2E3D" w:rsidRDefault="00200AA9" w:rsidP="001222D0">
            <w:pPr>
              <w:pStyle w:val="TableUnitsRow"/>
            </w:pPr>
            <w:r w:rsidRPr="00DC2E3D">
              <w:t>%</w:t>
            </w:r>
          </w:p>
        </w:tc>
        <w:tc>
          <w:tcPr>
            <w:tcW w:w="643" w:type="pct"/>
            <w:tcBorders>
              <w:top w:val="single" w:sz="6" w:space="0" w:color="auto"/>
            </w:tcBorders>
          </w:tcPr>
          <w:p w:rsidR="00200AA9" w:rsidRPr="00DC2E3D" w:rsidRDefault="00200AA9" w:rsidP="001222D0">
            <w:pPr>
              <w:pStyle w:val="TableUnitsRow"/>
            </w:pPr>
            <w:r w:rsidRPr="00DC2E3D">
              <w:t>%</w:t>
            </w:r>
          </w:p>
        </w:tc>
        <w:tc>
          <w:tcPr>
            <w:tcW w:w="475" w:type="pct"/>
            <w:tcBorders>
              <w:top w:val="single" w:sz="6" w:space="0" w:color="auto"/>
            </w:tcBorders>
          </w:tcPr>
          <w:p w:rsidR="00200AA9" w:rsidRPr="00DC2E3D" w:rsidRDefault="00200AA9" w:rsidP="001222D0">
            <w:pPr>
              <w:pStyle w:val="TableUnitsRow"/>
            </w:pPr>
            <w:r w:rsidRPr="00DC2E3D">
              <w:t>%</w:t>
            </w:r>
          </w:p>
        </w:tc>
        <w:tc>
          <w:tcPr>
            <w:tcW w:w="643" w:type="pct"/>
            <w:tcBorders>
              <w:top w:val="single" w:sz="6" w:space="0" w:color="auto"/>
            </w:tcBorders>
          </w:tcPr>
          <w:p w:rsidR="00200AA9" w:rsidRPr="00DC2E3D" w:rsidRDefault="00200AA9" w:rsidP="001222D0">
            <w:pPr>
              <w:pStyle w:val="TableUnitsRow"/>
            </w:pPr>
            <w:r w:rsidRPr="00DC2E3D">
              <w:t>%</w:t>
            </w:r>
          </w:p>
        </w:tc>
        <w:tc>
          <w:tcPr>
            <w:tcW w:w="474" w:type="pct"/>
            <w:tcBorders>
              <w:top w:val="single" w:sz="6" w:space="0" w:color="auto"/>
            </w:tcBorders>
          </w:tcPr>
          <w:p w:rsidR="00200AA9" w:rsidRPr="00DC2E3D" w:rsidRDefault="00200AA9" w:rsidP="001222D0">
            <w:pPr>
              <w:pStyle w:val="TableUnitsRow"/>
            </w:pPr>
            <w:r w:rsidRPr="00DC2E3D">
              <w:t>%</w:t>
            </w:r>
          </w:p>
        </w:tc>
      </w:tr>
      <w:tr w:rsidR="00200AA9" w:rsidTr="001222D0">
        <w:trPr>
          <w:trHeight w:val="417"/>
        </w:trPr>
        <w:tc>
          <w:tcPr>
            <w:tcW w:w="1533" w:type="pct"/>
          </w:tcPr>
          <w:p w:rsidR="00200AA9" w:rsidRDefault="00200AA9" w:rsidP="001222D0">
            <w:pPr>
              <w:pStyle w:val="TableUnitsRow"/>
              <w:jc w:val="left"/>
            </w:pPr>
            <w:r>
              <w:t>Medical treatment if needed</w:t>
            </w:r>
          </w:p>
        </w:tc>
        <w:tc>
          <w:tcPr>
            <w:tcW w:w="645" w:type="pct"/>
            <w:vAlign w:val="bottom"/>
          </w:tcPr>
          <w:p w:rsidR="00200AA9" w:rsidRDefault="00200AA9" w:rsidP="001222D0">
            <w:pPr>
              <w:pStyle w:val="TableUnitsRow"/>
            </w:pPr>
            <w:r>
              <w:t>99.9</w:t>
            </w:r>
          </w:p>
        </w:tc>
        <w:tc>
          <w:tcPr>
            <w:tcW w:w="587" w:type="pct"/>
            <w:vAlign w:val="bottom"/>
          </w:tcPr>
          <w:p w:rsidR="00200AA9" w:rsidRDefault="00200AA9" w:rsidP="001222D0">
            <w:pPr>
              <w:pStyle w:val="TableUnitsRow"/>
            </w:pPr>
            <w:r>
              <w:t>99.8</w:t>
            </w:r>
          </w:p>
        </w:tc>
        <w:tc>
          <w:tcPr>
            <w:tcW w:w="643" w:type="pct"/>
            <w:vAlign w:val="bottom"/>
          </w:tcPr>
          <w:p w:rsidR="00200AA9" w:rsidRDefault="00200AA9" w:rsidP="001222D0">
            <w:pPr>
              <w:pStyle w:val="TableUnitsRow"/>
            </w:pPr>
            <w:r>
              <w:t>97.0</w:t>
            </w:r>
          </w:p>
        </w:tc>
        <w:tc>
          <w:tcPr>
            <w:tcW w:w="475" w:type="pct"/>
            <w:vAlign w:val="bottom"/>
          </w:tcPr>
          <w:p w:rsidR="00200AA9" w:rsidRDefault="00200AA9" w:rsidP="001222D0">
            <w:pPr>
              <w:pStyle w:val="TableUnitsRow"/>
              <w:ind w:right="28"/>
            </w:pPr>
            <w:r>
              <w:t>88.9</w:t>
            </w:r>
          </w:p>
        </w:tc>
        <w:tc>
          <w:tcPr>
            <w:tcW w:w="643" w:type="pct"/>
            <w:vAlign w:val="bottom"/>
          </w:tcPr>
          <w:p w:rsidR="00200AA9" w:rsidRDefault="00200AA9" w:rsidP="001222D0">
            <w:pPr>
              <w:pStyle w:val="TableUnitsRow"/>
              <w:ind w:right="28"/>
            </w:pPr>
            <w:r>
              <w:t>2.1</w:t>
            </w:r>
          </w:p>
        </w:tc>
        <w:tc>
          <w:tcPr>
            <w:tcW w:w="474" w:type="pct"/>
            <w:vAlign w:val="bottom"/>
          </w:tcPr>
          <w:p w:rsidR="00200AA9" w:rsidRDefault="00200AA9" w:rsidP="001222D0">
            <w:pPr>
              <w:pStyle w:val="TableUnitsRow"/>
              <w:ind w:right="28"/>
            </w:pPr>
            <w:r>
              <w:t>9.3</w:t>
            </w:r>
          </w:p>
        </w:tc>
      </w:tr>
      <w:tr w:rsidR="00200AA9" w:rsidTr="001222D0">
        <w:tc>
          <w:tcPr>
            <w:tcW w:w="1533" w:type="pct"/>
          </w:tcPr>
          <w:p w:rsidR="00200AA9" w:rsidRDefault="00200AA9" w:rsidP="001222D0">
            <w:pPr>
              <w:pStyle w:val="TableBodyText"/>
              <w:jc w:val="left"/>
            </w:pPr>
            <w:r>
              <w:t>Warm clothes and bedding</w:t>
            </w:r>
          </w:p>
        </w:tc>
        <w:tc>
          <w:tcPr>
            <w:tcW w:w="645" w:type="pct"/>
            <w:vAlign w:val="bottom"/>
          </w:tcPr>
          <w:p w:rsidR="00200AA9" w:rsidRDefault="00200AA9" w:rsidP="001222D0">
            <w:pPr>
              <w:pStyle w:val="TableBodyText"/>
            </w:pPr>
            <w:r>
              <w:t>99.8</w:t>
            </w:r>
          </w:p>
        </w:tc>
        <w:tc>
          <w:tcPr>
            <w:tcW w:w="587" w:type="pct"/>
            <w:vAlign w:val="bottom"/>
          </w:tcPr>
          <w:p w:rsidR="00200AA9" w:rsidRDefault="00200AA9" w:rsidP="001222D0">
            <w:pPr>
              <w:pStyle w:val="TableBodyText"/>
            </w:pPr>
            <w:r>
              <w:t>99.4</w:t>
            </w:r>
          </w:p>
        </w:tc>
        <w:tc>
          <w:tcPr>
            <w:tcW w:w="643" w:type="pct"/>
            <w:vAlign w:val="bottom"/>
          </w:tcPr>
          <w:p w:rsidR="00200AA9" w:rsidRDefault="00200AA9" w:rsidP="001222D0">
            <w:pPr>
              <w:pStyle w:val="TableBodyText"/>
            </w:pPr>
            <w:r>
              <w:t>99.6</w:t>
            </w:r>
          </w:p>
        </w:tc>
        <w:tc>
          <w:tcPr>
            <w:tcW w:w="475" w:type="pct"/>
            <w:vAlign w:val="bottom"/>
          </w:tcPr>
          <w:p w:rsidR="00200AA9" w:rsidRDefault="00200AA9" w:rsidP="001222D0">
            <w:pPr>
              <w:pStyle w:val="TableBodyText"/>
              <w:ind w:right="28"/>
            </w:pPr>
            <w:r>
              <w:t>90.0</w:t>
            </w:r>
          </w:p>
        </w:tc>
        <w:tc>
          <w:tcPr>
            <w:tcW w:w="643" w:type="pct"/>
            <w:vAlign w:val="bottom"/>
          </w:tcPr>
          <w:p w:rsidR="00200AA9" w:rsidRDefault="00200AA9" w:rsidP="001222D0">
            <w:pPr>
              <w:pStyle w:val="TableBodyText"/>
              <w:ind w:right="28"/>
            </w:pPr>
            <w:r>
              <w:t>0.3</w:t>
            </w:r>
          </w:p>
        </w:tc>
        <w:tc>
          <w:tcPr>
            <w:tcW w:w="474" w:type="pct"/>
            <w:vAlign w:val="bottom"/>
          </w:tcPr>
          <w:p w:rsidR="00200AA9" w:rsidRDefault="00200AA9" w:rsidP="001222D0">
            <w:pPr>
              <w:pStyle w:val="TableBodyText"/>
              <w:ind w:right="28"/>
            </w:pPr>
            <w:r>
              <w:t>8.1</w:t>
            </w:r>
          </w:p>
        </w:tc>
      </w:tr>
      <w:tr w:rsidR="00200AA9" w:rsidTr="001222D0">
        <w:tc>
          <w:tcPr>
            <w:tcW w:w="1533" w:type="pct"/>
          </w:tcPr>
          <w:p w:rsidR="00200AA9" w:rsidRDefault="00200AA9" w:rsidP="001222D0">
            <w:pPr>
              <w:pStyle w:val="TableBodyText"/>
              <w:jc w:val="left"/>
            </w:pPr>
            <w:r>
              <w:t>A substantial meal at least once a day</w:t>
            </w:r>
          </w:p>
        </w:tc>
        <w:tc>
          <w:tcPr>
            <w:tcW w:w="645" w:type="pct"/>
            <w:vAlign w:val="bottom"/>
          </w:tcPr>
          <w:p w:rsidR="00200AA9" w:rsidRDefault="00200AA9" w:rsidP="001222D0">
            <w:pPr>
              <w:pStyle w:val="TableBodyText"/>
            </w:pPr>
            <w:r>
              <w:t>99.6</w:t>
            </w:r>
          </w:p>
        </w:tc>
        <w:tc>
          <w:tcPr>
            <w:tcW w:w="587" w:type="pct"/>
            <w:vAlign w:val="bottom"/>
          </w:tcPr>
          <w:p w:rsidR="00200AA9" w:rsidRDefault="00200AA9" w:rsidP="001222D0">
            <w:pPr>
              <w:pStyle w:val="TableBodyText"/>
            </w:pPr>
            <w:r>
              <w:t>98.3</w:t>
            </w:r>
          </w:p>
        </w:tc>
        <w:tc>
          <w:tcPr>
            <w:tcW w:w="643" w:type="pct"/>
            <w:vAlign w:val="bottom"/>
          </w:tcPr>
          <w:p w:rsidR="00200AA9" w:rsidRDefault="00200AA9" w:rsidP="001222D0">
            <w:pPr>
              <w:pStyle w:val="TableBodyText"/>
            </w:pPr>
            <w:r>
              <w:t>98.5</w:t>
            </w:r>
          </w:p>
        </w:tc>
        <w:tc>
          <w:tcPr>
            <w:tcW w:w="475" w:type="pct"/>
            <w:vAlign w:val="bottom"/>
          </w:tcPr>
          <w:p w:rsidR="00200AA9" w:rsidRDefault="00200AA9" w:rsidP="001222D0">
            <w:pPr>
              <w:pStyle w:val="TableBodyText"/>
              <w:ind w:right="28"/>
            </w:pPr>
            <w:r>
              <w:t>84.7</w:t>
            </w:r>
          </w:p>
        </w:tc>
        <w:tc>
          <w:tcPr>
            <w:tcW w:w="643" w:type="pct"/>
            <w:vAlign w:val="bottom"/>
          </w:tcPr>
          <w:p w:rsidR="00200AA9" w:rsidRDefault="00200AA9" w:rsidP="001222D0">
            <w:pPr>
              <w:pStyle w:val="TableBodyText"/>
              <w:ind w:right="28"/>
            </w:pPr>
            <w:r>
              <w:t>1.2</w:t>
            </w:r>
          </w:p>
        </w:tc>
        <w:tc>
          <w:tcPr>
            <w:tcW w:w="474" w:type="pct"/>
            <w:vAlign w:val="bottom"/>
          </w:tcPr>
          <w:p w:rsidR="00200AA9" w:rsidRDefault="00200AA9" w:rsidP="001222D0">
            <w:pPr>
              <w:pStyle w:val="TableBodyText"/>
              <w:ind w:right="28"/>
            </w:pPr>
            <w:r>
              <w:t>12.6</w:t>
            </w:r>
          </w:p>
        </w:tc>
      </w:tr>
      <w:tr w:rsidR="00200AA9" w:rsidTr="001222D0">
        <w:tc>
          <w:tcPr>
            <w:tcW w:w="1533" w:type="pct"/>
          </w:tcPr>
          <w:p w:rsidR="00200AA9" w:rsidRDefault="00200AA9" w:rsidP="001222D0">
            <w:pPr>
              <w:pStyle w:val="TableBodyText"/>
              <w:jc w:val="left"/>
            </w:pPr>
            <w:r>
              <w:t>Able to buy prescribed medicines</w:t>
            </w:r>
          </w:p>
        </w:tc>
        <w:tc>
          <w:tcPr>
            <w:tcW w:w="645" w:type="pct"/>
            <w:vAlign w:val="bottom"/>
          </w:tcPr>
          <w:p w:rsidR="00200AA9" w:rsidRDefault="00200AA9" w:rsidP="001222D0">
            <w:pPr>
              <w:pStyle w:val="TableBodyText"/>
            </w:pPr>
            <w:r>
              <w:t>99.4</w:t>
            </w:r>
          </w:p>
        </w:tc>
        <w:tc>
          <w:tcPr>
            <w:tcW w:w="587" w:type="pct"/>
            <w:vAlign w:val="bottom"/>
          </w:tcPr>
          <w:p w:rsidR="00200AA9" w:rsidRDefault="00200AA9" w:rsidP="001222D0">
            <w:pPr>
              <w:pStyle w:val="TableBodyText"/>
            </w:pPr>
            <w:r>
              <w:t>98.9</w:t>
            </w:r>
          </w:p>
        </w:tc>
        <w:tc>
          <w:tcPr>
            <w:tcW w:w="643" w:type="pct"/>
            <w:vAlign w:val="bottom"/>
          </w:tcPr>
          <w:p w:rsidR="00200AA9" w:rsidRDefault="00200AA9" w:rsidP="001222D0">
            <w:pPr>
              <w:pStyle w:val="TableBodyText"/>
            </w:pPr>
            <w:r>
              <w:t>95.7</w:t>
            </w:r>
          </w:p>
        </w:tc>
        <w:tc>
          <w:tcPr>
            <w:tcW w:w="475" w:type="pct"/>
            <w:vAlign w:val="bottom"/>
          </w:tcPr>
          <w:p w:rsidR="00200AA9" w:rsidRDefault="00200AA9" w:rsidP="001222D0">
            <w:pPr>
              <w:pStyle w:val="TableBodyText"/>
              <w:ind w:right="28"/>
            </w:pPr>
            <w:r>
              <w:t>69.0</w:t>
            </w:r>
          </w:p>
        </w:tc>
        <w:tc>
          <w:tcPr>
            <w:tcW w:w="643" w:type="pct"/>
            <w:vAlign w:val="bottom"/>
          </w:tcPr>
          <w:p w:rsidR="00200AA9" w:rsidRDefault="00200AA9" w:rsidP="001222D0">
            <w:pPr>
              <w:pStyle w:val="TableBodyText"/>
              <w:ind w:right="28"/>
            </w:pPr>
            <w:r>
              <w:t>4.5</w:t>
            </w:r>
          </w:p>
        </w:tc>
        <w:tc>
          <w:tcPr>
            <w:tcW w:w="474" w:type="pct"/>
            <w:vAlign w:val="bottom"/>
          </w:tcPr>
          <w:p w:rsidR="00200AA9" w:rsidRDefault="00200AA9" w:rsidP="001222D0">
            <w:pPr>
              <w:pStyle w:val="TableBodyText"/>
              <w:ind w:right="28"/>
            </w:pPr>
            <w:r>
              <w:t>25.3</w:t>
            </w:r>
          </w:p>
        </w:tc>
      </w:tr>
      <w:tr w:rsidR="00200AA9" w:rsidTr="001222D0">
        <w:tc>
          <w:tcPr>
            <w:tcW w:w="1533" w:type="pct"/>
          </w:tcPr>
          <w:p w:rsidR="00200AA9" w:rsidRDefault="00200AA9" w:rsidP="001222D0">
            <w:pPr>
              <w:pStyle w:val="TableBodyText"/>
              <w:jc w:val="left"/>
            </w:pPr>
            <w:r>
              <w:t>Dental treatment if needed</w:t>
            </w:r>
          </w:p>
        </w:tc>
        <w:tc>
          <w:tcPr>
            <w:tcW w:w="645" w:type="pct"/>
            <w:vAlign w:val="bottom"/>
          </w:tcPr>
          <w:p w:rsidR="00200AA9" w:rsidRDefault="00200AA9" w:rsidP="001222D0">
            <w:pPr>
              <w:pStyle w:val="TableBodyText"/>
            </w:pPr>
            <w:r>
              <w:t>98.6</w:t>
            </w:r>
          </w:p>
        </w:tc>
        <w:tc>
          <w:tcPr>
            <w:tcW w:w="587" w:type="pct"/>
            <w:vAlign w:val="bottom"/>
          </w:tcPr>
          <w:p w:rsidR="00200AA9" w:rsidRDefault="00200AA9" w:rsidP="001222D0">
            <w:pPr>
              <w:pStyle w:val="TableBodyText"/>
            </w:pPr>
            <w:r>
              <w:t>96.6</w:t>
            </w:r>
          </w:p>
        </w:tc>
        <w:tc>
          <w:tcPr>
            <w:tcW w:w="643" w:type="pct"/>
            <w:vAlign w:val="bottom"/>
          </w:tcPr>
          <w:p w:rsidR="00200AA9" w:rsidRDefault="00200AA9" w:rsidP="001222D0">
            <w:pPr>
              <w:pStyle w:val="TableBodyText"/>
            </w:pPr>
            <w:r>
              <w:t>81.3</w:t>
            </w:r>
          </w:p>
        </w:tc>
        <w:tc>
          <w:tcPr>
            <w:tcW w:w="475" w:type="pct"/>
            <w:vAlign w:val="bottom"/>
          </w:tcPr>
          <w:p w:rsidR="00200AA9" w:rsidRDefault="00200AA9" w:rsidP="001222D0">
            <w:pPr>
              <w:pStyle w:val="TableBodyText"/>
              <w:ind w:right="28"/>
            </w:pPr>
            <w:r>
              <w:t>43.0</w:t>
            </w:r>
          </w:p>
        </w:tc>
        <w:tc>
          <w:tcPr>
            <w:tcW w:w="643" w:type="pct"/>
            <w:vAlign w:val="bottom"/>
          </w:tcPr>
          <w:p w:rsidR="00200AA9" w:rsidRDefault="00200AA9" w:rsidP="001222D0">
            <w:pPr>
              <w:pStyle w:val="TableBodyText"/>
              <w:ind w:right="28"/>
            </w:pPr>
            <w:r>
              <w:t>14.5</w:t>
            </w:r>
          </w:p>
        </w:tc>
        <w:tc>
          <w:tcPr>
            <w:tcW w:w="474" w:type="pct"/>
            <w:vAlign w:val="bottom"/>
          </w:tcPr>
          <w:p w:rsidR="00200AA9" w:rsidRDefault="00200AA9" w:rsidP="001222D0">
            <w:pPr>
              <w:pStyle w:val="TableBodyText"/>
              <w:ind w:right="28"/>
            </w:pPr>
            <w:r>
              <w:t>46.0</w:t>
            </w:r>
          </w:p>
        </w:tc>
      </w:tr>
      <w:tr w:rsidR="00200AA9" w:rsidTr="001222D0">
        <w:tc>
          <w:tcPr>
            <w:tcW w:w="1533" w:type="pct"/>
          </w:tcPr>
          <w:p w:rsidR="00200AA9" w:rsidRDefault="00200AA9" w:rsidP="001222D0">
            <w:pPr>
              <w:pStyle w:val="TableBodyText"/>
              <w:jc w:val="left"/>
            </w:pPr>
            <w:r>
              <w:t xml:space="preserve">Decent and secure home </w:t>
            </w:r>
          </w:p>
        </w:tc>
        <w:tc>
          <w:tcPr>
            <w:tcW w:w="645" w:type="pct"/>
            <w:vAlign w:val="bottom"/>
          </w:tcPr>
          <w:p w:rsidR="00200AA9" w:rsidRDefault="00200AA9" w:rsidP="001222D0">
            <w:pPr>
              <w:pStyle w:val="TableBodyText"/>
            </w:pPr>
            <w:r>
              <w:t>97.3</w:t>
            </w:r>
          </w:p>
        </w:tc>
        <w:tc>
          <w:tcPr>
            <w:tcW w:w="587" w:type="pct"/>
            <w:vAlign w:val="bottom"/>
          </w:tcPr>
          <w:p w:rsidR="00200AA9" w:rsidRDefault="00200AA9" w:rsidP="001222D0">
            <w:pPr>
              <w:pStyle w:val="TableBodyText"/>
            </w:pPr>
            <w:r>
              <w:t>97.9</w:t>
            </w:r>
          </w:p>
        </w:tc>
        <w:tc>
          <w:tcPr>
            <w:tcW w:w="643" w:type="pct"/>
            <w:vAlign w:val="bottom"/>
          </w:tcPr>
          <w:p w:rsidR="00200AA9" w:rsidRDefault="00200AA9" w:rsidP="001222D0">
            <w:pPr>
              <w:pStyle w:val="TableBodyText"/>
            </w:pPr>
            <w:r>
              <w:t>92.1</w:t>
            </w:r>
          </w:p>
        </w:tc>
        <w:tc>
          <w:tcPr>
            <w:tcW w:w="475" w:type="pct"/>
            <w:vAlign w:val="bottom"/>
          </w:tcPr>
          <w:p w:rsidR="00200AA9" w:rsidRDefault="00200AA9" w:rsidP="001222D0">
            <w:pPr>
              <w:pStyle w:val="TableBodyText"/>
              <w:ind w:right="28"/>
            </w:pPr>
            <w:r>
              <w:t>66.5</w:t>
            </w:r>
          </w:p>
        </w:tc>
        <w:tc>
          <w:tcPr>
            <w:tcW w:w="643" w:type="pct"/>
            <w:vAlign w:val="bottom"/>
          </w:tcPr>
          <w:p w:rsidR="00200AA9" w:rsidRDefault="00200AA9" w:rsidP="001222D0">
            <w:pPr>
              <w:pStyle w:val="TableBodyText"/>
              <w:ind w:right="28"/>
            </w:pPr>
            <w:r>
              <w:t>7.1</w:t>
            </w:r>
          </w:p>
        </w:tc>
        <w:tc>
          <w:tcPr>
            <w:tcW w:w="474" w:type="pct"/>
            <w:vAlign w:val="bottom"/>
          </w:tcPr>
          <w:p w:rsidR="00200AA9" w:rsidRDefault="00200AA9" w:rsidP="001222D0">
            <w:pPr>
              <w:pStyle w:val="TableBodyText"/>
              <w:ind w:right="28"/>
            </w:pPr>
            <w:r>
              <w:t>28.2</w:t>
            </w:r>
          </w:p>
        </w:tc>
      </w:tr>
      <w:tr w:rsidR="00200AA9" w:rsidTr="001222D0">
        <w:tc>
          <w:tcPr>
            <w:tcW w:w="1533" w:type="pct"/>
          </w:tcPr>
          <w:p w:rsidR="00200AA9" w:rsidRDefault="00200AA9" w:rsidP="001222D0">
            <w:pPr>
              <w:pStyle w:val="TableBodyText"/>
              <w:jc w:val="left"/>
            </w:pPr>
            <w:r>
              <w:t>Children can participate in school activities or outings</w:t>
            </w:r>
          </w:p>
        </w:tc>
        <w:tc>
          <w:tcPr>
            <w:tcW w:w="645" w:type="pct"/>
            <w:vAlign w:val="bottom"/>
          </w:tcPr>
          <w:p w:rsidR="00200AA9" w:rsidRDefault="00200AA9" w:rsidP="001222D0">
            <w:pPr>
              <w:pStyle w:val="TableBodyText"/>
            </w:pPr>
            <w:r>
              <w:t>94.8</w:t>
            </w:r>
          </w:p>
        </w:tc>
        <w:tc>
          <w:tcPr>
            <w:tcW w:w="587" w:type="pct"/>
            <w:vAlign w:val="bottom"/>
          </w:tcPr>
          <w:p w:rsidR="00200AA9" w:rsidRDefault="00200AA9" w:rsidP="001222D0">
            <w:pPr>
              <w:pStyle w:val="TableBodyText"/>
            </w:pPr>
            <w:r>
              <w:t>94.7</w:t>
            </w:r>
          </w:p>
        </w:tc>
        <w:tc>
          <w:tcPr>
            <w:tcW w:w="643" w:type="pct"/>
            <w:vAlign w:val="bottom"/>
          </w:tcPr>
          <w:p w:rsidR="00200AA9" w:rsidRDefault="00200AA9" w:rsidP="001222D0">
            <w:pPr>
              <w:pStyle w:val="TableBodyText"/>
            </w:pPr>
            <w:r>
              <w:t>68.9</w:t>
            </w:r>
          </w:p>
        </w:tc>
        <w:tc>
          <w:tcPr>
            <w:tcW w:w="475" w:type="pct"/>
            <w:vAlign w:val="bottom"/>
          </w:tcPr>
          <w:p w:rsidR="00200AA9" w:rsidRDefault="00200AA9" w:rsidP="001222D0">
            <w:pPr>
              <w:pStyle w:val="TableBodyText"/>
              <w:ind w:right="28"/>
            </w:pPr>
            <w:r>
              <w:t>53.4</w:t>
            </w:r>
          </w:p>
        </w:tc>
        <w:tc>
          <w:tcPr>
            <w:tcW w:w="643" w:type="pct"/>
            <w:vAlign w:val="bottom"/>
          </w:tcPr>
          <w:p w:rsidR="00200AA9" w:rsidRDefault="00200AA9" w:rsidP="001222D0">
            <w:pPr>
              <w:pStyle w:val="TableBodyText"/>
              <w:ind w:right="28"/>
            </w:pPr>
            <w:r>
              <w:t>3.6</w:t>
            </w:r>
          </w:p>
        </w:tc>
        <w:tc>
          <w:tcPr>
            <w:tcW w:w="474" w:type="pct"/>
            <w:vAlign w:val="bottom"/>
          </w:tcPr>
          <w:p w:rsidR="00200AA9" w:rsidRDefault="00200AA9" w:rsidP="001222D0">
            <w:pPr>
              <w:pStyle w:val="TableBodyText"/>
              <w:ind w:right="28"/>
            </w:pPr>
            <w:r>
              <w:t>16.2</w:t>
            </w:r>
          </w:p>
        </w:tc>
      </w:tr>
      <w:tr w:rsidR="00200AA9" w:rsidTr="001222D0">
        <w:tc>
          <w:tcPr>
            <w:tcW w:w="1533" w:type="pct"/>
          </w:tcPr>
          <w:p w:rsidR="00200AA9" w:rsidRDefault="00200AA9" w:rsidP="001222D0">
            <w:pPr>
              <w:pStyle w:val="TableBodyText"/>
              <w:jc w:val="left"/>
            </w:pPr>
            <w:r>
              <w:t>Yearly dental check</w:t>
            </w:r>
            <w:r>
              <w:noBreakHyphen/>
              <w:t>up for children</w:t>
            </w:r>
          </w:p>
        </w:tc>
        <w:tc>
          <w:tcPr>
            <w:tcW w:w="645" w:type="pct"/>
            <w:vAlign w:val="bottom"/>
          </w:tcPr>
          <w:p w:rsidR="00200AA9" w:rsidRDefault="00200AA9" w:rsidP="001222D0">
            <w:pPr>
              <w:pStyle w:val="TableBodyText"/>
            </w:pPr>
            <w:r>
              <w:t>94.7</w:t>
            </w:r>
          </w:p>
        </w:tc>
        <w:tc>
          <w:tcPr>
            <w:tcW w:w="587" w:type="pct"/>
            <w:vAlign w:val="bottom"/>
          </w:tcPr>
          <w:p w:rsidR="00200AA9" w:rsidRDefault="00200AA9" w:rsidP="001222D0">
            <w:pPr>
              <w:pStyle w:val="TableBodyText"/>
            </w:pPr>
            <w:r>
              <w:t>95.0</w:t>
            </w:r>
          </w:p>
        </w:tc>
        <w:tc>
          <w:tcPr>
            <w:tcW w:w="643" w:type="pct"/>
            <w:vAlign w:val="bottom"/>
          </w:tcPr>
          <w:p w:rsidR="00200AA9" w:rsidRDefault="00200AA9" w:rsidP="001222D0">
            <w:pPr>
              <w:pStyle w:val="TableBodyText"/>
            </w:pPr>
            <w:r>
              <w:t>71.4</w:t>
            </w:r>
          </w:p>
        </w:tc>
        <w:tc>
          <w:tcPr>
            <w:tcW w:w="475" w:type="pct"/>
            <w:vAlign w:val="bottom"/>
          </w:tcPr>
          <w:p w:rsidR="00200AA9" w:rsidRDefault="00200AA9" w:rsidP="001222D0">
            <w:pPr>
              <w:pStyle w:val="TableBodyText"/>
              <w:ind w:right="28"/>
            </w:pPr>
            <w:r>
              <w:t>41.7</w:t>
            </w:r>
          </w:p>
        </w:tc>
        <w:tc>
          <w:tcPr>
            <w:tcW w:w="643" w:type="pct"/>
            <w:vAlign w:val="bottom"/>
          </w:tcPr>
          <w:p w:rsidR="00200AA9" w:rsidRDefault="00200AA9" w:rsidP="001222D0">
            <w:pPr>
              <w:pStyle w:val="TableBodyText"/>
              <w:ind w:right="28"/>
            </w:pPr>
            <w:r>
              <w:t>9.8</w:t>
            </w:r>
          </w:p>
        </w:tc>
        <w:tc>
          <w:tcPr>
            <w:tcW w:w="474" w:type="pct"/>
            <w:vAlign w:val="bottom"/>
          </w:tcPr>
          <w:p w:rsidR="00200AA9" w:rsidRDefault="00200AA9" w:rsidP="001222D0">
            <w:pPr>
              <w:pStyle w:val="TableBodyText"/>
              <w:ind w:right="28"/>
            </w:pPr>
            <w:r>
              <w:t>34.7</w:t>
            </w:r>
          </w:p>
        </w:tc>
      </w:tr>
      <w:tr w:rsidR="00200AA9" w:rsidTr="001222D0">
        <w:tc>
          <w:tcPr>
            <w:tcW w:w="1533" w:type="pct"/>
          </w:tcPr>
          <w:p w:rsidR="00200AA9" w:rsidRDefault="00200AA9" w:rsidP="001222D0">
            <w:pPr>
              <w:pStyle w:val="TableBodyText"/>
              <w:jc w:val="left"/>
            </w:pPr>
            <w:r>
              <w:t>A hobby or leisure activity for children</w:t>
            </w:r>
          </w:p>
        </w:tc>
        <w:tc>
          <w:tcPr>
            <w:tcW w:w="645" w:type="pct"/>
            <w:vAlign w:val="bottom"/>
          </w:tcPr>
          <w:p w:rsidR="00200AA9" w:rsidRDefault="00200AA9" w:rsidP="001222D0">
            <w:pPr>
              <w:pStyle w:val="TableBodyText"/>
            </w:pPr>
            <w:r>
              <w:t>92.5</w:t>
            </w:r>
          </w:p>
        </w:tc>
        <w:tc>
          <w:tcPr>
            <w:tcW w:w="587" w:type="pct"/>
            <w:vAlign w:val="bottom"/>
          </w:tcPr>
          <w:p w:rsidR="00200AA9" w:rsidRDefault="00200AA9" w:rsidP="001222D0">
            <w:pPr>
              <w:pStyle w:val="TableBodyText"/>
            </w:pPr>
            <w:r>
              <w:t>93.7</w:t>
            </w:r>
          </w:p>
        </w:tc>
        <w:tc>
          <w:tcPr>
            <w:tcW w:w="643" w:type="pct"/>
            <w:vAlign w:val="bottom"/>
          </w:tcPr>
          <w:p w:rsidR="00200AA9" w:rsidRDefault="00200AA9" w:rsidP="001222D0">
            <w:pPr>
              <w:pStyle w:val="TableBodyText"/>
            </w:pPr>
            <w:r>
              <w:t>74.1</w:t>
            </w:r>
          </w:p>
        </w:tc>
        <w:tc>
          <w:tcPr>
            <w:tcW w:w="475" w:type="pct"/>
            <w:vAlign w:val="bottom"/>
          </w:tcPr>
          <w:p w:rsidR="00200AA9" w:rsidRDefault="00200AA9" w:rsidP="001222D0">
            <w:pPr>
              <w:pStyle w:val="TableBodyText"/>
              <w:ind w:right="28"/>
            </w:pPr>
            <w:r>
              <w:t>54.8</w:t>
            </w:r>
          </w:p>
        </w:tc>
        <w:tc>
          <w:tcPr>
            <w:tcW w:w="643" w:type="pct"/>
            <w:vAlign w:val="bottom"/>
          </w:tcPr>
          <w:p w:rsidR="00200AA9" w:rsidRDefault="00200AA9" w:rsidP="001222D0">
            <w:pPr>
              <w:pStyle w:val="TableBodyText"/>
              <w:ind w:right="28"/>
            </w:pPr>
            <w:r>
              <w:t>5.7</w:t>
            </w:r>
          </w:p>
        </w:tc>
        <w:tc>
          <w:tcPr>
            <w:tcW w:w="474" w:type="pct"/>
            <w:vAlign w:val="bottom"/>
          </w:tcPr>
          <w:p w:rsidR="00200AA9" w:rsidRDefault="00200AA9" w:rsidP="001222D0">
            <w:pPr>
              <w:pStyle w:val="TableBodyText"/>
              <w:ind w:right="28"/>
            </w:pPr>
            <w:r>
              <w:t>23.8</w:t>
            </w:r>
          </w:p>
        </w:tc>
      </w:tr>
      <w:tr w:rsidR="00200AA9" w:rsidTr="001222D0">
        <w:tc>
          <w:tcPr>
            <w:tcW w:w="1533" w:type="pct"/>
            <w:tcBorders>
              <w:bottom w:val="single" w:sz="6" w:space="0" w:color="auto"/>
            </w:tcBorders>
          </w:tcPr>
          <w:p w:rsidR="00200AA9" w:rsidRDefault="00200AA9" w:rsidP="001222D0">
            <w:pPr>
              <w:pStyle w:val="TableBodyText"/>
              <w:jc w:val="left"/>
            </w:pPr>
            <w:r>
              <w:t>A roof and gutters that do not leak</w:t>
            </w:r>
          </w:p>
        </w:tc>
        <w:tc>
          <w:tcPr>
            <w:tcW w:w="645" w:type="pct"/>
            <w:tcBorders>
              <w:bottom w:val="single" w:sz="6" w:space="0" w:color="auto"/>
            </w:tcBorders>
            <w:vAlign w:val="bottom"/>
          </w:tcPr>
          <w:p w:rsidR="00200AA9" w:rsidRDefault="00200AA9" w:rsidP="001222D0">
            <w:pPr>
              <w:pStyle w:val="TableBodyText"/>
            </w:pPr>
            <w:r>
              <w:t>92.3</w:t>
            </w:r>
          </w:p>
        </w:tc>
        <w:tc>
          <w:tcPr>
            <w:tcW w:w="587" w:type="pct"/>
            <w:tcBorders>
              <w:bottom w:val="single" w:sz="6" w:space="0" w:color="auto"/>
            </w:tcBorders>
            <w:vAlign w:val="bottom"/>
          </w:tcPr>
          <w:p w:rsidR="00200AA9" w:rsidRDefault="00200AA9" w:rsidP="001222D0">
            <w:pPr>
              <w:pStyle w:val="TableBodyText"/>
            </w:pPr>
            <w:r>
              <w:t>92.1</w:t>
            </w:r>
          </w:p>
        </w:tc>
        <w:tc>
          <w:tcPr>
            <w:tcW w:w="643" w:type="pct"/>
            <w:tcBorders>
              <w:bottom w:val="single" w:sz="6" w:space="0" w:color="auto"/>
            </w:tcBorders>
            <w:vAlign w:val="bottom"/>
          </w:tcPr>
          <w:p w:rsidR="00200AA9" w:rsidRDefault="00200AA9" w:rsidP="001222D0">
            <w:pPr>
              <w:pStyle w:val="TableBodyText"/>
            </w:pPr>
            <w:r>
              <w:t>90.0</w:t>
            </w:r>
          </w:p>
        </w:tc>
        <w:tc>
          <w:tcPr>
            <w:tcW w:w="475" w:type="pct"/>
            <w:tcBorders>
              <w:bottom w:val="single" w:sz="6" w:space="0" w:color="auto"/>
            </w:tcBorders>
            <w:vAlign w:val="bottom"/>
          </w:tcPr>
          <w:p w:rsidR="00200AA9" w:rsidRDefault="00200AA9" w:rsidP="001222D0">
            <w:pPr>
              <w:pStyle w:val="TableBodyText"/>
              <w:ind w:right="28"/>
            </w:pPr>
            <w:r>
              <w:t>77.8</w:t>
            </w:r>
          </w:p>
        </w:tc>
        <w:tc>
          <w:tcPr>
            <w:tcW w:w="643" w:type="pct"/>
            <w:tcBorders>
              <w:bottom w:val="single" w:sz="6" w:space="0" w:color="auto"/>
            </w:tcBorders>
            <w:vAlign w:val="bottom"/>
          </w:tcPr>
          <w:p w:rsidR="00200AA9" w:rsidRDefault="00200AA9" w:rsidP="001222D0">
            <w:pPr>
              <w:pStyle w:val="TableBodyText"/>
              <w:ind w:right="28"/>
            </w:pPr>
            <w:r>
              <w:t>4.8</w:t>
            </w:r>
          </w:p>
        </w:tc>
        <w:tc>
          <w:tcPr>
            <w:tcW w:w="474" w:type="pct"/>
            <w:tcBorders>
              <w:bottom w:val="single" w:sz="6" w:space="0" w:color="auto"/>
            </w:tcBorders>
            <w:vAlign w:val="bottom"/>
          </w:tcPr>
          <w:p w:rsidR="00200AA9" w:rsidRDefault="00200AA9" w:rsidP="001222D0">
            <w:pPr>
              <w:pStyle w:val="TableBodyText"/>
              <w:ind w:right="28"/>
            </w:pPr>
            <w:r>
              <w:t>12.5</w:t>
            </w:r>
          </w:p>
        </w:tc>
      </w:tr>
    </w:tbl>
    <w:p w:rsidR="00200AA9" w:rsidRDefault="00200AA9" w:rsidP="00200AA9">
      <w:pPr>
        <w:pStyle w:val="Note"/>
      </w:pPr>
      <w:r>
        <w:rPr>
          <w:rStyle w:val="NoteLabel"/>
        </w:rPr>
        <w:t>a</w:t>
      </w:r>
      <w:r>
        <w:rPr>
          <w:rFonts w:cs="Arial"/>
        </w:rPr>
        <w:t xml:space="preserve"> </w:t>
      </w:r>
      <w:r w:rsidR="00946735">
        <w:rPr>
          <w:rFonts w:cs="Arial"/>
        </w:rPr>
        <w:t>P</w:t>
      </w:r>
      <w:r>
        <w:rPr>
          <w:rFonts w:cs="Arial"/>
        </w:rPr>
        <w:t>ercentage of respondents who regarded item</w:t>
      </w:r>
      <w:r w:rsidR="00946735">
        <w:rPr>
          <w:rFonts w:cs="Arial"/>
        </w:rPr>
        <w:t>s</w:t>
      </w:r>
      <w:r>
        <w:rPr>
          <w:rFonts w:cs="Arial"/>
        </w:rPr>
        <w:t xml:space="preserve"> as essential and the proportion who have access to the item.</w:t>
      </w:r>
      <w:r w:rsidR="00946735">
        <w:rPr>
          <w:rFonts w:cs="Arial"/>
        </w:rPr>
        <w:t xml:space="preserve"> Weighted data using ABS population weights is presented where available. </w:t>
      </w:r>
      <w:r w:rsidR="000F0735">
        <w:t xml:space="preserve">Response rates for items that are regarded as essential shown in the table, along with deprivation rates, apply to responses of the whole community and welfare client samples — not just those who are affected by each item. For example, while respondents who do not have children will indicate that they do not have access to items that relate to children, they do not report that this is because they cannot afford these items. As a consequence they will not be recorded as being deprived of these items. </w:t>
      </w:r>
      <w:r>
        <w:rPr>
          <w:rStyle w:val="NoteLabel"/>
        </w:rPr>
        <w:t>b</w:t>
      </w:r>
      <w:r>
        <w:rPr>
          <w:rFonts w:cs="Arial"/>
        </w:rPr>
        <w:t xml:space="preserve"> Randomly collected responses of 2 700 people (response rate of 46 per cent)</w:t>
      </w:r>
      <w:r w:rsidR="00946735">
        <w:rPr>
          <w:rFonts w:cs="Arial"/>
        </w:rPr>
        <w:t xml:space="preserve"> (weighted data)</w:t>
      </w:r>
      <w:r>
        <w:rPr>
          <w:rFonts w:cs="Arial"/>
        </w:rPr>
        <w:t xml:space="preserve">. </w:t>
      </w:r>
      <w:r>
        <w:rPr>
          <w:rStyle w:val="NoteLabel"/>
        </w:rPr>
        <w:t>c</w:t>
      </w:r>
      <w:r>
        <w:t xml:space="preserve"> Responses of 670 disadvantaged clients of Mission Australia, Brotherhood of St Laurence and Anglicare Sydney</w:t>
      </w:r>
      <w:r w:rsidR="00946735">
        <w:t xml:space="preserve"> (unweighted data)</w:t>
      </w:r>
      <w:r>
        <w:t>.</w:t>
      </w:r>
    </w:p>
    <w:p w:rsidR="00200AA9" w:rsidRDefault="00200AA9" w:rsidP="00200AA9">
      <w:pPr>
        <w:pStyle w:val="Source"/>
      </w:pPr>
      <w:r w:rsidRPr="00AE3095">
        <w:rPr>
          <w:i/>
        </w:rPr>
        <w:t>Sources</w:t>
      </w:r>
      <w:r w:rsidRPr="00AE3095">
        <w:t>: SPRC (2007); Saunders (2011).</w:t>
      </w:r>
    </w:p>
    <w:p w:rsidR="004039D2" w:rsidRDefault="004039D2" w:rsidP="004039D2">
      <w:pPr>
        <w:pStyle w:val="BodyText"/>
      </w:pPr>
      <w:r>
        <w:t xml:space="preserve">As noted by the SPRC (2007), the items rated most highly by the community as essential relate to basic needs and services and social and economic participation rather than consumer items: </w:t>
      </w:r>
    </w:p>
    <w:p w:rsidR="004039D2" w:rsidRDefault="004039D2" w:rsidP="004039D2">
      <w:pPr>
        <w:pStyle w:val="Quote"/>
      </w:pPr>
      <w:r>
        <w:t xml:space="preserve">… the findings indicate that Australian views on which items are essential focus on items that satisfy basic material needs, access to key community services, protection against unforeseen risks, and those items that support people’s sense of identity, status and social and economic functioning. </w:t>
      </w:r>
    </w:p>
    <w:p w:rsidR="004039D2" w:rsidRDefault="004039D2" w:rsidP="004039D2">
      <w:pPr>
        <w:pStyle w:val="Quote"/>
      </w:pPr>
      <w:r>
        <w:t xml:space="preserve">… possessing material goods is a less important determinant of people’s standard of living than is often assumed (mainly by economists). People appear to place more weight on their ability to function in society, to access key services when they need </w:t>
      </w:r>
      <w:r>
        <w:lastRenderedPageBreak/>
        <w:t>them, to have a sense of status and identity, and to connect socially with others. (p. 36)</w:t>
      </w:r>
      <w:r>
        <w:rPr>
          <w:rStyle w:val="FootnoteReference"/>
        </w:rPr>
        <w:footnoteReference w:id="15"/>
      </w:r>
    </w:p>
    <w:p w:rsidR="00200AA9" w:rsidRDefault="00200AA9" w:rsidP="004039D2">
      <w:pPr>
        <w:pStyle w:val="BodyText"/>
        <w:spacing w:before="200"/>
      </w:pPr>
      <w:r>
        <w:t xml:space="preserve">The two </w:t>
      </w:r>
      <w:r w:rsidR="00EA581B">
        <w:t>highest ranked</w:t>
      </w:r>
      <w:r>
        <w:t xml:space="preserve"> sources of deprivation identified by both the community and welfare client samples were not being able to afford dental treatment when needed (for household heads) and yearly dental check-ups for children. Almost a half of the welfare client sample and just over one quarter of the community sample were deprived of dental treatment in 2006. While a sample of disadvantaged clients was not included in the 2010 survey, dental services also appeared as the greatest source of deprivation for the community group in 2010.</w:t>
      </w:r>
      <w:r w:rsidRPr="00233A96">
        <w:rPr>
          <w:rStyle w:val="FootnoteReference"/>
        </w:rPr>
        <w:footnoteReference w:id="16"/>
      </w:r>
    </w:p>
    <w:p w:rsidR="00200AA9" w:rsidRDefault="00200AA9" w:rsidP="004039D2">
      <w:pPr>
        <w:pStyle w:val="BodyText"/>
        <w:spacing w:before="200"/>
      </w:pPr>
      <w:r>
        <w:t xml:space="preserve">Having a decent and secure home was the third highest </w:t>
      </w:r>
      <w:r w:rsidR="00EA581B">
        <w:t xml:space="preserve">ranked </w:t>
      </w:r>
      <w:r>
        <w:t xml:space="preserve">item of deprivation for both the community and welfare client samples in 2006. The ability to buy prescribed medicines was the fourth highest form of deprivation for the welfare client sample with around a quarter being deprived of this essential item. </w:t>
      </w:r>
    </w:p>
    <w:p w:rsidR="00200AA9" w:rsidRDefault="00200AA9" w:rsidP="004039D2">
      <w:pPr>
        <w:pStyle w:val="BodyText"/>
        <w:spacing w:before="200"/>
      </w:pPr>
      <w:r>
        <w:t xml:space="preserve">Saunders and the SPRC also measured the degree to which Australians experienced multiple disadvantage — that is, were deprived of a </w:t>
      </w:r>
      <w:r w:rsidRPr="00764D10">
        <w:rPr>
          <w:i/>
        </w:rPr>
        <w:t>number</w:t>
      </w:r>
      <w:r>
        <w:t xml:space="preserve"> of essential items, activities and services because they could not afford them. Not surprisingly, t</w:t>
      </w:r>
      <w:r w:rsidRPr="00ED06D2">
        <w:t xml:space="preserve">he </w:t>
      </w:r>
      <w:r>
        <w:t>lower</w:t>
      </w:r>
      <w:r w:rsidRPr="00ED06D2">
        <w:t xml:space="preserve"> the number of items at which the threshold </w:t>
      </w:r>
      <w:r>
        <w:t>of multiple deprivation wa</w:t>
      </w:r>
      <w:r w:rsidRPr="00ED06D2">
        <w:t>s set</w:t>
      </w:r>
      <w:r>
        <w:t>,</w:t>
      </w:r>
      <w:r w:rsidRPr="00ED06D2">
        <w:t xml:space="preserve"> the </w:t>
      </w:r>
      <w:r>
        <w:t>larg</w:t>
      </w:r>
      <w:r w:rsidRPr="00ED06D2">
        <w:t xml:space="preserve">er </w:t>
      </w:r>
      <w:r>
        <w:t>wa</w:t>
      </w:r>
      <w:r w:rsidRPr="00ED06D2">
        <w:t xml:space="preserve">s the proportion of the adult population </w:t>
      </w:r>
      <w:r>
        <w:t xml:space="preserve">assessed as </w:t>
      </w:r>
      <w:r w:rsidRPr="00ED06D2">
        <w:t>experienc</w:t>
      </w:r>
      <w:r>
        <w:t>ing</w:t>
      </w:r>
      <w:r w:rsidRPr="00ED06D2">
        <w:t xml:space="preserve"> multiple deprivation.</w:t>
      </w:r>
      <w:r>
        <w:t xml:space="preserve"> </w:t>
      </w:r>
      <w:r w:rsidRPr="003F5015">
        <w:t xml:space="preserve">It is implicit in this approach that all items are </w:t>
      </w:r>
      <w:r>
        <w:t xml:space="preserve">weighted equally. </w:t>
      </w:r>
    </w:p>
    <w:p w:rsidR="005D03BE" w:rsidRDefault="005D03BE" w:rsidP="004039D2">
      <w:pPr>
        <w:pStyle w:val="BodyText"/>
        <w:spacing w:before="200"/>
      </w:pPr>
      <w:r>
        <w:t>The</w:t>
      </w:r>
      <w:r w:rsidR="00B06152">
        <w:t xml:space="preserve"> </w:t>
      </w:r>
      <w:r>
        <w:t xml:space="preserve">results </w:t>
      </w:r>
      <w:r w:rsidR="00B06152">
        <w:t xml:space="preserve">of </w:t>
      </w:r>
      <w:r w:rsidR="00061A55">
        <w:t>the SPRC’s</w:t>
      </w:r>
      <w:r w:rsidR="00B06152">
        <w:t xml:space="preserve"> analysis </w:t>
      </w:r>
      <w:r>
        <w:t>show:</w:t>
      </w:r>
    </w:p>
    <w:p w:rsidR="005D03BE" w:rsidRDefault="005D03BE" w:rsidP="004039D2">
      <w:pPr>
        <w:pStyle w:val="ListBullet"/>
        <w:spacing w:before="100"/>
      </w:pPr>
      <w:r>
        <w:t>in 2010, just over 13 per cent of the community aged 18 years plus did not have and could not afford four or more of the 24 items regarded as essential (table </w:t>
      </w:r>
      <w:r w:rsidR="00833BF4">
        <w:t>3.5</w:t>
      </w:r>
      <w:r>
        <w:t>)</w:t>
      </w:r>
    </w:p>
    <w:p w:rsidR="005D03BE" w:rsidRDefault="005D03BE" w:rsidP="005D03BE">
      <w:pPr>
        <w:pStyle w:val="ListBullet2"/>
      </w:pPr>
      <w:r>
        <w:t xml:space="preserve">when the threshold was lowered to three or more essential items, </w:t>
      </w:r>
      <w:r w:rsidR="00EA581B">
        <w:t>the</w:t>
      </w:r>
      <w:r>
        <w:t xml:space="preserve"> share increased to just over 17 per cent (2.9 million adults) </w:t>
      </w:r>
    </w:p>
    <w:p w:rsidR="005D03BE" w:rsidRDefault="005D03BE" w:rsidP="004039D2">
      <w:pPr>
        <w:pStyle w:val="ListBullet"/>
        <w:spacing w:before="100"/>
      </w:pPr>
      <w:r>
        <w:t xml:space="preserve">between </w:t>
      </w:r>
      <w:r w:rsidDel="00462F15">
        <w:t>2006 and 2010</w:t>
      </w:r>
      <w:r>
        <w:t>, m</w:t>
      </w:r>
      <w:r w:rsidDel="00462F15">
        <w:t>ultiple deprivation rates fell marginally for the community sample.</w:t>
      </w:r>
      <w:r>
        <w:t xml:space="preserve"> </w:t>
      </w:r>
    </w:p>
    <w:p w:rsidR="005D03BE" w:rsidDel="00462F15" w:rsidRDefault="005D03BE" w:rsidP="004039D2">
      <w:pPr>
        <w:pStyle w:val="BodyText"/>
        <w:spacing w:before="200"/>
      </w:pPr>
      <w:r w:rsidDel="00462F15">
        <w:t xml:space="preserve">As expected, </w:t>
      </w:r>
      <w:r>
        <w:t xml:space="preserve">despite some small differences in the number of essential items tested, </w:t>
      </w:r>
      <w:r w:rsidDel="00462F15">
        <w:t>the rate of multiple deprivation was much higher for the welfare client sample</w:t>
      </w:r>
      <w:r>
        <w:t xml:space="preserve"> </w:t>
      </w:r>
      <w:r w:rsidDel="00462F15">
        <w:t xml:space="preserve">with </w:t>
      </w:r>
      <w:r w:rsidDel="00462F15">
        <w:lastRenderedPageBreak/>
        <w:t xml:space="preserve">just under 60 per cent of </w:t>
      </w:r>
      <w:r>
        <w:t>the</w:t>
      </w:r>
      <w:r w:rsidDel="00462F15">
        <w:t xml:space="preserve"> group being deprived of </w:t>
      </w:r>
      <w:r>
        <w:t>three</w:t>
      </w:r>
      <w:r w:rsidDel="00462F15">
        <w:t xml:space="preserve"> or more items regarded as essential</w:t>
      </w:r>
      <w:r w:rsidR="00184A3B">
        <w:t xml:space="preserve"> in 2006</w:t>
      </w:r>
      <w:r>
        <w:t>.</w:t>
      </w:r>
      <w:r w:rsidDel="00462F15">
        <w:t xml:space="preserve"> </w:t>
      </w:r>
    </w:p>
    <w:p w:rsidR="00462F15" w:rsidRDefault="00E82E7C" w:rsidP="00805573">
      <w:pPr>
        <w:pStyle w:val="TableTitle"/>
      </w:pPr>
      <w:r>
        <w:rPr>
          <w:b w:val="0"/>
        </w:rPr>
        <w:t xml:space="preserve">Table </w:t>
      </w:r>
      <w:bookmarkStart w:id="10" w:name="OLE_LINK10"/>
      <w:r w:rsidR="00833BF4">
        <w:rPr>
          <w:b w:val="0"/>
        </w:rPr>
        <w:t>3.</w:t>
      </w:r>
      <w:r w:rsidR="0069448C">
        <w:rPr>
          <w:b w:val="0"/>
          <w:noProof/>
        </w:rPr>
        <w:t>5</w:t>
      </w:r>
      <w:bookmarkEnd w:id="10"/>
      <w:r w:rsidR="00462F15">
        <w:tab/>
      </w:r>
      <w:r w:rsidR="00022FAE">
        <w:t>Prevalence</w:t>
      </w:r>
      <w:r w:rsidR="00805573">
        <w:t xml:space="preserve"> of multiple deprivation, </w:t>
      </w:r>
      <w:r w:rsidR="00462F15">
        <w:t>2006</w:t>
      </w:r>
      <w:r w:rsidR="00692724">
        <w:t xml:space="preserve"> and 2010</w:t>
      </w:r>
    </w:p>
    <w:tbl>
      <w:tblPr>
        <w:tblW w:w="5000" w:type="pct"/>
        <w:tblCellMar>
          <w:left w:w="0" w:type="dxa"/>
          <w:right w:w="0" w:type="dxa"/>
        </w:tblCellMar>
        <w:tblLook w:val="0000" w:firstRow="0" w:lastRow="0" w:firstColumn="0" w:lastColumn="0" w:noHBand="0" w:noVBand="0"/>
      </w:tblPr>
      <w:tblGrid>
        <w:gridCol w:w="2341"/>
        <w:gridCol w:w="2150"/>
        <w:gridCol w:w="2150"/>
        <w:gridCol w:w="2148"/>
      </w:tblGrid>
      <w:tr w:rsidR="00462F15" w:rsidTr="009C3C98">
        <w:tc>
          <w:tcPr>
            <w:tcW w:w="1332" w:type="pct"/>
            <w:tcBorders>
              <w:top w:val="single" w:sz="6" w:space="0" w:color="auto"/>
              <w:bottom w:val="single" w:sz="6" w:space="0" w:color="auto"/>
            </w:tcBorders>
            <w:shd w:val="clear" w:color="auto" w:fill="auto"/>
            <w:vAlign w:val="bottom"/>
          </w:tcPr>
          <w:p w:rsidR="00462F15" w:rsidRDefault="00462F15" w:rsidP="009C3C98">
            <w:pPr>
              <w:pStyle w:val="TableColumnHeading"/>
              <w:jc w:val="left"/>
            </w:pPr>
            <w:r>
              <w:t>Number of items lacking because they could not be afforded</w:t>
            </w:r>
          </w:p>
        </w:tc>
        <w:tc>
          <w:tcPr>
            <w:tcW w:w="1223" w:type="pct"/>
            <w:tcBorders>
              <w:top w:val="single" w:sz="6" w:space="0" w:color="auto"/>
              <w:bottom w:val="single" w:sz="6" w:space="0" w:color="auto"/>
            </w:tcBorders>
            <w:shd w:val="clear" w:color="auto" w:fill="auto"/>
            <w:vAlign w:val="bottom"/>
          </w:tcPr>
          <w:p w:rsidR="00462F15" w:rsidRDefault="00462F15" w:rsidP="00C91B2D">
            <w:pPr>
              <w:pStyle w:val="TableColumnHeading"/>
            </w:pPr>
            <w:r>
              <w:t>Community sample</w:t>
            </w:r>
            <w:r w:rsidRPr="008E77FE">
              <w:rPr>
                <w:rStyle w:val="NoteLabel"/>
              </w:rPr>
              <w:t>a</w:t>
            </w:r>
            <w:r>
              <w:t xml:space="preserve"> (</w:t>
            </w:r>
            <w:r w:rsidRPr="00ED06D2">
              <w:t>weighted</w:t>
            </w:r>
            <w:r w:rsidR="00F65571">
              <w:t xml:space="preserve"> data</w:t>
            </w:r>
            <w:r>
              <w:t>)</w:t>
            </w:r>
            <w:r>
              <w:br/>
              <w:t>2006</w:t>
            </w:r>
          </w:p>
        </w:tc>
        <w:tc>
          <w:tcPr>
            <w:tcW w:w="1223" w:type="pct"/>
            <w:tcBorders>
              <w:top w:val="single" w:sz="6" w:space="0" w:color="auto"/>
              <w:bottom w:val="single" w:sz="6" w:space="0" w:color="auto"/>
            </w:tcBorders>
            <w:shd w:val="clear" w:color="auto" w:fill="auto"/>
            <w:vAlign w:val="bottom"/>
          </w:tcPr>
          <w:p w:rsidR="00462F15" w:rsidRDefault="00C91B2D" w:rsidP="00C91B2D">
            <w:pPr>
              <w:pStyle w:val="TableColumnHeading"/>
              <w:ind w:right="28"/>
            </w:pPr>
            <w:r>
              <w:t>Community sample</w:t>
            </w:r>
            <w:r w:rsidR="00462F15" w:rsidRPr="008E77FE">
              <w:rPr>
                <w:rStyle w:val="NoteLabel"/>
              </w:rPr>
              <w:t>a</w:t>
            </w:r>
            <w:r w:rsidR="00462F15">
              <w:t xml:space="preserve"> (</w:t>
            </w:r>
            <w:r w:rsidR="00462F15" w:rsidRPr="00ED06D2">
              <w:t>weighted</w:t>
            </w:r>
            <w:r w:rsidR="00F65571">
              <w:t xml:space="preserve"> data</w:t>
            </w:r>
            <w:r w:rsidR="00462F15">
              <w:t>)</w:t>
            </w:r>
            <w:r w:rsidR="00462F15">
              <w:br/>
              <w:t>2010</w:t>
            </w:r>
          </w:p>
        </w:tc>
        <w:tc>
          <w:tcPr>
            <w:tcW w:w="1223" w:type="pct"/>
            <w:tcBorders>
              <w:top w:val="single" w:sz="6" w:space="0" w:color="auto"/>
              <w:bottom w:val="single" w:sz="6" w:space="0" w:color="auto"/>
            </w:tcBorders>
            <w:vAlign w:val="bottom"/>
          </w:tcPr>
          <w:p w:rsidR="00462F15" w:rsidRDefault="00462F15" w:rsidP="009C3C98">
            <w:pPr>
              <w:pStyle w:val="TableColumnHeading"/>
              <w:ind w:right="28"/>
            </w:pPr>
            <w:r>
              <w:t>Client sample</w:t>
            </w:r>
            <w:r>
              <w:rPr>
                <w:rStyle w:val="NoteLabel"/>
              </w:rPr>
              <w:t>b</w:t>
            </w:r>
            <w:r>
              <w:t xml:space="preserve"> (weighted</w:t>
            </w:r>
            <w:r w:rsidR="00F65571">
              <w:t xml:space="preserve"> data</w:t>
            </w:r>
            <w:r>
              <w:t>)</w:t>
            </w:r>
          </w:p>
          <w:p w:rsidR="00462F15" w:rsidRDefault="00462F15" w:rsidP="009C3C98">
            <w:pPr>
              <w:pStyle w:val="TableColumnHeading"/>
              <w:ind w:right="28"/>
            </w:pPr>
            <w:r>
              <w:t>2006</w:t>
            </w:r>
          </w:p>
        </w:tc>
      </w:tr>
      <w:tr w:rsidR="00692724" w:rsidTr="00692724">
        <w:tc>
          <w:tcPr>
            <w:tcW w:w="1332" w:type="pct"/>
            <w:tcBorders>
              <w:top w:val="single" w:sz="6" w:space="0" w:color="auto"/>
            </w:tcBorders>
          </w:tcPr>
          <w:p w:rsidR="00692724" w:rsidRDefault="00692724" w:rsidP="00462F15">
            <w:pPr>
              <w:pStyle w:val="TableUnitsRow"/>
              <w:jc w:val="left"/>
            </w:pPr>
          </w:p>
        </w:tc>
        <w:tc>
          <w:tcPr>
            <w:tcW w:w="1223" w:type="pct"/>
            <w:tcBorders>
              <w:top w:val="single" w:sz="6" w:space="0" w:color="auto"/>
            </w:tcBorders>
          </w:tcPr>
          <w:p w:rsidR="00692724" w:rsidRDefault="00692724" w:rsidP="00462F15">
            <w:pPr>
              <w:pStyle w:val="TableUnitsRow"/>
            </w:pPr>
            <w:r>
              <w:t>%</w:t>
            </w:r>
          </w:p>
        </w:tc>
        <w:tc>
          <w:tcPr>
            <w:tcW w:w="1223" w:type="pct"/>
            <w:tcBorders>
              <w:top w:val="single" w:sz="6" w:space="0" w:color="auto"/>
            </w:tcBorders>
          </w:tcPr>
          <w:p w:rsidR="00692724" w:rsidRDefault="00692724" w:rsidP="00462F15">
            <w:pPr>
              <w:pStyle w:val="TableUnitsRow"/>
              <w:ind w:right="28"/>
            </w:pPr>
            <w:r>
              <w:t>%</w:t>
            </w:r>
          </w:p>
        </w:tc>
        <w:tc>
          <w:tcPr>
            <w:tcW w:w="1223" w:type="pct"/>
            <w:tcBorders>
              <w:top w:val="single" w:sz="6" w:space="0" w:color="auto"/>
            </w:tcBorders>
          </w:tcPr>
          <w:p w:rsidR="00692724" w:rsidRDefault="00692724" w:rsidP="00462F15">
            <w:pPr>
              <w:pStyle w:val="TableUnitsRow"/>
              <w:ind w:right="28"/>
            </w:pPr>
            <w:r>
              <w:t>%</w:t>
            </w:r>
          </w:p>
        </w:tc>
      </w:tr>
      <w:tr w:rsidR="00462F15" w:rsidTr="00692724">
        <w:tc>
          <w:tcPr>
            <w:tcW w:w="1332" w:type="pct"/>
          </w:tcPr>
          <w:p w:rsidR="00462F15" w:rsidRDefault="00462F15" w:rsidP="00462F15">
            <w:pPr>
              <w:pStyle w:val="TableUnitsRow"/>
              <w:jc w:val="left"/>
            </w:pPr>
            <w:r>
              <w:t>None</w:t>
            </w:r>
          </w:p>
        </w:tc>
        <w:tc>
          <w:tcPr>
            <w:tcW w:w="1223" w:type="pct"/>
          </w:tcPr>
          <w:p w:rsidR="00462F15" w:rsidRDefault="00462F15" w:rsidP="00462F15">
            <w:pPr>
              <w:pStyle w:val="TableUnitsRow"/>
            </w:pPr>
            <w:r>
              <w:t>60.4</w:t>
            </w:r>
          </w:p>
        </w:tc>
        <w:tc>
          <w:tcPr>
            <w:tcW w:w="1223" w:type="pct"/>
          </w:tcPr>
          <w:p w:rsidR="00462F15" w:rsidRDefault="00462F15" w:rsidP="00462F15">
            <w:pPr>
              <w:pStyle w:val="TableUnitsRow"/>
              <w:ind w:right="28"/>
            </w:pPr>
            <w:r>
              <w:t>63.2</w:t>
            </w:r>
          </w:p>
        </w:tc>
        <w:tc>
          <w:tcPr>
            <w:tcW w:w="1223" w:type="pct"/>
          </w:tcPr>
          <w:p w:rsidR="00462F15" w:rsidRDefault="00462F15" w:rsidP="00462F15">
            <w:pPr>
              <w:pStyle w:val="TableUnitsRow"/>
              <w:ind w:right="28"/>
            </w:pPr>
            <w:r>
              <w:t>25.2</w:t>
            </w:r>
          </w:p>
        </w:tc>
      </w:tr>
      <w:tr w:rsidR="00462F15" w:rsidTr="009E754D">
        <w:tc>
          <w:tcPr>
            <w:tcW w:w="1332" w:type="pct"/>
          </w:tcPr>
          <w:p w:rsidR="00462F15" w:rsidRDefault="00462F15" w:rsidP="00462F15">
            <w:pPr>
              <w:pStyle w:val="TableBodyText"/>
              <w:jc w:val="left"/>
            </w:pPr>
            <w:r>
              <w:t>1 or more</w:t>
            </w:r>
          </w:p>
        </w:tc>
        <w:tc>
          <w:tcPr>
            <w:tcW w:w="1223" w:type="pct"/>
          </w:tcPr>
          <w:p w:rsidR="00462F15" w:rsidRDefault="00462F15" w:rsidP="00462F15">
            <w:pPr>
              <w:pStyle w:val="TableBodyText"/>
            </w:pPr>
            <w:r>
              <w:t>39.6</w:t>
            </w:r>
          </w:p>
        </w:tc>
        <w:tc>
          <w:tcPr>
            <w:tcW w:w="1223" w:type="pct"/>
          </w:tcPr>
          <w:p w:rsidR="00462F15" w:rsidRDefault="00462F15" w:rsidP="00462F15">
            <w:pPr>
              <w:pStyle w:val="TableBodyText"/>
              <w:ind w:right="28"/>
            </w:pPr>
            <w:r>
              <w:t>36.8</w:t>
            </w:r>
          </w:p>
        </w:tc>
        <w:tc>
          <w:tcPr>
            <w:tcW w:w="1223" w:type="pct"/>
          </w:tcPr>
          <w:p w:rsidR="00462F15" w:rsidRDefault="00462F15" w:rsidP="00462F15">
            <w:pPr>
              <w:pStyle w:val="TableBodyText"/>
              <w:ind w:right="28"/>
            </w:pPr>
            <w:r>
              <w:t>74.8</w:t>
            </w:r>
          </w:p>
        </w:tc>
      </w:tr>
      <w:tr w:rsidR="00462F15" w:rsidTr="009E754D">
        <w:tc>
          <w:tcPr>
            <w:tcW w:w="1332" w:type="pct"/>
          </w:tcPr>
          <w:p w:rsidR="00462F15" w:rsidRDefault="00462F15" w:rsidP="00462F15">
            <w:pPr>
              <w:pStyle w:val="TableBodyText"/>
              <w:jc w:val="left"/>
            </w:pPr>
            <w:r>
              <w:t>2 or more</w:t>
            </w:r>
          </w:p>
        </w:tc>
        <w:tc>
          <w:tcPr>
            <w:tcW w:w="1223" w:type="pct"/>
          </w:tcPr>
          <w:p w:rsidR="00462F15" w:rsidRDefault="00462F15" w:rsidP="00462F15">
            <w:pPr>
              <w:pStyle w:val="TableBodyText"/>
            </w:pPr>
            <w:r>
              <w:t>27.2</w:t>
            </w:r>
          </w:p>
        </w:tc>
        <w:tc>
          <w:tcPr>
            <w:tcW w:w="1223" w:type="pct"/>
          </w:tcPr>
          <w:p w:rsidR="00462F15" w:rsidRDefault="00462F15" w:rsidP="00462F15">
            <w:pPr>
              <w:pStyle w:val="TableBodyText"/>
              <w:ind w:right="28"/>
            </w:pPr>
            <w:r>
              <w:t>24.5</w:t>
            </w:r>
          </w:p>
        </w:tc>
        <w:tc>
          <w:tcPr>
            <w:tcW w:w="1223" w:type="pct"/>
          </w:tcPr>
          <w:p w:rsidR="00462F15" w:rsidRDefault="00462F15" w:rsidP="00462F15">
            <w:pPr>
              <w:pStyle w:val="TableBodyText"/>
              <w:ind w:right="28"/>
            </w:pPr>
            <w:r>
              <w:t>64.7</w:t>
            </w:r>
          </w:p>
        </w:tc>
      </w:tr>
      <w:tr w:rsidR="00462F15" w:rsidTr="009E754D">
        <w:tc>
          <w:tcPr>
            <w:tcW w:w="1332" w:type="pct"/>
          </w:tcPr>
          <w:p w:rsidR="00462F15" w:rsidRDefault="00462F15" w:rsidP="00462F15">
            <w:pPr>
              <w:pStyle w:val="TableBodyText"/>
              <w:jc w:val="left"/>
            </w:pPr>
            <w:r>
              <w:t>3 or more</w:t>
            </w:r>
          </w:p>
        </w:tc>
        <w:tc>
          <w:tcPr>
            <w:tcW w:w="1223" w:type="pct"/>
          </w:tcPr>
          <w:p w:rsidR="00462F15" w:rsidRDefault="00462F15" w:rsidP="00462F15">
            <w:pPr>
              <w:pStyle w:val="TableBodyText"/>
            </w:pPr>
            <w:r>
              <w:t>19.8</w:t>
            </w:r>
          </w:p>
        </w:tc>
        <w:tc>
          <w:tcPr>
            <w:tcW w:w="1223" w:type="pct"/>
          </w:tcPr>
          <w:p w:rsidR="00462F15" w:rsidRDefault="00462F15" w:rsidP="008828FE">
            <w:pPr>
              <w:pStyle w:val="TableBodyText"/>
              <w:ind w:right="28"/>
            </w:pPr>
            <w:r>
              <w:t>17.</w:t>
            </w:r>
            <w:r w:rsidR="008828FE">
              <w:t>3</w:t>
            </w:r>
          </w:p>
        </w:tc>
        <w:tc>
          <w:tcPr>
            <w:tcW w:w="1223" w:type="pct"/>
          </w:tcPr>
          <w:p w:rsidR="00462F15" w:rsidRDefault="00462F15" w:rsidP="00462F15">
            <w:pPr>
              <w:pStyle w:val="TableBodyText"/>
              <w:ind w:right="28"/>
            </w:pPr>
            <w:r>
              <w:t>59.0</w:t>
            </w:r>
          </w:p>
        </w:tc>
      </w:tr>
      <w:tr w:rsidR="00462F15" w:rsidTr="009E754D">
        <w:tc>
          <w:tcPr>
            <w:tcW w:w="1332" w:type="pct"/>
          </w:tcPr>
          <w:p w:rsidR="00462F15" w:rsidRDefault="00462F15" w:rsidP="00462F15">
            <w:pPr>
              <w:pStyle w:val="TableBodyText"/>
              <w:jc w:val="left"/>
            </w:pPr>
            <w:r>
              <w:t>4 or more</w:t>
            </w:r>
          </w:p>
        </w:tc>
        <w:tc>
          <w:tcPr>
            <w:tcW w:w="1223" w:type="pct"/>
          </w:tcPr>
          <w:p w:rsidR="00462F15" w:rsidRDefault="00462F15" w:rsidP="00462F15">
            <w:pPr>
              <w:pStyle w:val="TableBodyText"/>
            </w:pPr>
            <w:r>
              <w:t>14.8</w:t>
            </w:r>
          </w:p>
        </w:tc>
        <w:tc>
          <w:tcPr>
            <w:tcW w:w="1223" w:type="pct"/>
          </w:tcPr>
          <w:p w:rsidR="00462F15" w:rsidRDefault="00462F15" w:rsidP="00462F15">
            <w:pPr>
              <w:pStyle w:val="TableBodyText"/>
              <w:ind w:right="28"/>
            </w:pPr>
            <w:r>
              <w:t>13.1</w:t>
            </w:r>
          </w:p>
        </w:tc>
        <w:tc>
          <w:tcPr>
            <w:tcW w:w="1223" w:type="pct"/>
          </w:tcPr>
          <w:p w:rsidR="00462F15" w:rsidRDefault="00462F15" w:rsidP="00462F15">
            <w:pPr>
              <w:pStyle w:val="TableBodyText"/>
              <w:ind w:right="28"/>
            </w:pPr>
            <w:r>
              <w:t>52.7</w:t>
            </w:r>
          </w:p>
        </w:tc>
      </w:tr>
      <w:tr w:rsidR="00462F15" w:rsidTr="009E754D">
        <w:tc>
          <w:tcPr>
            <w:tcW w:w="1332" w:type="pct"/>
          </w:tcPr>
          <w:p w:rsidR="00462F15" w:rsidRDefault="00462F15" w:rsidP="00462F15">
            <w:pPr>
              <w:pStyle w:val="TableBodyText"/>
              <w:jc w:val="left"/>
            </w:pPr>
            <w:r>
              <w:t>5 or more</w:t>
            </w:r>
          </w:p>
        </w:tc>
        <w:tc>
          <w:tcPr>
            <w:tcW w:w="1223" w:type="pct"/>
          </w:tcPr>
          <w:p w:rsidR="00462F15" w:rsidRDefault="00462F15" w:rsidP="00462F15">
            <w:pPr>
              <w:pStyle w:val="TableBodyText"/>
            </w:pPr>
            <w:r>
              <w:t>11.6</w:t>
            </w:r>
          </w:p>
        </w:tc>
        <w:tc>
          <w:tcPr>
            <w:tcW w:w="1223" w:type="pct"/>
          </w:tcPr>
          <w:p w:rsidR="00462F15" w:rsidRDefault="00462F15" w:rsidP="00462F15">
            <w:pPr>
              <w:pStyle w:val="TableBodyText"/>
              <w:ind w:right="28"/>
            </w:pPr>
            <w:r>
              <w:t>10.3</w:t>
            </w:r>
          </w:p>
        </w:tc>
        <w:tc>
          <w:tcPr>
            <w:tcW w:w="1223" w:type="pct"/>
          </w:tcPr>
          <w:p w:rsidR="00462F15" w:rsidRDefault="00462F15" w:rsidP="00462F15">
            <w:pPr>
              <w:pStyle w:val="TableBodyText"/>
              <w:ind w:right="28"/>
            </w:pPr>
            <w:r>
              <w:t>45.5</w:t>
            </w:r>
          </w:p>
        </w:tc>
      </w:tr>
      <w:tr w:rsidR="00462F15" w:rsidTr="009E754D">
        <w:tc>
          <w:tcPr>
            <w:tcW w:w="1332" w:type="pct"/>
          </w:tcPr>
          <w:p w:rsidR="00462F15" w:rsidRDefault="00462F15" w:rsidP="00462F15">
            <w:pPr>
              <w:pStyle w:val="TableBodyText"/>
              <w:jc w:val="left"/>
            </w:pPr>
            <w:r>
              <w:t>6 or more</w:t>
            </w:r>
          </w:p>
        </w:tc>
        <w:tc>
          <w:tcPr>
            <w:tcW w:w="1223" w:type="pct"/>
          </w:tcPr>
          <w:p w:rsidR="00462F15" w:rsidRDefault="00462F15" w:rsidP="00462F15">
            <w:pPr>
              <w:pStyle w:val="TableBodyText"/>
            </w:pPr>
            <w:r>
              <w:t>8.4</w:t>
            </w:r>
          </w:p>
        </w:tc>
        <w:tc>
          <w:tcPr>
            <w:tcW w:w="1223" w:type="pct"/>
          </w:tcPr>
          <w:p w:rsidR="00462F15" w:rsidRDefault="00462F15" w:rsidP="00462F15">
            <w:pPr>
              <w:pStyle w:val="TableBodyText"/>
              <w:ind w:right="28"/>
            </w:pPr>
            <w:r>
              <w:t>7.6</w:t>
            </w:r>
          </w:p>
        </w:tc>
        <w:tc>
          <w:tcPr>
            <w:tcW w:w="1223" w:type="pct"/>
          </w:tcPr>
          <w:p w:rsidR="00462F15" w:rsidRDefault="00462F15" w:rsidP="00462F15">
            <w:pPr>
              <w:pStyle w:val="TableBodyText"/>
              <w:ind w:right="28"/>
            </w:pPr>
            <w:r>
              <w:t>40.0</w:t>
            </w:r>
          </w:p>
        </w:tc>
      </w:tr>
      <w:tr w:rsidR="00462F15" w:rsidTr="009E754D">
        <w:tc>
          <w:tcPr>
            <w:tcW w:w="1332" w:type="pct"/>
          </w:tcPr>
          <w:p w:rsidR="00462F15" w:rsidRDefault="00462F15" w:rsidP="00462F15">
            <w:pPr>
              <w:pStyle w:val="TableBodyText"/>
              <w:jc w:val="left"/>
            </w:pPr>
            <w:r>
              <w:t>7 or more</w:t>
            </w:r>
          </w:p>
        </w:tc>
        <w:tc>
          <w:tcPr>
            <w:tcW w:w="1223" w:type="pct"/>
          </w:tcPr>
          <w:p w:rsidR="00462F15" w:rsidRDefault="00462F15" w:rsidP="00462F15">
            <w:pPr>
              <w:pStyle w:val="TableBodyText"/>
            </w:pPr>
            <w:r>
              <w:t>6.2</w:t>
            </w:r>
          </w:p>
        </w:tc>
        <w:tc>
          <w:tcPr>
            <w:tcW w:w="1223" w:type="pct"/>
          </w:tcPr>
          <w:p w:rsidR="00462F15" w:rsidRDefault="00462F15" w:rsidP="00462F15">
            <w:pPr>
              <w:pStyle w:val="TableBodyText"/>
              <w:ind w:right="28"/>
            </w:pPr>
            <w:r>
              <w:t>5.8</w:t>
            </w:r>
          </w:p>
        </w:tc>
        <w:tc>
          <w:tcPr>
            <w:tcW w:w="1223" w:type="pct"/>
          </w:tcPr>
          <w:p w:rsidR="00462F15" w:rsidRDefault="00462F15" w:rsidP="00462F15">
            <w:pPr>
              <w:pStyle w:val="TableBodyText"/>
              <w:ind w:right="28"/>
            </w:pPr>
            <w:r>
              <w:t>31.5</w:t>
            </w:r>
          </w:p>
        </w:tc>
      </w:tr>
      <w:tr w:rsidR="00462F15" w:rsidTr="009E754D">
        <w:tc>
          <w:tcPr>
            <w:tcW w:w="1332" w:type="pct"/>
          </w:tcPr>
          <w:p w:rsidR="00462F15" w:rsidRDefault="00462F15" w:rsidP="00462F15">
            <w:pPr>
              <w:pStyle w:val="TableBodyText"/>
              <w:jc w:val="left"/>
            </w:pPr>
            <w:r>
              <w:t>8 or more</w:t>
            </w:r>
          </w:p>
        </w:tc>
        <w:tc>
          <w:tcPr>
            <w:tcW w:w="1223" w:type="pct"/>
          </w:tcPr>
          <w:p w:rsidR="00462F15" w:rsidRDefault="00462F15" w:rsidP="00462F15">
            <w:pPr>
              <w:pStyle w:val="TableBodyText"/>
            </w:pPr>
            <w:r>
              <w:t>4.7</w:t>
            </w:r>
          </w:p>
        </w:tc>
        <w:tc>
          <w:tcPr>
            <w:tcW w:w="1223" w:type="pct"/>
          </w:tcPr>
          <w:p w:rsidR="00462F15" w:rsidRDefault="00462F15" w:rsidP="00462F15">
            <w:pPr>
              <w:pStyle w:val="TableBodyText"/>
              <w:ind w:right="28"/>
            </w:pPr>
            <w:r>
              <w:t>4.2</w:t>
            </w:r>
          </w:p>
        </w:tc>
        <w:tc>
          <w:tcPr>
            <w:tcW w:w="1223" w:type="pct"/>
          </w:tcPr>
          <w:p w:rsidR="00462F15" w:rsidRDefault="00462F15" w:rsidP="00462F15">
            <w:pPr>
              <w:pStyle w:val="TableBodyText"/>
              <w:ind w:right="28"/>
            </w:pPr>
            <w:r>
              <w:t>26.6</w:t>
            </w:r>
          </w:p>
        </w:tc>
      </w:tr>
      <w:tr w:rsidR="00462F15" w:rsidTr="009E754D">
        <w:tc>
          <w:tcPr>
            <w:tcW w:w="1332" w:type="pct"/>
          </w:tcPr>
          <w:p w:rsidR="00462F15" w:rsidRDefault="00462F15" w:rsidP="00462F15">
            <w:pPr>
              <w:pStyle w:val="TableBodyText"/>
              <w:jc w:val="left"/>
            </w:pPr>
            <w:r>
              <w:t>9 or more</w:t>
            </w:r>
          </w:p>
        </w:tc>
        <w:tc>
          <w:tcPr>
            <w:tcW w:w="1223" w:type="pct"/>
          </w:tcPr>
          <w:p w:rsidR="00462F15" w:rsidRDefault="00462F15" w:rsidP="00462F15">
            <w:pPr>
              <w:pStyle w:val="TableBodyText"/>
            </w:pPr>
            <w:r>
              <w:t>3.5</w:t>
            </w:r>
          </w:p>
        </w:tc>
        <w:tc>
          <w:tcPr>
            <w:tcW w:w="1223" w:type="pct"/>
          </w:tcPr>
          <w:p w:rsidR="00462F15" w:rsidRDefault="00462F15" w:rsidP="00462F15">
            <w:pPr>
              <w:pStyle w:val="TableBodyText"/>
              <w:ind w:right="28"/>
            </w:pPr>
            <w:r>
              <w:t>2.7</w:t>
            </w:r>
          </w:p>
        </w:tc>
        <w:tc>
          <w:tcPr>
            <w:tcW w:w="1223" w:type="pct"/>
          </w:tcPr>
          <w:p w:rsidR="00462F15" w:rsidRDefault="00462F15" w:rsidP="00462F15">
            <w:pPr>
              <w:pStyle w:val="TableBodyText"/>
              <w:ind w:right="28"/>
            </w:pPr>
            <w:r>
              <w:t>21.8</w:t>
            </w:r>
          </w:p>
        </w:tc>
      </w:tr>
      <w:tr w:rsidR="00462F15" w:rsidTr="009E754D">
        <w:tc>
          <w:tcPr>
            <w:tcW w:w="1332" w:type="pct"/>
            <w:tcBorders>
              <w:bottom w:val="single" w:sz="6" w:space="0" w:color="auto"/>
            </w:tcBorders>
            <w:shd w:val="clear" w:color="auto" w:fill="auto"/>
          </w:tcPr>
          <w:p w:rsidR="00462F15" w:rsidRDefault="00462F15" w:rsidP="00462F15">
            <w:pPr>
              <w:pStyle w:val="TableBodyText"/>
              <w:jc w:val="left"/>
            </w:pPr>
            <w:r>
              <w:t>10 or more</w:t>
            </w:r>
          </w:p>
        </w:tc>
        <w:tc>
          <w:tcPr>
            <w:tcW w:w="1223" w:type="pct"/>
            <w:tcBorders>
              <w:bottom w:val="single" w:sz="6" w:space="0" w:color="auto"/>
            </w:tcBorders>
            <w:shd w:val="clear" w:color="auto" w:fill="auto"/>
          </w:tcPr>
          <w:p w:rsidR="00462F15" w:rsidRDefault="00462F15" w:rsidP="00462F15">
            <w:pPr>
              <w:pStyle w:val="TableBodyText"/>
            </w:pPr>
            <w:r>
              <w:t>2.2</w:t>
            </w:r>
          </w:p>
        </w:tc>
        <w:tc>
          <w:tcPr>
            <w:tcW w:w="1223" w:type="pct"/>
            <w:tcBorders>
              <w:bottom w:val="single" w:sz="6" w:space="0" w:color="auto"/>
            </w:tcBorders>
            <w:shd w:val="clear" w:color="auto" w:fill="auto"/>
          </w:tcPr>
          <w:p w:rsidR="00462F15" w:rsidRDefault="00462F15" w:rsidP="00462F15">
            <w:pPr>
              <w:pStyle w:val="TableBodyText"/>
              <w:ind w:right="28"/>
            </w:pPr>
            <w:r>
              <w:t>2.1</w:t>
            </w:r>
          </w:p>
        </w:tc>
        <w:tc>
          <w:tcPr>
            <w:tcW w:w="1223" w:type="pct"/>
            <w:tcBorders>
              <w:bottom w:val="single" w:sz="6" w:space="0" w:color="auto"/>
            </w:tcBorders>
          </w:tcPr>
          <w:p w:rsidR="00462F15" w:rsidRDefault="00462F15" w:rsidP="00462F15">
            <w:pPr>
              <w:pStyle w:val="TableBodyText"/>
              <w:ind w:right="28"/>
            </w:pPr>
            <w:r>
              <w:t>16.5</w:t>
            </w:r>
          </w:p>
        </w:tc>
      </w:tr>
    </w:tbl>
    <w:p w:rsidR="00462F15" w:rsidRDefault="00462F15" w:rsidP="00462F15">
      <w:pPr>
        <w:pStyle w:val="Source"/>
      </w:pPr>
      <w:r w:rsidRPr="008E77FE">
        <w:rPr>
          <w:rStyle w:val="NoteLabel"/>
        </w:rPr>
        <w:t>a</w:t>
      </w:r>
      <w:r>
        <w:t xml:space="preserve"> Community data is based on responses for 24 items considered essential that were common to both the 2006 and 2010 surveys </w:t>
      </w:r>
      <w:r>
        <w:rPr>
          <w:rStyle w:val="NoteLabel"/>
        </w:rPr>
        <w:t>b</w:t>
      </w:r>
      <w:r w:rsidR="00331C61">
        <w:rPr>
          <w:rStyle w:val="NoteLabel"/>
        </w:rPr>
        <w:t xml:space="preserve"> </w:t>
      </w:r>
      <w:r w:rsidRPr="004654F2">
        <w:t xml:space="preserve">Client </w:t>
      </w:r>
      <w:r>
        <w:t>data are based on responses for 26 items considered essential in 2006. The two additional items for the 2006 survey were having a television and having a separate bedroom for children aged over 10.</w:t>
      </w:r>
      <w:r w:rsidR="00112354">
        <w:t xml:space="preserve"> A</w:t>
      </w:r>
      <w:r>
        <w:t xml:space="preserve"> client sample was not included in the 2010 PEMA survey</w:t>
      </w:r>
      <w:r w:rsidR="00112354">
        <w:t>.</w:t>
      </w:r>
    </w:p>
    <w:p w:rsidR="00462F15" w:rsidRDefault="00462F15" w:rsidP="00462F15">
      <w:pPr>
        <w:pStyle w:val="Source"/>
      </w:pPr>
      <w:r>
        <w:rPr>
          <w:i/>
        </w:rPr>
        <w:t>Source</w:t>
      </w:r>
      <w:r w:rsidR="0074027C">
        <w:rPr>
          <w:i/>
        </w:rPr>
        <w:t>s</w:t>
      </w:r>
      <w:r>
        <w:t>: Saunders and Wong (2012)</w:t>
      </w:r>
      <w:r w:rsidR="00EE4B21">
        <w:t xml:space="preserve">; </w:t>
      </w:r>
      <w:r w:rsidR="00DE6D41">
        <w:t>Saunders, Naidoo and Griffiths (2007).</w:t>
      </w:r>
    </w:p>
    <w:p w:rsidR="003529B7" w:rsidRDefault="003529B7" w:rsidP="00764D10">
      <w:pPr>
        <w:pStyle w:val="BodyText"/>
      </w:pPr>
      <w:r>
        <w:t>T</w:t>
      </w:r>
      <w:r w:rsidR="001B67D2">
        <w:t xml:space="preserve">he construction of measures of </w:t>
      </w:r>
      <w:r w:rsidR="00480711">
        <w:t xml:space="preserve">multiple deprivation </w:t>
      </w:r>
      <w:r w:rsidR="001B67D2">
        <w:t>rely on a number of</w:t>
      </w:r>
      <w:r w:rsidR="00E176B7">
        <w:t xml:space="preserve"> </w:t>
      </w:r>
      <w:r w:rsidR="00A15766">
        <w:t xml:space="preserve">subjective </w:t>
      </w:r>
      <w:r w:rsidR="00E176B7">
        <w:t>value judgments</w:t>
      </w:r>
      <w:r w:rsidR="001B67D2">
        <w:t>.</w:t>
      </w:r>
      <w:r w:rsidR="00E176B7">
        <w:t xml:space="preserve"> </w:t>
      </w:r>
      <w:r w:rsidR="001B67D2">
        <w:t>These include</w:t>
      </w:r>
      <w:r>
        <w:t>:</w:t>
      </w:r>
    </w:p>
    <w:p w:rsidR="003529B7" w:rsidRDefault="000B3DD0" w:rsidP="00003764">
      <w:pPr>
        <w:pStyle w:val="ListBullet"/>
      </w:pPr>
      <w:r>
        <w:t>whether</w:t>
      </w:r>
      <w:r w:rsidR="00480711">
        <w:t xml:space="preserve"> all items</w:t>
      </w:r>
      <w:r w:rsidR="002648AA">
        <w:t xml:space="preserve">, services and activities </w:t>
      </w:r>
      <w:r w:rsidR="00DD4741">
        <w:t xml:space="preserve">are </w:t>
      </w:r>
      <w:r w:rsidR="003529B7">
        <w:t xml:space="preserve">treated as </w:t>
      </w:r>
      <w:r w:rsidR="0043560D">
        <w:t xml:space="preserve">being </w:t>
      </w:r>
      <w:r w:rsidR="00DD4741">
        <w:t xml:space="preserve">equally important </w:t>
      </w:r>
      <w:r w:rsidR="00E94F2E">
        <w:t>(</w:t>
      </w:r>
      <w:r w:rsidR="00DD4741">
        <w:t xml:space="preserve">and therefore </w:t>
      </w:r>
      <w:r w:rsidR="00480711">
        <w:t xml:space="preserve">should be weighted </w:t>
      </w:r>
      <w:r w:rsidR="00DD4741">
        <w:t>equally</w:t>
      </w:r>
      <w:r w:rsidR="00E94F2E">
        <w:t>)</w:t>
      </w:r>
    </w:p>
    <w:p w:rsidR="003529B7" w:rsidRDefault="00E904E2" w:rsidP="00003764">
      <w:pPr>
        <w:pStyle w:val="ListBullet"/>
      </w:pPr>
      <w:r>
        <w:t xml:space="preserve">whether </w:t>
      </w:r>
      <w:r w:rsidR="000B3DD0">
        <w:t>p</w:t>
      </w:r>
      <w:r w:rsidR="00E176B7">
        <w:t xml:space="preserve">references for items, activities and services </w:t>
      </w:r>
      <w:r w:rsidR="003529B7">
        <w:t xml:space="preserve">are assumed to be stable </w:t>
      </w:r>
      <w:r w:rsidR="00E176B7">
        <w:t>over the life cycle</w:t>
      </w:r>
      <w:r w:rsidR="00C55203">
        <w:t xml:space="preserve"> (</w:t>
      </w:r>
      <w:r w:rsidR="00DD4741">
        <w:t xml:space="preserve">such as </w:t>
      </w:r>
      <w:r w:rsidR="00487F79">
        <w:t>changing</w:t>
      </w:r>
      <w:r w:rsidR="002648AA">
        <w:t xml:space="preserve"> need</w:t>
      </w:r>
      <w:r w:rsidR="00487F79">
        <w:t>s</w:t>
      </w:r>
      <w:r w:rsidR="002648AA">
        <w:t xml:space="preserve"> for </w:t>
      </w:r>
      <w:r w:rsidR="00C55203">
        <w:t>child and aged care services)</w:t>
      </w:r>
    </w:p>
    <w:p w:rsidR="003529B7" w:rsidRDefault="00480711" w:rsidP="00003764">
      <w:pPr>
        <w:pStyle w:val="ListBullet"/>
      </w:pPr>
      <w:r>
        <w:t xml:space="preserve">where the threshold for multiple deprivation </w:t>
      </w:r>
      <w:r w:rsidR="00E94F2E">
        <w:t>is</w:t>
      </w:r>
      <w:r>
        <w:t xml:space="preserve"> set</w:t>
      </w:r>
      <w:r w:rsidR="000B3DD0">
        <w:t xml:space="preserve">. </w:t>
      </w:r>
    </w:p>
    <w:p w:rsidR="002648AA" w:rsidRPr="00480711" w:rsidRDefault="000B3DD0">
      <w:pPr>
        <w:pStyle w:val="BodyText"/>
      </w:pPr>
      <w:r>
        <w:t>The last judgment is particularly important</w:t>
      </w:r>
      <w:r w:rsidR="00DD4741">
        <w:t>. De</w:t>
      </w:r>
      <w:r>
        <w:t xml:space="preserve">cisions about whether </w:t>
      </w:r>
      <w:r w:rsidR="00E176B7">
        <w:t xml:space="preserve">the threshold </w:t>
      </w:r>
      <w:r>
        <w:t xml:space="preserve">should </w:t>
      </w:r>
      <w:r w:rsidR="00E176B7">
        <w:t xml:space="preserve">be set at </w:t>
      </w:r>
      <w:r w:rsidR="00DD4741">
        <w:t xml:space="preserve">say </w:t>
      </w:r>
      <w:r w:rsidR="00480711">
        <w:t xml:space="preserve">three, four, or five </w:t>
      </w:r>
      <w:r w:rsidR="00E176B7">
        <w:t>items, activities or services</w:t>
      </w:r>
      <w:r w:rsidR="00DD4741">
        <w:t>,</w:t>
      </w:r>
      <w:r>
        <w:t xml:space="preserve"> directly influences the number of </w:t>
      </w:r>
      <w:r w:rsidR="00A15766">
        <w:t xml:space="preserve">Australians </w:t>
      </w:r>
      <w:r>
        <w:t xml:space="preserve">defined as experiencing multiple </w:t>
      </w:r>
      <w:r w:rsidR="001C022C">
        <w:t>deprivation</w:t>
      </w:r>
      <w:r>
        <w:t>.</w:t>
      </w:r>
    </w:p>
    <w:p w:rsidR="00315B69" w:rsidRDefault="00833BF4" w:rsidP="0074027C">
      <w:pPr>
        <w:pStyle w:val="Heading2"/>
        <w:spacing w:before="360"/>
      </w:pPr>
      <w:r>
        <w:t>3.</w:t>
      </w:r>
      <w:r w:rsidR="0069448C">
        <w:rPr>
          <w:noProof/>
        </w:rPr>
        <w:t>3</w:t>
      </w:r>
      <w:r w:rsidR="004147D2">
        <w:tab/>
      </w:r>
      <w:r w:rsidR="00315B69" w:rsidRPr="00A642B7">
        <w:t xml:space="preserve">Indicators </w:t>
      </w:r>
      <w:r w:rsidR="00F654B6" w:rsidRPr="00A642B7">
        <w:t xml:space="preserve">of </w:t>
      </w:r>
      <w:r w:rsidR="00315B69" w:rsidRPr="00A642B7">
        <w:t>social exclusion</w:t>
      </w:r>
    </w:p>
    <w:p w:rsidR="00021124" w:rsidRDefault="000B3DD0" w:rsidP="00AA2855">
      <w:pPr>
        <w:pStyle w:val="BodyText"/>
        <w:spacing w:before="120"/>
      </w:pPr>
      <w:r>
        <w:t xml:space="preserve">Measures of social exclusion have </w:t>
      </w:r>
      <w:r w:rsidR="00DD4741">
        <w:t xml:space="preserve">also </w:t>
      </w:r>
      <w:r>
        <w:t xml:space="preserve">been </w:t>
      </w:r>
      <w:r w:rsidR="00772269">
        <w:t xml:space="preserve">used </w:t>
      </w:r>
      <w:r>
        <w:t xml:space="preserve">to </w:t>
      </w:r>
      <w:r w:rsidR="00DD4741">
        <w:t>better understand</w:t>
      </w:r>
      <w:r>
        <w:t xml:space="preserve"> the </w:t>
      </w:r>
      <w:r w:rsidR="00C55203">
        <w:t xml:space="preserve">extent </w:t>
      </w:r>
      <w:r>
        <w:t xml:space="preserve">of </w:t>
      </w:r>
      <w:r w:rsidR="00A15766">
        <w:t xml:space="preserve">broader and more complex </w:t>
      </w:r>
      <w:r>
        <w:t xml:space="preserve">disadvantage experienced by Australians. </w:t>
      </w:r>
      <w:r w:rsidR="00182688">
        <w:t>As explained in chapter 2, s</w:t>
      </w:r>
      <w:r w:rsidR="004F58AD">
        <w:t>ocial exclusion is a multi</w:t>
      </w:r>
      <w:r w:rsidR="004F58AD">
        <w:noBreakHyphen/>
        <w:t xml:space="preserve">dimensional concept that relates to the </w:t>
      </w:r>
      <w:r w:rsidR="004F58AD">
        <w:lastRenderedPageBreak/>
        <w:t xml:space="preserve">inability of individuals to participate or engage in key economic, social and political activities. As with deprivation, it is </w:t>
      </w:r>
      <w:r>
        <w:t xml:space="preserve">largely an </w:t>
      </w:r>
      <w:r w:rsidR="004F58AD">
        <w:t>outcomes</w:t>
      </w:r>
      <w:r w:rsidR="001F2C33">
        <w:noBreakHyphen/>
      </w:r>
      <w:r w:rsidR="004F58AD">
        <w:t>focused measure</w:t>
      </w:r>
      <w:r w:rsidR="001F2C33">
        <w:t xml:space="preserve"> of disadvantage</w:t>
      </w:r>
      <w:r>
        <w:t xml:space="preserve"> — </w:t>
      </w:r>
      <w:r w:rsidR="004F58AD">
        <w:t xml:space="preserve">although a number of indicators of social exclusion </w:t>
      </w:r>
      <w:r w:rsidR="00FB4E34">
        <w:t xml:space="preserve">also </w:t>
      </w:r>
      <w:r w:rsidR="00DD4741">
        <w:t>seek to reflect an individual’s</w:t>
      </w:r>
      <w:r w:rsidR="004F58AD">
        <w:t xml:space="preserve"> capability to </w:t>
      </w:r>
      <w:r w:rsidR="001F2C33">
        <w:t xml:space="preserve">effectively </w:t>
      </w:r>
      <w:r w:rsidR="004F58AD">
        <w:t>participate</w:t>
      </w:r>
      <w:r w:rsidR="001F2C33">
        <w:t xml:space="preserve"> in society</w:t>
      </w:r>
      <w:r w:rsidR="004F58AD">
        <w:t xml:space="preserve">. </w:t>
      </w:r>
    </w:p>
    <w:p w:rsidR="004F58AD" w:rsidRDefault="00FB4E34" w:rsidP="00AA2855">
      <w:pPr>
        <w:pStyle w:val="BodyText"/>
        <w:spacing w:before="120"/>
      </w:pPr>
      <w:r>
        <w:t>Reflecting the very different definitions of social exclusion</w:t>
      </w:r>
      <w:r w:rsidR="002353E8">
        <w:t>,</w:t>
      </w:r>
      <w:r>
        <w:t xml:space="preserve"> t</w:t>
      </w:r>
      <w:r w:rsidR="004F58AD">
        <w:t xml:space="preserve">here is no standard </w:t>
      </w:r>
      <w:r w:rsidR="001F2C33">
        <w:t>measure.</w:t>
      </w:r>
      <w:r w:rsidR="00DD4741">
        <w:t xml:space="preserve"> </w:t>
      </w:r>
      <w:r w:rsidR="004564A0">
        <w:t>T</w:t>
      </w:r>
      <w:r w:rsidR="00DD4741">
        <w:t xml:space="preserve">hree </w:t>
      </w:r>
      <w:r w:rsidR="004F58AD" w:rsidRPr="001F2C33">
        <w:t xml:space="preserve">different measures </w:t>
      </w:r>
      <w:r w:rsidR="001F2C33">
        <w:t>of</w:t>
      </w:r>
      <w:r w:rsidRPr="001F2C33">
        <w:t xml:space="preserve"> </w:t>
      </w:r>
      <w:r w:rsidR="004F58AD" w:rsidRPr="001F2C33">
        <w:t>social exclusion have been developed</w:t>
      </w:r>
      <w:r w:rsidR="004A58E3" w:rsidRPr="001F2C33">
        <w:t xml:space="preserve"> in Australia</w:t>
      </w:r>
      <w:r w:rsidR="004564A0">
        <w:t xml:space="preserve">. </w:t>
      </w:r>
    </w:p>
    <w:p w:rsidR="0012520F" w:rsidRDefault="006D0620" w:rsidP="00967F98">
      <w:pPr>
        <w:pStyle w:val="ListBullet"/>
      </w:pPr>
      <w:r>
        <w:t>T</w:t>
      </w:r>
      <w:r w:rsidR="0012520F">
        <w:t xml:space="preserve">he SPRC developed a set of social exclusion indicators </w:t>
      </w:r>
      <w:r>
        <w:t xml:space="preserve">based on </w:t>
      </w:r>
      <w:r w:rsidR="00DD4741">
        <w:t xml:space="preserve">three </w:t>
      </w:r>
      <w:r>
        <w:t xml:space="preserve">core components </w:t>
      </w:r>
      <w:r w:rsidR="00DB565B">
        <w:t xml:space="preserve">(or domains) </w:t>
      </w:r>
      <w:r w:rsidR="00DD4741">
        <w:t xml:space="preserve">encompassing </w:t>
      </w:r>
      <w:r w:rsidR="00AA2855">
        <w:t>economic exclusion, social disengagement and service exclusion</w:t>
      </w:r>
      <w:r w:rsidR="00772269">
        <w:t>.</w:t>
      </w:r>
      <w:r w:rsidR="00AA2855">
        <w:t xml:space="preserve"> </w:t>
      </w:r>
      <w:r w:rsidR="00772269">
        <w:t>Twenty seven</w:t>
      </w:r>
      <w:r>
        <w:t xml:space="preserve"> indicators</w:t>
      </w:r>
      <w:r w:rsidR="00772269">
        <w:t>, drawn</w:t>
      </w:r>
      <w:r w:rsidR="006A5A8E">
        <w:t xml:space="preserve"> </w:t>
      </w:r>
      <w:r w:rsidR="00E36DFB">
        <w:t xml:space="preserve">from </w:t>
      </w:r>
      <w:r w:rsidR="00772269">
        <w:t xml:space="preserve">the </w:t>
      </w:r>
      <w:r w:rsidR="00772269" w:rsidRPr="00967F98">
        <w:t>CUPSE</w:t>
      </w:r>
      <w:r w:rsidR="00772269">
        <w:t xml:space="preserve"> and PEMA surveys, are </w:t>
      </w:r>
      <w:r w:rsidR="00AA2855">
        <w:t>spread across the three domains</w:t>
      </w:r>
      <w:r w:rsidR="00772269">
        <w:t>.</w:t>
      </w:r>
      <w:r w:rsidR="000B6A82">
        <w:t xml:space="preserve"> An </w:t>
      </w:r>
      <w:r w:rsidR="00E36DFB">
        <w:t xml:space="preserve">Australian </w:t>
      </w:r>
      <w:r w:rsidR="000B6A82">
        <w:t xml:space="preserve">adult </w:t>
      </w:r>
      <w:r w:rsidR="00772269">
        <w:t xml:space="preserve">is </w:t>
      </w:r>
      <w:r w:rsidR="000B6A82">
        <w:t xml:space="preserve">assessed as </w:t>
      </w:r>
      <w:r w:rsidR="00772269">
        <w:t xml:space="preserve">being </w:t>
      </w:r>
      <w:r w:rsidR="000B6A82">
        <w:t xml:space="preserve">socially excluded if they experience </w:t>
      </w:r>
      <w:r w:rsidR="002353E8">
        <w:t>seven</w:t>
      </w:r>
      <w:r w:rsidR="000B6A82">
        <w:t xml:space="preserve"> or more of the 27 indicators of exclusion</w:t>
      </w:r>
      <w:r w:rsidR="00F2344A">
        <w:t xml:space="preserve"> (Saunders 2011</w:t>
      </w:r>
      <w:r w:rsidR="00766580">
        <w:t>;</w:t>
      </w:r>
      <w:r w:rsidR="00766580" w:rsidRPr="00766580">
        <w:t xml:space="preserve"> </w:t>
      </w:r>
      <w:r w:rsidR="00766580">
        <w:t>S</w:t>
      </w:r>
      <w:r w:rsidR="00D1195C">
        <w:t>aunders, Naidoo and Griffiths</w:t>
      </w:r>
      <w:r w:rsidR="00766580">
        <w:t xml:space="preserve"> 2007</w:t>
      </w:r>
      <w:r w:rsidR="00F2344A">
        <w:t>)</w:t>
      </w:r>
      <w:r w:rsidR="000B6A82">
        <w:t>.</w:t>
      </w:r>
    </w:p>
    <w:p w:rsidR="00AA2855" w:rsidRDefault="00AA2855" w:rsidP="00967F98">
      <w:pPr>
        <w:pStyle w:val="ListBullet"/>
      </w:pPr>
      <w:r w:rsidRPr="00967F98">
        <w:t xml:space="preserve">The </w:t>
      </w:r>
      <w:r w:rsidR="009639EA">
        <w:t>Australian Social Inclusion Board’s</w:t>
      </w:r>
      <w:r w:rsidRPr="00967F98">
        <w:t xml:space="preserve"> measure </w:t>
      </w:r>
      <w:r w:rsidR="00003257">
        <w:t>of</w:t>
      </w:r>
      <w:r w:rsidRPr="00967F98">
        <w:t xml:space="preserve"> multiple disadvantage </w:t>
      </w:r>
      <w:r w:rsidR="00A15766" w:rsidRPr="00967F98">
        <w:t xml:space="preserve">or social exclusion </w:t>
      </w:r>
      <w:r w:rsidR="00003257">
        <w:t xml:space="preserve">is </w:t>
      </w:r>
      <w:r w:rsidRPr="00967F98">
        <w:t xml:space="preserve">based on </w:t>
      </w:r>
      <w:r w:rsidR="00003257">
        <w:t>three</w:t>
      </w:r>
      <w:r w:rsidR="00E36DFB" w:rsidRPr="00967F98">
        <w:t xml:space="preserve"> core domains</w:t>
      </w:r>
      <w:r w:rsidR="003F5CFA" w:rsidRPr="00967F98">
        <w:t>. Each domain includes two</w:t>
      </w:r>
      <w:r w:rsidRPr="00967F98">
        <w:t xml:space="preserve"> indicators from the ABS </w:t>
      </w:r>
      <w:r w:rsidRPr="00967F98">
        <w:rPr>
          <w:i/>
        </w:rPr>
        <w:t>General Social Survey</w:t>
      </w:r>
      <w:r w:rsidRPr="00967F98">
        <w:t xml:space="preserve"> (GSS)</w:t>
      </w:r>
      <w:r w:rsidR="003F5CFA" w:rsidRPr="00967F98">
        <w:t>. The e</w:t>
      </w:r>
      <w:r w:rsidR="00E36DFB" w:rsidRPr="00967F98">
        <w:t xml:space="preserve">conomic </w:t>
      </w:r>
      <w:r w:rsidR="003F5CFA" w:rsidRPr="00967F98">
        <w:t>domain includes indicators for</w:t>
      </w:r>
      <w:r w:rsidR="00E36DFB" w:rsidRPr="00967F98">
        <w:t xml:space="preserve"> </w:t>
      </w:r>
      <w:r w:rsidR="000B6A82" w:rsidRPr="00967F98">
        <w:t>low income</w:t>
      </w:r>
      <w:r w:rsidR="00E36DFB" w:rsidRPr="00967F98">
        <w:t xml:space="preserve"> and </w:t>
      </w:r>
      <w:r w:rsidR="000B6A82" w:rsidRPr="00967F98">
        <w:t>household joblessness</w:t>
      </w:r>
      <w:r w:rsidR="00E36DFB" w:rsidRPr="00967F98">
        <w:t xml:space="preserve">; </w:t>
      </w:r>
      <w:r w:rsidR="003F5CFA" w:rsidRPr="00967F98">
        <w:t xml:space="preserve">the </w:t>
      </w:r>
      <w:r w:rsidR="00E36DFB" w:rsidRPr="00967F98">
        <w:t>personal</w:t>
      </w:r>
      <w:r w:rsidR="003F5CFA" w:rsidRPr="00967F98">
        <w:t xml:space="preserve"> domain</w:t>
      </w:r>
      <w:r w:rsidR="00E36DFB" w:rsidRPr="00967F98">
        <w:t xml:space="preserve"> </w:t>
      </w:r>
      <w:r w:rsidR="003F5CFA" w:rsidRPr="00967F98">
        <w:t xml:space="preserve">includes </w:t>
      </w:r>
      <w:r w:rsidR="00A15766" w:rsidRPr="00967F98">
        <w:t xml:space="preserve">indicators for </w:t>
      </w:r>
      <w:r w:rsidR="000B6A82" w:rsidRPr="00967F98">
        <w:t>poor health</w:t>
      </w:r>
      <w:r w:rsidR="00E36DFB" w:rsidRPr="00967F98">
        <w:t xml:space="preserve"> and </w:t>
      </w:r>
      <w:r w:rsidR="000B6A82" w:rsidRPr="00967F98">
        <w:t>low education</w:t>
      </w:r>
      <w:r w:rsidR="00E36DFB" w:rsidRPr="00967F98">
        <w:t xml:space="preserve">; </w:t>
      </w:r>
      <w:r w:rsidR="003F5CFA" w:rsidRPr="00967F98">
        <w:t xml:space="preserve">and the </w:t>
      </w:r>
      <w:r w:rsidR="00E36DFB" w:rsidRPr="00967F98">
        <w:t xml:space="preserve">social </w:t>
      </w:r>
      <w:r w:rsidR="003F5CFA" w:rsidRPr="00967F98">
        <w:t>domain includes</w:t>
      </w:r>
      <w:r w:rsidR="00E36DFB" w:rsidRPr="00967F98">
        <w:t xml:space="preserve"> </w:t>
      </w:r>
      <w:r w:rsidR="00A15766" w:rsidRPr="00967F98">
        <w:t xml:space="preserve">indicators for </w:t>
      </w:r>
      <w:r w:rsidR="000B6A82" w:rsidRPr="00967F98">
        <w:t xml:space="preserve">lack of social connection and fears for personal safety. An individual of working age </w:t>
      </w:r>
      <w:r w:rsidR="00284ABE">
        <w:t xml:space="preserve">(those aged 15-64 years) </w:t>
      </w:r>
      <w:r w:rsidR="00772269" w:rsidRPr="00967F98">
        <w:t xml:space="preserve">is </w:t>
      </w:r>
      <w:r w:rsidR="000B6A82" w:rsidRPr="00967F98">
        <w:t xml:space="preserve">assessed as experiencing multiple disadvantage if they experience 3 or more of the </w:t>
      </w:r>
      <w:r w:rsidR="00E36DFB" w:rsidRPr="00967F98">
        <w:t xml:space="preserve">6 </w:t>
      </w:r>
      <w:r w:rsidR="000B6A82" w:rsidRPr="00967F98">
        <w:t>indicators used</w:t>
      </w:r>
      <w:r w:rsidR="00D537F5">
        <w:t xml:space="preserve"> (</w:t>
      </w:r>
      <w:r w:rsidR="00F2344A">
        <w:t>Australian Social Inclusion Board 200</w:t>
      </w:r>
      <w:r w:rsidR="00073E1F">
        <w:t>9</w:t>
      </w:r>
      <w:r w:rsidR="00F2344A">
        <w:t>)</w:t>
      </w:r>
      <w:r w:rsidR="000B6A82" w:rsidRPr="00967F98">
        <w:t>.</w:t>
      </w:r>
    </w:p>
    <w:p w:rsidR="0012520F" w:rsidRDefault="004F58AD" w:rsidP="00967F98">
      <w:pPr>
        <w:pStyle w:val="ListBullet"/>
      </w:pPr>
      <w:r>
        <w:t>The Melbourne Institute</w:t>
      </w:r>
      <w:r w:rsidR="00184A3B">
        <w:t xml:space="preserve"> </w:t>
      </w:r>
      <w:r>
        <w:t>in consultation with the Brotherhood of St Laurence</w:t>
      </w:r>
      <w:r w:rsidR="00184A3B">
        <w:t xml:space="preserve"> (BSL)</w:t>
      </w:r>
      <w:r>
        <w:t>, developed</w:t>
      </w:r>
      <w:r w:rsidRPr="003B4B6C">
        <w:t xml:space="preserve"> </w:t>
      </w:r>
      <w:r>
        <w:t>the Social Exclusion Monitor (SEM)</w:t>
      </w:r>
      <w:r w:rsidR="006D0620">
        <w:t xml:space="preserve"> based on seven life domains</w:t>
      </w:r>
      <w:r w:rsidR="00003257">
        <w:t>, with</w:t>
      </w:r>
      <w:r w:rsidR="006D0620">
        <w:t xml:space="preserve"> 29 indicators</w:t>
      </w:r>
      <w:r w:rsidR="00A15766">
        <w:t xml:space="preserve"> spread across the domains</w:t>
      </w:r>
      <w:r>
        <w:t xml:space="preserve">. The </w:t>
      </w:r>
      <w:r w:rsidR="006832C1">
        <w:t>SEM</w:t>
      </w:r>
      <w:r>
        <w:t xml:space="preserve"> </w:t>
      </w:r>
      <w:r w:rsidR="006D0620">
        <w:t>is based on</w:t>
      </w:r>
      <w:r>
        <w:t xml:space="preserve"> HILDA survey data and is updated </w:t>
      </w:r>
      <w:r w:rsidR="006832C1">
        <w:t>annual</w:t>
      </w:r>
      <w:r>
        <w:t>ly.</w:t>
      </w:r>
      <w:r w:rsidR="00FF5E7D">
        <w:t xml:space="preserve"> The SEM uses a cumulative scoring system, where in general, the </w:t>
      </w:r>
      <w:r w:rsidR="00A15766">
        <w:t xml:space="preserve">greater </w:t>
      </w:r>
      <w:r w:rsidR="00FF5E7D">
        <w:t>the number of indicators</w:t>
      </w:r>
      <w:r w:rsidR="00A15766">
        <w:t xml:space="preserve"> or higher the score</w:t>
      </w:r>
      <w:r w:rsidR="00FF5E7D">
        <w:t>, the greater is the depth of an individual’s social exclusion</w:t>
      </w:r>
      <w:r w:rsidR="00F2344A">
        <w:t xml:space="preserve"> </w:t>
      </w:r>
      <w:r w:rsidR="00687785">
        <w:t>(</w:t>
      </w:r>
      <w:r w:rsidR="00835B19">
        <w:t>Azpitarte</w:t>
      </w:r>
      <w:r w:rsidR="00687785">
        <w:t xml:space="preserve"> 2012</w:t>
      </w:r>
      <w:r w:rsidR="00835B19">
        <w:t>b</w:t>
      </w:r>
      <w:r w:rsidR="00687785">
        <w:t>)</w:t>
      </w:r>
      <w:r w:rsidR="00FF5E7D">
        <w:t>.</w:t>
      </w:r>
    </w:p>
    <w:p w:rsidR="005D03BE" w:rsidRDefault="00D473EB" w:rsidP="005D03BE">
      <w:pPr>
        <w:pStyle w:val="BodyText"/>
      </w:pPr>
      <w:r>
        <w:t>Of the three measures of social exclusion, th</w:t>
      </w:r>
      <w:r w:rsidR="006462D5">
        <w:t>e SEM is perhaps the most highly developed</w:t>
      </w:r>
      <w:r>
        <w:t xml:space="preserve">. </w:t>
      </w:r>
      <w:r w:rsidR="006B1174">
        <w:t>Building on</w:t>
      </w:r>
      <w:r>
        <w:t xml:space="preserve"> experience in the United Kingdom and other parts of Europe</w:t>
      </w:r>
      <w:r w:rsidR="006B1174">
        <w:t>, the SEM</w:t>
      </w:r>
      <w:r>
        <w:t xml:space="preserve"> is</w:t>
      </w:r>
      <w:r w:rsidR="006B1174">
        <w:t xml:space="preserve"> based</w:t>
      </w:r>
      <w:r w:rsidR="006462D5">
        <w:t xml:space="preserve"> on a well</w:t>
      </w:r>
      <w:r w:rsidR="006462D5">
        <w:noBreakHyphen/>
        <w:t xml:space="preserve">constructed framework for measuring social exclusion </w:t>
      </w:r>
      <w:r w:rsidR="00AC3A53">
        <w:t>(Scutella, Wilkins and Horn 2009</w:t>
      </w:r>
      <w:r w:rsidR="00003257">
        <w:t>)</w:t>
      </w:r>
      <w:r w:rsidR="00A46736">
        <w:t xml:space="preserve"> </w:t>
      </w:r>
      <w:r w:rsidR="00FF51EA">
        <w:t xml:space="preserve">(box </w:t>
      </w:r>
      <w:r w:rsidR="00833BF4">
        <w:t>3.2</w:t>
      </w:r>
      <w:r w:rsidR="00FF51EA">
        <w:t>)</w:t>
      </w:r>
      <w:r w:rsidR="006462D5">
        <w:t xml:space="preserve">. </w:t>
      </w:r>
    </w:p>
    <w:p w:rsidR="009043AF" w:rsidRDefault="009043AF" w:rsidP="009043AF">
      <w:pPr>
        <w:pStyle w:val="Heading3"/>
      </w:pPr>
      <w:r>
        <w:lastRenderedPageBreak/>
        <w:t>Estimates of social exclusion and its depth in Australia</w:t>
      </w:r>
    </w:p>
    <w:p w:rsidR="009043AF" w:rsidRDefault="009043AF" w:rsidP="009043AF">
      <w:pPr>
        <w:pStyle w:val="BodyText"/>
      </w:pPr>
      <w:r>
        <w:t xml:space="preserve">Not surprisingly, the three different approaches provide different estimates for the extent of social exclusion among Australian adults. </w:t>
      </w:r>
    </w:p>
    <w:p w:rsidR="009043AF" w:rsidRPr="00B42F06" w:rsidRDefault="009043AF" w:rsidP="00B42F06">
      <w:pPr>
        <w:pStyle w:val="ListBullet"/>
      </w:pPr>
      <w:r w:rsidRPr="00B42F06">
        <w:t xml:space="preserve">The </w:t>
      </w:r>
      <w:r w:rsidR="00835B19" w:rsidRPr="00B42F06">
        <w:t>Australian Social Inclusion Board</w:t>
      </w:r>
      <w:r w:rsidRPr="00B42F06">
        <w:t xml:space="preserve"> </w:t>
      </w:r>
      <w:r w:rsidR="00073E1F" w:rsidRPr="00B42F06">
        <w:t xml:space="preserve">(2012) </w:t>
      </w:r>
      <w:r w:rsidRPr="00B42F06">
        <w:t xml:space="preserve">estimated that </w:t>
      </w:r>
      <w:r w:rsidR="004C38AE" w:rsidRPr="00B42F06">
        <w:t xml:space="preserve">around </w:t>
      </w:r>
      <w:r w:rsidRPr="00B42F06">
        <w:t xml:space="preserve">5 per cent of the working age population (or 645 000 people) experienced social exclusion or multiple and complex disadvantage </w:t>
      </w:r>
      <w:r w:rsidR="004C38AE" w:rsidRPr="00B42F06">
        <w:t>(</w:t>
      </w:r>
      <w:r w:rsidRPr="00B42F06">
        <w:t>at least three of the six indicators of exclusion</w:t>
      </w:r>
      <w:r w:rsidR="004C38AE" w:rsidRPr="00B42F06">
        <w:t>)</w:t>
      </w:r>
      <w:r w:rsidRPr="00B42F06">
        <w:t xml:space="preserve"> in 2010</w:t>
      </w:r>
      <w:r w:rsidR="00073E1F" w:rsidRPr="00B42F06">
        <w:t>.</w:t>
      </w:r>
    </w:p>
    <w:p w:rsidR="009043AF" w:rsidRPr="00B42F06" w:rsidRDefault="009043AF" w:rsidP="00B42F06">
      <w:pPr>
        <w:pStyle w:val="ListBullet"/>
      </w:pPr>
      <w:r w:rsidRPr="00B42F06">
        <w:t xml:space="preserve">The SPRC’s estimates are higher. Based on the results of the 2010 PEMA survey, 16 per cent of the adult population (or 2.7 million people) were estimated to have experienced social exclusion (experiencing 7 or more indicators of social exclusion) (Saunders and Wong 2012). </w:t>
      </w:r>
    </w:p>
    <w:p w:rsidR="009043AF" w:rsidRDefault="00184A3B" w:rsidP="009043AF">
      <w:pPr>
        <w:pStyle w:val="ListBullet"/>
      </w:pPr>
      <w:r>
        <w:t>Estimates provided by the BSL and M</w:t>
      </w:r>
      <w:r w:rsidR="00E255CA">
        <w:t xml:space="preserve">elbourne </w:t>
      </w:r>
      <w:r>
        <w:t>I</w:t>
      </w:r>
      <w:r w:rsidR="00E255CA">
        <w:t>nstitute</w:t>
      </w:r>
      <w:r>
        <w:t xml:space="preserve"> based on the SEM methodology </w:t>
      </w:r>
      <w:r w:rsidR="009043AF">
        <w:t xml:space="preserve">are higher again. </w:t>
      </w:r>
      <w:r w:rsidR="00BD6C48">
        <w:t>J</w:t>
      </w:r>
      <w:r w:rsidR="009043AF">
        <w:t xml:space="preserve">ust </w:t>
      </w:r>
      <w:r w:rsidR="00315929">
        <w:t xml:space="preserve">under </w:t>
      </w:r>
      <w:r w:rsidR="009043AF">
        <w:t xml:space="preserve">a quarter of Australians aged 15 years plus </w:t>
      </w:r>
      <w:r w:rsidR="002353E8">
        <w:t xml:space="preserve">(4.5 million) </w:t>
      </w:r>
      <w:r w:rsidR="009043AF">
        <w:t xml:space="preserve">experienced </w:t>
      </w:r>
      <w:r w:rsidR="009043AF" w:rsidRPr="00357EC8">
        <w:rPr>
          <w:i/>
        </w:rPr>
        <w:t>some</w:t>
      </w:r>
      <w:r w:rsidR="009043AF">
        <w:t xml:space="preserve"> degree of social exclusion in </w:t>
      </w:r>
      <w:r w:rsidR="00315929">
        <w:t xml:space="preserve">2010 </w:t>
      </w:r>
      <w:r w:rsidR="009043AF">
        <w:t>with smaller proportions experiencing deep or very</w:t>
      </w:r>
      <w:r w:rsidR="003A73AE">
        <w:t xml:space="preserve"> deep exclusion (defined in box </w:t>
      </w:r>
      <w:r w:rsidR="009043AF">
        <w:t xml:space="preserve">3.2): </w:t>
      </w:r>
    </w:p>
    <w:p w:rsidR="009043AF" w:rsidRDefault="00315929" w:rsidP="009043AF">
      <w:pPr>
        <w:pStyle w:val="ListBullet2"/>
      </w:pPr>
      <w:r>
        <w:t>20 </w:t>
      </w:r>
      <w:r w:rsidR="009043AF">
        <w:t>per cent of those aged 15 years plus (3.</w:t>
      </w:r>
      <w:r w:rsidR="00D714A7">
        <w:t>5</w:t>
      </w:r>
      <w:r w:rsidR="00BD6C48">
        <w:t xml:space="preserve"> </w:t>
      </w:r>
      <w:r w:rsidR="009043AF">
        <w:t>million people) experienced marginal exclusion</w:t>
      </w:r>
    </w:p>
    <w:p w:rsidR="009043AF" w:rsidRDefault="00184A3B" w:rsidP="009043AF">
      <w:pPr>
        <w:pStyle w:val="ListBullet2"/>
      </w:pPr>
      <w:r>
        <w:t>j</w:t>
      </w:r>
      <w:r w:rsidR="00B04586">
        <w:t xml:space="preserve">ust under </w:t>
      </w:r>
      <w:r w:rsidR="009043AF">
        <w:t xml:space="preserve">5 per cent </w:t>
      </w:r>
      <w:r w:rsidR="00BC48A8">
        <w:t xml:space="preserve">(860 000) </w:t>
      </w:r>
      <w:r w:rsidR="00487CB0">
        <w:t xml:space="preserve">experienced </w:t>
      </w:r>
      <w:r w:rsidR="009043AF">
        <w:t>‘deep exclusion’</w:t>
      </w:r>
    </w:p>
    <w:p w:rsidR="009043AF" w:rsidRDefault="00D714A7" w:rsidP="009043AF">
      <w:pPr>
        <w:pStyle w:val="ListBullet2"/>
      </w:pPr>
      <w:r>
        <w:t xml:space="preserve">just under </w:t>
      </w:r>
      <w:r w:rsidR="009043AF">
        <w:t>1 per cent (</w:t>
      </w:r>
      <w:r w:rsidR="00BD0E1E">
        <w:t>145 </w:t>
      </w:r>
      <w:r w:rsidR="009043AF">
        <w:t>000) were classified as being ‘very deeply’ excluded (</w:t>
      </w:r>
      <w:r w:rsidR="00941A37">
        <w:t>Azpitarte</w:t>
      </w:r>
      <w:r w:rsidR="009043AF">
        <w:t xml:space="preserve"> 2012</w:t>
      </w:r>
      <w:r w:rsidR="00941A37">
        <w:t>b</w:t>
      </w:r>
      <w:r w:rsidR="009043AF">
        <w:t>).</w:t>
      </w:r>
      <w:r w:rsidR="00E255CA" w:rsidRPr="00E255CA">
        <w:rPr>
          <w:rStyle w:val="FootnoteReference"/>
        </w:rPr>
        <w:t xml:space="preserve"> </w:t>
      </w:r>
      <w:r w:rsidR="00E255CA">
        <w:rPr>
          <w:rStyle w:val="FootnoteReference"/>
        </w:rPr>
        <w:footnoteReference w:id="17"/>
      </w:r>
    </w:p>
    <w:p w:rsidR="004B4D18" w:rsidRDefault="004B4D18" w:rsidP="004B4D18">
      <w:pPr>
        <w:pStyle w:val="Heading3"/>
      </w:pPr>
      <w:r>
        <w:t>T</w:t>
      </w:r>
      <w:r w:rsidRPr="00A80131">
        <w:t>rends in social exclusion</w:t>
      </w:r>
    </w:p>
    <w:p w:rsidR="004B4D18" w:rsidRDefault="004B4D18" w:rsidP="004B4D18">
      <w:pPr>
        <w:pStyle w:val="BodyText"/>
      </w:pPr>
      <w:r>
        <w:t xml:space="preserve">Trends in the SEM show a decline in the rate of </w:t>
      </w:r>
      <w:r w:rsidR="00184A3B">
        <w:t xml:space="preserve">deeper </w:t>
      </w:r>
      <w:r>
        <w:t xml:space="preserve">social exclusion </w:t>
      </w:r>
      <w:r w:rsidR="00400804">
        <w:t>between 2001 and 2010</w:t>
      </w:r>
      <w:r>
        <w:t xml:space="preserve"> (figure 3.3). </w:t>
      </w:r>
    </w:p>
    <w:p w:rsidR="004B4D18" w:rsidRDefault="004B4D18" w:rsidP="004B4D18">
      <w:pPr>
        <w:pStyle w:val="BodyText"/>
      </w:pPr>
      <w:r>
        <w:t xml:space="preserve">Over this period, the proportion of the Australian population aged 15 years plus experiencing deep exclusion declined from </w:t>
      </w:r>
      <w:r w:rsidR="00B04586">
        <w:t xml:space="preserve">a little </w:t>
      </w:r>
      <w:r>
        <w:t xml:space="preserve">over 7 per cent </w:t>
      </w:r>
      <w:r w:rsidR="00B04586">
        <w:t xml:space="preserve">(1.1 million) </w:t>
      </w:r>
      <w:r>
        <w:t xml:space="preserve">to </w:t>
      </w:r>
      <w:r w:rsidR="00B04586">
        <w:t xml:space="preserve">just under </w:t>
      </w:r>
      <w:r>
        <w:t>5 per cent</w:t>
      </w:r>
      <w:r w:rsidR="00400804">
        <w:t xml:space="preserve"> (860 000)</w:t>
      </w:r>
      <w:r>
        <w:t xml:space="preserve">. The proportion experiencing very deep exclusion </w:t>
      </w:r>
      <w:r w:rsidR="00184A3B">
        <w:t>declined slightly from just over</w:t>
      </w:r>
      <w:r>
        <w:t xml:space="preserve"> 1 per cent</w:t>
      </w:r>
      <w:r w:rsidR="00400804">
        <w:t xml:space="preserve"> </w:t>
      </w:r>
      <w:r w:rsidR="00184A3B">
        <w:t>in 2001 to just under 1 per cent in 2010</w:t>
      </w:r>
      <w:r w:rsidR="00400804">
        <w:t xml:space="preserve"> (falling from 190 000 to </w:t>
      </w:r>
      <w:r w:rsidR="004B57E9">
        <w:t>145 </w:t>
      </w:r>
      <w:r w:rsidR="00400804">
        <w:t>000</w:t>
      </w:r>
      <w:r w:rsidR="00184A3B">
        <w:t>).</w:t>
      </w:r>
    </w:p>
    <w:p w:rsidR="002D3AFA" w:rsidRDefault="002D3AFA">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2D3AFA">
        <w:tc>
          <w:tcPr>
            <w:tcW w:w="8771" w:type="dxa"/>
            <w:tcBorders>
              <w:top w:val="single" w:sz="6" w:space="0" w:color="auto"/>
              <w:bottom w:val="nil"/>
            </w:tcBorders>
          </w:tcPr>
          <w:p w:rsidR="002D3AFA" w:rsidRDefault="002D3AFA">
            <w:pPr>
              <w:pStyle w:val="BoxTitle"/>
            </w:pPr>
            <w:r>
              <w:rPr>
                <w:b w:val="0"/>
              </w:rPr>
              <w:t xml:space="preserve">Box </w:t>
            </w:r>
            <w:bookmarkStart w:id="11" w:name="OLE_LINK12"/>
            <w:r w:rsidR="00833BF4">
              <w:rPr>
                <w:b w:val="0"/>
              </w:rPr>
              <w:t>3.</w:t>
            </w:r>
            <w:r w:rsidR="0069448C">
              <w:rPr>
                <w:b w:val="0"/>
                <w:noProof/>
              </w:rPr>
              <w:t>2</w:t>
            </w:r>
            <w:bookmarkEnd w:id="11"/>
            <w:r>
              <w:tab/>
              <w:t>Components of the Social Exclusion Monitor</w:t>
            </w:r>
            <w:r w:rsidR="00E24E64">
              <w:t xml:space="preserve"> (SEM)</w:t>
            </w:r>
          </w:p>
        </w:tc>
      </w:tr>
      <w:tr w:rsidR="002D3AFA">
        <w:trPr>
          <w:cantSplit/>
        </w:trPr>
        <w:tc>
          <w:tcPr>
            <w:tcW w:w="8771" w:type="dxa"/>
            <w:tcBorders>
              <w:top w:val="nil"/>
              <w:left w:val="single" w:sz="6" w:space="0" w:color="auto"/>
              <w:bottom w:val="nil"/>
              <w:right w:val="single" w:sz="6" w:space="0" w:color="auto"/>
            </w:tcBorders>
          </w:tcPr>
          <w:p w:rsidR="002D3AFA" w:rsidRDefault="002D3AFA" w:rsidP="002D3AFA">
            <w:pPr>
              <w:pStyle w:val="Box"/>
              <w:spacing w:before="100"/>
            </w:pPr>
            <w:r>
              <w:t xml:space="preserve">The </w:t>
            </w:r>
            <w:r w:rsidR="00E24E64">
              <w:t>SEM</w:t>
            </w:r>
            <w:r>
              <w:t xml:space="preserve"> aims to capture the capacity of individuals to participate in society. Seven life domains are measured with varying numbers of indicators for each domain (ranging from two to five). Some data are available in all waves of the survey while others are available less frequently </w:t>
            </w:r>
            <w:r w:rsidRPr="00967F98">
              <w:t>(as indicated)</w:t>
            </w:r>
            <w:r>
              <w:t>. The domains include:</w:t>
            </w:r>
          </w:p>
          <w:p w:rsidR="002D3AFA" w:rsidRPr="001D5CC9" w:rsidRDefault="002D3AFA" w:rsidP="002D3AFA">
            <w:pPr>
              <w:pStyle w:val="BoxListNumber"/>
            </w:pPr>
            <w:r w:rsidRPr="00BD53E1">
              <w:rPr>
                <w:i/>
              </w:rPr>
              <w:t>Material resources</w:t>
            </w:r>
            <w:r>
              <w:t>:</w:t>
            </w:r>
            <w:r w:rsidRPr="001D5CC9">
              <w:t xml:space="preserve"> </w:t>
            </w:r>
            <w:r>
              <w:t xml:space="preserve">low income (less than 60 per cent of median household income); low net worth (less than 60 per cent </w:t>
            </w:r>
            <w:r w:rsidR="00E24E64">
              <w:t xml:space="preserve">of </w:t>
            </w:r>
            <w:r>
              <w:t xml:space="preserve">median household net worth)*; low consumption (less than 60 per cent of median </w:t>
            </w:r>
            <w:r w:rsidR="00E24E64">
              <w:t xml:space="preserve">household </w:t>
            </w:r>
            <w:r>
              <w:t>consumption expenditure)*; and financial hardship (three or more indicators of financial stress).</w:t>
            </w:r>
          </w:p>
          <w:p w:rsidR="002D3AFA" w:rsidRPr="001D5CC9" w:rsidRDefault="002D3AFA" w:rsidP="002D3AFA">
            <w:pPr>
              <w:pStyle w:val="BoxListNumber"/>
            </w:pPr>
            <w:r w:rsidRPr="00BD53E1">
              <w:rPr>
                <w:i/>
              </w:rPr>
              <w:t>Employment:</w:t>
            </w:r>
            <w:r w:rsidRPr="001D5CC9">
              <w:t xml:space="preserve"> </w:t>
            </w:r>
            <w:r>
              <w:t>in a jobless household; long</w:t>
            </w:r>
            <w:r>
              <w:noBreakHyphen/>
              <w:t>term unemployed; unemployed; underemployed; and marginally attached to the workforce.</w:t>
            </w:r>
          </w:p>
          <w:p w:rsidR="002D3AFA" w:rsidRPr="001D5CC9" w:rsidRDefault="002D3AFA" w:rsidP="002D3AFA">
            <w:pPr>
              <w:pStyle w:val="BoxListNumber"/>
            </w:pPr>
            <w:r w:rsidRPr="00BD53E1">
              <w:rPr>
                <w:i/>
              </w:rPr>
              <w:t>Education and skills</w:t>
            </w:r>
            <w:r>
              <w:t>:</w:t>
            </w:r>
            <w:r w:rsidRPr="001D5CC9">
              <w:t xml:space="preserve"> </w:t>
            </w:r>
            <w:r>
              <w:t>low formal education; low literacy*; low numeracy*; poor English; and little work experience.</w:t>
            </w:r>
          </w:p>
          <w:p w:rsidR="002D3AFA" w:rsidRPr="001D5CC9" w:rsidRDefault="002D3AFA" w:rsidP="002D3AFA">
            <w:pPr>
              <w:pStyle w:val="BoxListNumber"/>
            </w:pPr>
            <w:r w:rsidRPr="00BD53E1">
              <w:rPr>
                <w:i/>
              </w:rPr>
              <w:t>Health and disability</w:t>
            </w:r>
            <w:r>
              <w:t>:</w:t>
            </w:r>
            <w:r w:rsidRPr="001D5CC9">
              <w:t xml:space="preserve"> </w:t>
            </w:r>
            <w:r>
              <w:t>poor general health</w:t>
            </w:r>
            <w:r w:rsidR="00E24E64">
              <w:t>;</w:t>
            </w:r>
            <w:r>
              <w:t xml:space="preserve"> poor physical health</w:t>
            </w:r>
            <w:r w:rsidR="00E24E64">
              <w:t>;</w:t>
            </w:r>
            <w:r>
              <w:t xml:space="preserve"> poor mental health</w:t>
            </w:r>
            <w:r w:rsidR="00E24E64">
              <w:t>;</w:t>
            </w:r>
            <w:r>
              <w:t xml:space="preserve"> </w:t>
            </w:r>
            <w:r w:rsidRPr="001D5CC9">
              <w:t>long-term health condition</w:t>
            </w:r>
            <w:r>
              <w:t xml:space="preserve"> or disability</w:t>
            </w:r>
            <w:r w:rsidR="002353E8">
              <w:t>;</w:t>
            </w:r>
            <w:r>
              <w:t xml:space="preserve"> and household has a child with a disability.</w:t>
            </w:r>
          </w:p>
          <w:p w:rsidR="002D3AFA" w:rsidRPr="001D5CC9" w:rsidRDefault="002D3AFA" w:rsidP="002D3AFA">
            <w:pPr>
              <w:pStyle w:val="BoxListNumber"/>
            </w:pPr>
            <w:r w:rsidRPr="00BD53E1">
              <w:rPr>
                <w:i/>
              </w:rPr>
              <w:t>Social connection</w:t>
            </w:r>
            <w:r>
              <w:t>:</w:t>
            </w:r>
            <w:r w:rsidRPr="001D5CC9">
              <w:t xml:space="preserve"> </w:t>
            </w:r>
            <w:r>
              <w:t>little social support</w:t>
            </w:r>
            <w:r w:rsidR="00E24E64">
              <w:t>;</w:t>
            </w:r>
            <w:r>
              <w:t xml:space="preserve"> </w:t>
            </w:r>
            <w:r w:rsidR="000B6980">
              <w:t xml:space="preserve">and </w:t>
            </w:r>
            <w:r>
              <w:t>infrequent social activity.</w:t>
            </w:r>
          </w:p>
          <w:p w:rsidR="002D3AFA" w:rsidRPr="001D5CC9" w:rsidRDefault="002D3AFA" w:rsidP="002D3AFA">
            <w:pPr>
              <w:pStyle w:val="BoxListNumber"/>
            </w:pPr>
            <w:r w:rsidRPr="00BD53E1">
              <w:rPr>
                <w:i/>
              </w:rPr>
              <w:t>Community</w:t>
            </w:r>
            <w:r>
              <w:t>:</w:t>
            </w:r>
            <w:r w:rsidRPr="001D5CC9">
              <w:t xml:space="preserve"> </w:t>
            </w:r>
            <w:r>
              <w:t xml:space="preserve">low </w:t>
            </w:r>
            <w:r w:rsidRPr="001D5CC9">
              <w:t>neighbourhood quality</w:t>
            </w:r>
            <w:r>
              <w:t>*</w:t>
            </w:r>
            <w:r w:rsidR="00E24E64">
              <w:t>;</w:t>
            </w:r>
            <w:r w:rsidRPr="001D5CC9">
              <w:t xml:space="preserve"> </w:t>
            </w:r>
            <w:r>
              <w:t>disconnection from community</w:t>
            </w:r>
            <w:r w:rsidR="00E24E64">
              <w:t>;</w:t>
            </w:r>
            <w:r>
              <w:t xml:space="preserve"> low satisfaction with the neighbourhood</w:t>
            </w:r>
            <w:r w:rsidR="00E24E64">
              <w:t>;</w:t>
            </w:r>
            <w:r>
              <w:t xml:space="preserve"> low membership of clubs and associations</w:t>
            </w:r>
            <w:r w:rsidR="00E24E64">
              <w:t>;</w:t>
            </w:r>
            <w:r>
              <w:t xml:space="preserve"> and low volunteer activity.</w:t>
            </w:r>
          </w:p>
          <w:p w:rsidR="002D3AFA" w:rsidRPr="001D5CC9" w:rsidRDefault="002D3AFA" w:rsidP="002D3AFA">
            <w:pPr>
              <w:pStyle w:val="BoxListNumber"/>
            </w:pPr>
            <w:r w:rsidRPr="00BD53E1">
              <w:rPr>
                <w:i/>
              </w:rPr>
              <w:t>Personal safety</w:t>
            </w:r>
            <w:r>
              <w:t>:</w:t>
            </w:r>
            <w:r w:rsidRPr="001D5CC9">
              <w:t xml:space="preserve"> </w:t>
            </w:r>
            <w:r>
              <w:t>v</w:t>
            </w:r>
            <w:r w:rsidRPr="001D5CC9">
              <w:t xml:space="preserve">ictim of </w:t>
            </w:r>
            <w:r>
              <w:t xml:space="preserve">violence and/or </w:t>
            </w:r>
            <w:r w:rsidR="000C292C">
              <w:t xml:space="preserve">victim of </w:t>
            </w:r>
            <w:r>
              <w:t>property crime</w:t>
            </w:r>
            <w:r w:rsidR="00E24E64">
              <w:t>;</w:t>
            </w:r>
            <w:r>
              <w:t xml:space="preserve"> and feeling of being unsafe.</w:t>
            </w:r>
          </w:p>
          <w:p w:rsidR="002D3AFA" w:rsidRDefault="002D3AFA" w:rsidP="002D3AFA">
            <w:pPr>
              <w:pStyle w:val="Box"/>
              <w:spacing w:before="100"/>
            </w:pPr>
            <w:r>
              <w:t>A sum</w:t>
            </w:r>
            <w:r>
              <w:noBreakHyphen/>
              <w:t>score approach is used to measure the depth of exclusion of individuals. This gives equal weight to all of the seven life domains on the implicit assumption that each is an equally important contributor to overall social exclusion. The scores achieved for each domain depend upon responses from individuals to each indicator. For example, for the material resources domain there are four indicators which are worth 0.25 each. If an individual experiences all four they get a score of 1 but if they only experienced say low income, they would record a score of 0.25.</w:t>
            </w:r>
          </w:p>
          <w:p w:rsidR="002D3AFA" w:rsidRDefault="002D3AFA" w:rsidP="002D3AFA">
            <w:pPr>
              <w:pStyle w:val="Box"/>
              <w:spacing w:before="100"/>
            </w:pPr>
            <w:r>
              <w:t>Other indicators are ‘nested’ — such as those used for employment — to give extra weighting to the perceived depth of disadvantage. For example, a person who is long</w:t>
            </w:r>
            <w:r>
              <w:noBreakHyphen/>
              <w:t>term unemployed would be deemed to have a score of 1 for the employment domain even though they do not satisfy the other indicators in this domain.</w:t>
            </w:r>
          </w:p>
          <w:p w:rsidR="002D3AFA" w:rsidRDefault="002D3AFA" w:rsidP="002353E8">
            <w:pPr>
              <w:pStyle w:val="Box"/>
            </w:pPr>
            <w:r>
              <w:t xml:space="preserve">Given that there are </w:t>
            </w:r>
            <w:r w:rsidR="002353E8">
              <w:t>seven</w:t>
            </w:r>
            <w:r>
              <w:t xml:space="preserve"> life domains which are all accorded a value of 1, the highest score an individual could receive is 7 and the lowest 0. A score of 1 or more signifies some level of exclusion. If respondents receive a cumulative score between 1 and 2 they are regarded as </w:t>
            </w:r>
            <w:r w:rsidRPr="00A642B7">
              <w:rPr>
                <w:i/>
              </w:rPr>
              <w:t>marginally excluded</w:t>
            </w:r>
            <w:r>
              <w:t xml:space="preserve">, a score of 2 or more signifies </w:t>
            </w:r>
            <w:r w:rsidRPr="00A642B7">
              <w:rPr>
                <w:i/>
              </w:rPr>
              <w:t>deep exclusion</w:t>
            </w:r>
            <w:r>
              <w:t xml:space="preserve"> and a score of 3 or more equates to </w:t>
            </w:r>
            <w:r w:rsidRPr="00A642B7">
              <w:rPr>
                <w:i/>
              </w:rPr>
              <w:t>very deep exclusion</w:t>
            </w:r>
            <w:r>
              <w:t>. Scores are determined from indicators that are common to every wave.</w:t>
            </w:r>
          </w:p>
        </w:tc>
      </w:tr>
      <w:tr w:rsidR="002D3AFA">
        <w:trPr>
          <w:cantSplit/>
        </w:trPr>
        <w:tc>
          <w:tcPr>
            <w:tcW w:w="8771" w:type="dxa"/>
            <w:tcBorders>
              <w:top w:val="nil"/>
              <w:left w:val="single" w:sz="6" w:space="0" w:color="auto"/>
              <w:bottom w:val="nil"/>
              <w:right w:val="single" w:sz="6" w:space="0" w:color="auto"/>
            </w:tcBorders>
          </w:tcPr>
          <w:p w:rsidR="00E255CA" w:rsidRDefault="00E255CA" w:rsidP="002D3AFA">
            <w:pPr>
              <w:pStyle w:val="BoxSource"/>
              <w:rPr>
                <w:i/>
              </w:rPr>
            </w:pPr>
            <w:r w:rsidRPr="00967F98">
              <w:t>Note</w:t>
            </w:r>
            <w:r>
              <w:t>: * Indicates data not available in all waves of the survey.</w:t>
            </w:r>
          </w:p>
          <w:p w:rsidR="002D3AFA" w:rsidRPr="002D3AFA" w:rsidRDefault="002D3AFA" w:rsidP="00E255CA">
            <w:pPr>
              <w:pStyle w:val="BoxSource"/>
              <w:rPr>
                <w:i/>
              </w:rPr>
            </w:pPr>
            <w:r>
              <w:rPr>
                <w:i/>
              </w:rPr>
              <w:t>Source</w:t>
            </w:r>
            <w:r w:rsidR="002353E8">
              <w:rPr>
                <w:i/>
              </w:rPr>
              <w:t>s</w:t>
            </w:r>
            <w:r w:rsidRPr="00167F06">
              <w:t xml:space="preserve">: </w:t>
            </w:r>
            <w:r w:rsidR="00E255CA">
              <w:t>Azpitarte</w:t>
            </w:r>
            <w:r>
              <w:t xml:space="preserve"> </w:t>
            </w:r>
            <w:r w:rsidR="00687785">
              <w:t>(</w:t>
            </w:r>
            <w:r>
              <w:t>2012</w:t>
            </w:r>
            <w:r w:rsidR="00E255CA">
              <w:t>b</w:t>
            </w:r>
            <w:r w:rsidR="00687785">
              <w:t>)</w:t>
            </w:r>
            <w:r>
              <w:t>; Scutella, Wilkins and Kostenko (2009).</w:t>
            </w:r>
          </w:p>
        </w:tc>
      </w:tr>
      <w:tr w:rsidR="002D3AFA">
        <w:trPr>
          <w:cantSplit/>
        </w:trPr>
        <w:tc>
          <w:tcPr>
            <w:tcW w:w="8771" w:type="dxa"/>
            <w:tcBorders>
              <w:top w:val="nil"/>
              <w:left w:val="single" w:sz="6" w:space="0" w:color="auto"/>
              <w:bottom w:val="single" w:sz="6" w:space="0" w:color="auto"/>
              <w:right w:val="single" w:sz="6" w:space="0" w:color="auto"/>
            </w:tcBorders>
          </w:tcPr>
          <w:p w:rsidR="002D3AFA" w:rsidRDefault="002D3AFA">
            <w:pPr>
              <w:pStyle w:val="Box"/>
              <w:spacing w:before="0" w:line="120" w:lineRule="exact"/>
            </w:pPr>
          </w:p>
        </w:tc>
      </w:tr>
      <w:tr w:rsidR="002D3AFA" w:rsidRPr="000863A5">
        <w:tc>
          <w:tcPr>
            <w:tcW w:w="8771" w:type="dxa"/>
            <w:tcBorders>
              <w:top w:val="nil"/>
              <w:left w:val="nil"/>
              <w:bottom w:val="nil"/>
              <w:right w:val="nil"/>
            </w:tcBorders>
          </w:tcPr>
          <w:p w:rsidR="002D3AFA" w:rsidRPr="00626D32" w:rsidRDefault="002D3AFA" w:rsidP="002D3AFA">
            <w:pPr>
              <w:pStyle w:val="BoxSpaceBelow"/>
            </w:pPr>
          </w:p>
        </w:tc>
      </w:tr>
    </w:tbl>
    <w:p w:rsidR="004B4D18" w:rsidRDefault="004B4D18" w:rsidP="00805573">
      <w:pPr>
        <w:pStyle w:val="FigureTitle"/>
      </w:pPr>
      <w:r>
        <w:rPr>
          <w:b w:val="0"/>
        </w:rPr>
        <w:lastRenderedPageBreak/>
        <w:t>Figure 3.</w:t>
      </w:r>
      <w:r w:rsidR="0069448C">
        <w:rPr>
          <w:b w:val="0"/>
          <w:noProof/>
        </w:rPr>
        <w:t>3</w:t>
      </w:r>
      <w:r>
        <w:tab/>
        <w:t>Trends in social exclusion: Social Exclusion Monitor</w:t>
      </w:r>
      <w:r w:rsidR="00B04586" w:rsidRPr="00B04586">
        <w:rPr>
          <w:rStyle w:val="NoteLabel"/>
        </w:rPr>
        <w:t xml:space="preserve"> </w:t>
      </w:r>
      <w:r w:rsidR="00B04586" w:rsidRPr="00B04586">
        <w:rPr>
          <w:rStyle w:val="NoteLabel"/>
          <w:b/>
        </w:rPr>
        <w:t>a</w:t>
      </w:r>
      <w:r w:rsidR="00805573">
        <w:t xml:space="preserve">, </w:t>
      </w:r>
      <w:r>
        <w:t xml:space="preserve">2001 to </w:t>
      </w:r>
      <w:r w:rsidR="00B04586">
        <w:t>2010</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4B4D18" w:rsidTr="00BC48A8">
        <w:trPr>
          <w:trHeight w:val="5307"/>
        </w:trPr>
        <w:tc>
          <w:tcPr>
            <w:tcW w:w="8777" w:type="dxa"/>
          </w:tcPr>
          <w:p w:rsidR="004B4D18" w:rsidRDefault="00267F46" w:rsidP="004B4D18">
            <w:pPr>
              <w:pStyle w:val="Figure"/>
            </w:pPr>
            <w:r>
              <w:rPr>
                <w:noProof/>
              </w:rPr>
              <w:pict>
                <v:shape id="_x0000_i1027" type="#_x0000_t75" alt="This figure shows the degree of social exclusion whether marginal exclusion, deep  exclusion or very deep exclusion was experienced by the Australians aged 15 and plus over the period from 2001-2009" style="width:381.75pt;height:257.25pt">
                  <v:imagedata r:id="rId11" o:title=""/>
                </v:shape>
              </w:pict>
            </w:r>
          </w:p>
        </w:tc>
      </w:tr>
    </w:tbl>
    <w:p w:rsidR="004B4D18" w:rsidRDefault="004B4D18" w:rsidP="004B4D18">
      <w:pPr>
        <w:pStyle w:val="Source"/>
        <w:rPr>
          <w:i/>
        </w:rPr>
      </w:pPr>
      <w:r w:rsidRPr="008E77FE">
        <w:rPr>
          <w:rStyle w:val="NoteLabel"/>
        </w:rPr>
        <w:t>a</w:t>
      </w:r>
      <w:r>
        <w:rPr>
          <w:i/>
        </w:rPr>
        <w:t xml:space="preserve"> </w:t>
      </w:r>
      <w:r>
        <w:t>Trend information presented is derived from common indicators that are measured in all of the waves of HILDA data</w:t>
      </w:r>
      <w:r w:rsidR="0055118D">
        <w:t xml:space="preserve"> for the p</w:t>
      </w:r>
      <w:r>
        <w:t>opulation aged 15 years plus.</w:t>
      </w:r>
      <w:r w:rsidR="00BC48A8">
        <w:t xml:space="preserve"> The very deeply excluded are a subset of those that are deeply excluded</w:t>
      </w:r>
      <w:r w:rsidR="00381464">
        <w:t>. The rate of deep exclusion is the combination of the black and hatched areas shown in the chart.</w:t>
      </w:r>
    </w:p>
    <w:p w:rsidR="004B4D18" w:rsidRDefault="004B4D18" w:rsidP="004B4D18">
      <w:pPr>
        <w:pStyle w:val="Source"/>
      </w:pPr>
      <w:r w:rsidRPr="00D371E3">
        <w:rPr>
          <w:i/>
        </w:rPr>
        <w:t>Source:</w:t>
      </w:r>
      <w:r>
        <w:t xml:space="preserve"> </w:t>
      </w:r>
      <w:r w:rsidR="00941A37">
        <w:t>Azpitarte</w:t>
      </w:r>
      <w:r>
        <w:t xml:space="preserve"> (2012</w:t>
      </w:r>
      <w:r w:rsidR="00941A37">
        <w:t>b</w:t>
      </w:r>
      <w:r>
        <w:t>)</w:t>
      </w:r>
      <w:r w:rsidR="00F23D63">
        <w:t>.</w:t>
      </w:r>
    </w:p>
    <w:p w:rsidR="009043AF" w:rsidRDefault="009043AF" w:rsidP="009043AF">
      <w:pPr>
        <w:pStyle w:val="BodyText"/>
      </w:pPr>
      <w:r>
        <w:t xml:space="preserve">Supporting </w:t>
      </w:r>
      <w:r w:rsidR="00B04586">
        <w:t xml:space="preserve">these </w:t>
      </w:r>
      <w:r>
        <w:t>finding</w:t>
      </w:r>
      <w:r w:rsidR="00B04586">
        <w:t>s</w:t>
      </w:r>
      <w:r>
        <w:t xml:space="preserve">, the SPRC (Saunders and Wong 2012), using the two separate surveys on poverty and social exclusion, also reported a decline in the average prevalence of social exclusion among the adult population — from </w:t>
      </w:r>
      <w:r w:rsidR="00DE1895">
        <w:t xml:space="preserve">just </w:t>
      </w:r>
      <w:r>
        <w:t>over 19 per cent (or 3</w:t>
      </w:r>
      <w:r w:rsidR="00DE1895">
        <w:t> </w:t>
      </w:r>
      <w:r>
        <w:t xml:space="preserve">million) in 2006 to just under 16 per cent in 2010 </w:t>
      </w:r>
      <w:r w:rsidR="00DE1895">
        <w:t xml:space="preserve">(2.7 million) </w:t>
      </w:r>
      <w:r>
        <w:t>(table 3.6).</w:t>
      </w:r>
      <w:r w:rsidRPr="00233A96">
        <w:rPr>
          <w:rStyle w:val="FootnoteReference"/>
        </w:rPr>
        <w:footnoteReference w:id="18"/>
      </w:r>
      <w:r>
        <w:t xml:space="preserve"> </w:t>
      </w:r>
    </w:p>
    <w:p w:rsidR="009043AF" w:rsidRDefault="009043AF" w:rsidP="009043AF">
      <w:pPr>
        <w:pStyle w:val="BodyText"/>
      </w:pPr>
      <w:r>
        <w:t xml:space="preserve">Similarly, the </w:t>
      </w:r>
      <w:r w:rsidR="00B14312">
        <w:t>Australian Social Inclusion Board (2012)</w:t>
      </w:r>
      <w:r>
        <w:t xml:space="preserve"> </w:t>
      </w:r>
      <w:r w:rsidR="00B14312">
        <w:t>reported</w:t>
      </w:r>
      <w:r>
        <w:t xml:space="preserve"> a slight reduction in the proportion of the Australian working age population experiencing multiple disadvantage — from 5.2 per cent (or 680 000 people) in 2006 to 4.6 per cent </w:t>
      </w:r>
      <w:r w:rsidR="00F91AD5">
        <w:t xml:space="preserve">(or 645 000) </w:t>
      </w:r>
      <w:r>
        <w:t>in 2010. The Australian Social Inclusion Board (2012) reported:</w:t>
      </w:r>
    </w:p>
    <w:p w:rsidR="009043AF" w:rsidRDefault="009043AF" w:rsidP="009043AF">
      <w:pPr>
        <w:pStyle w:val="Quote"/>
      </w:pPr>
      <w:r>
        <w:t>… there were small improvements in those disadvantaged by employment and education, there was also a slight worsening in the number of people experiencing poor health and little change in the income, safety and support indicators. (p. 6)</w:t>
      </w:r>
    </w:p>
    <w:p w:rsidR="009043AF" w:rsidRDefault="009043AF" w:rsidP="009043AF">
      <w:pPr>
        <w:pStyle w:val="BodyText"/>
      </w:pPr>
      <w:r>
        <w:lastRenderedPageBreak/>
        <w:t xml:space="preserve">Notwithstanding these improvements, </w:t>
      </w:r>
      <w:r w:rsidRPr="00374BB8">
        <w:t>the proportion of the popu</w:t>
      </w:r>
      <w:r w:rsidR="00F23D63">
        <w:t>lation aged 15 </w:t>
      </w:r>
      <w:r w:rsidRPr="00374BB8">
        <w:t xml:space="preserve">years plus that are </w:t>
      </w:r>
      <w:r w:rsidRPr="00967F98">
        <w:t>very deeply</w:t>
      </w:r>
      <w:r w:rsidRPr="00374BB8">
        <w:t xml:space="preserve"> excluded remained relatively stable at around 1</w:t>
      </w:r>
      <w:r>
        <w:t> </w:t>
      </w:r>
      <w:r w:rsidRPr="00374BB8">
        <w:t>per</w:t>
      </w:r>
      <w:r>
        <w:t> </w:t>
      </w:r>
      <w:r w:rsidRPr="00374BB8">
        <w:t xml:space="preserve">cent between 2001 and 2009. This suggests that economic and employment growth alone may not improve the situation significantly for those with more complex needs. </w:t>
      </w:r>
    </w:p>
    <w:p w:rsidR="009043AF" w:rsidRDefault="009043AF" w:rsidP="009043AF">
      <w:pPr>
        <w:pStyle w:val="BodyText"/>
      </w:pPr>
      <w:r w:rsidRPr="007D0814">
        <w:t>The importance of employment for overcoming deep and persistent disadvantage is explored further in chapter 4.</w:t>
      </w:r>
    </w:p>
    <w:p w:rsidR="00A654D4" w:rsidRDefault="0031433A" w:rsidP="00CA4B5B">
      <w:pPr>
        <w:pStyle w:val="Heading3"/>
      </w:pPr>
      <w:r>
        <w:t>I</w:t>
      </w:r>
      <w:r w:rsidR="00A654D4">
        <w:t xml:space="preserve">ndicators </w:t>
      </w:r>
      <w:r>
        <w:t xml:space="preserve">common to people experiencing deep </w:t>
      </w:r>
      <w:r w:rsidR="00A654D4">
        <w:t>social exclusion</w:t>
      </w:r>
    </w:p>
    <w:p w:rsidR="000C292C" w:rsidRPr="006B3BAA" w:rsidRDefault="000C292C" w:rsidP="000C292C">
      <w:pPr>
        <w:pStyle w:val="BodyText"/>
      </w:pPr>
      <w:r>
        <w:t>There are a number of indicators that are common to people experiencing deeper social exclusion. The deeply excluded are more likely to have relatively low levels of community interaction, are very likely to have a long</w:t>
      </w:r>
      <w:r w:rsidR="002353E8">
        <w:noBreakHyphen/>
      </w:r>
      <w:r>
        <w:t xml:space="preserve">term medical condition or disability and have characteristics that reduce their levels of workforce participation which in turn contributes to lower economic resources. </w:t>
      </w:r>
    </w:p>
    <w:p w:rsidR="00A654D4" w:rsidRDefault="000C292C" w:rsidP="007D0814">
      <w:pPr>
        <w:pStyle w:val="BodyText"/>
      </w:pPr>
      <w:r>
        <w:t xml:space="preserve">Of the </w:t>
      </w:r>
      <w:r w:rsidR="00A654D4">
        <w:t xml:space="preserve">individuals </w:t>
      </w:r>
      <w:r w:rsidR="004C748D">
        <w:t xml:space="preserve">aged 15 years plus </w:t>
      </w:r>
      <w:r w:rsidR="00A654D4">
        <w:t>who experience</w:t>
      </w:r>
      <w:r w:rsidR="004B4D18">
        <w:t>d</w:t>
      </w:r>
      <w:r w:rsidR="00A654D4">
        <w:t xml:space="preserve"> deep social exclusion</w:t>
      </w:r>
      <w:r w:rsidR="004B4D18">
        <w:t xml:space="preserve"> between 2001 and </w:t>
      </w:r>
      <w:r w:rsidR="0031433A">
        <w:t>2010</w:t>
      </w:r>
      <w:r w:rsidR="00A654D4">
        <w:t>:</w:t>
      </w:r>
    </w:p>
    <w:p w:rsidR="000C292C" w:rsidRDefault="000C292C" w:rsidP="00CA4B5B">
      <w:pPr>
        <w:pStyle w:val="ListBullet"/>
      </w:pPr>
      <w:r>
        <w:t>just under a half had low levels of formal education</w:t>
      </w:r>
    </w:p>
    <w:p w:rsidR="000C292C" w:rsidRDefault="000C292C" w:rsidP="00CA4B5B">
      <w:pPr>
        <w:pStyle w:val="ListBullet"/>
      </w:pPr>
      <w:r>
        <w:t>close to 60 per cent w</w:t>
      </w:r>
      <w:r w:rsidR="00611250">
        <w:t>ere part of a jobless household</w:t>
      </w:r>
    </w:p>
    <w:p w:rsidR="000C292C" w:rsidRDefault="00C924FE" w:rsidP="000C292C">
      <w:pPr>
        <w:pStyle w:val="ListBullet"/>
      </w:pPr>
      <w:r>
        <w:t>just under 40 per cent were unemployed, underemployed or marginally attached</w:t>
      </w:r>
      <w:r w:rsidR="00611250">
        <w:t xml:space="preserve"> to the labour market</w:t>
      </w:r>
    </w:p>
    <w:p w:rsidR="00A654D4" w:rsidRDefault="00C924FE" w:rsidP="00CA4B5B">
      <w:pPr>
        <w:pStyle w:val="ListBullet"/>
      </w:pPr>
      <w:r>
        <w:t>just under 70 per cent were part of a household whose annual income was less than 60</w:t>
      </w:r>
      <w:r w:rsidR="004E5837">
        <w:t> </w:t>
      </w:r>
      <w:r>
        <w:t>per</w:t>
      </w:r>
      <w:r w:rsidR="004E5837">
        <w:t> </w:t>
      </w:r>
      <w:r>
        <w:t>cent of median household equivalised income</w:t>
      </w:r>
      <w:r w:rsidR="00611250">
        <w:t xml:space="preserve"> </w:t>
      </w:r>
      <w:r w:rsidR="00A654D4">
        <w:t>(Melbourne</w:t>
      </w:r>
      <w:r w:rsidR="00F03399">
        <w:t> </w:t>
      </w:r>
      <w:r w:rsidR="00A654D4">
        <w:t>Institute</w:t>
      </w:r>
      <w:r w:rsidR="00766580">
        <w:t> </w:t>
      </w:r>
      <w:r w:rsidR="00A654D4">
        <w:t>2013).</w:t>
      </w:r>
    </w:p>
    <w:p w:rsidR="0027389A" w:rsidRPr="00494E34" w:rsidRDefault="0027389A" w:rsidP="00967F98">
      <w:pPr>
        <w:pStyle w:val="Heading3"/>
      </w:pPr>
      <w:r>
        <w:t>The overlap of income poverty, deprivation and social exclusion</w:t>
      </w:r>
    </w:p>
    <w:p w:rsidR="005323A4" w:rsidRDefault="00BE0FB4" w:rsidP="00A642B7">
      <w:pPr>
        <w:pStyle w:val="BodyText"/>
      </w:pPr>
      <w:r>
        <w:t xml:space="preserve">Saunders and </w:t>
      </w:r>
      <w:r w:rsidR="00374BB8">
        <w:t xml:space="preserve">Wong </w:t>
      </w:r>
      <w:r w:rsidR="00687785">
        <w:t xml:space="preserve">(2012) </w:t>
      </w:r>
      <w:r w:rsidR="00374BB8">
        <w:t xml:space="preserve">sought to estimate the share of </w:t>
      </w:r>
      <w:r w:rsidR="00061A55">
        <w:t xml:space="preserve">adult Australians </w:t>
      </w:r>
      <w:r w:rsidR="00374BB8">
        <w:t xml:space="preserve">who </w:t>
      </w:r>
      <w:r w:rsidR="00556174">
        <w:t>experienc</w:t>
      </w:r>
      <w:r w:rsidR="00374BB8">
        <w:t>e</w:t>
      </w:r>
      <w:r w:rsidR="00556174">
        <w:t xml:space="preserve"> </w:t>
      </w:r>
      <w:r w:rsidR="00B11DDF">
        <w:t xml:space="preserve">a </w:t>
      </w:r>
      <w:r w:rsidR="00556174">
        <w:t xml:space="preserve">combination </w:t>
      </w:r>
      <w:r w:rsidR="00F90DFD">
        <w:t xml:space="preserve">or overlap </w:t>
      </w:r>
      <w:r w:rsidR="00556174">
        <w:t>of income poverty, financial deprivation and social exclusion</w:t>
      </w:r>
      <w:r w:rsidR="00061A55">
        <w:t xml:space="preserve"> — also known as ‘core disadvantaged’</w:t>
      </w:r>
      <w:r w:rsidR="00374BB8">
        <w:t xml:space="preserve">. </w:t>
      </w:r>
      <w:r w:rsidR="009A30BC">
        <w:t>The</w:t>
      </w:r>
      <w:r w:rsidR="00061A55">
        <w:t xml:space="preserve"> researchers</w:t>
      </w:r>
      <w:r w:rsidR="009A30BC">
        <w:t xml:space="preserve"> found the share of adults who experienced core disadvantage remained relatively stable at around 4 per cent between</w:t>
      </w:r>
      <w:r w:rsidR="00E43F2C">
        <w:t xml:space="preserve"> 2006 and 2010</w:t>
      </w:r>
      <w:r w:rsidR="00F90DFD">
        <w:t xml:space="preserve"> </w:t>
      </w:r>
      <w:r w:rsidR="00893261">
        <w:t xml:space="preserve">(with the level of core disadvantaged rising slightly from 600 00 in 2006 to 660 000 in 2010) </w:t>
      </w:r>
      <w:r w:rsidR="00F90DFD">
        <w:t>(table 3.6)</w:t>
      </w:r>
      <w:r w:rsidR="00477085">
        <w:t>.</w:t>
      </w:r>
    </w:p>
    <w:p w:rsidR="00156AF1" w:rsidRDefault="00156AF1" w:rsidP="00156AF1">
      <w:pPr>
        <w:pStyle w:val="TableTitle"/>
      </w:pPr>
      <w:r>
        <w:rPr>
          <w:b w:val="0"/>
        </w:rPr>
        <w:lastRenderedPageBreak/>
        <w:t xml:space="preserve">Table </w:t>
      </w:r>
      <w:bookmarkStart w:id="12" w:name="OLE_LINK1"/>
      <w:r>
        <w:rPr>
          <w:b w:val="0"/>
        </w:rPr>
        <w:t>3.</w:t>
      </w:r>
      <w:r w:rsidR="0069448C">
        <w:rPr>
          <w:b w:val="0"/>
          <w:noProof/>
        </w:rPr>
        <w:t>6</w:t>
      </w:r>
      <w:bookmarkEnd w:id="12"/>
      <w:r>
        <w:tab/>
        <w:t>Degree of overlap between income poverty, deprivation and social exclusion</w:t>
      </w:r>
      <w:r w:rsidRPr="00A52765">
        <w:rPr>
          <w:rStyle w:val="NoteLabel"/>
          <w:b/>
        </w:rPr>
        <w:t>a</w:t>
      </w:r>
    </w:p>
    <w:tbl>
      <w:tblPr>
        <w:tblW w:w="5000" w:type="pct"/>
        <w:tblCellMar>
          <w:left w:w="0" w:type="dxa"/>
          <w:right w:w="0" w:type="dxa"/>
        </w:tblCellMar>
        <w:tblLook w:val="0000" w:firstRow="0" w:lastRow="0" w:firstColumn="0" w:lastColumn="0" w:noHBand="0" w:noVBand="0"/>
      </w:tblPr>
      <w:tblGrid>
        <w:gridCol w:w="5275"/>
        <w:gridCol w:w="1758"/>
        <w:gridCol w:w="1756"/>
      </w:tblGrid>
      <w:tr w:rsidR="00156AF1" w:rsidTr="00156AF1">
        <w:tc>
          <w:tcPr>
            <w:tcW w:w="3001" w:type="pct"/>
            <w:tcBorders>
              <w:top w:val="single" w:sz="6" w:space="0" w:color="auto"/>
              <w:bottom w:val="single" w:sz="6" w:space="0" w:color="auto"/>
            </w:tcBorders>
            <w:shd w:val="clear" w:color="auto" w:fill="auto"/>
          </w:tcPr>
          <w:p w:rsidR="00156AF1" w:rsidRDefault="00156AF1" w:rsidP="00156AF1">
            <w:pPr>
              <w:pStyle w:val="TableColumnHeading"/>
              <w:jc w:val="left"/>
            </w:pPr>
          </w:p>
        </w:tc>
        <w:tc>
          <w:tcPr>
            <w:tcW w:w="1000" w:type="pct"/>
            <w:tcBorders>
              <w:top w:val="single" w:sz="6" w:space="0" w:color="auto"/>
              <w:bottom w:val="single" w:sz="6" w:space="0" w:color="auto"/>
            </w:tcBorders>
            <w:shd w:val="clear" w:color="auto" w:fill="auto"/>
          </w:tcPr>
          <w:p w:rsidR="00156AF1" w:rsidRDefault="00156AF1" w:rsidP="00156AF1">
            <w:pPr>
              <w:pStyle w:val="TableColumnHeading"/>
            </w:pPr>
            <w:r>
              <w:t>2006</w:t>
            </w:r>
          </w:p>
        </w:tc>
        <w:tc>
          <w:tcPr>
            <w:tcW w:w="1000" w:type="pct"/>
            <w:tcBorders>
              <w:top w:val="single" w:sz="6" w:space="0" w:color="auto"/>
              <w:bottom w:val="single" w:sz="6" w:space="0" w:color="auto"/>
            </w:tcBorders>
            <w:shd w:val="clear" w:color="auto" w:fill="auto"/>
          </w:tcPr>
          <w:p w:rsidR="00156AF1" w:rsidRDefault="00156AF1" w:rsidP="00156AF1">
            <w:pPr>
              <w:pStyle w:val="TableColumnHeading"/>
              <w:ind w:right="28"/>
            </w:pPr>
            <w:r>
              <w:t>2010</w:t>
            </w:r>
          </w:p>
        </w:tc>
      </w:tr>
      <w:tr w:rsidR="00156AF1" w:rsidTr="00156AF1">
        <w:tc>
          <w:tcPr>
            <w:tcW w:w="3001" w:type="pct"/>
            <w:shd w:val="clear" w:color="auto" w:fill="auto"/>
          </w:tcPr>
          <w:p w:rsidR="00156AF1" w:rsidRPr="004654F2" w:rsidRDefault="00156AF1" w:rsidP="00156AF1">
            <w:pPr>
              <w:pStyle w:val="TableBodyText"/>
              <w:spacing w:before="120"/>
              <w:jc w:val="left"/>
              <w:rPr>
                <w:b/>
              </w:rPr>
            </w:pPr>
          </w:p>
        </w:tc>
        <w:tc>
          <w:tcPr>
            <w:tcW w:w="1000" w:type="pct"/>
            <w:shd w:val="clear" w:color="auto" w:fill="auto"/>
          </w:tcPr>
          <w:p w:rsidR="00156AF1" w:rsidRDefault="00156AF1" w:rsidP="00156AF1">
            <w:pPr>
              <w:pStyle w:val="TableBodyText"/>
              <w:spacing w:before="120"/>
            </w:pPr>
            <w:r>
              <w:t>%</w:t>
            </w:r>
          </w:p>
        </w:tc>
        <w:tc>
          <w:tcPr>
            <w:tcW w:w="1000" w:type="pct"/>
            <w:shd w:val="clear" w:color="auto" w:fill="auto"/>
          </w:tcPr>
          <w:p w:rsidR="00156AF1" w:rsidRDefault="00156AF1" w:rsidP="00156AF1">
            <w:pPr>
              <w:pStyle w:val="TableBodyText"/>
              <w:spacing w:before="120"/>
              <w:ind w:right="28"/>
            </w:pPr>
            <w:r>
              <w:t>%</w:t>
            </w:r>
          </w:p>
        </w:tc>
      </w:tr>
      <w:tr w:rsidR="00156AF1" w:rsidTr="00156AF1">
        <w:tc>
          <w:tcPr>
            <w:tcW w:w="3001" w:type="pct"/>
            <w:shd w:val="clear" w:color="auto" w:fill="auto"/>
          </w:tcPr>
          <w:p w:rsidR="00156AF1" w:rsidRPr="004654F2" w:rsidRDefault="00156AF1" w:rsidP="00156AF1">
            <w:pPr>
              <w:pStyle w:val="TableBodyText"/>
              <w:spacing w:before="120"/>
              <w:jc w:val="left"/>
              <w:rPr>
                <w:b/>
              </w:rPr>
            </w:pPr>
            <w:r w:rsidRPr="004654F2">
              <w:rPr>
                <w:b/>
              </w:rPr>
              <w:t>Individual indicator</w:t>
            </w:r>
          </w:p>
        </w:tc>
        <w:tc>
          <w:tcPr>
            <w:tcW w:w="1000" w:type="pct"/>
            <w:shd w:val="clear" w:color="auto" w:fill="auto"/>
          </w:tcPr>
          <w:p w:rsidR="00156AF1" w:rsidRDefault="00156AF1" w:rsidP="00156AF1">
            <w:pPr>
              <w:pStyle w:val="TableBodyText"/>
              <w:spacing w:before="120"/>
            </w:pPr>
          </w:p>
        </w:tc>
        <w:tc>
          <w:tcPr>
            <w:tcW w:w="1000" w:type="pct"/>
            <w:shd w:val="clear" w:color="auto" w:fill="auto"/>
          </w:tcPr>
          <w:p w:rsidR="00156AF1" w:rsidRDefault="00156AF1" w:rsidP="00156AF1">
            <w:pPr>
              <w:pStyle w:val="TableBodyText"/>
              <w:spacing w:before="120"/>
              <w:ind w:right="28"/>
            </w:pPr>
          </w:p>
        </w:tc>
      </w:tr>
      <w:tr w:rsidR="00156AF1" w:rsidTr="00156AF1">
        <w:tc>
          <w:tcPr>
            <w:tcW w:w="3001" w:type="pct"/>
            <w:shd w:val="clear" w:color="auto" w:fill="auto"/>
          </w:tcPr>
          <w:p w:rsidR="00156AF1" w:rsidRDefault="00156AF1" w:rsidP="00156AF1">
            <w:pPr>
              <w:pStyle w:val="TableBodyText"/>
              <w:jc w:val="left"/>
            </w:pPr>
            <w:r>
              <w:t>Poverty rate</w:t>
            </w:r>
          </w:p>
        </w:tc>
        <w:tc>
          <w:tcPr>
            <w:tcW w:w="1000" w:type="pct"/>
            <w:shd w:val="clear" w:color="auto" w:fill="auto"/>
          </w:tcPr>
          <w:p w:rsidR="00156AF1" w:rsidRDefault="00156AF1" w:rsidP="00156AF1">
            <w:pPr>
              <w:pStyle w:val="TableBodyText"/>
            </w:pPr>
            <w:r>
              <w:t>11.8</w:t>
            </w:r>
          </w:p>
        </w:tc>
        <w:tc>
          <w:tcPr>
            <w:tcW w:w="1000" w:type="pct"/>
            <w:shd w:val="clear" w:color="auto" w:fill="auto"/>
          </w:tcPr>
          <w:p w:rsidR="00156AF1" w:rsidRDefault="00156AF1" w:rsidP="00156AF1">
            <w:pPr>
              <w:pStyle w:val="TableBodyText"/>
              <w:ind w:right="28"/>
            </w:pPr>
            <w:r>
              <w:t>13.1</w:t>
            </w:r>
          </w:p>
        </w:tc>
      </w:tr>
      <w:tr w:rsidR="00156AF1" w:rsidTr="00156AF1">
        <w:tc>
          <w:tcPr>
            <w:tcW w:w="3001" w:type="pct"/>
            <w:shd w:val="clear" w:color="auto" w:fill="auto"/>
          </w:tcPr>
          <w:p w:rsidR="00156AF1" w:rsidRDefault="00156AF1" w:rsidP="00156AF1">
            <w:pPr>
              <w:pStyle w:val="TableBodyText"/>
              <w:jc w:val="left"/>
            </w:pPr>
            <w:r>
              <w:t>Deprivation rate</w:t>
            </w:r>
          </w:p>
        </w:tc>
        <w:tc>
          <w:tcPr>
            <w:tcW w:w="1000" w:type="pct"/>
            <w:shd w:val="clear" w:color="auto" w:fill="auto"/>
          </w:tcPr>
          <w:p w:rsidR="00156AF1" w:rsidRDefault="00156AF1" w:rsidP="00156AF1">
            <w:pPr>
              <w:pStyle w:val="TableBodyText"/>
            </w:pPr>
            <w:r>
              <w:t>19.8</w:t>
            </w:r>
          </w:p>
        </w:tc>
        <w:tc>
          <w:tcPr>
            <w:tcW w:w="1000" w:type="pct"/>
            <w:shd w:val="clear" w:color="auto" w:fill="auto"/>
          </w:tcPr>
          <w:p w:rsidR="00156AF1" w:rsidRDefault="00156AF1" w:rsidP="00156AF1">
            <w:pPr>
              <w:pStyle w:val="TableBodyText"/>
              <w:ind w:right="28"/>
            </w:pPr>
            <w:r>
              <w:t>17.3</w:t>
            </w:r>
          </w:p>
        </w:tc>
      </w:tr>
      <w:tr w:rsidR="00156AF1" w:rsidTr="00156AF1">
        <w:tc>
          <w:tcPr>
            <w:tcW w:w="3001" w:type="pct"/>
            <w:shd w:val="clear" w:color="auto" w:fill="auto"/>
          </w:tcPr>
          <w:p w:rsidR="00156AF1" w:rsidRDefault="00156AF1" w:rsidP="00156AF1">
            <w:pPr>
              <w:pStyle w:val="TableBodyText"/>
              <w:jc w:val="left"/>
            </w:pPr>
            <w:r>
              <w:t>Social exclusion rate (overall)</w:t>
            </w:r>
          </w:p>
        </w:tc>
        <w:tc>
          <w:tcPr>
            <w:tcW w:w="1000" w:type="pct"/>
            <w:shd w:val="clear" w:color="auto" w:fill="auto"/>
          </w:tcPr>
          <w:p w:rsidR="00156AF1" w:rsidRDefault="00156AF1" w:rsidP="00156AF1">
            <w:pPr>
              <w:pStyle w:val="TableBodyText"/>
            </w:pPr>
            <w:r>
              <w:t>19.4</w:t>
            </w:r>
          </w:p>
        </w:tc>
        <w:tc>
          <w:tcPr>
            <w:tcW w:w="1000" w:type="pct"/>
            <w:shd w:val="clear" w:color="auto" w:fill="auto"/>
          </w:tcPr>
          <w:p w:rsidR="00156AF1" w:rsidRDefault="00156AF1" w:rsidP="00156AF1">
            <w:pPr>
              <w:pStyle w:val="TableBodyText"/>
              <w:ind w:right="28"/>
            </w:pPr>
            <w:r>
              <w:t>15.7</w:t>
            </w:r>
          </w:p>
        </w:tc>
      </w:tr>
      <w:tr w:rsidR="00156AF1" w:rsidTr="00156AF1">
        <w:tc>
          <w:tcPr>
            <w:tcW w:w="3001" w:type="pct"/>
            <w:shd w:val="clear" w:color="auto" w:fill="auto"/>
          </w:tcPr>
          <w:p w:rsidR="00156AF1" w:rsidRDefault="00156AF1" w:rsidP="00156AF1">
            <w:pPr>
              <w:pStyle w:val="TableBodyText"/>
              <w:spacing w:before="120"/>
              <w:jc w:val="left"/>
            </w:pPr>
            <w:r w:rsidRPr="00781F3C">
              <w:rPr>
                <w:b/>
              </w:rPr>
              <w:t>Extent of overlap</w:t>
            </w:r>
          </w:p>
        </w:tc>
        <w:tc>
          <w:tcPr>
            <w:tcW w:w="1000" w:type="pct"/>
            <w:shd w:val="clear" w:color="auto" w:fill="auto"/>
          </w:tcPr>
          <w:p w:rsidR="00156AF1" w:rsidRDefault="00156AF1" w:rsidP="00156AF1">
            <w:pPr>
              <w:pStyle w:val="TableBodyText"/>
              <w:spacing w:before="120"/>
            </w:pPr>
          </w:p>
        </w:tc>
        <w:tc>
          <w:tcPr>
            <w:tcW w:w="1000" w:type="pct"/>
            <w:shd w:val="clear" w:color="auto" w:fill="auto"/>
          </w:tcPr>
          <w:p w:rsidR="00156AF1" w:rsidRDefault="00156AF1" w:rsidP="00156AF1">
            <w:pPr>
              <w:pStyle w:val="TableBodyText"/>
              <w:spacing w:before="120"/>
              <w:ind w:right="28"/>
            </w:pPr>
          </w:p>
        </w:tc>
      </w:tr>
      <w:tr w:rsidR="00156AF1" w:rsidTr="00156AF1">
        <w:tc>
          <w:tcPr>
            <w:tcW w:w="3001" w:type="pct"/>
            <w:shd w:val="clear" w:color="auto" w:fill="auto"/>
          </w:tcPr>
          <w:p w:rsidR="00156AF1" w:rsidRDefault="00156AF1" w:rsidP="00156AF1">
            <w:pPr>
              <w:pStyle w:val="TableBodyText"/>
              <w:jc w:val="left"/>
            </w:pPr>
            <w:r>
              <w:t>In poverty and also deprived</w:t>
            </w:r>
          </w:p>
        </w:tc>
        <w:tc>
          <w:tcPr>
            <w:tcW w:w="1000" w:type="pct"/>
            <w:shd w:val="clear" w:color="auto" w:fill="auto"/>
          </w:tcPr>
          <w:p w:rsidR="00156AF1" w:rsidRDefault="00156AF1" w:rsidP="00156AF1">
            <w:pPr>
              <w:pStyle w:val="TableBodyText"/>
            </w:pPr>
            <w:r>
              <w:t>43.7</w:t>
            </w:r>
          </w:p>
        </w:tc>
        <w:tc>
          <w:tcPr>
            <w:tcW w:w="1000" w:type="pct"/>
            <w:shd w:val="clear" w:color="auto" w:fill="auto"/>
          </w:tcPr>
          <w:p w:rsidR="00156AF1" w:rsidRDefault="00156AF1" w:rsidP="00156AF1">
            <w:pPr>
              <w:pStyle w:val="TableBodyText"/>
              <w:ind w:right="28"/>
            </w:pPr>
            <w:r>
              <w:t>40.9</w:t>
            </w:r>
          </w:p>
        </w:tc>
      </w:tr>
      <w:tr w:rsidR="00156AF1" w:rsidTr="00156AF1">
        <w:tc>
          <w:tcPr>
            <w:tcW w:w="3001" w:type="pct"/>
            <w:shd w:val="clear" w:color="auto" w:fill="auto"/>
          </w:tcPr>
          <w:p w:rsidR="00156AF1" w:rsidRDefault="00156AF1" w:rsidP="00156AF1">
            <w:pPr>
              <w:pStyle w:val="TableBodyText"/>
              <w:jc w:val="left"/>
            </w:pPr>
            <w:r>
              <w:t>In poverty and socially excluded</w:t>
            </w:r>
          </w:p>
        </w:tc>
        <w:tc>
          <w:tcPr>
            <w:tcW w:w="1000" w:type="pct"/>
            <w:shd w:val="clear" w:color="auto" w:fill="auto"/>
          </w:tcPr>
          <w:p w:rsidR="00156AF1" w:rsidRDefault="00156AF1" w:rsidP="00156AF1">
            <w:pPr>
              <w:pStyle w:val="TableBodyText"/>
            </w:pPr>
            <w:r>
              <w:t>40.6</w:t>
            </w:r>
          </w:p>
        </w:tc>
        <w:tc>
          <w:tcPr>
            <w:tcW w:w="1000" w:type="pct"/>
            <w:shd w:val="clear" w:color="auto" w:fill="auto"/>
          </w:tcPr>
          <w:p w:rsidR="00156AF1" w:rsidRDefault="00156AF1" w:rsidP="00156AF1">
            <w:pPr>
              <w:pStyle w:val="TableBodyText"/>
              <w:ind w:right="28"/>
            </w:pPr>
            <w:r>
              <w:t>38.7</w:t>
            </w:r>
          </w:p>
        </w:tc>
      </w:tr>
      <w:tr w:rsidR="00156AF1" w:rsidTr="00156AF1">
        <w:tc>
          <w:tcPr>
            <w:tcW w:w="3001" w:type="pct"/>
            <w:shd w:val="clear" w:color="auto" w:fill="auto"/>
          </w:tcPr>
          <w:p w:rsidR="00156AF1" w:rsidRDefault="00156AF1" w:rsidP="00156AF1">
            <w:pPr>
              <w:pStyle w:val="TableBodyText"/>
              <w:jc w:val="left"/>
            </w:pPr>
            <w:r w:rsidRPr="00781F3C">
              <w:rPr>
                <w:i/>
              </w:rPr>
              <w:t>In poverty and disengaged</w:t>
            </w:r>
          </w:p>
        </w:tc>
        <w:tc>
          <w:tcPr>
            <w:tcW w:w="1000" w:type="pct"/>
            <w:shd w:val="clear" w:color="auto" w:fill="auto"/>
          </w:tcPr>
          <w:p w:rsidR="00156AF1" w:rsidRDefault="00156AF1" w:rsidP="00156AF1">
            <w:pPr>
              <w:pStyle w:val="TableBodyText"/>
            </w:pPr>
            <w:r>
              <w:rPr>
                <w:i/>
              </w:rPr>
              <w:t>33.9</w:t>
            </w:r>
          </w:p>
        </w:tc>
        <w:tc>
          <w:tcPr>
            <w:tcW w:w="1000" w:type="pct"/>
            <w:shd w:val="clear" w:color="auto" w:fill="auto"/>
          </w:tcPr>
          <w:p w:rsidR="00156AF1" w:rsidRDefault="00156AF1" w:rsidP="00156AF1">
            <w:pPr>
              <w:pStyle w:val="TableBodyText"/>
              <w:ind w:right="28"/>
            </w:pPr>
            <w:r>
              <w:rPr>
                <w:i/>
              </w:rPr>
              <w:t>32.3</w:t>
            </w:r>
          </w:p>
        </w:tc>
      </w:tr>
      <w:tr w:rsidR="00156AF1" w:rsidTr="00156AF1">
        <w:tc>
          <w:tcPr>
            <w:tcW w:w="3001" w:type="pct"/>
            <w:shd w:val="clear" w:color="auto" w:fill="auto"/>
          </w:tcPr>
          <w:p w:rsidR="00156AF1" w:rsidRDefault="00156AF1" w:rsidP="00156AF1">
            <w:pPr>
              <w:pStyle w:val="TableBodyText"/>
              <w:jc w:val="left"/>
            </w:pPr>
            <w:r w:rsidRPr="00781F3C">
              <w:rPr>
                <w:i/>
              </w:rPr>
              <w:t>In poverty and service excluded</w:t>
            </w:r>
          </w:p>
        </w:tc>
        <w:tc>
          <w:tcPr>
            <w:tcW w:w="1000" w:type="pct"/>
            <w:shd w:val="clear" w:color="auto" w:fill="auto"/>
          </w:tcPr>
          <w:p w:rsidR="00156AF1" w:rsidRDefault="00156AF1" w:rsidP="00156AF1">
            <w:pPr>
              <w:pStyle w:val="TableBodyText"/>
            </w:pPr>
            <w:r>
              <w:rPr>
                <w:i/>
              </w:rPr>
              <w:t>27.5</w:t>
            </w:r>
          </w:p>
        </w:tc>
        <w:tc>
          <w:tcPr>
            <w:tcW w:w="1000" w:type="pct"/>
            <w:shd w:val="clear" w:color="auto" w:fill="auto"/>
          </w:tcPr>
          <w:p w:rsidR="00156AF1" w:rsidRDefault="00156AF1" w:rsidP="00156AF1">
            <w:pPr>
              <w:pStyle w:val="TableBodyText"/>
              <w:ind w:right="28"/>
            </w:pPr>
            <w:r>
              <w:rPr>
                <w:i/>
              </w:rPr>
              <w:t>28.9</w:t>
            </w:r>
          </w:p>
        </w:tc>
      </w:tr>
      <w:tr w:rsidR="00156AF1" w:rsidTr="00156AF1">
        <w:tc>
          <w:tcPr>
            <w:tcW w:w="3001" w:type="pct"/>
            <w:shd w:val="clear" w:color="auto" w:fill="auto"/>
          </w:tcPr>
          <w:p w:rsidR="00156AF1" w:rsidRDefault="00156AF1" w:rsidP="00156AF1">
            <w:pPr>
              <w:pStyle w:val="TableBodyText"/>
              <w:jc w:val="left"/>
            </w:pPr>
            <w:r w:rsidRPr="00781F3C">
              <w:rPr>
                <w:i/>
              </w:rPr>
              <w:t>In poverty and economically excluded</w:t>
            </w:r>
          </w:p>
        </w:tc>
        <w:tc>
          <w:tcPr>
            <w:tcW w:w="1000" w:type="pct"/>
            <w:shd w:val="clear" w:color="auto" w:fill="auto"/>
          </w:tcPr>
          <w:p w:rsidR="00156AF1" w:rsidRDefault="00156AF1" w:rsidP="00156AF1">
            <w:pPr>
              <w:pStyle w:val="TableBodyText"/>
            </w:pPr>
            <w:r>
              <w:rPr>
                <w:i/>
              </w:rPr>
              <w:t>39.2</w:t>
            </w:r>
          </w:p>
        </w:tc>
        <w:tc>
          <w:tcPr>
            <w:tcW w:w="1000" w:type="pct"/>
            <w:shd w:val="clear" w:color="auto" w:fill="auto"/>
          </w:tcPr>
          <w:p w:rsidR="00156AF1" w:rsidRDefault="00156AF1" w:rsidP="00156AF1">
            <w:pPr>
              <w:pStyle w:val="TableBodyText"/>
              <w:ind w:right="28"/>
            </w:pPr>
            <w:r>
              <w:rPr>
                <w:i/>
              </w:rPr>
              <w:t>35.4</w:t>
            </w:r>
          </w:p>
        </w:tc>
      </w:tr>
      <w:tr w:rsidR="00156AF1" w:rsidTr="00156AF1">
        <w:tc>
          <w:tcPr>
            <w:tcW w:w="3001" w:type="pct"/>
            <w:shd w:val="clear" w:color="auto" w:fill="auto"/>
          </w:tcPr>
          <w:p w:rsidR="00156AF1" w:rsidRDefault="00156AF1" w:rsidP="00156AF1">
            <w:pPr>
              <w:pStyle w:val="TableBodyText"/>
              <w:jc w:val="left"/>
            </w:pPr>
            <w:r>
              <w:t>In poverty and deprived and economically excluded</w:t>
            </w:r>
          </w:p>
        </w:tc>
        <w:tc>
          <w:tcPr>
            <w:tcW w:w="1000" w:type="pct"/>
            <w:shd w:val="clear" w:color="auto" w:fill="auto"/>
          </w:tcPr>
          <w:p w:rsidR="00156AF1" w:rsidRDefault="00156AF1" w:rsidP="00156AF1">
            <w:pPr>
              <w:pStyle w:val="TableBodyText"/>
            </w:pPr>
            <w:r>
              <w:t>31.9</w:t>
            </w:r>
          </w:p>
        </w:tc>
        <w:tc>
          <w:tcPr>
            <w:tcW w:w="1000" w:type="pct"/>
            <w:shd w:val="clear" w:color="auto" w:fill="auto"/>
          </w:tcPr>
          <w:p w:rsidR="00156AF1" w:rsidRDefault="00156AF1" w:rsidP="00156AF1">
            <w:pPr>
              <w:pStyle w:val="TableBodyText"/>
              <w:ind w:right="28"/>
            </w:pPr>
            <w:r>
              <w:t>30.0</w:t>
            </w:r>
          </w:p>
        </w:tc>
      </w:tr>
      <w:tr w:rsidR="00156AF1" w:rsidTr="00156AF1">
        <w:tc>
          <w:tcPr>
            <w:tcW w:w="3001" w:type="pct"/>
            <w:tcBorders>
              <w:bottom w:val="single" w:sz="4" w:space="0" w:color="auto"/>
            </w:tcBorders>
            <w:shd w:val="clear" w:color="auto" w:fill="auto"/>
          </w:tcPr>
          <w:p w:rsidR="00156AF1" w:rsidRPr="008A23AE" w:rsidRDefault="00156AF1" w:rsidP="00156AF1">
            <w:pPr>
              <w:pStyle w:val="TableBodyText"/>
              <w:spacing w:before="120"/>
              <w:jc w:val="left"/>
              <w:rPr>
                <w:b/>
              </w:rPr>
            </w:pPr>
            <w:r w:rsidRPr="008A23AE">
              <w:rPr>
                <w:b/>
              </w:rPr>
              <w:t xml:space="preserve">Core disadvantaged - proportion of population </w:t>
            </w:r>
            <w:r>
              <w:rPr>
                <w:b/>
              </w:rPr>
              <w:t>experiencing</w:t>
            </w:r>
            <w:r w:rsidRPr="008A23AE">
              <w:rPr>
                <w:b/>
              </w:rPr>
              <w:t xml:space="preserve"> poverty, deprivation and exclusion</w:t>
            </w:r>
          </w:p>
        </w:tc>
        <w:tc>
          <w:tcPr>
            <w:tcW w:w="1000" w:type="pct"/>
            <w:tcBorders>
              <w:bottom w:val="single" w:sz="4" w:space="0" w:color="auto"/>
            </w:tcBorders>
            <w:shd w:val="clear" w:color="auto" w:fill="auto"/>
            <w:vAlign w:val="bottom"/>
          </w:tcPr>
          <w:p w:rsidR="00156AF1" w:rsidRPr="008A23AE" w:rsidRDefault="00156AF1" w:rsidP="00156AF1">
            <w:pPr>
              <w:pStyle w:val="TableBodyText"/>
              <w:spacing w:before="120"/>
              <w:rPr>
                <w:b/>
              </w:rPr>
            </w:pPr>
            <w:r>
              <w:rPr>
                <w:b/>
              </w:rPr>
              <w:t>3.8</w:t>
            </w:r>
          </w:p>
        </w:tc>
        <w:tc>
          <w:tcPr>
            <w:tcW w:w="1000" w:type="pct"/>
            <w:tcBorders>
              <w:bottom w:val="single" w:sz="4" w:space="0" w:color="auto"/>
            </w:tcBorders>
            <w:shd w:val="clear" w:color="auto" w:fill="auto"/>
            <w:vAlign w:val="bottom"/>
          </w:tcPr>
          <w:p w:rsidR="00156AF1" w:rsidRPr="008A23AE" w:rsidRDefault="00156AF1" w:rsidP="00156AF1">
            <w:pPr>
              <w:pStyle w:val="TableBodyText"/>
              <w:spacing w:before="120"/>
              <w:ind w:right="28"/>
              <w:rPr>
                <w:b/>
              </w:rPr>
            </w:pPr>
            <w:r>
              <w:rPr>
                <w:b/>
              </w:rPr>
              <w:t>3.9</w:t>
            </w:r>
          </w:p>
        </w:tc>
      </w:tr>
    </w:tbl>
    <w:p w:rsidR="00156AF1" w:rsidRDefault="00156AF1" w:rsidP="00156AF1">
      <w:pPr>
        <w:pStyle w:val="Source"/>
      </w:pPr>
      <w:r w:rsidRPr="00D0140D">
        <w:rPr>
          <w:rStyle w:val="NoteLabel"/>
        </w:rPr>
        <w:t>a</w:t>
      </w:r>
      <w:r>
        <w:rPr>
          <w:rStyle w:val="NoteLabel"/>
          <w:b w:val="0"/>
        </w:rPr>
        <w:t xml:space="preserve"> </w:t>
      </w:r>
      <w:r>
        <w:t xml:space="preserve">Weighted </w:t>
      </w:r>
      <w:r w:rsidRPr="006643A1">
        <w:t>data</w:t>
      </w:r>
      <w:r w:rsidRPr="004654F2">
        <w:t xml:space="preserve"> </w:t>
      </w:r>
      <w:r>
        <w:t xml:space="preserve">for people aged 18 years plus </w:t>
      </w:r>
      <w:r w:rsidRPr="004654F2">
        <w:t xml:space="preserve">from the </w:t>
      </w:r>
      <w:r w:rsidRPr="00F212BC">
        <w:t xml:space="preserve">CUPSE </w:t>
      </w:r>
      <w:r>
        <w:t xml:space="preserve">survey conducted </w:t>
      </w:r>
      <w:r w:rsidRPr="00F212BC">
        <w:t xml:space="preserve">in 2006 and PEMA </w:t>
      </w:r>
      <w:r>
        <w:t xml:space="preserve">survey conducted </w:t>
      </w:r>
      <w:r w:rsidRPr="00F212BC">
        <w:t>in 2010.</w:t>
      </w:r>
      <w:r>
        <w:rPr>
          <w:rStyle w:val="NoteLabel"/>
          <w:b w:val="0"/>
        </w:rPr>
        <w:t xml:space="preserve"> </w:t>
      </w:r>
      <w:r w:rsidRPr="00E857BC">
        <w:t xml:space="preserve">Individuals </w:t>
      </w:r>
      <w:r>
        <w:t>were classified as experiencing income poverty if their income was below half median household income. Individuals were deprived if they experienced three or more deprivation conditions and excluded if they experienced seven or more separate exclusion indicators. People were disengaged if they experienced three or more disengagement indicators. People experienced service exclusion if they experienced three or more service exclusion indicators and economic exclusion if they experienced three or more indicators of economic exclusion.</w:t>
      </w:r>
      <w:r w:rsidR="00F911EC">
        <w:t xml:space="preserve"> Data for 2006 is unpublished weighted data that was provided to the Commission to allow comparisons with </w:t>
      </w:r>
      <w:r w:rsidR="008B4C2E">
        <w:t>published weighted estimates</w:t>
      </w:r>
      <w:r w:rsidR="00F911EC">
        <w:t xml:space="preserve"> for 2010.</w:t>
      </w:r>
    </w:p>
    <w:p w:rsidR="00156AF1" w:rsidRDefault="00156AF1" w:rsidP="00156AF1">
      <w:pPr>
        <w:pStyle w:val="Source"/>
      </w:pPr>
      <w:r>
        <w:rPr>
          <w:i/>
        </w:rPr>
        <w:t>Source</w:t>
      </w:r>
      <w:r w:rsidR="002353E8">
        <w:rPr>
          <w:i/>
        </w:rPr>
        <w:t>s</w:t>
      </w:r>
      <w:r>
        <w:t>: Saunders and Wong (2012)</w:t>
      </w:r>
      <w:r w:rsidR="00DE1895">
        <w:t xml:space="preserve"> for 2010 data</w:t>
      </w:r>
      <w:r w:rsidR="00F911EC">
        <w:t>;</w:t>
      </w:r>
      <w:r w:rsidR="00DE1895">
        <w:t xml:space="preserve"> unpublished </w:t>
      </w:r>
      <w:r w:rsidR="00F911EC">
        <w:t xml:space="preserve">CUPSE </w:t>
      </w:r>
      <w:r w:rsidR="00DE1895">
        <w:t>data</w:t>
      </w:r>
      <w:r w:rsidR="006B16ED">
        <w:t xml:space="preserve"> for 2006</w:t>
      </w:r>
      <w:r>
        <w:t>.</w:t>
      </w:r>
    </w:p>
    <w:p w:rsidR="00BC1C33" w:rsidRDefault="00BC1C33" w:rsidP="00BC1C33">
      <w:pPr>
        <w:pStyle w:val="BodyText"/>
      </w:pPr>
      <w:r>
        <w:t xml:space="preserve">Saunders and Wong (2012) found that those Australians who are experiencing relative income poverty do not necessarily experience deprivation and/or social exclusion, though the probability appears likely to be higher for these individuals than for those not experiencing relative income poverty. </w:t>
      </w:r>
    </w:p>
    <w:p w:rsidR="00257185" w:rsidRDefault="00BC1C33" w:rsidP="00257185">
      <w:pPr>
        <w:pStyle w:val="BodyText"/>
      </w:pPr>
      <w:r>
        <w:t>The survey responses show a much higher rate of overlap between poverty and deprivation in 2010 than poverty and s</w:t>
      </w:r>
      <w:r w:rsidR="00F03399">
        <w:t xml:space="preserve">ervice </w:t>
      </w:r>
      <w:r>
        <w:t>exclusion.</w:t>
      </w:r>
      <w:r w:rsidR="00766580">
        <w:t xml:space="preserve"> </w:t>
      </w:r>
      <w:r w:rsidR="00257185">
        <w:t>Saunders (2011) concluded that:</w:t>
      </w:r>
    </w:p>
    <w:p w:rsidR="00257185" w:rsidRDefault="00257185" w:rsidP="00257185">
      <w:pPr>
        <w:pStyle w:val="Quote"/>
      </w:pPr>
      <w:r>
        <w:t>These low overlaps confirm that how social disadvantage is measured makes a great deal of difference to who is identified as experiencing it. They also suggest that it would not be wise to rely on any single measure to estimate the extent of the problem, or as the basis for evaluating the impact of policy. (p. 171)</w:t>
      </w:r>
    </w:p>
    <w:p w:rsidR="00257185" w:rsidRDefault="00257185" w:rsidP="00257185">
      <w:pPr>
        <w:pStyle w:val="BodyText"/>
      </w:pPr>
      <w:r>
        <w:t xml:space="preserve">Given these methodological differences, the composition of the group of ‘core disadvantaged’ may differ slightly to the group determined by the SEM analysis to be deeply excluded and the group determined by the </w:t>
      </w:r>
      <w:r w:rsidR="00D1195C">
        <w:t>Australian Social Inclusion Board</w:t>
      </w:r>
      <w:r>
        <w:t xml:space="preserve"> to be experiencing multiple disadvantage. </w:t>
      </w:r>
    </w:p>
    <w:p w:rsidR="00F372B9" w:rsidRPr="00F372B9" w:rsidRDefault="00F372B9" w:rsidP="00B7679E">
      <w:pPr>
        <w:pStyle w:val="BodyText"/>
      </w:pPr>
      <w:r>
        <w:lastRenderedPageBreak/>
        <w:t xml:space="preserve">The intersection approach taken by Saunders and the SPRC to measuring the overlap of all three forms of disadvantage </w:t>
      </w:r>
      <w:r w:rsidR="00611250">
        <w:t xml:space="preserve">for the adult population in Australia </w:t>
      </w:r>
      <w:r w:rsidR="00B7679E">
        <w:t>is</w:t>
      </w:r>
      <w:r>
        <w:t xml:space="preserve"> illustrated </w:t>
      </w:r>
      <w:r w:rsidR="00B7679E">
        <w:t>in</w:t>
      </w:r>
      <w:r w:rsidR="00EE2BCF">
        <w:t xml:space="preserve"> </w:t>
      </w:r>
      <w:r>
        <w:t>figure 3.4</w:t>
      </w:r>
      <w:r w:rsidR="00B7679E">
        <w:t>.</w:t>
      </w:r>
    </w:p>
    <w:p w:rsidR="008E2635" w:rsidRDefault="004147D2" w:rsidP="00805573">
      <w:pPr>
        <w:pStyle w:val="FigureTitle"/>
      </w:pPr>
      <w:r>
        <w:rPr>
          <w:b w:val="0"/>
        </w:rPr>
        <w:t xml:space="preserve">Figure </w:t>
      </w:r>
      <w:bookmarkStart w:id="13" w:name="OLE_LINK16"/>
      <w:r w:rsidR="00833BF4">
        <w:rPr>
          <w:b w:val="0"/>
        </w:rPr>
        <w:t>3.</w:t>
      </w:r>
      <w:r w:rsidR="0069448C">
        <w:rPr>
          <w:b w:val="0"/>
          <w:noProof/>
        </w:rPr>
        <w:t>4</w:t>
      </w:r>
      <w:bookmarkEnd w:id="13"/>
      <w:r w:rsidR="008E2635">
        <w:tab/>
        <w:t>Overlap between poverty, deprivation and exclusion</w:t>
      </w:r>
      <w:r w:rsidR="009C3C98" w:rsidRPr="009C3C98">
        <w:rPr>
          <w:rStyle w:val="NoteLabel"/>
          <w:b/>
        </w:rPr>
        <w:t>a</w:t>
      </w:r>
      <w:r w:rsidR="00805573">
        <w:t xml:space="preserve">, </w:t>
      </w:r>
      <w:r w:rsidR="008E2635">
        <w:t>2010</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8E2635" w:rsidTr="008E2635">
        <w:tc>
          <w:tcPr>
            <w:tcW w:w="8777" w:type="dxa"/>
          </w:tcPr>
          <w:p w:rsidR="008E2635" w:rsidRDefault="00147FCA" w:rsidP="008E2635">
            <w:pPr>
              <w:pStyle w:val="Figure"/>
            </w:pPr>
            <w:r>
              <w:rPr>
                <w:noProof/>
              </w:rPr>
              <w:drawing>
                <wp:inline distT="0" distB="0" distL="0" distR="0" wp14:anchorId="7C8DF232" wp14:editId="6C916EF5">
                  <wp:extent cx="4876799" cy="3905250"/>
                  <wp:effectExtent l="0" t="0" r="0" b="0"/>
                  <wp:docPr id="10" name="Picture 10" descr="This figure shows the extent of overlap between poverty, deprivation and exclusion indicating the level of care disadvantage experienced by the Australian population aged 18 years and older in 2010" title="Overlap between poverty, deprivation and exclusion,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1377" cy="3908916"/>
                          </a:xfrm>
                          <a:prstGeom prst="rect">
                            <a:avLst/>
                          </a:prstGeom>
                          <a:noFill/>
                          <a:ln>
                            <a:noFill/>
                          </a:ln>
                        </pic:spPr>
                      </pic:pic>
                    </a:graphicData>
                  </a:graphic>
                </wp:inline>
              </w:drawing>
            </w:r>
          </w:p>
        </w:tc>
      </w:tr>
    </w:tbl>
    <w:p w:rsidR="008E2635" w:rsidRDefault="008E2635" w:rsidP="008E2635">
      <w:pPr>
        <w:pStyle w:val="Note"/>
      </w:pPr>
      <w:r>
        <w:rPr>
          <w:rStyle w:val="NoteLabel"/>
        </w:rPr>
        <w:t>a</w:t>
      </w:r>
      <w:r>
        <w:t xml:space="preserve"> Australian population aged 18 years plus. Weighted data.</w:t>
      </w:r>
      <w:r w:rsidR="00F372B9">
        <w:t xml:space="preserve"> </w:t>
      </w:r>
      <w:r w:rsidR="00147FCA">
        <w:t xml:space="preserve">Individual estimates for poverty, deprivation and exclusion </w:t>
      </w:r>
      <w:r w:rsidR="00E5053E">
        <w:t xml:space="preserve">shown in brackets </w:t>
      </w:r>
      <w:r w:rsidR="00147FCA">
        <w:t xml:space="preserve">do not quite line up with estimates provided in table 3.6 because the sample is restricted to individuals who provided responses </w:t>
      </w:r>
      <w:r w:rsidR="00B6750C">
        <w:t>for</w:t>
      </w:r>
      <w:r w:rsidR="00147FCA">
        <w:t xml:space="preserve"> all </w:t>
      </w:r>
      <w:r w:rsidR="00B6750C">
        <w:t>three indicators.</w:t>
      </w:r>
      <w:r w:rsidR="00611250">
        <w:t xml:space="preserve"> The diagram shows the percentage of the adult population experiencing only one form of disadvantage</w:t>
      </w:r>
      <w:r w:rsidR="00F90DFD">
        <w:t xml:space="preserve"> and </w:t>
      </w:r>
      <w:r w:rsidR="00611250">
        <w:t>the percentage experiencing multiple forms of disadvantage</w:t>
      </w:r>
      <w:r w:rsidR="00F90DFD">
        <w:t xml:space="preserve"> indicated in the intersection of the three circles</w:t>
      </w:r>
      <w:r w:rsidR="00611250">
        <w:t>.</w:t>
      </w:r>
    </w:p>
    <w:p w:rsidR="008E2635" w:rsidRDefault="008E2635" w:rsidP="008E2635">
      <w:pPr>
        <w:pStyle w:val="Source"/>
      </w:pPr>
      <w:r>
        <w:rPr>
          <w:i/>
        </w:rPr>
        <w:t>Source</w:t>
      </w:r>
      <w:r w:rsidRPr="00167F06">
        <w:t xml:space="preserve">: </w:t>
      </w:r>
      <w:r>
        <w:t>Saunders and Wong (2012)</w:t>
      </w:r>
      <w:r w:rsidR="00A23744">
        <w:t>.</w:t>
      </w:r>
    </w:p>
    <w:p w:rsidR="00147FCA" w:rsidRDefault="00147FCA" w:rsidP="00147FCA">
      <w:pPr>
        <w:pStyle w:val="Heading3"/>
      </w:pPr>
      <w:r>
        <w:t xml:space="preserve">Evidence of persistent and recurring </w:t>
      </w:r>
      <w:r w:rsidRPr="004761D7">
        <w:t>social exclusion</w:t>
      </w:r>
    </w:p>
    <w:p w:rsidR="00147FCA" w:rsidRDefault="00147FCA" w:rsidP="00147FCA">
      <w:pPr>
        <w:pStyle w:val="BodyText"/>
      </w:pPr>
      <w:r>
        <w:t xml:space="preserve">While some Australians experience episodes of deeper exclusion, the extent of persistent deep social exclusion is more limited. Measures of social exclusion based on the SEM approach show that </w:t>
      </w:r>
      <w:r w:rsidR="00B670EA">
        <w:t xml:space="preserve">just under </w:t>
      </w:r>
      <w:r w:rsidR="00CA1E7E">
        <w:t>3 </w:t>
      </w:r>
      <w:r>
        <w:t xml:space="preserve">per cent (or </w:t>
      </w:r>
      <w:r w:rsidR="00B670EA">
        <w:t>46</w:t>
      </w:r>
      <w:r w:rsidR="00CB0759">
        <w:t>5</w:t>
      </w:r>
      <w:r w:rsidR="00B670EA">
        <w:t> </w:t>
      </w:r>
      <w:r>
        <w:t xml:space="preserve">000) of Australians aged 15 years plus were </w:t>
      </w:r>
      <w:r w:rsidRPr="00E34ECE">
        <w:rPr>
          <w:i/>
        </w:rPr>
        <w:t>deeply</w:t>
      </w:r>
      <w:r>
        <w:t xml:space="preserve"> socially excluded for five years or more between 2001 and </w:t>
      </w:r>
      <w:r w:rsidR="00F74677">
        <w:t xml:space="preserve">2010 </w:t>
      </w:r>
      <w:r>
        <w:t xml:space="preserve">and </w:t>
      </w:r>
      <w:r w:rsidR="00B670EA">
        <w:t xml:space="preserve">around </w:t>
      </w:r>
      <w:r>
        <w:t xml:space="preserve">1 per cent </w:t>
      </w:r>
      <w:r w:rsidR="00F74677">
        <w:t>(</w:t>
      </w:r>
      <w:r w:rsidR="00B670EA">
        <w:t>16</w:t>
      </w:r>
      <w:r w:rsidR="00CB0759">
        <w:t>5</w:t>
      </w:r>
      <w:r w:rsidR="00B670EA">
        <w:t> </w:t>
      </w:r>
      <w:r w:rsidR="00F74677">
        <w:t xml:space="preserve">000) </w:t>
      </w:r>
      <w:r>
        <w:t xml:space="preserve">were deeply excluded for seven years or more (figure 3.5). Persistence of </w:t>
      </w:r>
      <w:r w:rsidRPr="005314CD">
        <w:rPr>
          <w:i/>
        </w:rPr>
        <w:t>very deep</w:t>
      </w:r>
      <w:r>
        <w:t xml:space="preserve"> social exclusion is even less significant.</w:t>
      </w:r>
    </w:p>
    <w:p w:rsidR="003A03EF" w:rsidRDefault="003A03EF" w:rsidP="00805573">
      <w:pPr>
        <w:pStyle w:val="FigureTitle"/>
      </w:pPr>
      <w:r>
        <w:rPr>
          <w:b w:val="0"/>
        </w:rPr>
        <w:lastRenderedPageBreak/>
        <w:t>Figure 3.</w:t>
      </w:r>
      <w:r w:rsidR="0069448C">
        <w:rPr>
          <w:b w:val="0"/>
          <w:noProof/>
        </w:rPr>
        <w:t>5</w:t>
      </w:r>
      <w:r>
        <w:tab/>
      </w:r>
      <w:r w:rsidR="00805573">
        <w:t xml:space="preserve">Persistence of social exclusion, </w:t>
      </w:r>
      <w:r>
        <w:t>2001 to 2010</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3A03EF" w:rsidTr="00FE538B">
        <w:trPr>
          <w:trHeight w:val="4936"/>
        </w:trPr>
        <w:tc>
          <w:tcPr>
            <w:tcW w:w="8777" w:type="dxa"/>
          </w:tcPr>
          <w:p w:rsidR="003A03EF" w:rsidRDefault="00267F46" w:rsidP="00B573BA">
            <w:pPr>
              <w:pStyle w:val="Figure"/>
            </w:pPr>
            <w:r>
              <w:pict>
                <v:shape id="_x0000_i1028" type="#_x0000_t75" alt="This figure shows the per cent of Australians aged 15 years and older who experience social exclusion and deep exclusion by number of years excluded over the period 2001 to 2009" style="width:411.75pt;height:249pt;mso-position-horizontal:absolute">
                  <v:imagedata r:id="rId13" o:title=""/>
                </v:shape>
              </w:pict>
            </w:r>
          </w:p>
        </w:tc>
      </w:tr>
    </w:tbl>
    <w:p w:rsidR="003A03EF" w:rsidRDefault="003A03EF" w:rsidP="003A03EF">
      <w:pPr>
        <w:pStyle w:val="Source"/>
      </w:pPr>
      <w:r>
        <w:rPr>
          <w:i/>
        </w:rPr>
        <w:t>Source</w:t>
      </w:r>
      <w:r w:rsidRPr="00167F06">
        <w:t xml:space="preserve">: </w:t>
      </w:r>
      <w:r w:rsidR="00941A37">
        <w:t>Azpitarte</w:t>
      </w:r>
      <w:r>
        <w:t xml:space="preserve"> </w:t>
      </w:r>
      <w:r w:rsidR="001C26F2">
        <w:t>(</w:t>
      </w:r>
      <w:r>
        <w:t>2012</w:t>
      </w:r>
      <w:r w:rsidR="00941A37">
        <w:t>b</w:t>
      </w:r>
      <w:r w:rsidR="001C26F2">
        <w:t>)</w:t>
      </w:r>
      <w:r>
        <w:t>.</w:t>
      </w:r>
    </w:p>
    <w:p w:rsidR="00147FCA" w:rsidRDefault="00147FCA" w:rsidP="0031433A">
      <w:pPr>
        <w:pStyle w:val="BodyText"/>
      </w:pPr>
      <w:r>
        <w:t xml:space="preserve">The average duration rate for </w:t>
      </w:r>
      <w:r w:rsidRPr="00C40905">
        <w:rPr>
          <w:i/>
        </w:rPr>
        <w:t>deep</w:t>
      </w:r>
      <w:r>
        <w:t xml:space="preserve"> exclusion </w:t>
      </w:r>
      <w:r w:rsidR="00F74677">
        <w:t xml:space="preserve">between 2001 and 2009 </w:t>
      </w:r>
      <w:r>
        <w:t xml:space="preserve">was 1.7 years while the average duration of </w:t>
      </w:r>
      <w:r w:rsidRPr="00C40905">
        <w:rPr>
          <w:i/>
        </w:rPr>
        <w:t>very deep</w:t>
      </w:r>
      <w:r>
        <w:t xml:space="preserve"> exclusion was 1.4 years</w:t>
      </w:r>
      <w:r w:rsidR="00ED68DC">
        <w:t>.</w:t>
      </w:r>
      <w:r w:rsidR="00ED68DC">
        <w:rPr>
          <w:rStyle w:val="FootnoteReference"/>
        </w:rPr>
        <w:footnoteReference w:id="19"/>
      </w:r>
      <w:r w:rsidR="00ED68DC">
        <w:t xml:space="preserve"> </w:t>
      </w:r>
    </w:p>
    <w:p w:rsidR="003A03EF" w:rsidRDefault="003A03EF" w:rsidP="003A03EF">
      <w:pPr>
        <w:pStyle w:val="BodyText"/>
      </w:pPr>
      <w:r>
        <w:t>The results for these measures need to be interpreted with some caution. Some of the indicators used in constructing the SEM capture persistence of disadvantage for individuals better than others. For instance, some of the indicators capture data for a whole year, or part of a year, whereas others may only capture the status of individuals at a point</w:t>
      </w:r>
      <w:r>
        <w:noBreakHyphen/>
        <w:t>in</w:t>
      </w:r>
      <w:r>
        <w:noBreakHyphen/>
        <w:t>time when the HILDA survey is undertaken. The degree to which different indicators within life domains capture persistence of social exclusion is discussed in box 3.3.</w:t>
      </w:r>
    </w:p>
    <w:p w:rsidR="004C2C23" w:rsidRDefault="004C2C23" w:rsidP="004C2C23">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4C2C23" w:rsidTr="005051BA">
        <w:tc>
          <w:tcPr>
            <w:tcW w:w="8771" w:type="dxa"/>
            <w:tcBorders>
              <w:top w:val="single" w:sz="6" w:space="0" w:color="auto"/>
              <w:bottom w:val="nil"/>
            </w:tcBorders>
          </w:tcPr>
          <w:p w:rsidR="004C2C23" w:rsidRDefault="004C2C23" w:rsidP="005051BA">
            <w:pPr>
              <w:pStyle w:val="BoxTitle"/>
            </w:pPr>
            <w:r>
              <w:rPr>
                <w:b w:val="0"/>
              </w:rPr>
              <w:t>Box 3.</w:t>
            </w:r>
            <w:r w:rsidR="0069448C">
              <w:rPr>
                <w:b w:val="0"/>
                <w:noProof/>
              </w:rPr>
              <w:t>3</w:t>
            </w:r>
            <w:r>
              <w:tab/>
              <w:t>Ability of SEM indicators to capture persistence of deep social exclusion</w:t>
            </w:r>
          </w:p>
        </w:tc>
      </w:tr>
      <w:tr w:rsidR="004C2C23" w:rsidTr="005051BA">
        <w:trPr>
          <w:cantSplit/>
        </w:trPr>
        <w:tc>
          <w:tcPr>
            <w:tcW w:w="8771" w:type="dxa"/>
            <w:tcBorders>
              <w:top w:val="nil"/>
              <w:left w:val="single" w:sz="6" w:space="0" w:color="auto"/>
              <w:bottom w:val="nil"/>
              <w:right w:val="single" w:sz="6" w:space="0" w:color="auto"/>
            </w:tcBorders>
          </w:tcPr>
          <w:p w:rsidR="004C2C23" w:rsidRDefault="004C2C23" w:rsidP="005051BA">
            <w:pPr>
              <w:pStyle w:val="Box"/>
            </w:pPr>
            <w:r>
              <w:t>Some SEM indicators better capture the degree of persistence of some aspects of disadvantage — particularly those that are annualised estimates compared with estimates that relate to the month in which the survey is undertaken.</w:t>
            </w:r>
          </w:p>
          <w:p w:rsidR="004C2C23" w:rsidRDefault="004C2C23" w:rsidP="005051BA">
            <w:pPr>
              <w:pStyle w:val="Box"/>
            </w:pPr>
            <w:r>
              <w:t xml:space="preserve">Levels of individual and household income, along with consumption (or expenditure), are aggregate estimates calculated over a 12 month period. The manner in which this data is collected provides a more reliable basis for understanding the persistence of economic disadvantage. </w:t>
            </w:r>
          </w:p>
          <w:p w:rsidR="004C2C23" w:rsidRDefault="004C2C23" w:rsidP="005051BA">
            <w:pPr>
              <w:pStyle w:val="Box"/>
            </w:pPr>
            <w:r>
              <w:t>Household net worth — another measure of economic disadvantage — is a bit more problematic. This measure is calculated at a point</w:t>
            </w:r>
            <w:r>
              <w:noBreakHyphen/>
              <w:t>in</w:t>
            </w:r>
            <w:r>
              <w:noBreakHyphen/>
              <w:t>time and its extent could change significantly following an event such as a divorce settlement. Likewise, indicators of financial hardship — such as the inability to pay bills or difficulties experienced in raising larger amounts of money — need only occur ‘at some time during the year’ and so only reflect disadvantage at a point</w:t>
            </w:r>
            <w:r>
              <w:noBreakHyphen/>
              <w:t>in</w:t>
            </w:r>
            <w:r>
              <w:noBreakHyphen/>
              <w:t>time.</w:t>
            </w:r>
          </w:p>
          <w:p w:rsidR="004C2C23" w:rsidRDefault="004C2C23" w:rsidP="005051BA">
            <w:pPr>
              <w:pStyle w:val="Box"/>
            </w:pPr>
            <w:r>
              <w:t>Employment indicators are also mixed in terms of revealing information about the persistence of disadvantage. For example, a person is recorded as long</w:t>
            </w:r>
            <w:r>
              <w:noBreakHyphen/>
              <w:t>term unemployed or being in a jobless household after examining their (or their households) employment calendar over the previous 12 months. These measures better capture the extent to which disadvantage persists, relative to indicators such as under</w:t>
            </w:r>
            <w:r>
              <w:noBreakHyphen/>
              <w:t>employment — which is based on ‘usual hours worked per week’ and whether individuals express a preference for more hours at the time of interview.</w:t>
            </w:r>
          </w:p>
          <w:p w:rsidR="004C2C23" w:rsidRDefault="004C2C23" w:rsidP="005051BA">
            <w:pPr>
              <w:pStyle w:val="Box"/>
            </w:pPr>
            <w:r>
              <w:t xml:space="preserve">Indicators relating to educational attainment tend to be relatively stable, apart from those who are about to graduate from secondary or tertiary education. Hence the timing of when the survey is conducted may impact on current education status. </w:t>
            </w:r>
          </w:p>
          <w:p w:rsidR="004C2C23" w:rsidRDefault="004C2C23" w:rsidP="005051BA">
            <w:pPr>
              <w:pStyle w:val="Box"/>
              <w:rPr>
                <w:szCs w:val="24"/>
              </w:rPr>
            </w:pPr>
            <w:r>
              <w:t xml:space="preserve">Health and disability information is gained from respondents in response to a number of questions, some of which refer to physical disabilities and the presence of a child with a disability (both of which tend to be ongoing). Other indicators rely on a subjective assessment of ‘current’ health status, such as poor, average, fair or good. Depending on the nature of the condition, this could be subject to change over time. </w:t>
            </w:r>
          </w:p>
          <w:p w:rsidR="004C2C23" w:rsidRDefault="004C2C23" w:rsidP="005051BA">
            <w:pPr>
              <w:pStyle w:val="Box"/>
            </w:pPr>
            <w:r>
              <w:t>Other domains, such as social connection, may be a function of the strength of family relationships which could deteriorate quickly or slowly become re</w:t>
            </w:r>
            <w:r>
              <w:noBreakHyphen/>
              <w:t>established. Views about the local community and personal safety may be a function of current living conditions which could change significantly following physical relocation or may persist if it is not possible to relocate.</w:t>
            </w:r>
          </w:p>
        </w:tc>
      </w:tr>
      <w:tr w:rsidR="004C2C23" w:rsidTr="005051BA">
        <w:trPr>
          <w:cantSplit/>
        </w:trPr>
        <w:tc>
          <w:tcPr>
            <w:tcW w:w="8771" w:type="dxa"/>
            <w:tcBorders>
              <w:top w:val="nil"/>
              <w:left w:val="single" w:sz="6" w:space="0" w:color="auto"/>
              <w:bottom w:val="single" w:sz="6" w:space="0" w:color="auto"/>
              <w:right w:val="single" w:sz="6" w:space="0" w:color="auto"/>
            </w:tcBorders>
          </w:tcPr>
          <w:p w:rsidR="004C2C23" w:rsidRDefault="004C2C23" w:rsidP="005051BA">
            <w:pPr>
              <w:pStyle w:val="Box"/>
              <w:spacing w:before="0" w:line="120" w:lineRule="exact"/>
            </w:pPr>
          </w:p>
        </w:tc>
      </w:tr>
      <w:tr w:rsidR="004C2C23" w:rsidRPr="000863A5" w:rsidTr="005051BA">
        <w:tc>
          <w:tcPr>
            <w:tcW w:w="8771" w:type="dxa"/>
            <w:tcBorders>
              <w:top w:val="nil"/>
              <w:left w:val="nil"/>
              <w:bottom w:val="nil"/>
              <w:right w:val="nil"/>
            </w:tcBorders>
          </w:tcPr>
          <w:p w:rsidR="004C2C23" w:rsidRPr="00626D32" w:rsidRDefault="004C2C23" w:rsidP="005051BA">
            <w:pPr>
              <w:pStyle w:val="BoxSpaceBelow"/>
            </w:pPr>
          </w:p>
        </w:tc>
      </w:tr>
    </w:tbl>
    <w:p w:rsidR="00AE7F54" w:rsidRDefault="00AE7F54" w:rsidP="003A03EF">
      <w:pPr>
        <w:pStyle w:val="Heading4"/>
      </w:pPr>
    </w:p>
    <w:p w:rsidR="00AE7F54" w:rsidRDefault="00AE7F54" w:rsidP="00AE7F54">
      <w:pPr>
        <w:pStyle w:val="BodyText"/>
        <w:rPr>
          <w:rFonts w:ascii="Arial" w:hAnsi="Arial"/>
          <w:sz w:val="24"/>
        </w:rPr>
      </w:pPr>
      <w:r>
        <w:br w:type="page"/>
      </w:r>
    </w:p>
    <w:p w:rsidR="003A03EF" w:rsidRDefault="003A03EF" w:rsidP="003A03EF">
      <w:pPr>
        <w:pStyle w:val="Heading4"/>
      </w:pPr>
      <w:r>
        <w:lastRenderedPageBreak/>
        <w:t>Transitions between states of social exclusion and out of exclusion</w:t>
      </w:r>
    </w:p>
    <w:p w:rsidR="003A03EF" w:rsidRDefault="003A03EF" w:rsidP="003A03EF">
      <w:pPr>
        <w:pStyle w:val="BodyText"/>
      </w:pPr>
      <w:r>
        <w:t>As is the case with other measures of disadvantage, people move in to and out of states of social exclusion. Those who are only marginally excluded tend to be more mobile. Data from the SEM show:</w:t>
      </w:r>
    </w:p>
    <w:p w:rsidR="003A03EF" w:rsidRDefault="003A03EF" w:rsidP="003A03EF">
      <w:pPr>
        <w:pStyle w:val="ListBullet"/>
      </w:pPr>
      <w:r w:rsidRPr="008F252C">
        <w:t xml:space="preserve">many of those who are </w:t>
      </w:r>
      <w:r w:rsidRPr="008F252C">
        <w:rPr>
          <w:i/>
        </w:rPr>
        <w:t>very deeply</w:t>
      </w:r>
      <w:r w:rsidRPr="008F252C">
        <w:t xml:space="preserve"> socially excluded remain in that state — just</w:t>
      </w:r>
      <w:r>
        <w:t xml:space="preserve"> over three quarters of those who are </w:t>
      </w:r>
      <w:r w:rsidRPr="00DE1B8F">
        <w:rPr>
          <w:i/>
        </w:rPr>
        <w:t>very deeply</w:t>
      </w:r>
      <w:r>
        <w:t xml:space="preserve"> socially excluded are either deeply or very deeply excluded the following year while a fifth are marginally excluded</w:t>
      </w:r>
    </w:p>
    <w:p w:rsidR="003A03EF" w:rsidRDefault="003A03EF" w:rsidP="003A03EF">
      <w:pPr>
        <w:pStyle w:val="ListBullet"/>
      </w:pPr>
      <w:r>
        <w:t xml:space="preserve">there is greater movement of those who are </w:t>
      </w:r>
      <w:r w:rsidRPr="00DE1B8F">
        <w:rPr>
          <w:i/>
        </w:rPr>
        <w:t>deeply</w:t>
      </w:r>
      <w:r>
        <w:t xml:space="preserve"> excluded — just over a half move to either marginal or non</w:t>
      </w:r>
      <w:r>
        <w:noBreakHyphen/>
        <w:t>exclusion the following year — but less than 10</w:t>
      </w:r>
      <w:r w:rsidR="002353E8">
        <w:t> </w:t>
      </w:r>
      <w:r>
        <w:t>per</w:t>
      </w:r>
      <w:r w:rsidR="002353E8">
        <w:t> </w:t>
      </w:r>
      <w:r>
        <w:t>cent slide into very deep exclusion</w:t>
      </w:r>
    </w:p>
    <w:p w:rsidR="003A03EF" w:rsidRDefault="003A03EF" w:rsidP="003A03EF">
      <w:pPr>
        <w:pStyle w:val="ListBullet"/>
      </w:pPr>
      <w:r>
        <w:t>only a small proportion (9</w:t>
      </w:r>
      <w:r w:rsidR="002353E8">
        <w:t> </w:t>
      </w:r>
      <w:r>
        <w:t>per</w:t>
      </w:r>
      <w:r w:rsidR="002353E8">
        <w:t> </w:t>
      </w:r>
      <w:r>
        <w:t xml:space="preserve">cent) of the </w:t>
      </w:r>
      <w:r w:rsidRPr="00214A46">
        <w:rPr>
          <w:i/>
        </w:rPr>
        <w:t>marginally</w:t>
      </w:r>
      <w:r>
        <w:t xml:space="preserve"> excluded (those at risk of deep exclusion) move into deep or very deep exclusion in the following year, while almost 40</w:t>
      </w:r>
      <w:r w:rsidR="002353E8">
        <w:t> </w:t>
      </w:r>
      <w:r>
        <w:t>per</w:t>
      </w:r>
      <w:r w:rsidR="002353E8">
        <w:t> </w:t>
      </w:r>
      <w:r>
        <w:t>cent are not excluded in the following year (table 3.7).</w:t>
      </w:r>
    </w:p>
    <w:p w:rsidR="003A03EF" w:rsidRDefault="003A03EF" w:rsidP="003A03EF">
      <w:pPr>
        <w:pStyle w:val="TableTitle"/>
      </w:pPr>
      <w:r>
        <w:rPr>
          <w:b w:val="0"/>
        </w:rPr>
        <w:t>Table 3.</w:t>
      </w:r>
      <w:r w:rsidR="0069448C">
        <w:rPr>
          <w:b w:val="0"/>
          <w:noProof/>
        </w:rPr>
        <w:t>7</w:t>
      </w:r>
      <w:r w:rsidRPr="00D0172B">
        <w:rPr>
          <w:b w:val="0"/>
        </w:rPr>
        <w:tab/>
      </w:r>
      <w:r w:rsidRPr="00D0172B">
        <w:t>Rates of transition between states of exclusion</w:t>
      </w:r>
    </w:p>
    <w:p w:rsidR="003A03EF" w:rsidRDefault="003A03EF" w:rsidP="003A03EF">
      <w:pPr>
        <w:pStyle w:val="Subtitle"/>
      </w:pPr>
      <w:r>
        <w:t>Average for all waves between 2001 and 2009</w:t>
      </w:r>
    </w:p>
    <w:tbl>
      <w:tblPr>
        <w:tblW w:w="5000" w:type="pct"/>
        <w:tblCellMar>
          <w:left w:w="0" w:type="dxa"/>
          <w:right w:w="0" w:type="dxa"/>
        </w:tblCellMar>
        <w:tblLook w:val="0000" w:firstRow="0" w:lastRow="0" w:firstColumn="0" w:lastColumn="0" w:noHBand="0" w:noVBand="0"/>
      </w:tblPr>
      <w:tblGrid>
        <w:gridCol w:w="1984"/>
        <w:gridCol w:w="1360"/>
        <w:gridCol w:w="1361"/>
        <w:gridCol w:w="1361"/>
        <w:gridCol w:w="1361"/>
        <w:gridCol w:w="1362"/>
      </w:tblGrid>
      <w:tr w:rsidR="003A03EF" w:rsidTr="00B573BA">
        <w:tc>
          <w:tcPr>
            <w:tcW w:w="1129" w:type="pct"/>
            <w:tcBorders>
              <w:top w:val="single" w:sz="4" w:space="0" w:color="auto"/>
            </w:tcBorders>
          </w:tcPr>
          <w:p w:rsidR="003A03EF" w:rsidRDefault="003A03EF" w:rsidP="00FE538B">
            <w:pPr>
              <w:pStyle w:val="TableUnitsRow"/>
              <w:jc w:val="left"/>
            </w:pPr>
          </w:p>
        </w:tc>
        <w:tc>
          <w:tcPr>
            <w:tcW w:w="3871" w:type="pct"/>
            <w:gridSpan w:val="5"/>
            <w:tcBorders>
              <w:top w:val="single" w:sz="6" w:space="0" w:color="auto"/>
              <w:left w:val="nil"/>
              <w:bottom w:val="single" w:sz="6" w:space="0" w:color="auto"/>
            </w:tcBorders>
            <w:vAlign w:val="center"/>
          </w:tcPr>
          <w:p w:rsidR="003A03EF" w:rsidRDefault="003A03EF" w:rsidP="00FE538B">
            <w:pPr>
              <w:pStyle w:val="TableColumnHeading"/>
              <w:jc w:val="center"/>
            </w:pPr>
            <w:r>
              <w:t>Condition in time t+1</w:t>
            </w:r>
          </w:p>
        </w:tc>
      </w:tr>
      <w:tr w:rsidR="003A03EF" w:rsidTr="00B573BA">
        <w:tc>
          <w:tcPr>
            <w:tcW w:w="1129" w:type="pct"/>
            <w:tcBorders>
              <w:bottom w:val="single" w:sz="4" w:space="0" w:color="auto"/>
            </w:tcBorders>
            <w:vAlign w:val="bottom"/>
          </w:tcPr>
          <w:p w:rsidR="003A03EF" w:rsidRDefault="003A03EF" w:rsidP="00FE538B">
            <w:pPr>
              <w:pStyle w:val="TableColumnHeading"/>
              <w:jc w:val="left"/>
            </w:pPr>
            <w:r>
              <w:t>Condition in time t</w:t>
            </w:r>
          </w:p>
        </w:tc>
        <w:tc>
          <w:tcPr>
            <w:tcW w:w="774" w:type="pct"/>
            <w:tcBorders>
              <w:top w:val="single" w:sz="6" w:space="0" w:color="auto"/>
              <w:left w:val="nil"/>
              <w:bottom w:val="single" w:sz="6" w:space="0" w:color="auto"/>
            </w:tcBorders>
            <w:vAlign w:val="bottom"/>
          </w:tcPr>
          <w:p w:rsidR="003A03EF" w:rsidRDefault="003A03EF" w:rsidP="00FE538B">
            <w:pPr>
              <w:pStyle w:val="TableColumnHeading"/>
            </w:pPr>
            <w:r>
              <w:t>Not excluded</w:t>
            </w:r>
          </w:p>
        </w:tc>
        <w:tc>
          <w:tcPr>
            <w:tcW w:w="774" w:type="pct"/>
            <w:tcBorders>
              <w:top w:val="single" w:sz="6" w:space="0" w:color="auto"/>
              <w:bottom w:val="single" w:sz="6" w:space="0" w:color="auto"/>
            </w:tcBorders>
            <w:vAlign w:val="bottom"/>
          </w:tcPr>
          <w:p w:rsidR="003A03EF" w:rsidRDefault="003A03EF" w:rsidP="00FE538B">
            <w:pPr>
              <w:pStyle w:val="TableColumnHeading"/>
            </w:pPr>
            <w:r>
              <w:t>Marginal</w:t>
            </w:r>
          </w:p>
        </w:tc>
        <w:tc>
          <w:tcPr>
            <w:tcW w:w="774" w:type="pct"/>
            <w:tcBorders>
              <w:top w:val="single" w:sz="6" w:space="0" w:color="auto"/>
              <w:bottom w:val="single" w:sz="6" w:space="0" w:color="auto"/>
            </w:tcBorders>
            <w:vAlign w:val="bottom"/>
          </w:tcPr>
          <w:p w:rsidR="003A03EF" w:rsidRDefault="003A03EF" w:rsidP="00FE538B">
            <w:pPr>
              <w:pStyle w:val="TableColumnHeading"/>
            </w:pPr>
            <w:r>
              <w:t>Deep</w:t>
            </w:r>
          </w:p>
        </w:tc>
        <w:tc>
          <w:tcPr>
            <w:tcW w:w="774" w:type="pct"/>
            <w:tcBorders>
              <w:top w:val="single" w:sz="6" w:space="0" w:color="auto"/>
              <w:bottom w:val="single" w:sz="6" w:space="0" w:color="auto"/>
            </w:tcBorders>
            <w:vAlign w:val="bottom"/>
          </w:tcPr>
          <w:p w:rsidR="003A03EF" w:rsidRDefault="003A03EF" w:rsidP="00FE538B">
            <w:pPr>
              <w:pStyle w:val="TableColumnHeading"/>
            </w:pPr>
            <w:r>
              <w:t>Very deep</w:t>
            </w:r>
          </w:p>
        </w:tc>
        <w:tc>
          <w:tcPr>
            <w:tcW w:w="774" w:type="pct"/>
            <w:tcBorders>
              <w:top w:val="single" w:sz="6" w:space="0" w:color="auto"/>
              <w:bottom w:val="single" w:sz="6" w:space="0" w:color="auto"/>
            </w:tcBorders>
            <w:vAlign w:val="bottom"/>
          </w:tcPr>
          <w:p w:rsidR="003A03EF" w:rsidRDefault="003A03EF" w:rsidP="00FE538B">
            <w:pPr>
              <w:pStyle w:val="TableColumnHeading"/>
            </w:pPr>
            <w:r>
              <w:t>All</w:t>
            </w:r>
          </w:p>
        </w:tc>
      </w:tr>
      <w:tr w:rsidR="003A03EF" w:rsidTr="00B573BA">
        <w:tc>
          <w:tcPr>
            <w:tcW w:w="1129" w:type="pct"/>
            <w:tcBorders>
              <w:top w:val="single" w:sz="4" w:space="0" w:color="auto"/>
            </w:tcBorders>
          </w:tcPr>
          <w:p w:rsidR="003A03EF" w:rsidRDefault="003A03EF" w:rsidP="00FE538B">
            <w:pPr>
              <w:pStyle w:val="TableBodyText"/>
              <w:spacing w:before="120"/>
              <w:jc w:val="left"/>
            </w:pPr>
            <w:r>
              <w:t>Not excluded</w:t>
            </w:r>
          </w:p>
        </w:tc>
        <w:tc>
          <w:tcPr>
            <w:tcW w:w="774" w:type="pct"/>
            <w:tcBorders>
              <w:top w:val="single" w:sz="6" w:space="0" w:color="auto"/>
              <w:left w:val="nil"/>
            </w:tcBorders>
          </w:tcPr>
          <w:p w:rsidR="003A03EF" w:rsidRDefault="003A03EF" w:rsidP="00FE538B">
            <w:pPr>
              <w:pStyle w:val="TableBodyText"/>
              <w:spacing w:before="120"/>
            </w:pPr>
            <w:r>
              <w:t>90</w:t>
            </w:r>
          </w:p>
        </w:tc>
        <w:tc>
          <w:tcPr>
            <w:tcW w:w="774" w:type="pct"/>
            <w:tcBorders>
              <w:top w:val="single" w:sz="6" w:space="0" w:color="auto"/>
            </w:tcBorders>
          </w:tcPr>
          <w:p w:rsidR="003A03EF" w:rsidRDefault="003A03EF" w:rsidP="00FE538B">
            <w:pPr>
              <w:pStyle w:val="TableBodyText"/>
              <w:spacing w:before="120"/>
              <w:ind w:right="28"/>
            </w:pPr>
            <w:r>
              <w:t>9</w:t>
            </w:r>
          </w:p>
        </w:tc>
        <w:tc>
          <w:tcPr>
            <w:tcW w:w="774" w:type="pct"/>
            <w:tcBorders>
              <w:top w:val="single" w:sz="6" w:space="0" w:color="auto"/>
            </w:tcBorders>
          </w:tcPr>
          <w:p w:rsidR="003A03EF" w:rsidRDefault="003A03EF" w:rsidP="00FE538B">
            <w:pPr>
              <w:pStyle w:val="TableBodyText"/>
              <w:spacing w:before="120"/>
              <w:ind w:right="28"/>
            </w:pPr>
            <w:r>
              <w:t>1</w:t>
            </w:r>
          </w:p>
        </w:tc>
        <w:tc>
          <w:tcPr>
            <w:tcW w:w="774" w:type="pct"/>
            <w:tcBorders>
              <w:top w:val="single" w:sz="6" w:space="0" w:color="auto"/>
            </w:tcBorders>
          </w:tcPr>
          <w:p w:rsidR="003A03EF" w:rsidRDefault="003A03EF" w:rsidP="00FE538B">
            <w:pPr>
              <w:pStyle w:val="TableBodyText"/>
              <w:spacing w:before="120"/>
              <w:ind w:right="28"/>
            </w:pPr>
            <w:r>
              <w:t>0</w:t>
            </w:r>
          </w:p>
        </w:tc>
        <w:tc>
          <w:tcPr>
            <w:tcW w:w="774" w:type="pct"/>
            <w:tcBorders>
              <w:top w:val="single" w:sz="6" w:space="0" w:color="auto"/>
            </w:tcBorders>
          </w:tcPr>
          <w:p w:rsidR="003A03EF" w:rsidRDefault="003A03EF" w:rsidP="00FE538B">
            <w:pPr>
              <w:pStyle w:val="TableBodyText"/>
              <w:spacing w:before="120"/>
              <w:ind w:right="28"/>
              <w:rPr>
                <w:i/>
              </w:rPr>
            </w:pPr>
            <w:r>
              <w:t>100</w:t>
            </w:r>
          </w:p>
        </w:tc>
      </w:tr>
      <w:tr w:rsidR="003A03EF" w:rsidTr="00B573BA">
        <w:tc>
          <w:tcPr>
            <w:tcW w:w="1129" w:type="pct"/>
            <w:shd w:val="clear" w:color="auto" w:fill="auto"/>
          </w:tcPr>
          <w:p w:rsidR="003A03EF" w:rsidRDefault="003A03EF" w:rsidP="00FE538B">
            <w:pPr>
              <w:pStyle w:val="TableBodyText"/>
              <w:jc w:val="left"/>
            </w:pPr>
            <w:r>
              <w:t>Marginal</w:t>
            </w:r>
          </w:p>
        </w:tc>
        <w:tc>
          <w:tcPr>
            <w:tcW w:w="774" w:type="pct"/>
            <w:tcBorders>
              <w:left w:val="nil"/>
            </w:tcBorders>
            <w:shd w:val="clear" w:color="auto" w:fill="auto"/>
          </w:tcPr>
          <w:p w:rsidR="003A03EF" w:rsidRDefault="003A03EF" w:rsidP="00FE538B">
            <w:pPr>
              <w:pStyle w:val="TableBodyText"/>
            </w:pPr>
            <w:r>
              <w:t>37</w:t>
            </w:r>
          </w:p>
        </w:tc>
        <w:tc>
          <w:tcPr>
            <w:tcW w:w="774" w:type="pct"/>
          </w:tcPr>
          <w:p w:rsidR="003A03EF" w:rsidRDefault="003A03EF" w:rsidP="00FE538B">
            <w:pPr>
              <w:pStyle w:val="TableBodyText"/>
              <w:ind w:right="28"/>
            </w:pPr>
            <w:r>
              <w:t>54</w:t>
            </w:r>
          </w:p>
        </w:tc>
        <w:tc>
          <w:tcPr>
            <w:tcW w:w="774" w:type="pct"/>
          </w:tcPr>
          <w:p w:rsidR="003A03EF" w:rsidRDefault="003A03EF" w:rsidP="00FE538B">
            <w:pPr>
              <w:pStyle w:val="TableBodyText"/>
              <w:ind w:right="28"/>
            </w:pPr>
            <w:r>
              <w:t>8</w:t>
            </w:r>
          </w:p>
        </w:tc>
        <w:tc>
          <w:tcPr>
            <w:tcW w:w="774" w:type="pct"/>
          </w:tcPr>
          <w:p w:rsidR="003A03EF" w:rsidRDefault="003A03EF" w:rsidP="00FE538B">
            <w:pPr>
              <w:pStyle w:val="TableBodyText"/>
              <w:ind w:right="28"/>
            </w:pPr>
            <w:r>
              <w:t>1</w:t>
            </w:r>
          </w:p>
        </w:tc>
        <w:tc>
          <w:tcPr>
            <w:tcW w:w="774" w:type="pct"/>
          </w:tcPr>
          <w:p w:rsidR="003A03EF" w:rsidRDefault="003A03EF" w:rsidP="00FE538B">
            <w:pPr>
              <w:pStyle w:val="TableBodyText"/>
              <w:ind w:right="28"/>
              <w:rPr>
                <w:i/>
              </w:rPr>
            </w:pPr>
            <w:r>
              <w:t>100</w:t>
            </w:r>
          </w:p>
        </w:tc>
      </w:tr>
      <w:tr w:rsidR="003A03EF" w:rsidTr="00B573BA">
        <w:tc>
          <w:tcPr>
            <w:tcW w:w="1129" w:type="pct"/>
            <w:shd w:val="clear" w:color="auto" w:fill="auto"/>
          </w:tcPr>
          <w:p w:rsidR="003A03EF" w:rsidRDefault="003A03EF" w:rsidP="00FE538B">
            <w:pPr>
              <w:pStyle w:val="TableBodyText"/>
              <w:jc w:val="left"/>
            </w:pPr>
            <w:r>
              <w:t>Deep</w:t>
            </w:r>
          </w:p>
        </w:tc>
        <w:tc>
          <w:tcPr>
            <w:tcW w:w="774" w:type="pct"/>
            <w:tcBorders>
              <w:left w:val="nil"/>
            </w:tcBorders>
            <w:shd w:val="clear" w:color="auto" w:fill="auto"/>
          </w:tcPr>
          <w:p w:rsidR="003A03EF" w:rsidRDefault="003A03EF" w:rsidP="00FE538B">
            <w:pPr>
              <w:pStyle w:val="TableBodyText"/>
            </w:pPr>
            <w:r>
              <w:t>12</w:t>
            </w:r>
          </w:p>
        </w:tc>
        <w:tc>
          <w:tcPr>
            <w:tcW w:w="774" w:type="pct"/>
          </w:tcPr>
          <w:p w:rsidR="003A03EF" w:rsidRDefault="003A03EF" w:rsidP="00FE538B">
            <w:pPr>
              <w:pStyle w:val="TableBodyText"/>
              <w:ind w:right="28"/>
            </w:pPr>
            <w:r>
              <w:t>42</w:t>
            </w:r>
          </w:p>
        </w:tc>
        <w:tc>
          <w:tcPr>
            <w:tcW w:w="774" w:type="pct"/>
          </w:tcPr>
          <w:p w:rsidR="003A03EF" w:rsidRDefault="003A03EF" w:rsidP="00FE538B">
            <w:pPr>
              <w:pStyle w:val="TableBodyText"/>
              <w:ind w:right="28"/>
            </w:pPr>
            <w:r>
              <w:t>37</w:t>
            </w:r>
          </w:p>
        </w:tc>
        <w:tc>
          <w:tcPr>
            <w:tcW w:w="774" w:type="pct"/>
          </w:tcPr>
          <w:p w:rsidR="003A03EF" w:rsidRDefault="003A03EF" w:rsidP="00FE538B">
            <w:pPr>
              <w:pStyle w:val="TableBodyText"/>
              <w:ind w:right="28"/>
            </w:pPr>
            <w:r>
              <w:t>8</w:t>
            </w:r>
          </w:p>
        </w:tc>
        <w:tc>
          <w:tcPr>
            <w:tcW w:w="774" w:type="pct"/>
          </w:tcPr>
          <w:p w:rsidR="003A03EF" w:rsidRDefault="003A03EF" w:rsidP="00FE538B">
            <w:pPr>
              <w:pStyle w:val="TableBodyText"/>
              <w:ind w:right="28"/>
              <w:rPr>
                <w:i/>
              </w:rPr>
            </w:pPr>
            <w:r>
              <w:t>100</w:t>
            </w:r>
          </w:p>
        </w:tc>
      </w:tr>
      <w:tr w:rsidR="003A03EF" w:rsidTr="00B573BA">
        <w:tc>
          <w:tcPr>
            <w:tcW w:w="1129" w:type="pct"/>
            <w:tcBorders>
              <w:bottom w:val="single" w:sz="4" w:space="0" w:color="auto"/>
            </w:tcBorders>
            <w:shd w:val="clear" w:color="auto" w:fill="auto"/>
          </w:tcPr>
          <w:p w:rsidR="003A03EF" w:rsidRDefault="003A03EF" w:rsidP="00FE538B">
            <w:pPr>
              <w:pStyle w:val="TableBodyText"/>
              <w:jc w:val="left"/>
            </w:pPr>
            <w:r>
              <w:t>Very deep</w:t>
            </w:r>
          </w:p>
        </w:tc>
        <w:tc>
          <w:tcPr>
            <w:tcW w:w="774" w:type="pct"/>
            <w:tcBorders>
              <w:left w:val="nil"/>
              <w:bottom w:val="single" w:sz="4" w:space="0" w:color="auto"/>
            </w:tcBorders>
            <w:shd w:val="clear" w:color="auto" w:fill="auto"/>
          </w:tcPr>
          <w:p w:rsidR="003A03EF" w:rsidRDefault="003A03EF" w:rsidP="00FE538B">
            <w:pPr>
              <w:pStyle w:val="TableBodyText"/>
            </w:pPr>
            <w:r>
              <w:t>4</w:t>
            </w:r>
          </w:p>
        </w:tc>
        <w:tc>
          <w:tcPr>
            <w:tcW w:w="774" w:type="pct"/>
            <w:tcBorders>
              <w:bottom w:val="single" w:sz="4" w:space="0" w:color="auto"/>
            </w:tcBorders>
          </w:tcPr>
          <w:p w:rsidR="003A03EF" w:rsidRDefault="003A03EF" w:rsidP="00FE538B">
            <w:pPr>
              <w:pStyle w:val="TableBodyText"/>
              <w:ind w:right="28"/>
            </w:pPr>
            <w:r>
              <w:t>21</w:t>
            </w:r>
          </w:p>
        </w:tc>
        <w:tc>
          <w:tcPr>
            <w:tcW w:w="774" w:type="pct"/>
            <w:tcBorders>
              <w:bottom w:val="single" w:sz="4" w:space="0" w:color="auto"/>
            </w:tcBorders>
          </w:tcPr>
          <w:p w:rsidR="003A03EF" w:rsidRDefault="003A03EF" w:rsidP="00FE538B">
            <w:pPr>
              <w:pStyle w:val="TableBodyText"/>
              <w:ind w:right="28"/>
            </w:pPr>
            <w:r>
              <w:t>45</w:t>
            </w:r>
          </w:p>
        </w:tc>
        <w:tc>
          <w:tcPr>
            <w:tcW w:w="774" w:type="pct"/>
            <w:tcBorders>
              <w:bottom w:val="single" w:sz="4" w:space="0" w:color="auto"/>
            </w:tcBorders>
          </w:tcPr>
          <w:p w:rsidR="003A03EF" w:rsidRDefault="003A03EF" w:rsidP="00FE538B">
            <w:pPr>
              <w:pStyle w:val="TableBodyText"/>
              <w:ind w:right="28"/>
            </w:pPr>
            <w:r>
              <w:t>31</w:t>
            </w:r>
          </w:p>
        </w:tc>
        <w:tc>
          <w:tcPr>
            <w:tcW w:w="774" w:type="pct"/>
            <w:tcBorders>
              <w:bottom w:val="single" w:sz="4" w:space="0" w:color="auto"/>
            </w:tcBorders>
          </w:tcPr>
          <w:p w:rsidR="003A03EF" w:rsidRDefault="003A03EF" w:rsidP="00FE538B">
            <w:pPr>
              <w:pStyle w:val="TableBodyText"/>
              <w:ind w:right="28"/>
              <w:rPr>
                <w:i/>
              </w:rPr>
            </w:pPr>
            <w:r>
              <w:t>100</w:t>
            </w:r>
          </w:p>
        </w:tc>
      </w:tr>
    </w:tbl>
    <w:p w:rsidR="003A03EF" w:rsidRPr="00EA75F8" w:rsidRDefault="003A03EF" w:rsidP="003A03EF">
      <w:pPr>
        <w:pStyle w:val="Source"/>
      </w:pPr>
      <w:r w:rsidRPr="00EA75F8">
        <w:t xml:space="preserve">Source: </w:t>
      </w:r>
      <w:r w:rsidRPr="00EA75F8">
        <w:rPr>
          <w:i/>
        </w:rPr>
        <w:t>Social Exclusion Monitor</w:t>
      </w:r>
      <w:r w:rsidR="00631119" w:rsidRPr="00631119">
        <w:t>, unpublished data</w:t>
      </w:r>
      <w:r w:rsidR="002115EC">
        <w:t xml:space="preserve"> provided by Azpitarte</w:t>
      </w:r>
      <w:r w:rsidR="00A16B35">
        <w:t xml:space="preserve"> from the Brotherhood of St Laurence.</w:t>
      </w:r>
    </w:p>
    <w:p w:rsidR="009E30C5" w:rsidRDefault="00833BF4" w:rsidP="008134CE">
      <w:pPr>
        <w:pStyle w:val="Heading2"/>
      </w:pPr>
      <w:r>
        <w:t>3.</w:t>
      </w:r>
      <w:r w:rsidR="0069448C">
        <w:rPr>
          <w:noProof/>
        </w:rPr>
        <w:t>4</w:t>
      </w:r>
      <w:r w:rsidR="00B221A0">
        <w:tab/>
      </w:r>
      <w:r w:rsidR="00D5056B" w:rsidRPr="004654F2">
        <w:t xml:space="preserve">Characteristics of </w:t>
      </w:r>
      <w:r w:rsidR="00D0140D">
        <w:t xml:space="preserve">Australians most likely to experience </w:t>
      </w:r>
      <w:r w:rsidR="009E30C5" w:rsidRPr="004654F2">
        <w:t>disadvantage</w:t>
      </w:r>
    </w:p>
    <w:p w:rsidR="00A023E5" w:rsidRDefault="00423B0C" w:rsidP="00A023E5">
      <w:pPr>
        <w:pStyle w:val="BodyText"/>
      </w:pPr>
      <w:r>
        <w:t xml:space="preserve">The surveys and measures </w:t>
      </w:r>
      <w:r w:rsidR="000C5C95">
        <w:t xml:space="preserve">covered in this chapter also provide </w:t>
      </w:r>
      <w:r w:rsidR="008B784A">
        <w:t xml:space="preserve">useful </w:t>
      </w:r>
      <w:r w:rsidR="000C5C95">
        <w:t xml:space="preserve">information </w:t>
      </w:r>
      <w:r w:rsidR="008B784A">
        <w:t xml:space="preserve">on </w:t>
      </w:r>
      <w:r>
        <w:t xml:space="preserve">the </w:t>
      </w:r>
      <w:r w:rsidR="00B23AAB">
        <w:t xml:space="preserve">characteristics of </w:t>
      </w:r>
      <w:r w:rsidR="00D0140D">
        <w:t xml:space="preserve">Australians </w:t>
      </w:r>
      <w:r w:rsidR="00D5056B">
        <w:t xml:space="preserve">who </w:t>
      </w:r>
      <w:r w:rsidR="001D5678">
        <w:t>are mo</w:t>
      </w:r>
      <w:r w:rsidR="00D0140D">
        <w:t xml:space="preserve">st </w:t>
      </w:r>
      <w:r w:rsidR="001D5678">
        <w:t>likely to experience higher rates of disadvantage</w:t>
      </w:r>
      <w:r w:rsidR="008A259F">
        <w:t xml:space="preserve"> (t</w:t>
      </w:r>
      <w:r w:rsidR="00A023E5">
        <w:t>able</w:t>
      </w:r>
      <w:r w:rsidR="0042564E">
        <w:t xml:space="preserve"> </w:t>
      </w:r>
      <w:r w:rsidR="00833BF4">
        <w:t>3.8</w:t>
      </w:r>
      <w:r w:rsidR="008A259F">
        <w:t>).</w:t>
      </w:r>
    </w:p>
    <w:p w:rsidR="004C2C23" w:rsidRPr="006B3BAA" w:rsidRDefault="004C2C23" w:rsidP="004C2C23">
      <w:pPr>
        <w:pStyle w:val="BodyText"/>
      </w:pPr>
      <w:r>
        <w:t xml:space="preserve">Based on the various indicators, the groups identified as more </w:t>
      </w:r>
      <w:r w:rsidRPr="006B3BAA">
        <w:t xml:space="preserve">likely to experience </w:t>
      </w:r>
      <w:r>
        <w:t xml:space="preserve">multiple forms or </w:t>
      </w:r>
      <w:r w:rsidRPr="006B3BAA">
        <w:t>deeper disadvantage</w:t>
      </w:r>
      <w:r>
        <w:t xml:space="preserve"> are</w:t>
      </w:r>
      <w:r w:rsidRPr="006B3BAA">
        <w:t xml:space="preserve">: </w:t>
      </w:r>
    </w:p>
    <w:p w:rsidR="004C2C23" w:rsidRDefault="004C2C23" w:rsidP="004C2C23">
      <w:pPr>
        <w:pStyle w:val="ListBullet"/>
      </w:pPr>
      <w:r>
        <w:t>unemployed people</w:t>
      </w:r>
    </w:p>
    <w:p w:rsidR="004C2C23" w:rsidRDefault="004C2C23" w:rsidP="004C2C23">
      <w:pPr>
        <w:pStyle w:val="ListBullet"/>
      </w:pPr>
      <w:r>
        <w:t>people who are dependent upon income support</w:t>
      </w:r>
    </w:p>
    <w:p w:rsidR="004C2C23" w:rsidRPr="006B3BAA" w:rsidRDefault="004C2C23" w:rsidP="004C2C23">
      <w:pPr>
        <w:pStyle w:val="ListBullet"/>
      </w:pPr>
      <w:r>
        <w:lastRenderedPageBreak/>
        <w:t xml:space="preserve">people with </w:t>
      </w:r>
      <w:r w:rsidRPr="006B3BAA">
        <w:t>poor health</w:t>
      </w:r>
      <w:r>
        <w:t xml:space="preserve"> or a disability</w:t>
      </w:r>
    </w:p>
    <w:p w:rsidR="004C2C23" w:rsidRDefault="004C2C23" w:rsidP="004C2C23">
      <w:pPr>
        <w:pStyle w:val="ListBullet"/>
      </w:pPr>
      <w:r>
        <w:t>l</w:t>
      </w:r>
      <w:r w:rsidRPr="006B3BAA">
        <w:t>one parents</w:t>
      </w:r>
      <w:r>
        <w:t xml:space="preserve"> (and their children)</w:t>
      </w:r>
      <w:r>
        <w:rPr>
          <w:rStyle w:val="FootnoteReference"/>
        </w:rPr>
        <w:footnoteReference w:id="20"/>
      </w:r>
    </w:p>
    <w:p w:rsidR="004C2C23" w:rsidRDefault="004C2C23" w:rsidP="004C2C23">
      <w:pPr>
        <w:pStyle w:val="ListBullet"/>
      </w:pPr>
      <w:r w:rsidRPr="006B3BAA">
        <w:t>people with low levels of education</w:t>
      </w:r>
      <w:r>
        <w:t>al attainment</w:t>
      </w:r>
    </w:p>
    <w:p w:rsidR="00631119" w:rsidRDefault="004C2C23" w:rsidP="00A023E5">
      <w:pPr>
        <w:pStyle w:val="ListBullet"/>
      </w:pPr>
      <w:r>
        <w:t>Indigenous Australians</w:t>
      </w:r>
    </w:p>
    <w:p w:rsidR="00631119" w:rsidRPr="006B3BAA" w:rsidRDefault="00631119" w:rsidP="00631119">
      <w:pPr>
        <w:pStyle w:val="ListBullet"/>
      </w:pPr>
      <w:r>
        <w:t>single adults (both elderly and working age).</w:t>
      </w:r>
    </w:p>
    <w:p w:rsidR="00A023E5" w:rsidRDefault="00A023E5" w:rsidP="00A023E5">
      <w:pPr>
        <w:pStyle w:val="TableTitle"/>
      </w:pPr>
      <w:r>
        <w:rPr>
          <w:b w:val="0"/>
        </w:rPr>
        <w:t xml:space="preserve">Table </w:t>
      </w:r>
      <w:bookmarkStart w:id="14" w:name="OLE_LINK23"/>
      <w:r w:rsidR="00833BF4">
        <w:rPr>
          <w:b w:val="0"/>
        </w:rPr>
        <w:t>3.</w:t>
      </w:r>
      <w:r w:rsidR="0069448C">
        <w:rPr>
          <w:b w:val="0"/>
          <w:noProof/>
        </w:rPr>
        <w:t>8</w:t>
      </w:r>
      <w:bookmarkEnd w:id="14"/>
      <w:r>
        <w:tab/>
        <w:t>Prevalence of forms of disadvantage for vulnerable groups</w:t>
      </w:r>
    </w:p>
    <w:tbl>
      <w:tblPr>
        <w:tblW w:w="5000" w:type="pct"/>
        <w:tblCellMar>
          <w:left w:w="0" w:type="dxa"/>
          <w:right w:w="0" w:type="dxa"/>
        </w:tblCellMar>
        <w:tblLook w:val="0000" w:firstRow="0" w:lastRow="0" w:firstColumn="0" w:lastColumn="0" w:noHBand="0" w:noVBand="0"/>
      </w:tblPr>
      <w:tblGrid>
        <w:gridCol w:w="2835"/>
        <w:gridCol w:w="1489"/>
        <w:gridCol w:w="1489"/>
        <w:gridCol w:w="1489"/>
        <w:gridCol w:w="1487"/>
      </w:tblGrid>
      <w:tr w:rsidR="0069448C" w:rsidTr="0069448C">
        <w:tc>
          <w:tcPr>
            <w:tcW w:w="1613" w:type="pct"/>
            <w:tcBorders>
              <w:top w:val="single" w:sz="4" w:space="0" w:color="auto"/>
            </w:tcBorders>
            <w:shd w:val="clear" w:color="auto" w:fill="auto"/>
            <w:vAlign w:val="bottom"/>
          </w:tcPr>
          <w:p w:rsidR="0069448C" w:rsidRDefault="0069448C" w:rsidP="00B573BA">
            <w:pPr>
              <w:pStyle w:val="TableColumnHeading"/>
              <w:jc w:val="left"/>
            </w:pPr>
          </w:p>
        </w:tc>
        <w:tc>
          <w:tcPr>
            <w:tcW w:w="2541" w:type="pct"/>
            <w:gridSpan w:val="3"/>
            <w:tcBorders>
              <w:top w:val="single" w:sz="4" w:space="0" w:color="auto"/>
              <w:bottom w:val="single" w:sz="4" w:space="0" w:color="auto"/>
            </w:tcBorders>
            <w:shd w:val="clear" w:color="auto" w:fill="auto"/>
            <w:vAlign w:val="center"/>
          </w:tcPr>
          <w:p w:rsidR="0069448C" w:rsidRDefault="0069448C" w:rsidP="0069448C">
            <w:pPr>
              <w:pStyle w:val="TableColumnHeading"/>
              <w:jc w:val="center"/>
            </w:pPr>
            <w:r>
              <w:t>2010</w:t>
            </w:r>
          </w:p>
        </w:tc>
        <w:tc>
          <w:tcPr>
            <w:tcW w:w="846" w:type="pct"/>
            <w:tcBorders>
              <w:top w:val="single" w:sz="4" w:space="0" w:color="auto"/>
              <w:bottom w:val="single" w:sz="4" w:space="0" w:color="auto"/>
            </w:tcBorders>
            <w:shd w:val="clear" w:color="auto" w:fill="auto"/>
            <w:vAlign w:val="bottom"/>
          </w:tcPr>
          <w:p w:rsidR="0069448C" w:rsidRDefault="0069448C" w:rsidP="00B573BA">
            <w:pPr>
              <w:pStyle w:val="TableColumnHeading"/>
            </w:pPr>
            <w:r>
              <w:t>2001 to 2010</w:t>
            </w:r>
          </w:p>
        </w:tc>
      </w:tr>
      <w:tr w:rsidR="00B573BA" w:rsidTr="0069448C">
        <w:tc>
          <w:tcPr>
            <w:tcW w:w="1613" w:type="pct"/>
            <w:tcBorders>
              <w:bottom w:val="single" w:sz="4" w:space="0" w:color="auto"/>
            </w:tcBorders>
            <w:shd w:val="clear" w:color="auto" w:fill="auto"/>
            <w:vAlign w:val="bottom"/>
          </w:tcPr>
          <w:p w:rsidR="00B573BA" w:rsidRDefault="00B573BA" w:rsidP="00B573BA">
            <w:pPr>
              <w:pStyle w:val="TableColumnHeading"/>
              <w:jc w:val="left"/>
            </w:pPr>
            <w:r>
              <w:t>Group or characteristic</w:t>
            </w:r>
          </w:p>
        </w:tc>
        <w:tc>
          <w:tcPr>
            <w:tcW w:w="847" w:type="pct"/>
            <w:tcBorders>
              <w:top w:val="single" w:sz="4" w:space="0" w:color="auto"/>
              <w:bottom w:val="single" w:sz="4" w:space="0" w:color="auto"/>
            </w:tcBorders>
            <w:shd w:val="clear" w:color="auto" w:fill="auto"/>
            <w:vAlign w:val="bottom"/>
          </w:tcPr>
          <w:p w:rsidR="00B573BA" w:rsidRDefault="00B573BA" w:rsidP="00B573BA">
            <w:pPr>
              <w:pStyle w:val="TableColumnHeading"/>
            </w:pPr>
            <w:r>
              <w:t xml:space="preserve">Relative income poverty </w:t>
            </w:r>
          </w:p>
        </w:tc>
        <w:tc>
          <w:tcPr>
            <w:tcW w:w="847" w:type="pct"/>
            <w:tcBorders>
              <w:top w:val="single" w:sz="4" w:space="0" w:color="auto"/>
              <w:bottom w:val="single" w:sz="4" w:space="0" w:color="auto"/>
            </w:tcBorders>
            <w:vAlign w:val="bottom"/>
          </w:tcPr>
          <w:p w:rsidR="00B573BA" w:rsidRDefault="00B573BA" w:rsidP="00B573BA">
            <w:pPr>
              <w:pStyle w:val="TableColumnHeading"/>
            </w:pPr>
            <w:r>
              <w:t xml:space="preserve">Multiple deprivation </w:t>
            </w:r>
          </w:p>
        </w:tc>
        <w:tc>
          <w:tcPr>
            <w:tcW w:w="847" w:type="pct"/>
            <w:tcBorders>
              <w:top w:val="single" w:sz="4" w:space="0" w:color="auto"/>
              <w:bottom w:val="single" w:sz="4" w:space="0" w:color="auto"/>
            </w:tcBorders>
            <w:vAlign w:val="bottom"/>
          </w:tcPr>
          <w:p w:rsidR="00B573BA" w:rsidRDefault="00B573BA" w:rsidP="00B573BA">
            <w:pPr>
              <w:pStyle w:val="TableColumnHeading"/>
            </w:pPr>
            <w:r>
              <w:t xml:space="preserve">Deep social exclusion </w:t>
            </w:r>
          </w:p>
        </w:tc>
        <w:tc>
          <w:tcPr>
            <w:tcW w:w="846" w:type="pct"/>
            <w:tcBorders>
              <w:top w:val="single" w:sz="4" w:space="0" w:color="auto"/>
              <w:bottom w:val="single" w:sz="4" w:space="0" w:color="auto"/>
            </w:tcBorders>
            <w:shd w:val="clear" w:color="auto" w:fill="auto"/>
            <w:vAlign w:val="bottom"/>
          </w:tcPr>
          <w:p w:rsidR="00B573BA" w:rsidRDefault="00B573BA" w:rsidP="00B573BA">
            <w:pPr>
              <w:pStyle w:val="TableColumnHeading"/>
            </w:pPr>
            <w:r>
              <w:t xml:space="preserve">Deep and persistent social exclusion </w:t>
            </w:r>
          </w:p>
        </w:tc>
      </w:tr>
      <w:tr w:rsidR="00B573BA" w:rsidTr="00B573BA">
        <w:tc>
          <w:tcPr>
            <w:tcW w:w="1613" w:type="pct"/>
            <w:tcBorders>
              <w:top w:val="single" w:sz="4" w:space="0" w:color="auto"/>
            </w:tcBorders>
            <w:shd w:val="clear" w:color="auto" w:fill="auto"/>
          </w:tcPr>
          <w:p w:rsidR="00B573BA" w:rsidRDefault="00B573BA" w:rsidP="00B573BA">
            <w:pPr>
              <w:pStyle w:val="TableUnitsRow"/>
            </w:pPr>
          </w:p>
        </w:tc>
        <w:tc>
          <w:tcPr>
            <w:tcW w:w="847" w:type="pct"/>
            <w:tcBorders>
              <w:top w:val="single" w:sz="4" w:space="0" w:color="auto"/>
            </w:tcBorders>
            <w:shd w:val="clear" w:color="auto" w:fill="auto"/>
          </w:tcPr>
          <w:p w:rsidR="00B573BA" w:rsidRDefault="00B573BA" w:rsidP="00B573BA">
            <w:pPr>
              <w:pStyle w:val="TableUnitsRow"/>
            </w:pPr>
            <w:r>
              <w:t>(% rate)</w:t>
            </w:r>
            <w:r w:rsidRPr="002353E8">
              <w:rPr>
                <w:rStyle w:val="NoteLabel"/>
              </w:rPr>
              <w:t>a</w:t>
            </w:r>
          </w:p>
        </w:tc>
        <w:tc>
          <w:tcPr>
            <w:tcW w:w="847" w:type="pct"/>
            <w:tcBorders>
              <w:top w:val="single" w:sz="4" w:space="0" w:color="auto"/>
            </w:tcBorders>
          </w:tcPr>
          <w:p w:rsidR="00B573BA" w:rsidRDefault="00B573BA" w:rsidP="00B573BA">
            <w:pPr>
              <w:pStyle w:val="TableUnitsRow"/>
            </w:pPr>
            <w:r>
              <w:t>(% rate)</w:t>
            </w:r>
            <w:r w:rsidRPr="002353E8">
              <w:rPr>
                <w:rStyle w:val="NoteLabel"/>
              </w:rPr>
              <w:t>b</w:t>
            </w:r>
          </w:p>
        </w:tc>
        <w:tc>
          <w:tcPr>
            <w:tcW w:w="847" w:type="pct"/>
            <w:tcBorders>
              <w:top w:val="single" w:sz="4" w:space="0" w:color="auto"/>
            </w:tcBorders>
          </w:tcPr>
          <w:p w:rsidR="00B573BA" w:rsidRDefault="00B573BA" w:rsidP="00B573BA">
            <w:pPr>
              <w:pStyle w:val="TableUnitsRow"/>
            </w:pPr>
            <w:r>
              <w:t>(% rate)</w:t>
            </w:r>
            <w:r w:rsidRPr="002353E8">
              <w:rPr>
                <w:rStyle w:val="NoteLabel"/>
              </w:rPr>
              <w:t>c</w:t>
            </w:r>
          </w:p>
        </w:tc>
        <w:tc>
          <w:tcPr>
            <w:tcW w:w="846" w:type="pct"/>
            <w:tcBorders>
              <w:top w:val="single" w:sz="4" w:space="0" w:color="auto"/>
            </w:tcBorders>
            <w:shd w:val="clear" w:color="auto" w:fill="auto"/>
          </w:tcPr>
          <w:p w:rsidR="00B573BA" w:rsidRDefault="00B573BA" w:rsidP="00997931">
            <w:pPr>
              <w:pStyle w:val="TableUnitsRow"/>
            </w:pPr>
            <w:r>
              <w:t>(% rate)</w:t>
            </w:r>
            <w:r w:rsidR="00997931" w:rsidRPr="002353E8">
              <w:rPr>
                <w:rStyle w:val="NoteLabel"/>
              </w:rPr>
              <w:t>c</w:t>
            </w:r>
          </w:p>
        </w:tc>
      </w:tr>
      <w:tr w:rsidR="00B573BA" w:rsidTr="00FF6A49">
        <w:tc>
          <w:tcPr>
            <w:tcW w:w="1613" w:type="pct"/>
            <w:shd w:val="clear" w:color="auto" w:fill="auto"/>
          </w:tcPr>
          <w:p w:rsidR="00B573BA" w:rsidRDefault="00B573BA" w:rsidP="00805573">
            <w:pPr>
              <w:pStyle w:val="TableBodyText"/>
              <w:spacing w:before="60"/>
              <w:jc w:val="left"/>
            </w:pPr>
            <w:r>
              <w:t>Single (18 to 64 years)</w:t>
            </w:r>
          </w:p>
        </w:tc>
        <w:tc>
          <w:tcPr>
            <w:tcW w:w="847" w:type="pct"/>
            <w:shd w:val="clear" w:color="auto" w:fill="auto"/>
          </w:tcPr>
          <w:p w:rsidR="00B573BA" w:rsidRDefault="00B573BA" w:rsidP="00805573">
            <w:pPr>
              <w:pStyle w:val="TableBodyText"/>
              <w:spacing w:before="60"/>
            </w:pPr>
            <w:r>
              <w:t>26.4</w:t>
            </w:r>
          </w:p>
        </w:tc>
        <w:tc>
          <w:tcPr>
            <w:tcW w:w="847" w:type="pct"/>
          </w:tcPr>
          <w:p w:rsidR="00B573BA" w:rsidRDefault="00B573BA" w:rsidP="00805573">
            <w:pPr>
              <w:pStyle w:val="TableBodyText"/>
              <w:spacing w:before="60"/>
              <w:ind w:right="28"/>
            </w:pPr>
            <w:r>
              <w:t>8.2</w:t>
            </w:r>
          </w:p>
        </w:tc>
        <w:tc>
          <w:tcPr>
            <w:tcW w:w="847" w:type="pct"/>
          </w:tcPr>
          <w:p w:rsidR="00B573BA" w:rsidRDefault="00B573BA" w:rsidP="00805573">
            <w:pPr>
              <w:pStyle w:val="TableBodyText"/>
              <w:spacing w:before="60"/>
              <w:ind w:right="28"/>
            </w:pPr>
            <w:r>
              <w:t>7.1</w:t>
            </w:r>
          </w:p>
        </w:tc>
        <w:tc>
          <w:tcPr>
            <w:tcW w:w="846" w:type="pct"/>
            <w:shd w:val="clear" w:color="auto" w:fill="auto"/>
          </w:tcPr>
          <w:p w:rsidR="00B573BA" w:rsidRDefault="00B573BA" w:rsidP="00805573">
            <w:pPr>
              <w:pStyle w:val="TableBodyText"/>
              <w:spacing w:before="60"/>
              <w:ind w:right="28"/>
            </w:pPr>
            <w:r>
              <w:t>7.1</w:t>
            </w:r>
          </w:p>
        </w:tc>
      </w:tr>
      <w:tr w:rsidR="00B573BA" w:rsidTr="00FF6A49">
        <w:tc>
          <w:tcPr>
            <w:tcW w:w="1613" w:type="pct"/>
            <w:shd w:val="clear" w:color="auto" w:fill="auto"/>
          </w:tcPr>
          <w:p w:rsidR="00B573BA" w:rsidRDefault="00B573BA" w:rsidP="000E324A">
            <w:pPr>
              <w:pStyle w:val="TableBodyText"/>
              <w:jc w:val="left"/>
            </w:pPr>
            <w:r>
              <w:t>Lone parents</w:t>
            </w:r>
          </w:p>
        </w:tc>
        <w:tc>
          <w:tcPr>
            <w:tcW w:w="847" w:type="pct"/>
            <w:shd w:val="clear" w:color="auto" w:fill="auto"/>
          </w:tcPr>
          <w:p w:rsidR="00B573BA" w:rsidRDefault="00B573BA" w:rsidP="000E324A">
            <w:pPr>
              <w:pStyle w:val="TableBodyText"/>
            </w:pPr>
            <w:r>
              <w:t>25.0</w:t>
            </w:r>
          </w:p>
        </w:tc>
        <w:tc>
          <w:tcPr>
            <w:tcW w:w="847" w:type="pct"/>
          </w:tcPr>
          <w:p w:rsidR="00B573BA" w:rsidRDefault="00B573BA" w:rsidP="000E324A">
            <w:pPr>
              <w:pStyle w:val="TableBodyText"/>
              <w:ind w:right="28"/>
            </w:pPr>
            <w:r>
              <w:t>10.0</w:t>
            </w:r>
          </w:p>
        </w:tc>
        <w:tc>
          <w:tcPr>
            <w:tcW w:w="847" w:type="pct"/>
          </w:tcPr>
          <w:p w:rsidR="00B573BA" w:rsidRDefault="00B573BA" w:rsidP="00895A55">
            <w:pPr>
              <w:pStyle w:val="TableBodyText"/>
              <w:ind w:right="28"/>
            </w:pPr>
            <w:r>
              <w:t>10.</w:t>
            </w:r>
            <w:r w:rsidR="00895A55">
              <w:t>1</w:t>
            </w:r>
          </w:p>
        </w:tc>
        <w:tc>
          <w:tcPr>
            <w:tcW w:w="846" w:type="pct"/>
            <w:shd w:val="clear" w:color="auto" w:fill="auto"/>
          </w:tcPr>
          <w:p w:rsidR="00B573BA" w:rsidRDefault="00B573BA" w:rsidP="000E324A">
            <w:pPr>
              <w:pStyle w:val="TableBodyText"/>
              <w:ind w:right="28"/>
            </w:pPr>
            <w:r>
              <w:t>11.3</w:t>
            </w:r>
          </w:p>
        </w:tc>
      </w:tr>
      <w:tr w:rsidR="00B573BA" w:rsidTr="00FF6A49">
        <w:tc>
          <w:tcPr>
            <w:tcW w:w="1613" w:type="pct"/>
            <w:shd w:val="clear" w:color="auto" w:fill="auto"/>
          </w:tcPr>
          <w:p w:rsidR="00B573BA" w:rsidRDefault="00B573BA" w:rsidP="000E324A">
            <w:pPr>
              <w:pStyle w:val="TableBodyText"/>
              <w:jc w:val="left"/>
            </w:pPr>
            <w:r>
              <w:t>Single adults over 65 years</w:t>
            </w:r>
          </w:p>
        </w:tc>
        <w:tc>
          <w:tcPr>
            <w:tcW w:w="847" w:type="pct"/>
            <w:shd w:val="clear" w:color="auto" w:fill="auto"/>
          </w:tcPr>
          <w:p w:rsidR="00B573BA" w:rsidRDefault="00B573BA" w:rsidP="000E324A">
            <w:pPr>
              <w:pStyle w:val="TableBodyText"/>
            </w:pPr>
            <w:r>
              <w:t>23.6</w:t>
            </w:r>
          </w:p>
        </w:tc>
        <w:tc>
          <w:tcPr>
            <w:tcW w:w="847" w:type="pct"/>
          </w:tcPr>
          <w:p w:rsidR="00B573BA" w:rsidRDefault="00B573BA" w:rsidP="000E324A">
            <w:pPr>
              <w:pStyle w:val="TableBodyText"/>
              <w:ind w:right="28"/>
            </w:pPr>
            <w:r>
              <w:t>3.3</w:t>
            </w:r>
          </w:p>
        </w:tc>
        <w:tc>
          <w:tcPr>
            <w:tcW w:w="847" w:type="pct"/>
          </w:tcPr>
          <w:p w:rsidR="00B573BA" w:rsidRDefault="00B573BA" w:rsidP="000E324A">
            <w:pPr>
              <w:pStyle w:val="TableBodyText"/>
              <w:ind w:right="28"/>
            </w:pPr>
            <w:r>
              <w:t>11.9</w:t>
            </w:r>
          </w:p>
        </w:tc>
        <w:tc>
          <w:tcPr>
            <w:tcW w:w="846" w:type="pct"/>
            <w:shd w:val="clear" w:color="auto" w:fill="auto"/>
          </w:tcPr>
          <w:p w:rsidR="00B573BA" w:rsidRDefault="00B573BA" w:rsidP="000E324A">
            <w:pPr>
              <w:pStyle w:val="TableBodyText"/>
              <w:ind w:right="28"/>
            </w:pPr>
            <w:r>
              <w:t>6.3</w:t>
            </w:r>
          </w:p>
        </w:tc>
      </w:tr>
      <w:tr w:rsidR="00B573BA" w:rsidTr="00FF6A49">
        <w:tc>
          <w:tcPr>
            <w:tcW w:w="1613" w:type="pct"/>
            <w:shd w:val="clear" w:color="auto" w:fill="auto"/>
          </w:tcPr>
          <w:p w:rsidR="00B573BA" w:rsidRDefault="00B573BA" w:rsidP="000E324A">
            <w:pPr>
              <w:pStyle w:val="TableBodyText"/>
              <w:jc w:val="left"/>
            </w:pPr>
            <w:r>
              <w:t>65 years plus (total)</w:t>
            </w:r>
          </w:p>
        </w:tc>
        <w:tc>
          <w:tcPr>
            <w:tcW w:w="847" w:type="pct"/>
            <w:shd w:val="clear" w:color="auto" w:fill="auto"/>
          </w:tcPr>
          <w:p w:rsidR="00B573BA" w:rsidRDefault="00B573BA" w:rsidP="000E324A">
            <w:pPr>
              <w:pStyle w:val="TableBodyText"/>
            </w:pPr>
            <w:r>
              <w:t>13.2</w:t>
            </w:r>
          </w:p>
        </w:tc>
        <w:tc>
          <w:tcPr>
            <w:tcW w:w="847" w:type="pct"/>
          </w:tcPr>
          <w:p w:rsidR="00B573BA" w:rsidRDefault="00B573BA" w:rsidP="000E324A">
            <w:pPr>
              <w:pStyle w:val="TableBodyText"/>
              <w:ind w:right="28"/>
            </w:pPr>
            <w:r>
              <w:t>7.9</w:t>
            </w:r>
          </w:p>
        </w:tc>
        <w:tc>
          <w:tcPr>
            <w:tcW w:w="847" w:type="pct"/>
          </w:tcPr>
          <w:p w:rsidR="00B573BA" w:rsidRDefault="00B573BA" w:rsidP="000E324A">
            <w:pPr>
              <w:pStyle w:val="TableBodyText"/>
              <w:ind w:right="28"/>
            </w:pPr>
            <w:r>
              <w:t>7.6</w:t>
            </w:r>
          </w:p>
        </w:tc>
        <w:tc>
          <w:tcPr>
            <w:tcW w:w="846" w:type="pct"/>
            <w:shd w:val="clear" w:color="auto" w:fill="auto"/>
          </w:tcPr>
          <w:p w:rsidR="00B573BA" w:rsidRDefault="00B573BA" w:rsidP="000E324A">
            <w:pPr>
              <w:pStyle w:val="TableBodyText"/>
              <w:ind w:right="28"/>
            </w:pPr>
            <w:r>
              <w:t>6.3</w:t>
            </w:r>
          </w:p>
        </w:tc>
      </w:tr>
      <w:tr w:rsidR="00B573BA" w:rsidTr="00FF6A49">
        <w:tc>
          <w:tcPr>
            <w:tcW w:w="1613" w:type="pct"/>
            <w:shd w:val="clear" w:color="auto" w:fill="auto"/>
          </w:tcPr>
          <w:p w:rsidR="00B573BA" w:rsidRDefault="00B573BA" w:rsidP="000E324A">
            <w:pPr>
              <w:pStyle w:val="TableBodyText"/>
              <w:jc w:val="left"/>
            </w:pPr>
            <w:r>
              <w:t>Indigenous persons</w:t>
            </w:r>
          </w:p>
        </w:tc>
        <w:tc>
          <w:tcPr>
            <w:tcW w:w="847" w:type="pct"/>
            <w:shd w:val="clear" w:color="auto" w:fill="auto"/>
          </w:tcPr>
          <w:p w:rsidR="00B573BA" w:rsidRPr="009E3D38" w:rsidRDefault="00B573BA" w:rsidP="000E324A">
            <w:pPr>
              <w:pStyle w:val="TableBodyText"/>
            </w:pPr>
            <w:r w:rsidRPr="009E3D38">
              <w:t>n</w:t>
            </w:r>
            <w:r>
              <w:t>.</w:t>
            </w:r>
            <w:r w:rsidRPr="009E3D38">
              <w:t>a</w:t>
            </w:r>
            <w:r>
              <w:t>.</w:t>
            </w:r>
            <w:r w:rsidRPr="009E3D38">
              <w:t>*</w:t>
            </w:r>
          </w:p>
        </w:tc>
        <w:tc>
          <w:tcPr>
            <w:tcW w:w="847" w:type="pct"/>
          </w:tcPr>
          <w:p w:rsidR="00B573BA" w:rsidRDefault="00B573BA" w:rsidP="000E324A">
            <w:pPr>
              <w:pStyle w:val="TableBodyText"/>
              <w:ind w:right="28"/>
            </w:pPr>
            <w:r>
              <w:t>n.a.**</w:t>
            </w:r>
          </w:p>
        </w:tc>
        <w:tc>
          <w:tcPr>
            <w:tcW w:w="847" w:type="pct"/>
          </w:tcPr>
          <w:p w:rsidR="00B573BA" w:rsidRDefault="00B573BA" w:rsidP="000E324A">
            <w:pPr>
              <w:pStyle w:val="TableBodyText"/>
              <w:ind w:right="28"/>
            </w:pPr>
            <w:r>
              <w:t>9.1</w:t>
            </w:r>
          </w:p>
        </w:tc>
        <w:tc>
          <w:tcPr>
            <w:tcW w:w="846" w:type="pct"/>
            <w:shd w:val="clear" w:color="auto" w:fill="auto"/>
          </w:tcPr>
          <w:p w:rsidR="00B573BA" w:rsidRDefault="00B573BA" w:rsidP="000E324A">
            <w:pPr>
              <w:pStyle w:val="TableBodyText"/>
              <w:ind w:right="28"/>
            </w:pPr>
            <w:r>
              <w:t>10.8</w:t>
            </w:r>
          </w:p>
        </w:tc>
      </w:tr>
      <w:tr w:rsidR="00B573BA" w:rsidTr="00FF6A49">
        <w:tc>
          <w:tcPr>
            <w:tcW w:w="1613" w:type="pct"/>
            <w:shd w:val="clear" w:color="auto" w:fill="auto"/>
          </w:tcPr>
          <w:p w:rsidR="00B573BA" w:rsidRDefault="00B573BA" w:rsidP="0023750C">
            <w:pPr>
              <w:pStyle w:val="TableBodyText"/>
              <w:jc w:val="left"/>
            </w:pPr>
            <w:r>
              <w:t xml:space="preserve">Migrants (NESB) </w:t>
            </w:r>
          </w:p>
        </w:tc>
        <w:tc>
          <w:tcPr>
            <w:tcW w:w="847" w:type="pct"/>
            <w:shd w:val="clear" w:color="auto" w:fill="auto"/>
          </w:tcPr>
          <w:p w:rsidR="00B573BA" w:rsidRDefault="00B573BA" w:rsidP="000E324A">
            <w:pPr>
              <w:pStyle w:val="TableBodyText"/>
            </w:pPr>
            <w:r>
              <w:t>15.8</w:t>
            </w:r>
          </w:p>
        </w:tc>
        <w:tc>
          <w:tcPr>
            <w:tcW w:w="847" w:type="pct"/>
          </w:tcPr>
          <w:p w:rsidR="00B573BA" w:rsidRPr="009E3D38" w:rsidRDefault="00B573BA" w:rsidP="000E324A">
            <w:pPr>
              <w:pStyle w:val="TableBodyText"/>
              <w:ind w:right="28"/>
            </w:pPr>
            <w:r>
              <w:t>n.a.**</w:t>
            </w:r>
          </w:p>
        </w:tc>
        <w:tc>
          <w:tcPr>
            <w:tcW w:w="847" w:type="pct"/>
          </w:tcPr>
          <w:p w:rsidR="00B573BA" w:rsidRDefault="00B573BA" w:rsidP="000E324A">
            <w:pPr>
              <w:pStyle w:val="TableBodyText"/>
              <w:ind w:right="28"/>
            </w:pPr>
            <w:r>
              <w:t>5.7</w:t>
            </w:r>
          </w:p>
        </w:tc>
        <w:tc>
          <w:tcPr>
            <w:tcW w:w="846" w:type="pct"/>
            <w:shd w:val="clear" w:color="auto" w:fill="auto"/>
          </w:tcPr>
          <w:p w:rsidR="00B573BA" w:rsidRDefault="00B573BA" w:rsidP="000E324A">
            <w:pPr>
              <w:pStyle w:val="TableBodyText"/>
              <w:ind w:right="28"/>
            </w:pPr>
            <w:r>
              <w:t>5.6</w:t>
            </w:r>
          </w:p>
        </w:tc>
      </w:tr>
      <w:tr w:rsidR="00B573BA" w:rsidTr="00FF6A49">
        <w:tc>
          <w:tcPr>
            <w:tcW w:w="1613" w:type="pct"/>
            <w:shd w:val="clear" w:color="auto" w:fill="auto"/>
          </w:tcPr>
          <w:p w:rsidR="00B573BA" w:rsidRDefault="00B573BA" w:rsidP="000E324A">
            <w:pPr>
              <w:pStyle w:val="TableBodyText"/>
              <w:jc w:val="left"/>
            </w:pPr>
            <w:r>
              <w:t>Unemployed</w:t>
            </w:r>
          </w:p>
        </w:tc>
        <w:tc>
          <w:tcPr>
            <w:tcW w:w="847" w:type="pct"/>
            <w:shd w:val="clear" w:color="auto" w:fill="auto"/>
          </w:tcPr>
          <w:p w:rsidR="00B573BA" w:rsidRPr="009E3D38" w:rsidRDefault="00B573BA" w:rsidP="000E324A">
            <w:pPr>
              <w:pStyle w:val="TableBodyText"/>
            </w:pPr>
            <w:r>
              <w:t>63.3</w:t>
            </w:r>
          </w:p>
        </w:tc>
        <w:tc>
          <w:tcPr>
            <w:tcW w:w="847" w:type="pct"/>
          </w:tcPr>
          <w:p w:rsidR="00B573BA" w:rsidRDefault="00B573BA" w:rsidP="000E324A">
            <w:pPr>
              <w:pStyle w:val="TableBodyText"/>
              <w:ind w:right="28"/>
            </w:pPr>
            <w:r w:rsidRPr="009E3D38">
              <w:t>n</w:t>
            </w:r>
            <w:r>
              <w:t>.</w:t>
            </w:r>
            <w:r w:rsidRPr="009E3D38">
              <w:t>a</w:t>
            </w:r>
            <w:r>
              <w:t>.</w:t>
            </w:r>
            <w:r w:rsidRPr="009E3D38">
              <w:t>**</w:t>
            </w:r>
          </w:p>
        </w:tc>
        <w:tc>
          <w:tcPr>
            <w:tcW w:w="847" w:type="pct"/>
          </w:tcPr>
          <w:p w:rsidR="00B573BA" w:rsidRDefault="00B573BA" w:rsidP="000E324A">
            <w:pPr>
              <w:pStyle w:val="TableBodyText"/>
              <w:ind w:right="28"/>
            </w:pPr>
            <w:r>
              <w:t>31.4</w:t>
            </w:r>
          </w:p>
        </w:tc>
        <w:tc>
          <w:tcPr>
            <w:tcW w:w="846" w:type="pct"/>
            <w:shd w:val="clear" w:color="auto" w:fill="auto"/>
          </w:tcPr>
          <w:p w:rsidR="00B573BA" w:rsidRDefault="00B573BA" w:rsidP="000E324A">
            <w:pPr>
              <w:pStyle w:val="TableBodyText"/>
              <w:ind w:right="28"/>
            </w:pPr>
            <w:r>
              <w:t>11.5</w:t>
            </w:r>
          </w:p>
        </w:tc>
      </w:tr>
      <w:tr w:rsidR="00B573BA" w:rsidTr="00FF6A49">
        <w:tc>
          <w:tcPr>
            <w:tcW w:w="1613" w:type="pct"/>
            <w:shd w:val="clear" w:color="auto" w:fill="auto"/>
          </w:tcPr>
          <w:p w:rsidR="00B573BA" w:rsidRDefault="00B573BA" w:rsidP="000E324A">
            <w:pPr>
              <w:pStyle w:val="TableBodyText"/>
              <w:jc w:val="left"/>
            </w:pPr>
            <w:r>
              <w:t>Dependent on income support</w:t>
            </w:r>
          </w:p>
        </w:tc>
        <w:tc>
          <w:tcPr>
            <w:tcW w:w="847" w:type="pct"/>
            <w:shd w:val="clear" w:color="auto" w:fill="auto"/>
          </w:tcPr>
          <w:p w:rsidR="00B573BA" w:rsidRPr="009E3D38" w:rsidRDefault="00B573BA" w:rsidP="000E324A">
            <w:pPr>
              <w:pStyle w:val="TableBodyText"/>
            </w:pPr>
            <w:r>
              <w:t>36.5</w:t>
            </w:r>
          </w:p>
        </w:tc>
        <w:tc>
          <w:tcPr>
            <w:tcW w:w="847" w:type="pct"/>
          </w:tcPr>
          <w:p w:rsidR="00B573BA" w:rsidRDefault="00B573BA" w:rsidP="000E324A">
            <w:pPr>
              <w:pStyle w:val="TableBodyText"/>
              <w:ind w:right="28"/>
            </w:pPr>
            <w:r>
              <w:t>33.6</w:t>
            </w:r>
          </w:p>
        </w:tc>
        <w:tc>
          <w:tcPr>
            <w:tcW w:w="847" w:type="pct"/>
          </w:tcPr>
          <w:p w:rsidR="00B573BA" w:rsidRDefault="00B573BA" w:rsidP="000E324A">
            <w:pPr>
              <w:pStyle w:val="TableBodyText"/>
              <w:ind w:right="28"/>
            </w:pPr>
            <w:r>
              <w:t>18.7</w:t>
            </w:r>
          </w:p>
        </w:tc>
        <w:tc>
          <w:tcPr>
            <w:tcW w:w="846" w:type="pct"/>
            <w:shd w:val="clear" w:color="auto" w:fill="auto"/>
          </w:tcPr>
          <w:p w:rsidR="00B573BA" w:rsidRDefault="00B573BA" w:rsidP="000E324A">
            <w:pPr>
              <w:pStyle w:val="TableBodyText"/>
              <w:ind w:right="28"/>
            </w:pPr>
            <w:r>
              <w:t>15.3</w:t>
            </w:r>
          </w:p>
        </w:tc>
      </w:tr>
      <w:tr w:rsidR="00B573BA" w:rsidTr="00FF6A49">
        <w:tc>
          <w:tcPr>
            <w:tcW w:w="1613" w:type="pct"/>
            <w:shd w:val="clear" w:color="auto" w:fill="auto"/>
          </w:tcPr>
          <w:p w:rsidR="00B573BA" w:rsidRDefault="00B573BA" w:rsidP="000E324A">
            <w:pPr>
              <w:pStyle w:val="TableBodyText"/>
              <w:jc w:val="left"/>
            </w:pPr>
            <w:r>
              <w:t>People with a long-term health condition or disability</w:t>
            </w:r>
          </w:p>
        </w:tc>
        <w:tc>
          <w:tcPr>
            <w:tcW w:w="847" w:type="pct"/>
            <w:shd w:val="clear" w:color="auto" w:fill="auto"/>
          </w:tcPr>
          <w:p w:rsidR="00B573BA" w:rsidRPr="009E3D38" w:rsidRDefault="00B573BA" w:rsidP="000E324A">
            <w:pPr>
              <w:pStyle w:val="TableBodyText"/>
            </w:pPr>
            <w:r w:rsidRPr="009E3D38">
              <w:t>27.4</w:t>
            </w:r>
          </w:p>
        </w:tc>
        <w:tc>
          <w:tcPr>
            <w:tcW w:w="847" w:type="pct"/>
          </w:tcPr>
          <w:p w:rsidR="00B573BA" w:rsidRDefault="00B573BA" w:rsidP="000E324A">
            <w:pPr>
              <w:pStyle w:val="TableBodyText"/>
              <w:ind w:right="28"/>
            </w:pPr>
            <w:r>
              <w:t>28.9</w:t>
            </w:r>
          </w:p>
        </w:tc>
        <w:tc>
          <w:tcPr>
            <w:tcW w:w="847" w:type="pct"/>
          </w:tcPr>
          <w:p w:rsidR="00B573BA" w:rsidRDefault="00B573BA" w:rsidP="000E324A">
            <w:pPr>
              <w:pStyle w:val="TableBodyText"/>
              <w:ind w:right="28"/>
            </w:pPr>
            <w:r>
              <w:t>13.3</w:t>
            </w:r>
          </w:p>
        </w:tc>
        <w:tc>
          <w:tcPr>
            <w:tcW w:w="846" w:type="pct"/>
            <w:shd w:val="clear" w:color="auto" w:fill="auto"/>
          </w:tcPr>
          <w:p w:rsidR="00B573BA" w:rsidRDefault="00B573BA" w:rsidP="000E324A">
            <w:pPr>
              <w:pStyle w:val="TableBodyText"/>
              <w:ind w:right="28"/>
            </w:pPr>
            <w:r>
              <w:t>11.2</w:t>
            </w:r>
          </w:p>
        </w:tc>
      </w:tr>
      <w:tr w:rsidR="00B573BA" w:rsidTr="00FF6A49">
        <w:tc>
          <w:tcPr>
            <w:tcW w:w="1613" w:type="pct"/>
            <w:shd w:val="clear" w:color="auto" w:fill="auto"/>
          </w:tcPr>
          <w:p w:rsidR="00B573BA" w:rsidRDefault="00B573BA" w:rsidP="00997931">
            <w:pPr>
              <w:pStyle w:val="TableBodyText"/>
              <w:jc w:val="left"/>
            </w:pPr>
            <w:r>
              <w:t>Low educational attainment</w:t>
            </w:r>
            <w:r w:rsidR="00997931">
              <w:rPr>
                <w:rStyle w:val="NoteLabel"/>
              </w:rPr>
              <w:t>d</w:t>
            </w:r>
          </w:p>
        </w:tc>
        <w:tc>
          <w:tcPr>
            <w:tcW w:w="847" w:type="pct"/>
            <w:shd w:val="clear" w:color="auto" w:fill="auto"/>
          </w:tcPr>
          <w:p w:rsidR="00B573BA" w:rsidRPr="009E3D38" w:rsidRDefault="00B573BA" w:rsidP="000E324A">
            <w:pPr>
              <w:pStyle w:val="TableBodyText"/>
            </w:pPr>
            <w:r w:rsidRPr="009E3D38">
              <w:t>n</w:t>
            </w:r>
            <w:r>
              <w:t>.</w:t>
            </w:r>
            <w:r w:rsidRPr="009E3D38">
              <w:t>a</w:t>
            </w:r>
            <w:r>
              <w:t>.</w:t>
            </w:r>
            <w:r w:rsidRPr="009E3D38">
              <w:t>*</w:t>
            </w:r>
          </w:p>
        </w:tc>
        <w:tc>
          <w:tcPr>
            <w:tcW w:w="847" w:type="pct"/>
          </w:tcPr>
          <w:p w:rsidR="00B573BA" w:rsidRDefault="00B573BA" w:rsidP="000E324A">
            <w:pPr>
              <w:pStyle w:val="TableBodyText"/>
              <w:ind w:right="28"/>
            </w:pPr>
            <w:r>
              <w:t>32.1</w:t>
            </w:r>
          </w:p>
        </w:tc>
        <w:tc>
          <w:tcPr>
            <w:tcW w:w="847" w:type="pct"/>
          </w:tcPr>
          <w:p w:rsidR="00B573BA" w:rsidRDefault="00B573BA" w:rsidP="000E324A">
            <w:pPr>
              <w:pStyle w:val="TableBodyText"/>
              <w:ind w:right="28"/>
            </w:pPr>
            <w:r>
              <w:t>9.9</w:t>
            </w:r>
          </w:p>
        </w:tc>
        <w:tc>
          <w:tcPr>
            <w:tcW w:w="846" w:type="pct"/>
            <w:shd w:val="clear" w:color="auto" w:fill="auto"/>
          </w:tcPr>
          <w:p w:rsidR="00B573BA" w:rsidRDefault="00B573BA" w:rsidP="000E324A">
            <w:pPr>
              <w:pStyle w:val="TableBodyText"/>
              <w:ind w:right="28"/>
            </w:pPr>
            <w:r>
              <w:t>9.3</w:t>
            </w:r>
          </w:p>
        </w:tc>
      </w:tr>
      <w:tr w:rsidR="00B573BA" w:rsidTr="00FF6A49">
        <w:tc>
          <w:tcPr>
            <w:tcW w:w="1613" w:type="pct"/>
            <w:shd w:val="clear" w:color="auto" w:fill="auto"/>
          </w:tcPr>
          <w:p w:rsidR="00B573BA" w:rsidRDefault="00B573BA" w:rsidP="000E324A">
            <w:pPr>
              <w:pStyle w:val="TableBodyText"/>
              <w:jc w:val="left"/>
            </w:pPr>
            <w:r>
              <w:t>Public housing tenants</w:t>
            </w:r>
          </w:p>
        </w:tc>
        <w:tc>
          <w:tcPr>
            <w:tcW w:w="847" w:type="pct"/>
            <w:shd w:val="clear" w:color="auto" w:fill="auto"/>
          </w:tcPr>
          <w:p w:rsidR="00B573BA" w:rsidRPr="009E3D38" w:rsidRDefault="00B573BA" w:rsidP="000E324A">
            <w:pPr>
              <w:pStyle w:val="TableBodyText"/>
            </w:pPr>
            <w:r w:rsidRPr="009E3D38">
              <w:t>n</w:t>
            </w:r>
            <w:r>
              <w:t>.</w:t>
            </w:r>
            <w:r w:rsidRPr="009E3D38">
              <w:t>a</w:t>
            </w:r>
            <w:r>
              <w:t>.</w:t>
            </w:r>
            <w:r w:rsidRPr="009E3D38">
              <w:t>*</w:t>
            </w:r>
          </w:p>
        </w:tc>
        <w:tc>
          <w:tcPr>
            <w:tcW w:w="847" w:type="pct"/>
          </w:tcPr>
          <w:p w:rsidR="00B573BA" w:rsidRDefault="00B573BA" w:rsidP="000E324A">
            <w:pPr>
              <w:pStyle w:val="TableBodyText"/>
              <w:ind w:right="28"/>
            </w:pPr>
            <w:r>
              <w:t>n.a.**</w:t>
            </w:r>
          </w:p>
        </w:tc>
        <w:tc>
          <w:tcPr>
            <w:tcW w:w="847" w:type="pct"/>
          </w:tcPr>
          <w:p w:rsidR="00B573BA" w:rsidRDefault="00B573BA" w:rsidP="000E324A">
            <w:pPr>
              <w:pStyle w:val="TableBodyText"/>
              <w:ind w:right="28"/>
            </w:pPr>
            <w:r>
              <w:t>21.1</w:t>
            </w:r>
          </w:p>
        </w:tc>
        <w:tc>
          <w:tcPr>
            <w:tcW w:w="846" w:type="pct"/>
            <w:shd w:val="clear" w:color="auto" w:fill="auto"/>
          </w:tcPr>
          <w:p w:rsidR="00B573BA" w:rsidRDefault="00B573BA" w:rsidP="000E324A">
            <w:pPr>
              <w:pStyle w:val="TableBodyText"/>
              <w:ind w:right="28"/>
            </w:pPr>
            <w:r>
              <w:t>23.6</w:t>
            </w:r>
          </w:p>
        </w:tc>
      </w:tr>
      <w:tr w:rsidR="00B573BA" w:rsidRPr="00A7555F" w:rsidTr="00FF6A49">
        <w:tc>
          <w:tcPr>
            <w:tcW w:w="1613" w:type="pct"/>
            <w:tcBorders>
              <w:bottom w:val="single" w:sz="4" w:space="0" w:color="auto"/>
            </w:tcBorders>
            <w:shd w:val="clear" w:color="auto" w:fill="auto"/>
          </w:tcPr>
          <w:p w:rsidR="00B573BA" w:rsidRPr="00A7555F" w:rsidRDefault="00B573BA" w:rsidP="000E324A">
            <w:pPr>
              <w:pStyle w:val="TableBodyText"/>
              <w:spacing w:before="120"/>
              <w:jc w:val="left"/>
              <w:rPr>
                <w:b/>
              </w:rPr>
            </w:pPr>
            <w:r w:rsidRPr="00A7555F">
              <w:rPr>
                <w:b/>
              </w:rPr>
              <w:t>Total</w:t>
            </w:r>
          </w:p>
        </w:tc>
        <w:tc>
          <w:tcPr>
            <w:tcW w:w="847" w:type="pct"/>
            <w:tcBorders>
              <w:bottom w:val="single" w:sz="4" w:space="0" w:color="auto"/>
            </w:tcBorders>
            <w:shd w:val="clear" w:color="auto" w:fill="auto"/>
          </w:tcPr>
          <w:p w:rsidR="00B573BA" w:rsidRPr="00A7555F" w:rsidRDefault="00B573BA" w:rsidP="000E324A">
            <w:pPr>
              <w:pStyle w:val="TableBodyText"/>
              <w:spacing w:before="120"/>
              <w:rPr>
                <w:b/>
              </w:rPr>
            </w:pPr>
            <w:r w:rsidRPr="00A7555F">
              <w:rPr>
                <w:b/>
              </w:rPr>
              <w:t>12.8</w:t>
            </w:r>
          </w:p>
        </w:tc>
        <w:tc>
          <w:tcPr>
            <w:tcW w:w="847" w:type="pct"/>
            <w:tcBorders>
              <w:bottom w:val="single" w:sz="4" w:space="0" w:color="auto"/>
            </w:tcBorders>
          </w:tcPr>
          <w:p w:rsidR="00B573BA" w:rsidRPr="00A7555F" w:rsidRDefault="00B573BA" w:rsidP="000E324A">
            <w:pPr>
              <w:pStyle w:val="TableBodyText"/>
              <w:spacing w:before="120"/>
              <w:ind w:right="28"/>
              <w:rPr>
                <w:b/>
              </w:rPr>
            </w:pPr>
            <w:r w:rsidRPr="00A7555F">
              <w:rPr>
                <w:b/>
              </w:rPr>
              <w:t>13.2</w:t>
            </w:r>
          </w:p>
        </w:tc>
        <w:tc>
          <w:tcPr>
            <w:tcW w:w="847" w:type="pct"/>
            <w:tcBorders>
              <w:bottom w:val="single" w:sz="4" w:space="0" w:color="auto"/>
            </w:tcBorders>
          </w:tcPr>
          <w:p w:rsidR="00B573BA" w:rsidRPr="00A7555F" w:rsidRDefault="00B573BA" w:rsidP="000E324A">
            <w:pPr>
              <w:pStyle w:val="TableBodyText"/>
              <w:spacing w:before="120"/>
              <w:ind w:right="28"/>
              <w:rPr>
                <w:b/>
              </w:rPr>
            </w:pPr>
            <w:r w:rsidRPr="00A7555F">
              <w:rPr>
                <w:b/>
              </w:rPr>
              <w:t>4.8</w:t>
            </w:r>
          </w:p>
        </w:tc>
        <w:tc>
          <w:tcPr>
            <w:tcW w:w="846" w:type="pct"/>
            <w:tcBorders>
              <w:bottom w:val="single" w:sz="4" w:space="0" w:color="auto"/>
            </w:tcBorders>
            <w:shd w:val="clear" w:color="auto" w:fill="auto"/>
          </w:tcPr>
          <w:p w:rsidR="00B573BA" w:rsidRPr="00A7555F" w:rsidRDefault="00B573BA" w:rsidP="000E324A">
            <w:pPr>
              <w:pStyle w:val="TableBodyText"/>
              <w:spacing w:before="120"/>
              <w:ind w:right="28"/>
              <w:rPr>
                <w:b/>
              </w:rPr>
            </w:pPr>
            <w:r w:rsidRPr="00A7555F">
              <w:rPr>
                <w:b/>
              </w:rPr>
              <w:t>4.4</w:t>
            </w:r>
          </w:p>
        </w:tc>
      </w:tr>
    </w:tbl>
    <w:p w:rsidR="00A16B35" w:rsidRDefault="00A16B35" w:rsidP="00A023E5">
      <w:pPr>
        <w:pStyle w:val="Note"/>
      </w:pPr>
      <w:r>
        <w:rPr>
          <w:rStyle w:val="NoteLabel"/>
        </w:rPr>
        <w:t xml:space="preserve">a </w:t>
      </w:r>
      <w:r>
        <w:t>S</w:t>
      </w:r>
      <w:r w:rsidR="00A023E5">
        <w:t xml:space="preserve">urvey responses from the </w:t>
      </w:r>
      <w:r w:rsidR="003307AD">
        <w:t xml:space="preserve">2010 </w:t>
      </w:r>
      <w:r w:rsidR="00A023E5">
        <w:t xml:space="preserve">ABS </w:t>
      </w:r>
      <w:r w:rsidR="00A023E5" w:rsidRPr="004B6BC9">
        <w:rPr>
          <w:i/>
        </w:rPr>
        <w:t>Survey of Income and Housing</w:t>
      </w:r>
      <w:r w:rsidR="00A023E5">
        <w:t>. Refers to characteristics of household reference person in households where equivalised disposable income is below 50 per cent of median household income</w:t>
      </w:r>
      <w:r w:rsidR="00597609">
        <w:t>.</w:t>
      </w:r>
      <w:r w:rsidR="00A023E5">
        <w:t xml:space="preserve"> </w:t>
      </w:r>
      <w:r w:rsidR="00A023E5">
        <w:rPr>
          <w:rStyle w:val="NoteLabel"/>
        </w:rPr>
        <w:t xml:space="preserve">b </w:t>
      </w:r>
      <w:r w:rsidR="00A023E5">
        <w:t xml:space="preserve">Refers to </w:t>
      </w:r>
      <w:r w:rsidR="00EB0B43">
        <w:t xml:space="preserve">adult Australians </w:t>
      </w:r>
      <w:r w:rsidR="00A023E5">
        <w:t xml:space="preserve">with at least four forms of financial deprivation. </w:t>
      </w:r>
      <w:r w:rsidR="00A023E5">
        <w:rPr>
          <w:rStyle w:val="NoteLabel"/>
        </w:rPr>
        <w:t xml:space="preserve">c </w:t>
      </w:r>
      <w:r w:rsidR="00A023E5">
        <w:t xml:space="preserve">To be </w:t>
      </w:r>
      <w:r w:rsidR="00A023E5" w:rsidRPr="0069448C">
        <w:rPr>
          <w:i/>
        </w:rPr>
        <w:t>deeply socially excluded</w:t>
      </w:r>
      <w:r w:rsidR="00A023E5">
        <w:t xml:space="preserve"> an individual </w:t>
      </w:r>
      <w:r w:rsidR="00EB0B43">
        <w:t xml:space="preserve">aged 15 years plus </w:t>
      </w:r>
      <w:r w:rsidR="00A023E5">
        <w:t xml:space="preserve">needs to have a score of 2 or more from indicators used for seven life domains. To be </w:t>
      </w:r>
      <w:r w:rsidR="00A023E5" w:rsidRPr="0069448C">
        <w:rPr>
          <w:i/>
        </w:rPr>
        <w:t>deeply and persistently socially excluded</w:t>
      </w:r>
      <w:r w:rsidR="00A023E5">
        <w:t xml:space="preserve"> an individual </w:t>
      </w:r>
      <w:r w:rsidR="00EB0B43">
        <w:t xml:space="preserve">aged 15 years plus </w:t>
      </w:r>
      <w:r w:rsidR="00A023E5">
        <w:t>needs to have a score of 2 or more for four or more years between 2001 and 20</w:t>
      </w:r>
      <w:r w:rsidR="0069448C">
        <w:t>10</w:t>
      </w:r>
      <w:r w:rsidR="006D0258">
        <w:t xml:space="preserve"> (box 3.2)</w:t>
      </w:r>
      <w:r w:rsidR="008647D1">
        <w:t xml:space="preserve">. </w:t>
      </w:r>
      <w:r w:rsidR="00997931">
        <w:rPr>
          <w:rStyle w:val="NoteLabel"/>
        </w:rPr>
        <w:t>d</w:t>
      </w:r>
      <w:r w:rsidR="00A023E5">
        <w:rPr>
          <w:rStyle w:val="NoteLabel"/>
        </w:rPr>
        <w:t xml:space="preserve"> </w:t>
      </w:r>
      <w:r w:rsidR="00A023E5" w:rsidRPr="001F1934">
        <w:t>Educational attainment of Year 11 or below</w:t>
      </w:r>
      <w:r w:rsidR="00A023E5">
        <w:t>.</w:t>
      </w:r>
      <w:r w:rsidRPr="00A16B35">
        <w:t xml:space="preserve"> </w:t>
      </w:r>
      <w:r w:rsidR="007C1FE7">
        <w:t>n.a.* — data for these groups are not available from the ABS SIH. n.a.** — sample sizes for these groups in the PEMA survey were too small to provide reliable results. NESB – Non</w:t>
      </w:r>
      <w:r w:rsidR="007C1FE7">
        <w:noBreakHyphen/>
        <w:t>English Speaking Background.</w:t>
      </w:r>
    </w:p>
    <w:p w:rsidR="00A023E5" w:rsidRDefault="00A16B35" w:rsidP="00A023E5">
      <w:pPr>
        <w:pStyle w:val="Note"/>
      </w:pPr>
      <w:r w:rsidRPr="00A16B35">
        <w:rPr>
          <w:i/>
        </w:rPr>
        <w:t>Sources</w:t>
      </w:r>
      <w:r>
        <w:t xml:space="preserve">: ACOSS (2012); </w:t>
      </w:r>
      <w:r w:rsidRPr="00F32C67">
        <w:t xml:space="preserve">Unpublished </w:t>
      </w:r>
      <w:r>
        <w:t xml:space="preserve">PEMA data provided by the </w:t>
      </w:r>
      <w:r w:rsidRPr="000B7DF3">
        <w:t>SPRC</w:t>
      </w:r>
      <w:r>
        <w:t>;</w:t>
      </w:r>
      <w:r w:rsidRPr="00A16B35">
        <w:t xml:space="preserve"> </w:t>
      </w:r>
      <w:r w:rsidRPr="00EA75F8">
        <w:t>Brotherhood of St Laurence and Melbourne Inst</w:t>
      </w:r>
      <w:r>
        <w:t>i</w:t>
      </w:r>
      <w:r w:rsidRPr="00EA75F8">
        <w:t>tute</w:t>
      </w:r>
      <w:r>
        <w:rPr>
          <w:rStyle w:val="NoteLabel"/>
        </w:rPr>
        <w:t xml:space="preserve"> </w:t>
      </w:r>
      <w:r w:rsidRPr="00EA75F8">
        <w:rPr>
          <w:i/>
        </w:rPr>
        <w:t>Social Exclusion Monitor</w:t>
      </w:r>
      <w:r w:rsidRPr="00426A3D">
        <w:t xml:space="preserve"> </w:t>
      </w:r>
      <w:r>
        <w:t>(SEM) (unpublished data).</w:t>
      </w:r>
    </w:p>
    <w:p w:rsidR="009C495A" w:rsidRDefault="009C495A">
      <w:pPr>
        <w:rPr>
          <w:szCs w:val="20"/>
        </w:rPr>
      </w:pPr>
      <w:r>
        <w:br w:type="page"/>
      </w:r>
    </w:p>
    <w:p w:rsidR="00C55916" w:rsidRDefault="00C55916" w:rsidP="001F497E">
      <w:pPr>
        <w:pStyle w:val="BodyText"/>
      </w:pPr>
      <w:r w:rsidRPr="006B3BAA">
        <w:lastRenderedPageBreak/>
        <w:t xml:space="preserve">Many of the groups highlighted </w:t>
      </w:r>
      <w:r>
        <w:t xml:space="preserve">in table 3.8 </w:t>
      </w:r>
      <w:r w:rsidRPr="006B3BAA">
        <w:t>are public housing tenants and have relatively weak attachment to the labour market.</w:t>
      </w:r>
      <w:r>
        <w:t xml:space="preserve"> The table </w:t>
      </w:r>
      <w:r w:rsidR="00B134FB">
        <w:t>shows u</w:t>
      </w:r>
      <w:r w:rsidR="007937A1">
        <w:t xml:space="preserve">nemployed Australians and people dependent on income support have the highest rates of relative income poverty and deep social exclusion. </w:t>
      </w:r>
    </w:p>
    <w:p w:rsidR="00AC461C" w:rsidRDefault="001F497E" w:rsidP="001F497E">
      <w:pPr>
        <w:pStyle w:val="BodyText"/>
      </w:pPr>
      <w:r>
        <w:t>Indigenous Australians have higher than average rates of deep social exclusion and deep and persistent social exclusion</w:t>
      </w:r>
      <w:r w:rsidR="00FF51EA">
        <w:t xml:space="preserve">. However, the </w:t>
      </w:r>
      <w:r>
        <w:t>HILDA survey</w:t>
      </w:r>
      <w:r w:rsidR="00F81652">
        <w:t>, upon which the measure of social exclusion is based,</w:t>
      </w:r>
      <w:r>
        <w:t xml:space="preserve"> does </w:t>
      </w:r>
      <w:r w:rsidR="00F81652">
        <w:t xml:space="preserve">not </w:t>
      </w:r>
      <w:r>
        <w:t xml:space="preserve">include Indigenous Australians in very remote communities. Meaningful data about rates of relative income poverty and deprivation </w:t>
      </w:r>
      <w:r w:rsidR="00C2052C">
        <w:t xml:space="preserve">for Indigenous Australians </w:t>
      </w:r>
      <w:r w:rsidR="004B6BC9">
        <w:t>could not be presented in the table</w:t>
      </w:r>
      <w:r>
        <w:t xml:space="preserve"> either due to </w:t>
      </w:r>
      <w:r w:rsidR="007937A1">
        <w:t>the</w:t>
      </w:r>
      <w:r w:rsidR="00F81652">
        <w:t xml:space="preserve"> lack of </w:t>
      </w:r>
      <w:r w:rsidR="007937A1">
        <w:t xml:space="preserve">an Indigenous identifier </w:t>
      </w:r>
      <w:r w:rsidR="00C2052C">
        <w:t>(</w:t>
      </w:r>
      <w:r w:rsidR="007937A1">
        <w:t xml:space="preserve">in </w:t>
      </w:r>
      <w:r w:rsidR="00182168">
        <w:t>the case of the SIH</w:t>
      </w:r>
      <w:r w:rsidR="00C2052C">
        <w:t>)</w:t>
      </w:r>
      <w:r w:rsidR="007937A1">
        <w:t xml:space="preserve"> </w:t>
      </w:r>
      <w:r w:rsidR="00F81652">
        <w:t>or</w:t>
      </w:r>
      <w:r w:rsidR="00265B97">
        <w:t xml:space="preserve"> </w:t>
      </w:r>
      <w:r w:rsidR="007937A1">
        <w:t xml:space="preserve">very </w:t>
      </w:r>
      <w:r w:rsidR="008D19C2">
        <w:t xml:space="preserve">small survey sample sizes affecting </w:t>
      </w:r>
      <w:r w:rsidR="00265B97">
        <w:t>the reliability of estimates</w:t>
      </w:r>
      <w:r w:rsidR="00182168">
        <w:t xml:space="preserve"> for deprivation</w:t>
      </w:r>
      <w:r w:rsidR="00C2052C">
        <w:t>.</w:t>
      </w:r>
    </w:p>
    <w:p w:rsidR="001F497E" w:rsidRDefault="004B6BC9" w:rsidP="001F497E">
      <w:pPr>
        <w:pStyle w:val="BodyText"/>
      </w:pPr>
      <w:r>
        <w:t>Separate analysis using HILDA data show Indigenous Australians had a much higher relative income poverty rate (at 19.3 per cent</w:t>
      </w:r>
      <w:r w:rsidR="00182168">
        <w:t>)</w:t>
      </w:r>
      <w:r>
        <w:t xml:space="preserve"> </w:t>
      </w:r>
      <w:r w:rsidR="00C2052C">
        <w:t xml:space="preserve">in 2010 </w:t>
      </w:r>
      <w:r>
        <w:t xml:space="preserve">compared with the Australian average </w:t>
      </w:r>
      <w:r w:rsidR="00182168">
        <w:t>(</w:t>
      </w:r>
      <w:r>
        <w:t>of 12.4 per cent).</w:t>
      </w:r>
      <w:r w:rsidR="00AC461C">
        <w:t xml:space="preserve"> The same data source showed people with low education attainment had a relative income poverty rate of 23.6</w:t>
      </w:r>
      <w:r w:rsidR="00007928">
        <w:t> </w:t>
      </w:r>
      <w:r w:rsidR="00AC461C">
        <w:t>per</w:t>
      </w:r>
      <w:r w:rsidR="00007928">
        <w:t> </w:t>
      </w:r>
      <w:r w:rsidR="00AC461C">
        <w:t>cent while public housing tenants had a relative income poverty rate of 39.7</w:t>
      </w:r>
      <w:r w:rsidR="00007928">
        <w:t> </w:t>
      </w:r>
      <w:r w:rsidR="00AC461C">
        <w:t>per</w:t>
      </w:r>
      <w:r w:rsidR="00007928">
        <w:t> </w:t>
      </w:r>
      <w:r w:rsidR="00AC461C">
        <w:t>cent.</w:t>
      </w:r>
      <w:r w:rsidR="00AC461C">
        <w:rPr>
          <w:rStyle w:val="FootnoteReference"/>
        </w:rPr>
        <w:footnoteReference w:id="21"/>
      </w:r>
    </w:p>
    <w:p w:rsidR="001F497E" w:rsidRDefault="00C55916" w:rsidP="001F497E">
      <w:pPr>
        <w:pStyle w:val="BodyText"/>
      </w:pPr>
      <w:r>
        <w:t>Table 3.8 shows m</w:t>
      </w:r>
      <w:r w:rsidR="008B784A">
        <w:t>igrants from a non</w:t>
      </w:r>
      <w:r w:rsidR="008B784A">
        <w:noBreakHyphen/>
        <w:t xml:space="preserve">English speaking background </w:t>
      </w:r>
      <w:r>
        <w:t xml:space="preserve">(NESB) </w:t>
      </w:r>
      <w:r w:rsidR="008B784A">
        <w:t xml:space="preserve">were more likely than the average Australian to experience relative income poverty — with a relative income poverty rate three percentage points higher than the average. But the prevalence rates of deep and persistent social exclusion experienced by migrants is similar to the average for all Australians. This </w:t>
      </w:r>
      <w:r w:rsidR="00C2052C">
        <w:t xml:space="preserve">information </w:t>
      </w:r>
      <w:r w:rsidR="008B784A">
        <w:t xml:space="preserve">suggests that migrants could be more resilient than some of the other groups highlighted. </w:t>
      </w:r>
      <w:r w:rsidR="001F497E">
        <w:t>However, given the small sample of migrants and refugees in the HILDA survey</w:t>
      </w:r>
      <w:r w:rsidR="00F81652">
        <w:t>,</w:t>
      </w:r>
      <w:r w:rsidR="001F497E">
        <w:t xml:space="preserve"> any results need to be interpreted with caution. </w:t>
      </w:r>
    </w:p>
    <w:p w:rsidR="007E4EF5" w:rsidRDefault="007E4EF5" w:rsidP="007E4EF5">
      <w:pPr>
        <w:pStyle w:val="BodyText"/>
      </w:pPr>
      <w:r>
        <w:t xml:space="preserve">Elderly people are more likely than average to be classified as income poor, </w:t>
      </w:r>
      <w:r w:rsidR="00265B97">
        <w:t xml:space="preserve">and </w:t>
      </w:r>
      <w:r>
        <w:t>slightly more likely than average to be assessed as deeply (and persistently) socially excluded</w:t>
      </w:r>
      <w:r w:rsidR="00E43FDC">
        <w:t xml:space="preserve">. Even so, they are </w:t>
      </w:r>
      <w:r>
        <w:t>much less likely to experience multiple deprivation.</w:t>
      </w:r>
    </w:p>
    <w:p w:rsidR="007E4EF5" w:rsidRDefault="007E4EF5" w:rsidP="007E4EF5">
      <w:pPr>
        <w:pStyle w:val="BodyText"/>
      </w:pPr>
      <w:r>
        <w:t xml:space="preserve">In </w:t>
      </w:r>
      <w:r w:rsidR="00F81652">
        <w:t xml:space="preserve">some </w:t>
      </w:r>
      <w:r>
        <w:t>cases</w:t>
      </w:r>
      <w:r w:rsidR="00E43FDC">
        <w:t>,</w:t>
      </w:r>
      <w:r>
        <w:t xml:space="preserve"> the various characteristics can cluster and become mutually reinforcing. For example, people below retirement age who are experiencing financial stress or financial disadvantage are more likely to experience other forms of social disadvantage as a result of lack of financial resources. </w:t>
      </w:r>
      <w:r w:rsidR="00E43FDC">
        <w:t>Similarly, p</w:t>
      </w:r>
      <w:r>
        <w:t>eople living in jobless households, lone parents</w:t>
      </w:r>
      <w:r w:rsidR="00AC461C">
        <w:t xml:space="preserve">, </w:t>
      </w:r>
      <w:r>
        <w:t>people with long</w:t>
      </w:r>
      <w:r>
        <w:noBreakHyphen/>
        <w:t xml:space="preserve">term health conditions </w:t>
      </w:r>
      <w:r w:rsidR="00AC461C">
        <w:t xml:space="preserve">and people who are dependent on income support </w:t>
      </w:r>
      <w:r>
        <w:t xml:space="preserve">are more likely to meet eligibility criteria generally applied to public housing. </w:t>
      </w:r>
      <w:r w:rsidR="00F81652">
        <w:t xml:space="preserve">And </w:t>
      </w:r>
      <w:r>
        <w:t xml:space="preserve">Indigenous Australians living in remote areas are less likely to be able to access employment opportunities and </w:t>
      </w:r>
      <w:r>
        <w:lastRenderedPageBreak/>
        <w:t>receive a good formal education than those in urban communities, and are more likely to rely on social security.</w:t>
      </w:r>
    </w:p>
    <w:p w:rsidR="007E4EF5" w:rsidRDefault="007E4EF5" w:rsidP="00A023E5">
      <w:pPr>
        <w:pStyle w:val="BodyText"/>
      </w:pPr>
      <w:r>
        <w:t xml:space="preserve">While people in these groups are more likely to be disadvantaged, having these characteristics does not necessarily lead to disadvantage. For example, the vast </w:t>
      </w:r>
      <w:r w:rsidR="00597609">
        <w:t>majority</w:t>
      </w:r>
      <w:r>
        <w:t xml:space="preserve"> of individuals who are lone parents, </w:t>
      </w:r>
      <w:r w:rsidR="002115EC">
        <w:t>single adults</w:t>
      </w:r>
      <w:r>
        <w:t>, Indigenous or elderly are not experiencing deep</w:t>
      </w:r>
      <w:r w:rsidR="002115EC">
        <w:t xml:space="preserve"> </w:t>
      </w:r>
      <w:r>
        <w:t xml:space="preserve">and persistent social exclusion. As discussed elsewhere in </w:t>
      </w:r>
      <w:r w:rsidR="00E43FDC">
        <w:t xml:space="preserve">this </w:t>
      </w:r>
      <w:r>
        <w:t>report</w:t>
      </w:r>
      <w:r w:rsidR="00E43FDC">
        <w:t>,</w:t>
      </w:r>
      <w:r>
        <w:t xml:space="preserve"> some people within these groups are more resilient</w:t>
      </w:r>
      <w:r w:rsidR="00DC372C">
        <w:t>. A d</w:t>
      </w:r>
      <w:r>
        <w:t xml:space="preserve">iscussion of </w:t>
      </w:r>
      <w:r w:rsidR="00DC372C">
        <w:t xml:space="preserve">the </w:t>
      </w:r>
      <w:r>
        <w:t xml:space="preserve">factors </w:t>
      </w:r>
      <w:r w:rsidR="00DC372C">
        <w:t xml:space="preserve">that </w:t>
      </w:r>
      <w:r>
        <w:t xml:space="preserve">contribute to </w:t>
      </w:r>
      <w:r w:rsidR="00DA4BA0">
        <w:t>a</w:t>
      </w:r>
      <w:r>
        <w:t xml:space="preserve"> greater likelihood of becoming disadvantaged is included in </w:t>
      </w:r>
      <w:r w:rsidR="00981FD4">
        <w:t>c</w:t>
      </w:r>
      <w:r>
        <w:t>hapter 4.</w:t>
      </w:r>
    </w:p>
    <w:p w:rsidR="007E4EF5" w:rsidRDefault="007E4EF5" w:rsidP="00D645F6">
      <w:pPr>
        <w:pStyle w:val="Heading4"/>
      </w:pPr>
      <w:r>
        <w:t>Composition of those who are disadvantaged</w:t>
      </w:r>
    </w:p>
    <w:p w:rsidR="005953F8" w:rsidRDefault="00FE538B" w:rsidP="007E4EF5">
      <w:pPr>
        <w:pStyle w:val="BodyText"/>
      </w:pPr>
      <w:r>
        <w:t>G</w:t>
      </w:r>
      <w:r w:rsidR="008E2FAA">
        <w:t xml:space="preserve">roups that have a higher probability of disadvantage may also account for a relatively </w:t>
      </w:r>
      <w:r w:rsidR="00380792">
        <w:t xml:space="preserve">large or </w:t>
      </w:r>
      <w:r w:rsidR="008E2FAA">
        <w:t>small proportion of all disadvantaged people. As a result</w:t>
      </w:r>
      <w:r w:rsidR="00FE79F1">
        <w:t xml:space="preserve"> it is useful</w:t>
      </w:r>
      <w:r w:rsidR="005953F8">
        <w:t xml:space="preserve"> to also consider the composition of those who experience disadvantage.</w:t>
      </w:r>
    </w:p>
    <w:p w:rsidR="008E2FAA" w:rsidRDefault="00FE79F1" w:rsidP="007E4EF5">
      <w:pPr>
        <w:pStyle w:val="BodyText"/>
      </w:pPr>
      <w:r>
        <w:t>Just</w:t>
      </w:r>
      <w:r w:rsidR="007E4EF5">
        <w:t xml:space="preserve"> over 60</w:t>
      </w:r>
      <w:r w:rsidR="00007928">
        <w:t> </w:t>
      </w:r>
      <w:r w:rsidR="007E4EF5">
        <w:t>per</w:t>
      </w:r>
      <w:r w:rsidR="00007928">
        <w:t> </w:t>
      </w:r>
      <w:r w:rsidR="007E4EF5">
        <w:t xml:space="preserve">cent of people experiencing </w:t>
      </w:r>
      <w:r w:rsidR="007E4EF5" w:rsidRPr="00967F98">
        <w:rPr>
          <w:i/>
        </w:rPr>
        <w:t>relative income poverty</w:t>
      </w:r>
      <w:r w:rsidR="007E4EF5">
        <w:t xml:space="preserve"> are dependent on income support as their main form of income, just over a quarter are migrants from countries where the main language spoken is not English, </w:t>
      </w:r>
      <w:r w:rsidR="00A51405">
        <w:t xml:space="preserve">a third are couples with no children, </w:t>
      </w:r>
      <w:r w:rsidR="007E4EF5">
        <w:t>a quarter are lone parents and 15</w:t>
      </w:r>
      <w:r w:rsidR="00007928">
        <w:t> </w:t>
      </w:r>
      <w:r w:rsidR="007E4EF5">
        <w:t>per</w:t>
      </w:r>
      <w:r w:rsidR="00007928">
        <w:t> </w:t>
      </w:r>
      <w:r w:rsidR="007E4EF5">
        <w:t xml:space="preserve">cent are aged over 65 years. </w:t>
      </w:r>
      <w:r>
        <w:t>I</w:t>
      </w:r>
      <w:r w:rsidR="007E4EF5">
        <w:t>ndividuals can</w:t>
      </w:r>
      <w:r>
        <w:t>, of course,</w:t>
      </w:r>
      <w:r w:rsidR="007E4EF5">
        <w:t xml:space="preserve"> have a combination of these characteristics </w:t>
      </w:r>
      <w:r w:rsidR="000E22B9">
        <w:t>(</w:t>
      </w:r>
      <w:r w:rsidR="007E4EF5">
        <w:t>ACOSS 2012).</w:t>
      </w:r>
    </w:p>
    <w:p w:rsidR="007E4EF5" w:rsidRDefault="007E4EF5" w:rsidP="007E4EF5">
      <w:pPr>
        <w:pStyle w:val="BodyText"/>
      </w:pPr>
      <w:r>
        <w:t xml:space="preserve">Unpublished SEM data show </w:t>
      </w:r>
      <w:r w:rsidR="00BF6F0F">
        <w:t xml:space="preserve">just over </w:t>
      </w:r>
      <w:r>
        <w:t>8</w:t>
      </w:r>
      <w:r w:rsidR="00BF6F0F">
        <w:t>0</w:t>
      </w:r>
      <w:r>
        <w:t xml:space="preserve"> per cent of those who are </w:t>
      </w:r>
      <w:r w:rsidRPr="00967F98">
        <w:rPr>
          <w:i/>
        </w:rPr>
        <w:t>deeply and persistently socially excluded</w:t>
      </w:r>
      <w:r>
        <w:t xml:space="preserve"> have a long</w:t>
      </w:r>
      <w:r>
        <w:noBreakHyphen/>
        <w:t xml:space="preserve">term health condition or disability, just </w:t>
      </w:r>
      <w:r w:rsidR="00BF6F0F">
        <w:t>over</w:t>
      </w:r>
      <w:r>
        <w:t xml:space="preserve"> 60</w:t>
      </w:r>
      <w:r w:rsidR="00007928">
        <w:t> </w:t>
      </w:r>
      <w:r>
        <w:t>per</w:t>
      </w:r>
      <w:r w:rsidR="00007928">
        <w:t> </w:t>
      </w:r>
      <w:r>
        <w:t xml:space="preserve">cent have low educational attainment (Year 11 or less) and </w:t>
      </w:r>
      <w:r w:rsidR="00FE538B">
        <w:t>around a fifth</w:t>
      </w:r>
      <w:r>
        <w:t xml:space="preserve"> are public housing tenants.</w:t>
      </w:r>
      <w:r w:rsidR="00FE538B">
        <w:t xml:space="preserve"> </w:t>
      </w:r>
      <w:r w:rsidR="002017AA">
        <w:t xml:space="preserve">Close to </w:t>
      </w:r>
      <w:r w:rsidR="00BF6F0F">
        <w:t>two fifths</w:t>
      </w:r>
      <w:r w:rsidR="002017AA">
        <w:t xml:space="preserve"> of people who are deeply and persistently disadvantaged are aged 60 years or over. </w:t>
      </w:r>
      <w:r w:rsidR="00FE538B">
        <w:t xml:space="preserve">While Indigenous Australians aged 15 years plus have a high rate of deep and persistent disadvantage they account for a relatively small proportion of all those who are deeply and persistently </w:t>
      </w:r>
      <w:r w:rsidR="00976F07">
        <w:t xml:space="preserve">excluded </w:t>
      </w:r>
      <w:r w:rsidR="00FE538B">
        <w:t>(</w:t>
      </w:r>
      <w:r w:rsidR="00BF6F0F">
        <w:t>5</w:t>
      </w:r>
      <w:r w:rsidR="00976F07">
        <w:t> per </w:t>
      </w:r>
      <w:r w:rsidR="00FE538B">
        <w:t xml:space="preserve">cent). Lone persons and lone parents combined account for </w:t>
      </w:r>
      <w:r w:rsidR="00BF6F0F">
        <w:t xml:space="preserve">just under </w:t>
      </w:r>
      <w:r w:rsidR="00FE538B">
        <w:t xml:space="preserve">a half of those </w:t>
      </w:r>
      <w:r w:rsidR="00976F07">
        <w:t xml:space="preserve">who are </w:t>
      </w:r>
      <w:r w:rsidR="00FE538B">
        <w:t xml:space="preserve">deeply and persistently </w:t>
      </w:r>
      <w:r w:rsidR="00976F07">
        <w:t>excluded</w:t>
      </w:r>
      <w:r w:rsidR="00FE538B">
        <w:t>.</w:t>
      </w:r>
    </w:p>
    <w:p w:rsidR="007E4EF5" w:rsidRDefault="007E4EF5" w:rsidP="00A023E5">
      <w:pPr>
        <w:pStyle w:val="BodyText"/>
      </w:pPr>
      <w:r>
        <w:t xml:space="preserve">Individual tables showing the characteristics and composition of Australians experiencing relative income poverty, multiple deprivation, social exclusion, persistent income poverty and persistent social exclusion are provided in </w:t>
      </w:r>
      <w:r w:rsidR="002115EC">
        <w:t>a</w:t>
      </w:r>
      <w:r>
        <w:t>ppendix</w:t>
      </w:r>
      <w:r w:rsidR="001F497E">
        <w:t> </w:t>
      </w:r>
      <w:r>
        <w:t>A.</w:t>
      </w:r>
    </w:p>
    <w:p w:rsidR="00267A48" w:rsidRDefault="00267A48" w:rsidP="00267A48">
      <w:pPr>
        <w:pStyle w:val="Heading4"/>
      </w:pPr>
      <w:r>
        <w:lastRenderedPageBreak/>
        <w:t>Falls in rates of social exclusion for vulnerable groups</w:t>
      </w:r>
    </w:p>
    <w:p w:rsidR="00267A48" w:rsidRDefault="00C13E87" w:rsidP="00870A61">
      <w:pPr>
        <w:pStyle w:val="BodyText"/>
      </w:pPr>
      <w:r>
        <w:t xml:space="preserve">There have been </w:t>
      </w:r>
      <w:r w:rsidR="00870A61">
        <w:t xml:space="preserve">significant reductions in the prevalence of </w:t>
      </w:r>
      <w:r w:rsidR="00870A61" w:rsidRPr="00EF2BE5">
        <w:rPr>
          <w:i/>
        </w:rPr>
        <w:t>deep</w:t>
      </w:r>
      <w:r w:rsidR="00870A61">
        <w:t xml:space="preserve"> exclusion for </w:t>
      </w:r>
      <w:r w:rsidR="000E327D">
        <w:t>a number of</w:t>
      </w:r>
      <w:r w:rsidR="00C226D7">
        <w:t xml:space="preserve"> vulnerable </w:t>
      </w:r>
      <w:r w:rsidR="00870A61">
        <w:t>groups in the past decade</w:t>
      </w:r>
      <w:r>
        <w:t>.</w:t>
      </w:r>
      <w:r w:rsidRPr="00C13E87">
        <w:t xml:space="preserve"> </w:t>
      </w:r>
      <w:r>
        <w:t>The results of the SEM show</w:t>
      </w:r>
      <w:r w:rsidR="00844D32">
        <w:t xml:space="preserve"> between 2001 and 2010 the prevalence rate of deep exclusion for</w:t>
      </w:r>
      <w:r w:rsidR="00267A48">
        <w:t>:</w:t>
      </w:r>
    </w:p>
    <w:p w:rsidR="00267A48" w:rsidRDefault="00870A61" w:rsidP="00267A48">
      <w:pPr>
        <w:pStyle w:val="ListBullet"/>
      </w:pPr>
      <w:r>
        <w:t xml:space="preserve">Indigenous </w:t>
      </w:r>
      <w:r w:rsidR="00CE56F0">
        <w:t xml:space="preserve">Australians </w:t>
      </w:r>
      <w:r>
        <w:t xml:space="preserve">more than halved from </w:t>
      </w:r>
      <w:r w:rsidR="00613176">
        <w:t>close</w:t>
      </w:r>
      <w:r w:rsidR="006A4A61">
        <w:t xml:space="preserve"> </w:t>
      </w:r>
      <w:r>
        <w:t>2</w:t>
      </w:r>
      <w:r w:rsidR="00613176">
        <w:t>1</w:t>
      </w:r>
      <w:r>
        <w:t xml:space="preserve"> per cent to </w:t>
      </w:r>
      <w:r w:rsidR="006A4A61">
        <w:t xml:space="preserve">just over </w:t>
      </w:r>
      <w:r>
        <w:t>9 per cent</w:t>
      </w:r>
    </w:p>
    <w:p w:rsidR="00267A48" w:rsidRDefault="00870A61" w:rsidP="00267A48">
      <w:pPr>
        <w:pStyle w:val="ListBullet"/>
      </w:pPr>
      <w:r>
        <w:t xml:space="preserve">lone parents fell from </w:t>
      </w:r>
      <w:r w:rsidR="00C226D7">
        <w:t>just under 18</w:t>
      </w:r>
      <w:r>
        <w:t> per cent to 1</w:t>
      </w:r>
      <w:r w:rsidR="003850EB">
        <w:t>0</w:t>
      </w:r>
      <w:r>
        <w:t> per cent</w:t>
      </w:r>
    </w:p>
    <w:p w:rsidR="00844D32" w:rsidRDefault="00844D32" w:rsidP="00267A48">
      <w:pPr>
        <w:pStyle w:val="ListBullet"/>
      </w:pPr>
      <w:r>
        <w:t>people with a long</w:t>
      </w:r>
      <w:r>
        <w:noBreakHyphen/>
        <w:t>term health condition or disability fell from just over 19 per cent to just over 13 per cent</w:t>
      </w:r>
    </w:p>
    <w:p w:rsidR="00267A48" w:rsidRDefault="00267A48" w:rsidP="00267A48">
      <w:pPr>
        <w:pStyle w:val="ListBullet"/>
      </w:pPr>
      <w:r>
        <w:t>migrants from non</w:t>
      </w:r>
      <w:r>
        <w:noBreakHyphen/>
        <w:t xml:space="preserve">English speaking backgrounds fell from </w:t>
      </w:r>
      <w:r w:rsidR="00C226D7">
        <w:t>almost 11</w:t>
      </w:r>
      <w:r>
        <w:t xml:space="preserve"> per cent to </w:t>
      </w:r>
      <w:r w:rsidR="00C226D7">
        <w:t xml:space="preserve">just under </w:t>
      </w:r>
      <w:r w:rsidR="003850EB">
        <w:t>6</w:t>
      </w:r>
      <w:r>
        <w:t> per cent</w:t>
      </w:r>
      <w:r w:rsidR="00C13E87">
        <w:t>.</w:t>
      </w:r>
    </w:p>
    <w:p w:rsidR="001C26F2" w:rsidRDefault="001C26F2" w:rsidP="00267A48">
      <w:pPr>
        <w:pStyle w:val="BodyText"/>
      </w:pPr>
      <w:r>
        <w:t xml:space="preserve">Trends in prevalence of deep social exclusion for other groups </w:t>
      </w:r>
      <w:r w:rsidR="00597609">
        <w:t>are</w:t>
      </w:r>
      <w:r>
        <w:t xml:space="preserve"> provided in </w:t>
      </w:r>
      <w:r w:rsidR="002115EC">
        <w:t>a</w:t>
      </w:r>
      <w:r>
        <w:t>ppendix A.</w:t>
      </w:r>
    </w:p>
    <w:p w:rsidR="00870A61" w:rsidRPr="008616B0" w:rsidRDefault="00AD601F" w:rsidP="00267A48">
      <w:pPr>
        <w:pStyle w:val="BodyText"/>
      </w:pPr>
      <w:r>
        <w:t xml:space="preserve">Some caution should be </w:t>
      </w:r>
      <w:r w:rsidR="00C13E87">
        <w:t xml:space="preserve">taken </w:t>
      </w:r>
      <w:r>
        <w:t xml:space="preserve">in interpreting the results for Indigenous </w:t>
      </w:r>
      <w:r w:rsidR="00C13E87">
        <w:t xml:space="preserve">Australians </w:t>
      </w:r>
      <w:r w:rsidR="00EB6F98">
        <w:t>and migrants from non</w:t>
      </w:r>
      <w:r w:rsidR="00EB6F98">
        <w:noBreakHyphen/>
        <w:t>English speaking backgrounds</w:t>
      </w:r>
      <w:r w:rsidR="00904DCF">
        <w:t>. As indicated earlier</w:t>
      </w:r>
      <w:r w:rsidR="00981FD4">
        <w:t>,</w:t>
      </w:r>
      <w:r w:rsidR="00904DCF">
        <w:t xml:space="preserve"> </w:t>
      </w:r>
      <w:r w:rsidR="00C13E87">
        <w:t>both groups</w:t>
      </w:r>
      <w:r w:rsidR="00EB6F98">
        <w:t xml:space="preserve"> </w:t>
      </w:r>
      <w:r w:rsidR="00DD13B4">
        <w:t>have been identified as more likely to exit the HILDA survey</w:t>
      </w:r>
      <w:r w:rsidR="00EB6F98">
        <w:t xml:space="preserve">. </w:t>
      </w:r>
      <w:r w:rsidR="00CE56F0">
        <w:t xml:space="preserve">If those who exit are </w:t>
      </w:r>
      <w:r w:rsidR="00C13E87">
        <w:t xml:space="preserve">also </w:t>
      </w:r>
      <w:r w:rsidR="00CE56F0">
        <w:t>more likely to be disadvantaged</w:t>
      </w:r>
      <w:r w:rsidR="00007928">
        <w:t>,</w:t>
      </w:r>
      <w:r w:rsidR="00CE56F0">
        <w:t xml:space="preserve"> this </w:t>
      </w:r>
      <w:r w:rsidR="00C13E87">
        <w:t>will tend</w:t>
      </w:r>
      <w:r w:rsidR="00CE56F0">
        <w:t xml:space="preserve"> to bias the results. </w:t>
      </w:r>
      <w:r w:rsidR="00EB6F98">
        <w:t xml:space="preserve">The </w:t>
      </w:r>
      <w:r w:rsidR="00C13E87">
        <w:t xml:space="preserve">problems surrounding the results </w:t>
      </w:r>
      <w:r w:rsidR="00EB6F98">
        <w:t xml:space="preserve">for Indigenous Australians </w:t>
      </w:r>
      <w:r w:rsidR="00C13E87">
        <w:t xml:space="preserve">are </w:t>
      </w:r>
      <w:r w:rsidR="00EB6F98">
        <w:t>compounded by the non</w:t>
      </w:r>
      <w:r w:rsidR="00EB6F98">
        <w:noBreakHyphen/>
        <w:t xml:space="preserve">sampling of </w:t>
      </w:r>
      <w:r>
        <w:t>Indigenous persons residing in very remote communities.</w:t>
      </w:r>
    </w:p>
    <w:p w:rsidR="008B6E83" w:rsidRDefault="00833BF4" w:rsidP="008B6E83">
      <w:pPr>
        <w:pStyle w:val="Heading2"/>
      </w:pPr>
      <w:r>
        <w:t>3.</w:t>
      </w:r>
      <w:r w:rsidR="0069448C">
        <w:rPr>
          <w:noProof/>
        </w:rPr>
        <w:t>5</w:t>
      </w:r>
      <w:r w:rsidR="00290093">
        <w:tab/>
      </w:r>
      <w:r w:rsidR="008B6E83">
        <w:t>Where do people experiencing disadvantage live?</w:t>
      </w:r>
    </w:p>
    <w:p w:rsidR="00560506" w:rsidRPr="00C13E87" w:rsidRDefault="00C13E87" w:rsidP="00560506">
      <w:pPr>
        <w:pStyle w:val="BodyText"/>
      </w:pPr>
      <w:r>
        <w:t>P</w:t>
      </w:r>
      <w:r w:rsidR="00560506" w:rsidRPr="00C13E87">
        <w:t>overty, deprivation and social exclusion can be concentrated in particular locations</w:t>
      </w:r>
      <w:r>
        <w:t>, often referred to as locational disadvantage</w:t>
      </w:r>
      <w:r w:rsidR="00560506" w:rsidRPr="00C13E87">
        <w:t>. As described by Carpenter (2006):</w:t>
      </w:r>
    </w:p>
    <w:p w:rsidR="00560506" w:rsidRPr="00DC182D" w:rsidRDefault="00560506" w:rsidP="00967F98">
      <w:pPr>
        <w:pStyle w:val="Quote"/>
      </w:pPr>
      <w:r w:rsidRPr="00DC182D">
        <w:t>… even the most ‘succ</w:t>
      </w:r>
      <w:r w:rsidRPr="00694843">
        <w:t>essful’ cities in terms of competitiveness are afflicted by urban poverty and social exclusion, often sp</w:t>
      </w:r>
      <w:r w:rsidRPr="008D19C2">
        <w:t xml:space="preserve">atially focused </w:t>
      </w:r>
      <w:r w:rsidRPr="00967F98">
        <w:t>pockets of deprivation that are home to low</w:t>
      </w:r>
      <w:r w:rsidRPr="00967F98">
        <w:noBreakHyphen/>
        <w:t>income groups, few economic opportunities and run</w:t>
      </w:r>
      <w:r w:rsidRPr="00967F98">
        <w:noBreakHyphen/>
        <w:t>down urban environments</w:t>
      </w:r>
      <w:r w:rsidR="00C13E87">
        <w:t>.</w:t>
      </w:r>
      <w:r w:rsidRPr="00DC182D">
        <w:t xml:space="preserve"> </w:t>
      </w:r>
      <w:r w:rsidR="00C13E87">
        <w:t>(</w:t>
      </w:r>
      <w:r w:rsidRPr="00DC182D">
        <w:t>p. 2</w:t>
      </w:r>
      <w:r w:rsidR="00597609">
        <w:t> </w:t>
      </w:r>
      <w:r w:rsidRPr="00DC182D">
        <w:t>145</w:t>
      </w:r>
      <w:r w:rsidR="00C13E87">
        <w:t>)</w:t>
      </w:r>
    </w:p>
    <w:p w:rsidR="00560506" w:rsidRPr="00967F98" w:rsidRDefault="00560506" w:rsidP="0039550B">
      <w:pPr>
        <w:pStyle w:val="BodyText"/>
      </w:pPr>
      <w:r w:rsidRPr="00967F98">
        <w:t xml:space="preserve">Disadvantaged areas or regions are generally characterised by people with lower levels of labour force participation and skills, lower educational attainment, </w:t>
      </w:r>
      <w:r w:rsidR="009617D0" w:rsidRPr="00967F98">
        <w:t xml:space="preserve">and </w:t>
      </w:r>
      <w:r w:rsidRPr="00967F98">
        <w:t>lower household incomes</w:t>
      </w:r>
      <w:r w:rsidR="00B65866" w:rsidRPr="00967F98">
        <w:t xml:space="preserve">. Residents of disadvantaged regions are </w:t>
      </w:r>
      <w:r w:rsidR="00C13E87">
        <w:t xml:space="preserve">also </w:t>
      </w:r>
      <w:r w:rsidR="00B65866" w:rsidRPr="00967F98">
        <w:t>more likely to have a health condition or disability. The regions themselves are characterised by poo</w:t>
      </w:r>
      <w:r w:rsidRPr="00967F98">
        <w:t xml:space="preserve">rer physical infrastructure and quality of housing, </w:t>
      </w:r>
      <w:r w:rsidR="00B65866" w:rsidRPr="00967F98">
        <w:t xml:space="preserve">along with </w:t>
      </w:r>
      <w:r w:rsidRPr="00967F98">
        <w:t xml:space="preserve">higher levels of crime and violence </w:t>
      </w:r>
      <w:r w:rsidR="00B65866" w:rsidRPr="00967F98">
        <w:t>than more advantaged regions</w:t>
      </w:r>
      <w:r w:rsidRPr="00967F98">
        <w:t xml:space="preserve"> (</w:t>
      </w:r>
      <w:r w:rsidR="00DF2EE9">
        <w:t>AHURI</w:t>
      </w:r>
      <w:r w:rsidR="003076BB" w:rsidRPr="00967F98">
        <w:t xml:space="preserve"> 2010).</w:t>
      </w:r>
    </w:p>
    <w:p w:rsidR="00560506" w:rsidRDefault="00560506" w:rsidP="0039550B">
      <w:pPr>
        <w:pStyle w:val="BodyText"/>
      </w:pPr>
      <w:r w:rsidRPr="00967F98">
        <w:lastRenderedPageBreak/>
        <w:t>A number of studies have been undertaken on locational or regional dimensions of disadvantage</w:t>
      </w:r>
      <w:r w:rsidR="00C13E87">
        <w:t xml:space="preserve"> in Australia</w:t>
      </w:r>
      <w:r w:rsidRPr="00967F98">
        <w:t xml:space="preserve">. However, disadvantaged people </w:t>
      </w:r>
      <w:r w:rsidR="00FF51EA">
        <w:t>can be</w:t>
      </w:r>
      <w:r w:rsidR="00C13E87">
        <w:t xml:space="preserve"> </w:t>
      </w:r>
      <w:r w:rsidRPr="00967F98">
        <w:t>co</w:t>
      </w:r>
      <w:r w:rsidRPr="00967F98">
        <w:noBreakHyphen/>
        <w:t>located with people who are more affluent, mak</w:t>
      </w:r>
      <w:r w:rsidR="00C13E87">
        <w:t>ing</w:t>
      </w:r>
      <w:r w:rsidRPr="00967F98">
        <w:t xml:space="preserve"> it </w:t>
      </w:r>
      <w:r w:rsidR="003076BB" w:rsidRPr="00967F98">
        <w:t xml:space="preserve">more </w:t>
      </w:r>
      <w:r w:rsidRPr="00967F98">
        <w:t>difficult to identify locational disadvantage with precision.</w:t>
      </w:r>
    </w:p>
    <w:p w:rsidR="00801D73" w:rsidRDefault="00C13E87" w:rsidP="00967F98">
      <w:pPr>
        <w:pStyle w:val="Heading3"/>
      </w:pPr>
      <w:r>
        <w:t>The l</w:t>
      </w:r>
      <w:r w:rsidR="00A023E5">
        <w:t xml:space="preserve">ocation of </w:t>
      </w:r>
      <w:r>
        <w:t xml:space="preserve">Australians </w:t>
      </w:r>
      <w:r w:rsidR="00A023E5">
        <w:t xml:space="preserve">who are deprived </w:t>
      </w:r>
      <w:r w:rsidR="00801D73">
        <w:t>and social</w:t>
      </w:r>
      <w:r w:rsidR="00A023E5">
        <w:t>ly excluded</w:t>
      </w:r>
    </w:p>
    <w:p w:rsidR="004E6CE7" w:rsidRDefault="00EA75F8" w:rsidP="00801D73">
      <w:pPr>
        <w:pStyle w:val="BodyText"/>
      </w:pPr>
      <w:r>
        <w:t>Saunders and Wong (2012)</w:t>
      </w:r>
      <w:r w:rsidR="00C13E87">
        <w:t xml:space="preserve"> </w:t>
      </w:r>
      <w:r>
        <w:t xml:space="preserve">undertook </w:t>
      </w:r>
      <w:r w:rsidR="004E6CE7">
        <w:t xml:space="preserve">locational </w:t>
      </w:r>
      <w:r w:rsidR="00C13E87">
        <w:t xml:space="preserve">analysis </w:t>
      </w:r>
      <w:r w:rsidR="004E6CE7">
        <w:t>to ascertain whether experiences of deprivation and social exclusion among Australian adults varie</w:t>
      </w:r>
      <w:r w:rsidR="00C13E87">
        <w:t>s</w:t>
      </w:r>
      <w:r w:rsidR="004E6CE7">
        <w:t xml:space="preserve"> by region. </w:t>
      </w:r>
      <w:r w:rsidR="00C21990">
        <w:t xml:space="preserve">Using the results of the 2010 PEMA survey, </w:t>
      </w:r>
      <w:r>
        <w:t xml:space="preserve">the </w:t>
      </w:r>
      <w:r w:rsidR="00C21990">
        <w:t xml:space="preserve">researchers investigated </w:t>
      </w:r>
      <w:r w:rsidR="00981FD4">
        <w:t xml:space="preserve">the </w:t>
      </w:r>
      <w:r w:rsidR="00C21990">
        <w:t xml:space="preserve">extent of deprivation and social exclusion according to whether individuals resided in the </w:t>
      </w:r>
      <w:r w:rsidR="004E6CE7">
        <w:t xml:space="preserve">outer suburbs (outer metropolitan areas with a population of 100 000 or more), </w:t>
      </w:r>
      <w:r w:rsidR="00C21990">
        <w:t xml:space="preserve">the </w:t>
      </w:r>
      <w:r w:rsidR="004E6CE7">
        <w:t>inner city (inner metropolitan areas of major cities with a population of 100 000 or more), large towns (with a population over 25 000), rural areas or villages (no population size specified), large country towns (over 10 000) and small country towns (under 10 000).</w:t>
      </w:r>
    </w:p>
    <w:p w:rsidR="00801D73" w:rsidRDefault="00C21990" w:rsidP="00801D73">
      <w:pPr>
        <w:pStyle w:val="BodyText"/>
      </w:pPr>
      <w:r>
        <w:t xml:space="preserve">The </w:t>
      </w:r>
      <w:r w:rsidR="00EA75F8">
        <w:t xml:space="preserve">survey </w:t>
      </w:r>
      <w:r>
        <w:t xml:space="preserve">results showed </w:t>
      </w:r>
      <w:r w:rsidR="00801D73">
        <w:t xml:space="preserve">that: </w:t>
      </w:r>
    </w:p>
    <w:p w:rsidR="00801D73" w:rsidRDefault="00801D73" w:rsidP="00801D73">
      <w:pPr>
        <w:pStyle w:val="ListBullet"/>
      </w:pPr>
      <w:r>
        <w:t xml:space="preserve">the </w:t>
      </w:r>
      <w:r w:rsidR="00022FAE">
        <w:t>prevalence</w:t>
      </w:r>
      <w:r w:rsidR="00CF1842">
        <w:t xml:space="preserve"> </w:t>
      </w:r>
      <w:r>
        <w:t>of deprivation was highest in large towns</w:t>
      </w:r>
      <w:r w:rsidR="00FF33C0">
        <w:t xml:space="preserve"> and </w:t>
      </w:r>
      <w:r>
        <w:t xml:space="preserve">rural areas and lowest in the inner city </w:t>
      </w:r>
    </w:p>
    <w:p w:rsidR="00801D73" w:rsidRDefault="00801D73" w:rsidP="00801D73">
      <w:pPr>
        <w:pStyle w:val="ListBullet"/>
      </w:pPr>
      <w:r>
        <w:t xml:space="preserve">rates of social disengagement of residents from large towns </w:t>
      </w:r>
      <w:r w:rsidR="003E5396">
        <w:t xml:space="preserve">and rural areas </w:t>
      </w:r>
      <w:r>
        <w:t>were found to be generally higher than those recorded by residents of the inner city — the main difference being lower rates of participation of children in school activities and outings</w:t>
      </w:r>
    </w:p>
    <w:p w:rsidR="00801D73" w:rsidRDefault="00801D73" w:rsidP="00801D73">
      <w:pPr>
        <w:pStyle w:val="ListBullet"/>
      </w:pPr>
      <w:r>
        <w:t>residents of rural areas reported the highest rates of service exclusion — particularly in relation to medical and dental services, child care and financial services</w:t>
      </w:r>
    </w:p>
    <w:p w:rsidR="00801D73" w:rsidRDefault="00801D73" w:rsidP="00801D73">
      <w:pPr>
        <w:pStyle w:val="ListBullet"/>
      </w:pPr>
      <w:r>
        <w:t>residents of the inner city recorded higher rates of exclusion from aged care and disability support services compared with residents from other locations</w:t>
      </w:r>
      <w:r w:rsidR="00916397">
        <w:t xml:space="preserve">. </w:t>
      </w:r>
    </w:p>
    <w:p w:rsidR="00C21990" w:rsidRDefault="00801D73" w:rsidP="00801D73">
      <w:pPr>
        <w:pStyle w:val="BodyText"/>
      </w:pPr>
      <w:r>
        <w:t xml:space="preserve">Regional comparisons in relation to economic exclusion revealed similar results </w:t>
      </w:r>
      <w:r w:rsidR="005C6687">
        <w:t>—</w:t>
      </w:r>
      <w:r>
        <w:t>residents of small country towns and rural areas ha</w:t>
      </w:r>
      <w:r w:rsidR="005C6687">
        <w:t xml:space="preserve">d </w:t>
      </w:r>
      <w:r>
        <w:t xml:space="preserve">higher rates </w:t>
      </w:r>
      <w:r w:rsidR="00C21990">
        <w:t xml:space="preserve">of exclusion </w:t>
      </w:r>
      <w:r>
        <w:t xml:space="preserve">than residents of the inner city. The differences mainly related to difficulties raising $500 in an emergency or $2000 within a week. </w:t>
      </w:r>
    </w:p>
    <w:p w:rsidR="00801D73" w:rsidRDefault="00C21990" w:rsidP="00801D73">
      <w:pPr>
        <w:pStyle w:val="BodyText"/>
      </w:pPr>
      <w:r>
        <w:t>However, r</w:t>
      </w:r>
      <w:r w:rsidR="00801D73">
        <w:t>esidents of rural areas reported much lower rates of unemployment than residents in other regions</w:t>
      </w:r>
      <w:r w:rsidR="00B52D53">
        <w:t xml:space="preserve"> and</w:t>
      </w:r>
      <w:r w:rsidR="00801D73">
        <w:t xml:space="preserve"> residents in jobless households were spread much more widely</w:t>
      </w:r>
      <w:r w:rsidR="00B52D53">
        <w:t xml:space="preserve"> —</w:t>
      </w:r>
      <w:r w:rsidR="00801D73">
        <w:t xml:space="preserve"> with the highest rates recorded in large towns, the inner city and small country towns.</w:t>
      </w:r>
    </w:p>
    <w:p w:rsidR="00801D73" w:rsidRDefault="00EA75F8" w:rsidP="00801D73">
      <w:pPr>
        <w:pStyle w:val="BodyText"/>
      </w:pPr>
      <w:r>
        <w:lastRenderedPageBreak/>
        <w:t>Unpublished SEM data also reveal</w:t>
      </w:r>
      <w:r w:rsidR="00C21990">
        <w:t xml:space="preserve"> the location of those who are disadvantaged. The</w:t>
      </w:r>
      <w:r>
        <w:t xml:space="preserve"> data show </w:t>
      </w:r>
      <w:r w:rsidR="005B753A">
        <w:t>th</w:t>
      </w:r>
      <w:r w:rsidR="00801D73">
        <w:t xml:space="preserve">e highest </w:t>
      </w:r>
      <w:r w:rsidR="00022FAE">
        <w:t>prevalence</w:t>
      </w:r>
      <w:r w:rsidR="00801D73">
        <w:t xml:space="preserve"> of persistent and deep exclusion </w:t>
      </w:r>
      <w:r w:rsidR="005B753A">
        <w:t>was</w:t>
      </w:r>
      <w:r w:rsidR="003463E3">
        <w:t xml:space="preserve"> </w:t>
      </w:r>
      <w:r w:rsidR="00801D73">
        <w:t>recorded by people in outer regional areas, followed by those in inner regional areas and major cities</w:t>
      </w:r>
      <w:r w:rsidR="000440A2">
        <w:t>.</w:t>
      </w:r>
      <w:r w:rsidR="00317269" w:rsidRPr="00233A96">
        <w:rPr>
          <w:rStyle w:val="FootnoteReference"/>
        </w:rPr>
        <w:footnoteReference w:id="22"/>
      </w:r>
      <w:r w:rsidR="00801D73">
        <w:t xml:space="preserve"> The </w:t>
      </w:r>
      <w:r w:rsidR="00C21990">
        <w:t xml:space="preserve">extent of disadvantage of </w:t>
      </w:r>
      <w:r w:rsidR="00801D73">
        <w:t xml:space="preserve">residents in </w:t>
      </w:r>
      <w:r w:rsidR="008611EB">
        <w:t xml:space="preserve">remote and </w:t>
      </w:r>
      <w:r w:rsidR="00D63A87" w:rsidRPr="00916397">
        <w:t>very</w:t>
      </w:r>
      <w:r w:rsidR="00D63A87">
        <w:t xml:space="preserve"> </w:t>
      </w:r>
      <w:r w:rsidR="00801D73">
        <w:t>remote communities</w:t>
      </w:r>
      <w:r w:rsidR="001209FD">
        <w:t xml:space="preserve"> was not assessed </w:t>
      </w:r>
      <w:r w:rsidR="008611EB">
        <w:t>due to very small sample size</w:t>
      </w:r>
      <w:r w:rsidR="001209FD">
        <w:t>.</w:t>
      </w:r>
      <w:r w:rsidR="008611EB">
        <w:rPr>
          <w:rStyle w:val="FootnoteReference"/>
        </w:rPr>
        <w:footnoteReference w:id="23"/>
      </w:r>
    </w:p>
    <w:p w:rsidR="00801D73" w:rsidRDefault="00801D73" w:rsidP="00801D73">
      <w:pPr>
        <w:pStyle w:val="Heading4"/>
      </w:pPr>
      <w:r>
        <w:t>Socio-Economic Index for Areas (SEIFA) analysis</w:t>
      </w:r>
    </w:p>
    <w:p w:rsidR="00062A22" w:rsidRDefault="00801D73" w:rsidP="00801D73">
      <w:pPr>
        <w:pStyle w:val="BodyText"/>
      </w:pPr>
      <w:r>
        <w:t xml:space="preserve">The ABS has </w:t>
      </w:r>
      <w:r w:rsidR="00E3659F">
        <w:t xml:space="preserve">also </w:t>
      </w:r>
      <w:r>
        <w:t xml:space="preserve">developed a number of socioeconomic indexes which use Census data to rank regions and areas </w:t>
      </w:r>
      <w:r w:rsidR="003463E3">
        <w:t>according to their</w:t>
      </w:r>
      <w:r>
        <w:t xml:space="preserve"> social and economic well</w:t>
      </w:r>
      <w:r>
        <w:noBreakHyphen/>
        <w:t>being. The Index of Relative Socio-economic Disadvantage</w:t>
      </w:r>
      <w:r w:rsidR="004F734B">
        <w:t xml:space="preserve"> </w:t>
      </w:r>
      <w:r>
        <w:t xml:space="preserve">is derived from Census variables related to disadvantage such as low income, low educational attainment, unemployment, and dwellings without motor vehicles. A low score indicates relatively greater </w:t>
      </w:r>
      <w:r w:rsidR="00E3659F">
        <w:t xml:space="preserve">levels of </w:t>
      </w:r>
      <w:r>
        <w:t xml:space="preserve">disadvantage. </w:t>
      </w:r>
    </w:p>
    <w:p w:rsidR="00801D73" w:rsidRDefault="00801D73" w:rsidP="00801D73">
      <w:pPr>
        <w:pStyle w:val="BodyText"/>
      </w:pPr>
      <w:r>
        <w:t>The ABS SEIFA scores are relative rather than absolute measures of socioeconomic disadvantage</w:t>
      </w:r>
      <w:r w:rsidR="00135C28">
        <w:t>,</w:t>
      </w:r>
      <w:r>
        <w:t xml:space="preserve"> which make comparisons over time problematic. </w:t>
      </w:r>
      <w:r w:rsidR="00135C28">
        <w:t>Further, t</w:t>
      </w:r>
      <w:r>
        <w:t xml:space="preserve">he scores are an average for residents in </w:t>
      </w:r>
      <w:r w:rsidR="00135C28">
        <w:t>Statistical Local Areas (</w:t>
      </w:r>
      <w:r>
        <w:t>SLAs</w:t>
      </w:r>
      <w:r w:rsidR="00135C28">
        <w:t>)</w:t>
      </w:r>
      <w:r>
        <w:t xml:space="preserve"> </w:t>
      </w:r>
      <w:r w:rsidR="00062A22">
        <w:t xml:space="preserve">and therefore mask heterogeneity </w:t>
      </w:r>
      <w:r>
        <w:t xml:space="preserve">— </w:t>
      </w:r>
      <w:r w:rsidR="00E3659F">
        <w:t>where</w:t>
      </w:r>
      <w:r>
        <w:t xml:space="preserve"> residents with various degrees of disadvantage </w:t>
      </w:r>
      <w:r w:rsidR="00E3659F">
        <w:t>are co</w:t>
      </w:r>
      <w:r w:rsidR="00916397">
        <w:noBreakHyphen/>
      </w:r>
      <w:r w:rsidR="00E3659F">
        <w:t xml:space="preserve">located </w:t>
      </w:r>
      <w:r>
        <w:t>with residents who may not experience disadvantage</w:t>
      </w:r>
      <w:r w:rsidR="00916397">
        <w:t xml:space="preserve">. This might occur in </w:t>
      </w:r>
      <w:r w:rsidR="00135C28">
        <w:t>inner city SLA</w:t>
      </w:r>
      <w:r w:rsidR="00916397">
        <w:t xml:space="preserve">s where </w:t>
      </w:r>
      <w:r w:rsidR="00135C28">
        <w:t>both</w:t>
      </w:r>
      <w:r>
        <w:t xml:space="preserve"> public housing tenants </w:t>
      </w:r>
      <w:r w:rsidR="00135C28">
        <w:t xml:space="preserve">and </w:t>
      </w:r>
      <w:r>
        <w:t xml:space="preserve">more affluent </w:t>
      </w:r>
      <w:r w:rsidR="00135C28">
        <w:t>home owners</w:t>
      </w:r>
      <w:r w:rsidR="00916397">
        <w:t xml:space="preserve"> reside</w:t>
      </w:r>
      <w:r>
        <w:t>.</w:t>
      </w:r>
    </w:p>
    <w:p w:rsidR="000507F0" w:rsidRDefault="00E3659F" w:rsidP="000507F0">
      <w:pPr>
        <w:pStyle w:val="BodyText"/>
      </w:pPr>
      <w:r>
        <w:t xml:space="preserve">Experience of multiple disadvantage appears to be becoming more geographically concentrated. </w:t>
      </w:r>
      <w:r w:rsidR="000507F0">
        <w:t xml:space="preserve">The </w:t>
      </w:r>
      <w:r w:rsidR="009639EA">
        <w:t xml:space="preserve">Australian </w:t>
      </w:r>
      <w:r w:rsidR="00CD35A1">
        <w:t xml:space="preserve">Social Inclusion Board (2012) </w:t>
      </w:r>
      <w:r w:rsidR="000507F0">
        <w:t xml:space="preserve">found that </w:t>
      </w:r>
      <w:r w:rsidR="00161AA6">
        <w:t xml:space="preserve">over </w:t>
      </w:r>
      <w:r w:rsidR="000507F0">
        <w:t>53 per cent of people experiencing multiple disadvantage lived in the bottom two SEIFA deciles in 2010 — up from 45</w:t>
      </w:r>
      <w:r w:rsidR="00503E15">
        <w:t> per </w:t>
      </w:r>
      <w:r w:rsidR="000507F0">
        <w:t>cent in 2006.</w:t>
      </w:r>
    </w:p>
    <w:p w:rsidR="00801D73" w:rsidRDefault="00E3659F" w:rsidP="00801D73">
      <w:pPr>
        <w:pStyle w:val="BodyText"/>
      </w:pPr>
      <w:r>
        <w:t xml:space="preserve">Some states have higher concentrations of disadvantaged residents. </w:t>
      </w:r>
      <w:r w:rsidR="00BD53E1">
        <w:t xml:space="preserve">ABS </w:t>
      </w:r>
      <w:r w:rsidR="00801D73">
        <w:t xml:space="preserve">data show that New South Wales, South Australia, Tasmania and the Northern Territory have </w:t>
      </w:r>
      <w:r w:rsidR="00801D73">
        <w:lastRenderedPageBreak/>
        <w:t xml:space="preserve">much higher </w:t>
      </w:r>
      <w:r>
        <w:t xml:space="preserve">shares </w:t>
      </w:r>
      <w:r w:rsidR="00AE7F54">
        <w:t>of residents in lower socio</w:t>
      </w:r>
      <w:r w:rsidR="00801D73">
        <w:t>economic</w:t>
      </w:r>
      <w:r w:rsidR="00290093">
        <w:t xml:space="preserve"> </w:t>
      </w:r>
      <w:r>
        <w:t xml:space="preserve">SLAs, while Victoria and Western Australia have much lower concentrations of </w:t>
      </w:r>
      <w:r w:rsidR="00AE7F54">
        <w:t>their population in lower socio</w:t>
      </w:r>
      <w:r>
        <w:t xml:space="preserve">economic SLAs </w:t>
      </w:r>
      <w:r w:rsidR="00290093">
        <w:t>(table </w:t>
      </w:r>
      <w:r w:rsidR="00833BF4">
        <w:t>3.9</w:t>
      </w:r>
      <w:r w:rsidR="00B13DAB">
        <w:t>)</w:t>
      </w:r>
      <w:r>
        <w:t>.</w:t>
      </w:r>
    </w:p>
    <w:p w:rsidR="00801D73" w:rsidRDefault="00E82E7C" w:rsidP="009C495A">
      <w:pPr>
        <w:pStyle w:val="TableTitle"/>
      </w:pPr>
      <w:r>
        <w:rPr>
          <w:b w:val="0"/>
        </w:rPr>
        <w:t xml:space="preserve">Table </w:t>
      </w:r>
      <w:bookmarkStart w:id="15" w:name="OLE_LINK25"/>
      <w:r w:rsidR="00833BF4">
        <w:rPr>
          <w:b w:val="0"/>
        </w:rPr>
        <w:t>3.</w:t>
      </w:r>
      <w:r w:rsidR="0069448C">
        <w:rPr>
          <w:b w:val="0"/>
          <w:noProof/>
        </w:rPr>
        <w:t>9</w:t>
      </w:r>
      <w:bookmarkEnd w:id="15"/>
      <w:r w:rsidR="00801D73">
        <w:tab/>
        <w:t>Distribution of residents in bottom quintile of distribution of relative socioeconomic disadvantage</w:t>
      </w:r>
      <w:r w:rsidR="009C495A">
        <w:t xml:space="preserve">, </w:t>
      </w:r>
      <w:r w:rsidR="00801D73">
        <w:t>2006</w:t>
      </w:r>
    </w:p>
    <w:tbl>
      <w:tblPr>
        <w:tblW w:w="5000" w:type="pct"/>
        <w:tblCellMar>
          <w:left w:w="0" w:type="dxa"/>
          <w:right w:w="0" w:type="dxa"/>
        </w:tblCellMar>
        <w:tblLook w:val="0000" w:firstRow="0" w:lastRow="0" w:firstColumn="0" w:lastColumn="0" w:noHBand="0" w:noVBand="0"/>
      </w:tblPr>
      <w:tblGrid>
        <w:gridCol w:w="2553"/>
        <w:gridCol w:w="1559"/>
        <w:gridCol w:w="1559"/>
        <w:gridCol w:w="1559"/>
        <w:gridCol w:w="1559"/>
      </w:tblGrid>
      <w:tr w:rsidR="00801D73" w:rsidTr="00DE3422">
        <w:tc>
          <w:tcPr>
            <w:tcW w:w="1452" w:type="pct"/>
            <w:tcBorders>
              <w:top w:val="single" w:sz="6" w:space="0" w:color="auto"/>
              <w:bottom w:val="single" w:sz="6" w:space="0" w:color="auto"/>
            </w:tcBorders>
            <w:shd w:val="clear" w:color="auto" w:fill="auto"/>
          </w:tcPr>
          <w:p w:rsidR="00801D73" w:rsidRDefault="00801D73" w:rsidP="007D2645">
            <w:pPr>
              <w:pStyle w:val="TableColumnHeading"/>
              <w:jc w:val="left"/>
            </w:pPr>
          </w:p>
        </w:tc>
        <w:tc>
          <w:tcPr>
            <w:tcW w:w="887" w:type="pct"/>
            <w:tcBorders>
              <w:top w:val="single" w:sz="6" w:space="0" w:color="auto"/>
              <w:bottom w:val="single" w:sz="6" w:space="0" w:color="auto"/>
            </w:tcBorders>
            <w:vAlign w:val="bottom"/>
          </w:tcPr>
          <w:p w:rsidR="00801D73" w:rsidRDefault="00801D73" w:rsidP="00DE3422">
            <w:pPr>
              <w:pStyle w:val="TableColumnHeading"/>
            </w:pPr>
            <w:r>
              <w:t>Residents in bottom 20% of SLAs</w:t>
            </w:r>
          </w:p>
        </w:tc>
        <w:tc>
          <w:tcPr>
            <w:tcW w:w="887" w:type="pct"/>
            <w:tcBorders>
              <w:top w:val="single" w:sz="6" w:space="0" w:color="auto"/>
              <w:bottom w:val="single" w:sz="6" w:space="0" w:color="auto"/>
            </w:tcBorders>
            <w:vAlign w:val="bottom"/>
          </w:tcPr>
          <w:p w:rsidR="00801D73" w:rsidRDefault="00801D73" w:rsidP="00905741">
            <w:pPr>
              <w:pStyle w:val="TableColumnHeading"/>
            </w:pPr>
            <w:r>
              <w:t xml:space="preserve">Share of total residents in bottom </w:t>
            </w:r>
            <w:r w:rsidR="00905741">
              <w:t>20%</w:t>
            </w:r>
            <w:r w:rsidR="00BD61B8">
              <w:t xml:space="preserve"> of SLAs</w:t>
            </w:r>
          </w:p>
        </w:tc>
        <w:tc>
          <w:tcPr>
            <w:tcW w:w="887" w:type="pct"/>
            <w:tcBorders>
              <w:top w:val="single" w:sz="6" w:space="0" w:color="auto"/>
              <w:bottom w:val="single" w:sz="6" w:space="0" w:color="auto"/>
            </w:tcBorders>
            <w:shd w:val="clear" w:color="auto" w:fill="auto"/>
            <w:vAlign w:val="bottom"/>
          </w:tcPr>
          <w:p w:rsidR="00801D73" w:rsidRDefault="00801D73" w:rsidP="00DE3422">
            <w:pPr>
              <w:pStyle w:val="TableColumnHeading"/>
            </w:pPr>
            <w:r>
              <w:t>Usual resident population</w:t>
            </w:r>
          </w:p>
        </w:tc>
        <w:tc>
          <w:tcPr>
            <w:tcW w:w="887" w:type="pct"/>
            <w:tcBorders>
              <w:top w:val="single" w:sz="6" w:space="0" w:color="auto"/>
              <w:bottom w:val="single" w:sz="6" w:space="0" w:color="auto"/>
            </w:tcBorders>
            <w:shd w:val="clear" w:color="auto" w:fill="auto"/>
            <w:vAlign w:val="bottom"/>
          </w:tcPr>
          <w:p w:rsidR="00801D73" w:rsidRDefault="00801D73" w:rsidP="00DE3422">
            <w:pPr>
              <w:pStyle w:val="TableColumnHeading"/>
              <w:ind w:right="28"/>
            </w:pPr>
            <w:r>
              <w:t>Share of total resident population</w:t>
            </w:r>
          </w:p>
        </w:tc>
      </w:tr>
      <w:tr w:rsidR="006C42FF" w:rsidTr="006C42FF">
        <w:tc>
          <w:tcPr>
            <w:tcW w:w="1452" w:type="pct"/>
            <w:tcBorders>
              <w:top w:val="single" w:sz="6" w:space="0" w:color="auto"/>
            </w:tcBorders>
          </w:tcPr>
          <w:p w:rsidR="006C42FF" w:rsidRDefault="006C42FF" w:rsidP="007D2645">
            <w:pPr>
              <w:pStyle w:val="TableUnitsRow"/>
              <w:jc w:val="left"/>
            </w:pPr>
          </w:p>
        </w:tc>
        <w:tc>
          <w:tcPr>
            <w:tcW w:w="887" w:type="pct"/>
            <w:tcBorders>
              <w:top w:val="single" w:sz="6" w:space="0" w:color="auto"/>
            </w:tcBorders>
          </w:tcPr>
          <w:p w:rsidR="006C42FF" w:rsidRDefault="005D170B" w:rsidP="007D2645">
            <w:pPr>
              <w:pStyle w:val="TableUnitsRow"/>
            </w:pPr>
            <w:r>
              <w:t>Number</w:t>
            </w:r>
          </w:p>
        </w:tc>
        <w:tc>
          <w:tcPr>
            <w:tcW w:w="887" w:type="pct"/>
            <w:tcBorders>
              <w:top w:val="single" w:sz="6" w:space="0" w:color="auto"/>
            </w:tcBorders>
          </w:tcPr>
          <w:p w:rsidR="006C42FF" w:rsidRDefault="006C42FF" w:rsidP="007D2645">
            <w:pPr>
              <w:pStyle w:val="TableUnitsRow"/>
            </w:pPr>
            <w:r>
              <w:t>%</w:t>
            </w:r>
          </w:p>
        </w:tc>
        <w:tc>
          <w:tcPr>
            <w:tcW w:w="887" w:type="pct"/>
            <w:tcBorders>
              <w:top w:val="single" w:sz="6" w:space="0" w:color="auto"/>
            </w:tcBorders>
          </w:tcPr>
          <w:p w:rsidR="006C42FF" w:rsidRDefault="005D170B" w:rsidP="007D2645">
            <w:pPr>
              <w:pStyle w:val="TableUnitsRow"/>
            </w:pPr>
            <w:r>
              <w:t>Number</w:t>
            </w:r>
          </w:p>
        </w:tc>
        <w:tc>
          <w:tcPr>
            <w:tcW w:w="887" w:type="pct"/>
            <w:tcBorders>
              <w:top w:val="single" w:sz="6" w:space="0" w:color="auto"/>
            </w:tcBorders>
          </w:tcPr>
          <w:p w:rsidR="006C42FF" w:rsidRDefault="006C42FF" w:rsidP="007D2645">
            <w:pPr>
              <w:pStyle w:val="TableUnitsRow"/>
              <w:ind w:right="28"/>
            </w:pPr>
            <w:r>
              <w:t>%</w:t>
            </w:r>
          </w:p>
        </w:tc>
      </w:tr>
      <w:tr w:rsidR="00801D73" w:rsidTr="006C42FF">
        <w:tc>
          <w:tcPr>
            <w:tcW w:w="1452" w:type="pct"/>
          </w:tcPr>
          <w:p w:rsidR="00801D73" w:rsidRDefault="00801D73" w:rsidP="007D2645">
            <w:pPr>
              <w:pStyle w:val="TableUnitsRow"/>
              <w:jc w:val="left"/>
            </w:pPr>
            <w:r>
              <w:t>New South Wales</w:t>
            </w:r>
          </w:p>
        </w:tc>
        <w:tc>
          <w:tcPr>
            <w:tcW w:w="887" w:type="pct"/>
          </w:tcPr>
          <w:p w:rsidR="00801D73" w:rsidRDefault="00801D73" w:rsidP="007D2645">
            <w:pPr>
              <w:pStyle w:val="TableUnitsRow"/>
            </w:pPr>
            <w:r>
              <w:t>1 008 026</w:t>
            </w:r>
          </w:p>
        </w:tc>
        <w:tc>
          <w:tcPr>
            <w:tcW w:w="887" w:type="pct"/>
          </w:tcPr>
          <w:p w:rsidR="00801D73" w:rsidRDefault="00801D73" w:rsidP="007D2645">
            <w:pPr>
              <w:pStyle w:val="TableUnitsRow"/>
            </w:pPr>
            <w:r>
              <w:t>38.6</w:t>
            </w:r>
          </w:p>
        </w:tc>
        <w:tc>
          <w:tcPr>
            <w:tcW w:w="887" w:type="pct"/>
          </w:tcPr>
          <w:p w:rsidR="00801D73" w:rsidRDefault="00801D73" w:rsidP="007D2645">
            <w:pPr>
              <w:pStyle w:val="TableUnitsRow"/>
            </w:pPr>
            <w:r>
              <w:t>6 538 957</w:t>
            </w:r>
          </w:p>
        </w:tc>
        <w:tc>
          <w:tcPr>
            <w:tcW w:w="887" w:type="pct"/>
          </w:tcPr>
          <w:p w:rsidR="00801D73" w:rsidRDefault="00801D73" w:rsidP="007D2645">
            <w:pPr>
              <w:pStyle w:val="TableUnitsRow"/>
              <w:ind w:right="28"/>
            </w:pPr>
            <w:r>
              <w:t>33.0</w:t>
            </w:r>
          </w:p>
        </w:tc>
      </w:tr>
      <w:tr w:rsidR="00801D73" w:rsidTr="007D2645">
        <w:tc>
          <w:tcPr>
            <w:tcW w:w="1452" w:type="pct"/>
          </w:tcPr>
          <w:p w:rsidR="00801D73" w:rsidRDefault="00801D73" w:rsidP="007D2645">
            <w:pPr>
              <w:pStyle w:val="TableBodyText"/>
              <w:jc w:val="left"/>
            </w:pPr>
            <w:r>
              <w:t>Victoria</w:t>
            </w:r>
          </w:p>
        </w:tc>
        <w:tc>
          <w:tcPr>
            <w:tcW w:w="887" w:type="pct"/>
          </w:tcPr>
          <w:p w:rsidR="00801D73" w:rsidRDefault="00801D73" w:rsidP="007D2645">
            <w:pPr>
              <w:pStyle w:val="TableBodyText"/>
            </w:pPr>
            <w:r>
              <w:t>480 468</w:t>
            </w:r>
          </w:p>
        </w:tc>
        <w:tc>
          <w:tcPr>
            <w:tcW w:w="887" w:type="pct"/>
          </w:tcPr>
          <w:p w:rsidR="00801D73" w:rsidRDefault="00801D73" w:rsidP="007D2645">
            <w:pPr>
              <w:pStyle w:val="TableBodyText"/>
            </w:pPr>
            <w:r>
              <w:t>18.4</w:t>
            </w:r>
          </w:p>
        </w:tc>
        <w:tc>
          <w:tcPr>
            <w:tcW w:w="887" w:type="pct"/>
          </w:tcPr>
          <w:p w:rsidR="00801D73" w:rsidRDefault="00801D73" w:rsidP="007D2645">
            <w:pPr>
              <w:pStyle w:val="TableBodyText"/>
            </w:pPr>
            <w:r>
              <w:t>4 925 969</w:t>
            </w:r>
          </w:p>
        </w:tc>
        <w:tc>
          <w:tcPr>
            <w:tcW w:w="887" w:type="pct"/>
          </w:tcPr>
          <w:p w:rsidR="00801D73" w:rsidRDefault="00801D73" w:rsidP="007D2645">
            <w:pPr>
              <w:pStyle w:val="TableBodyText"/>
              <w:ind w:right="28"/>
            </w:pPr>
            <w:r>
              <w:t>24.9</w:t>
            </w:r>
          </w:p>
        </w:tc>
      </w:tr>
      <w:tr w:rsidR="00801D73" w:rsidTr="007D2645">
        <w:tc>
          <w:tcPr>
            <w:tcW w:w="1452" w:type="pct"/>
            <w:shd w:val="clear" w:color="auto" w:fill="auto"/>
          </w:tcPr>
          <w:p w:rsidR="00801D73" w:rsidRDefault="00801D73" w:rsidP="007D2645">
            <w:pPr>
              <w:pStyle w:val="TableBodyText"/>
              <w:jc w:val="left"/>
            </w:pPr>
            <w:r>
              <w:t>Queensland</w:t>
            </w:r>
          </w:p>
        </w:tc>
        <w:tc>
          <w:tcPr>
            <w:tcW w:w="887" w:type="pct"/>
          </w:tcPr>
          <w:p w:rsidR="00801D73" w:rsidRDefault="00801D73" w:rsidP="007D2645">
            <w:pPr>
              <w:pStyle w:val="TableBodyText"/>
            </w:pPr>
            <w:r>
              <w:t>487 146</w:t>
            </w:r>
          </w:p>
        </w:tc>
        <w:tc>
          <w:tcPr>
            <w:tcW w:w="887" w:type="pct"/>
          </w:tcPr>
          <w:p w:rsidR="00801D73" w:rsidRDefault="00801D73" w:rsidP="007D2645">
            <w:pPr>
              <w:pStyle w:val="TableBodyText"/>
            </w:pPr>
            <w:r>
              <w:t>18.6</w:t>
            </w:r>
          </w:p>
        </w:tc>
        <w:tc>
          <w:tcPr>
            <w:tcW w:w="887" w:type="pct"/>
            <w:shd w:val="clear" w:color="auto" w:fill="auto"/>
          </w:tcPr>
          <w:p w:rsidR="00801D73" w:rsidRDefault="00801D73" w:rsidP="007D2645">
            <w:pPr>
              <w:pStyle w:val="TableBodyText"/>
            </w:pPr>
            <w:r>
              <w:t>3 890 542</w:t>
            </w:r>
          </w:p>
        </w:tc>
        <w:tc>
          <w:tcPr>
            <w:tcW w:w="887" w:type="pct"/>
            <w:shd w:val="clear" w:color="auto" w:fill="auto"/>
          </w:tcPr>
          <w:p w:rsidR="00801D73" w:rsidRDefault="00801D73" w:rsidP="007D2645">
            <w:pPr>
              <w:pStyle w:val="TableBodyText"/>
              <w:ind w:right="28"/>
            </w:pPr>
            <w:r>
              <w:t>19.6</w:t>
            </w:r>
          </w:p>
        </w:tc>
      </w:tr>
      <w:tr w:rsidR="00801D73" w:rsidTr="007D2645">
        <w:tc>
          <w:tcPr>
            <w:tcW w:w="1452" w:type="pct"/>
            <w:shd w:val="clear" w:color="auto" w:fill="auto"/>
          </w:tcPr>
          <w:p w:rsidR="00801D73" w:rsidRDefault="00801D73" w:rsidP="007D2645">
            <w:pPr>
              <w:pStyle w:val="TableBodyText"/>
              <w:jc w:val="left"/>
            </w:pPr>
            <w:r>
              <w:t>South Australia</w:t>
            </w:r>
          </w:p>
        </w:tc>
        <w:tc>
          <w:tcPr>
            <w:tcW w:w="887" w:type="pct"/>
          </w:tcPr>
          <w:p w:rsidR="00801D73" w:rsidRDefault="00801D73" w:rsidP="007D2645">
            <w:pPr>
              <w:pStyle w:val="TableBodyText"/>
            </w:pPr>
            <w:r>
              <w:t>326 925</w:t>
            </w:r>
          </w:p>
        </w:tc>
        <w:tc>
          <w:tcPr>
            <w:tcW w:w="887" w:type="pct"/>
          </w:tcPr>
          <w:p w:rsidR="00801D73" w:rsidRDefault="00801D73" w:rsidP="007D2645">
            <w:pPr>
              <w:pStyle w:val="TableBodyText"/>
            </w:pPr>
            <w:r>
              <w:t>12.5</w:t>
            </w:r>
          </w:p>
        </w:tc>
        <w:tc>
          <w:tcPr>
            <w:tcW w:w="887" w:type="pct"/>
            <w:shd w:val="clear" w:color="auto" w:fill="auto"/>
          </w:tcPr>
          <w:p w:rsidR="00801D73" w:rsidRDefault="00801D73" w:rsidP="007D2645">
            <w:pPr>
              <w:pStyle w:val="TableBodyText"/>
            </w:pPr>
            <w:r>
              <w:t>1 511 583</w:t>
            </w:r>
          </w:p>
        </w:tc>
        <w:tc>
          <w:tcPr>
            <w:tcW w:w="887" w:type="pct"/>
            <w:shd w:val="clear" w:color="auto" w:fill="auto"/>
          </w:tcPr>
          <w:p w:rsidR="00801D73" w:rsidRDefault="00801D73" w:rsidP="007D2645">
            <w:pPr>
              <w:pStyle w:val="TableBodyText"/>
              <w:ind w:right="28"/>
            </w:pPr>
            <w:r>
              <w:t>7.6</w:t>
            </w:r>
          </w:p>
        </w:tc>
      </w:tr>
      <w:tr w:rsidR="00801D73" w:rsidTr="007D2645">
        <w:tc>
          <w:tcPr>
            <w:tcW w:w="1452" w:type="pct"/>
            <w:shd w:val="clear" w:color="auto" w:fill="auto"/>
          </w:tcPr>
          <w:p w:rsidR="00801D73" w:rsidRDefault="00801D73" w:rsidP="007D2645">
            <w:pPr>
              <w:pStyle w:val="TableBodyText"/>
              <w:jc w:val="left"/>
            </w:pPr>
            <w:r>
              <w:t>Western Australia</w:t>
            </w:r>
          </w:p>
        </w:tc>
        <w:tc>
          <w:tcPr>
            <w:tcW w:w="887" w:type="pct"/>
          </w:tcPr>
          <w:p w:rsidR="00801D73" w:rsidRDefault="00801D73" w:rsidP="007D2645">
            <w:pPr>
              <w:pStyle w:val="TableBodyText"/>
            </w:pPr>
            <w:r>
              <w:t>82 921</w:t>
            </w:r>
          </w:p>
        </w:tc>
        <w:tc>
          <w:tcPr>
            <w:tcW w:w="887" w:type="pct"/>
          </w:tcPr>
          <w:p w:rsidR="00801D73" w:rsidRDefault="00801D73" w:rsidP="007D2645">
            <w:pPr>
              <w:pStyle w:val="TableBodyText"/>
            </w:pPr>
            <w:r>
              <w:t>3.2</w:t>
            </w:r>
          </w:p>
        </w:tc>
        <w:tc>
          <w:tcPr>
            <w:tcW w:w="887" w:type="pct"/>
            <w:shd w:val="clear" w:color="auto" w:fill="auto"/>
          </w:tcPr>
          <w:p w:rsidR="00801D73" w:rsidRDefault="00801D73" w:rsidP="007D2645">
            <w:pPr>
              <w:pStyle w:val="TableBodyText"/>
            </w:pPr>
            <w:r>
              <w:t>1 952 763</w:t>
            </w:r>
          </w:p>
        </w:tc>
        <w:tc>
          <w:tcPr>
            <w:tcW w:w="887" w:type="pct"/>
            <w:shd w:val="clear" w:color="auto" w:fill="auto"/>
          </w:tcPr>
          <w:p w:rsidR="00801D73" w:rsidRDefault="00801D73" w:rsidP="007D2645">
            <w:pPr>
              <w:pStyle w:val="TableBodyText"/>
              <w:ind w:right="28"/>
            </w:pPr>
            <w:r>
              <w:t>9.9</w:t>
            </w:r>
          </w:p>
        </w:tc>
      </w:tr>
      <w:tr w:rsidR="00801D73" w:rsidTr="007D2645">
        <w:tc>
          <w:tcPr>
            <w:tcW w:w="1452" w:type="pct"/>
            <w:shd w:val="clear" w:color="auto" w:fill="auto"/>
          </w:tcPr>
          <w:p w:rsidR="00801D73" w:rsidRDefault="00801D73" w:rsidP="007D2645">
            <w:pPr>
              <w:pStyle w:val="TableBodyText"/>
              <w:jc w:val="left"/>
            </w:pPr>
            <w:r>
              <w:t>Tasmania</w:t>
            </w:r>
          </w:p>
        </w:tc>
        <w:tc>
          <w:tcPr>
            <w:tcW w:w="887" w:type="pct"/>
          </w:tcPr>
          <w:p w:rsidR="00801D73" w:rsidRDefault="00801D73" w:rsidP="007D2645">
            <w:pPr>
              <w:pStyle w:val="TableBodyText"/>
            </w:pPr>
            <w:r>
              <w:t>159 268</w:t>
            </w:r>
          </w:p>
        </w:tc>
        <w:tc>
          <w:tcPr>
            <w:tcW w:w="887" w:type="pct"/>
          </w:tcPr>
          <w:p w:rsidR="00801D73" w:rsidRDefault="00801D73" w:rsidP="007D2645">
            <w:pPr>
              <w:pStyle w:val="TableBodyText"/>
            </w:pPr>
            <w:r>
              <w:t>6.1</w:t>
            </w:r>
          </w:p>
        </w:tc>
        <w:tc>
          <w:tcPr>
            <w:tcW w:w="887" w:type="pct"/>
            <w:shd w:val="clear" w:color="auto" w:fill="auto"/>
          </w:tcPr>
          <w:p w:rsidR="00801D73" w:rsidRDefault="00801D73" w:rsidP="007D2645">
            <w:pPr>
              <w:pStyle w:val="TableBodyText"/>
            </w:pPr>
            <w:r>
              <w:t>475 515</w:t>
            </w:r>
          </w:p>
        </w:tc>
        <w:tc>
          <w:tcPr>
            <w:tcW w:w="887" w:type="pct"/>
            <w:shd w:val="clear" w:color="auto" w:fill="auto"/>
          </w:tcPr>
          <w:p w:rsidR="00801D73" w:rsidRDefault="00801D73" w:rsidP="007D2645">
            <w:pPr>
              <w:pStyle w:val="TableBodyText"/>
              <w:ind w:right="28"/>
            </w:pPr>
            <w:r>
              <w:t>2.4</w:t>
            </w:r>
          </w:p>
        </w:tc>
      </w:tr>
      <w:tr w:rsidR="00801D73" w:rsidTr="007D2645">
        <w:tc>
          <w:tcPr>
            <w:tcW w:w="1452" w:type="pct"/>
            <w:shd w:val="clear" w:color="auto" w:fill="auto"/>
          </w:tcPr>
          <w:p w:rsidR="00801D73" w:rsidRDefault="00801D73" w:rsidP="007D2645">
            <w:pPr>
              <w:pStyle w:val="TableBodyText"/>
              <w:jc w:val="left"/>
            </w:pPr>
            <w:r>
              <w:t>Northern Territory</w:t>
            </w:r>
          </w:p>
        </w:tc>
        <w:tc>
          <w:tcPr>
            <w:tcW w:w="887" w:type="pct"/>
          </w:tcPr>
          <w:p w:rsidR="00801D73" w:rsidRDefault="00801D73" w:rsidP="007D2645">
            <w:pPr>
              <w:pStyle w:val="TableBodyText"/>
            </w:pPr>
            <w:r>
              <w:t>65 939</w:t>
            </w:r>
          </w:p>
        </w:tc>
        <w:tc>
          <w:tcPr>
            <w:tcW w:w="887" w:type="pct"/>
          </w:tcPr>
          <w:p w:rsidR="00801D73" w:rsidRDefault="00801D73" w:rsidP="007D2645">
            <w:pPr>
              <w:pStyle w:val="TableBodyText"/>
            </w:pPr>
            <w:r>
              <w:t>2.5</w:t>
            </w:r>
          </w:p>
        </w:tc>
        <w:tc>
          <w:tcPr>
            <w:tcW w:w="887" w:type="pct"/>
            <w:shd w:val="clear" w:color="auto" w:fill="auto"/>
          </w:tcPr>
          <w:p w:rsidR="00801D73" w:rsidRDefault="00801D73" w:rsidP="007D2645">
            <w:pPr>
              <w:pStyle w:val="TableBodyText"/>
            </w:pPr>
            <w:r>
              <w:t>188 979</w:t>
            </w:r>
          </w:p>
        </w:tc>
        <w:tc>
          <w:tcPr>
            <w:tcW w:w="887" w:type="pct"/>
            <w:shd w:val="clear" w:color="auto" w:fill="auto"/>
          </w:tcPr>
          <w:p w:rsidR="00801D73" w:rsidRDefault="00801D73" w:rsidP="007D2645">
            <w:pPr>
              <w:pStyle w:val="TableBodyText"/>
              <w:ind w:right="28"/>
            </w:pPr>
            <w:r>
              <w:t>1.0</w:t>
            </w:r>
          </w:p>
        </w:tc>
      </w:tr>
      <w:tr w:rsidR="00801D73" w:rsidTr="007D2645">
        <w:tc>
          <w:tcPr>
            <w:tcW w:w="1452" w:type="pct"/>
            <w:shd w:val="clear" w:color="auto" w:fill="auto"/>
          </w:tcPr>
          <w:p w:rsidR="00801D73" w:rsidRDefault="00801D73" w:rsidP="007D2645">
            <w:pPr>
              <w:pStyle w:val="TableBodyText"/>
              <w:jc w:val="left"/>
            </w:pPr>
            <w:r>
              <w:t>Australian Capital Territory</w:t>
            </w:r>
          </w:p>
        </w:tc>
        <w:tc>
          <w:tcPr>
            <w:tcW w:w="887" w:type="pct"/>
          </w:tcPr>
          <w:p w:rsidR="00801D73" w:rsidRDefault="00801D73" w:rsidP="007D2645">
            <w:pPr>
              <w:pStyle w:val="TableBodyText"/>
            </w:pPr>
            <w:r>
              <w:t>712</w:t>
            </w:r>
          </w:p>
        </w:tc>
        <w:tc>
          <w:tcPr>
            <w:tcW w:w="887" w:type="pct"/>
          </w:tcPr>
          <w:p w:rsidR="00801D73" w:rsidRDefault="00801D73" w:rsidP="007D2645">
            <w:pPr>
              <w:pStyle w:val="TableBodyText"/>
            </w:pPr>
            <w:r>
              <w:t>0.0</w:t>
            </w:r>
          </w:p>
        </w:tc>
        <w:tc>
          <w:tcPr>
            <w:tcW w:w="887" w:type="pct"/>
            <w:shd w:val="clear" w:color="auto" w:fill="auto"/>
          </w:tcPr>
          <w:p w:rsidR="00801D73" w:rsidRDefault="00801D73" w:rsidP="007D2645">
            <w:pPr>
              <w:pStyle w:val="TableBodyText"/>
            </w:pPr>
            <w:r>
              <w:t>321 493</w:t>
            </w:r>
          </w:p>
        </w:tc>
        <w:tc>
          <w:tcPr>
            <w:tcW w:w="887" w:type="pct"/>
            <w:shd w:val="clear" w:color="auto" w:fill="auto"/>
          </w:tcPr>
          <w:p w:rsidR="00801D73" w:rsidRDefault="00801D73" w:rsidP="007D2645">
            <w:pPr>
              <w:pStyle w:val="TableBodyText"/>
              <w:ind w:right="28"/>
            </w:pPr>
            <w:r>
              <w:t>1.6</w:t>
            </w:r>
          </w:p>
        </w:tc>
      </w:tr>
      <w:tr w:rsidR="00801D73" w:rsidTr="00290093">
        <w:tc>
          <w:tcPr>
            <w:tcW w:w="1452" w:type="pct"/>
            <w:shd w:val="clear" w:color="auto" w:fill="auto"/>
          </w:tcPr>
          <w:p w:rsidR="00801D73" w:rsidRDefault="00801D73" w:rsidP="007D2645">
            <w:pPr>
              <w:pStyle w:val="TableBodyText"/>
              <w:jc w:val="left"/>
            </w:pPr>
            <w:r>
              <w:t>Other Territories</w:t>
            </w:r>
          </w:p>
        </w:tc>
        <w:tc>
          <w:tcPr>
            <w:tcW w:w="887" w:type="pct"/>
          </w:tcPr>
          <w:p w:rsidR="00801D73" w:rsidRDefault="00801D73" w:rsidP="007D2645">
            <w:pPr>
              <w:pStyle w:val="TableBodyText"/>
            </w:pPr>
            <w:r>
              <w:t>2290</w:t>
            </w:r>
          </w:p>
        </w:tc>
        <w:tc>
          <w:tcPr>
            <w:tcW w:w="887" w:type="pct"/>
          </w:tcPr>
          <w:p w:rsidR="00801D73" w:rsidRDefault="00801D73" w:rsidP="007D2645">
            <w:pPr>
              <w:pStyle w:val="TableBodyText"/>
            </w:pPr>
            <w:r>
              <w:t>0.1</w:t>
            </w:r>
          </w:p>
        </w:tc>
        <w:tc>
          <w:tcPr>
            <w:tcW w:w="887" w:type="pct"/>
            <w:shd w:val="clear" w:color="auto" w:fill="auto"/>
          </w:tcPr>
          <w:p w:rsidR="00801D73" w:rsidRDefault="00801D73" w:rsidP="007D2645">
            <w:pPr>
              <w:pStyle w:val="TableBodyText"/>
            </w:pPr>
            <w:r>
              <w:t>2 290</w:t>
            </w:r>
          </w:p>
        </w:tc>
        <w:tc>
          <w:tcPr>
            <w:tcW w:w="887" w:type="pct"/>
            <w:shd w:val="clear" w:color="auto" w:fill="auto"/>
          </w:tcPr>
          <w:p w:rsidR="00801D73" w:rsidRDefault="00801D73" w:rsidP="007D2645">
            <w:pPr>
              <w:pStyle w:val="TableBodyText"/>
              <w:ind w:right="28"/>
            </w:pPr>
            <w:r>
              <w:t>0.0</w:t>
            </w:r>
          </w:p>
        </w:tc>
      </w:tr>
      <w:tr w:rsidR="00801D73" w:rsidRPr="00290093" w:rsidTr="00290093">
        <w:tc>
          <w:tcPr>
            <w:tcW w:w="1452" w:type="pct"/>
            <w:tcBorders>
              <w:bottom w:val="single" w:sz="4" w:space="0" w:color="auto"/>
            </w:tcBorders>
            <w:shd w:val="clear" w:color="auto" w:fill="auto"/>
          </w:tcPr>
          <w:p w:rsidR="00801D73" w:rsidRPr="00290093" w:rsidRDefault="00801D73" w:rsidP="005D170B">
            <w:pPr>
              <w:pStyle w:val="TableBodyText"/>
              <w:spacing w:before="120"/>
              <w:jc w:val="left"/>
              <w:rPr>
                <w:b/>
              </w:rPr>
            </w:pPr>
            <w:r w:rsidRPr="00290093">
              <w:rPr>
                <w:b/>
              </w:rPr>
              <w:t>T</w:t>
            </w:r>
            <w:r w:rsidR="005D170B">
              <w:rPr>
                <w:b/>
              </w:rPr>
              <w:t>otal</w:t>
            </w:r>
          </w:p>
        </w:tc>
        <w:tc>
          <w:tcPr>
            <w:tcW w:w="887" w:type="pct"/>
            <w:tcBorders>
              <w:bottom w:val="single" w:sz="4" w:space="0" w:color="auto"/>
            </w:tcBorders>
          </w:tcPr>
          <w:p w:rsidR="00801D73" w:rsidRPr="00290093" w:rsidRDefault="00801D73" w:rsidP="00290093">
            <w:pPr>
              <w:pStyle w:val="TableBodyText"/>
              <w:spacing w:before="120"/>
              <w:rPr>
                <w:b/>
              </w:rPr>
            </w:pPr>
            <w:r w:rsidRPr="00290093">
              <w:rPr>
                <w:b/>
              </w:rPr>
              <w:t>2 612 983</w:t>
            </w:r>
          </w:p>
        </w:tc>
        <w:tc>
          <w:tcPr>
            <w:tcW w:w="887" w:type="pct"/>
            <w:tcBorders>
              <w:bottom w:val="single" w:sz="4" w:space="0" w:color="auto"/>
            </w:tcBorders>
          </w:tcPr>
          <w:p w:rsidR="00801D73" w:rsidRPr="00290093" w:rsidRDefault="00801D73" w:rsidP="00290093">
            <w:pPr>
              <w:pStyle w:val="TableBodyText"/>
              <w:spacing w:before="120"/>
              <w:rPr>
                <w:b/>
              </w:rPr>
            </w:pPr>
            <w:r w:rsidRPr="00290093">
              <w:rPr>
                <w:b/>
              </w:rPr>
              <w:t>100.0</w:t>
            </w:r>
          </w:p>
        </w:tc>
        <w:tc>
          <w:tcPr>
            <w:tcW w:w="887" w:type="pct"/>
            <w:tcBorders>
              <w:bottom w:val="single" w:sz="4" w:space="0" w:color="auto"/>
            </w:tcBorders>
            <w:shd w:val="clear" w:color="auto" w:fill="auto"/>
          </w:tcPr>
          <w:p w:rsidR="00801D73" w:rsidRPr="00290093" w:rsidRDefault="00801D73" w:rsidP="00290093">
            <w:pPr>
              <w:pStyle w:val="TableBodyText"/>
              <w:spacing w:before="120"/>
              <w:rPr>
                <w:b/>
              </w:rPr>
            </w:pPr>
            <w:r w:rsidRPr="00290093">
              <w:rPr>
                <w:b/>
              </w:rPr>
              <w:t>19 808 091</w:t>
            </w:r>
          </w:p>
        </w:tc>
        <w:tc>
          <w:tcPr>
            <w:tcW w:w="887" w:type="pct"/>
            <w:tcBorders>
              <w:bottom w:val="single" w:sz="4" w:space="0" w:color="auto"/>
            </w:tcBorders>
            <w:shd w:val="clear" w:color="auto" w:fill="auto"/>
          </w:tcPr>
          <w:p w:rsidR="00801D73" w:rsidRPr="00290093" w:rsidRDefault="00801D73" w:rsidP="00290093">
            <w:pPr>
              <w:pStyle w:val="TableBodyText"/>
              <w:spacing w:before="120"/>
              <w:ind w:right="28"/>
              <w:rPr>
                <w:b/>
              </w:rPr>
            </w:pPr>
            <w:r w:rsidRPr="00290093">
              <w:rPr>
                <w:b/>
              </w:rPr>
              <w:t>100.0</w:t>
            </w:r>
          </w:p>
        </w:tc>
      </w:tr>
    </w:tbl>
    <w:p w:rsidR="00801D73" w:rsidRDefault="00801D73" w:rsidP="00801D73">
      <w:pPr>
        <w:pStyle w:val="Source"/>
      </w:pPr>
      <w:r>
        <w:rPr>
          <w:i/>
        </w:rPr>
        <w:t>Source</w:t>
      </w:r>
      <w:r>
        <w:t>: ABS</w:t>
      </w:r>
      <w:r w:rsidR="00DE3422">
        <w:t xml:space="preserve"> (2006</w:t>
      </w:r>
      <w:r w:rsidR="009105CA">
        <w:t>a</w:t>
      </w:r>
      <w:r w:rsidR="00DE3422">
        <w:t>),</w:t>
      </w:r>
      <w:r>
        <w:t xml:space="preserve"> </w:t>
      </w:r>
      <w:r w:rsidRPr="00DE3422">
        <w:rPr>
          <w:i/>
        </w:rPr>
        <w:t>Socio-econ</w:t>
      </w:r>
      <w:r w:rsidR="00DE3422">
        <w:rPr>
          <w:i/>
        </w:rPr>
        <w:t xml:space="preserve">omic Indexes for Areas (SEIFA), </w:t>
      </w:r>
      <w:r>
        <w:t>Cat. no. 2033.0.55.001</w:t>
      </w:r>
      <w:r w:rsidR="005D170B">
        <w:t>.</w:t>
      </w:r>
    </w:p>
    <w:p w:rsidR="00DC1C2A" w:rsidRDefault="009639EA" w:rsidP="00DC1C2A">
      <w:pPr>
        <w:pStyle w:val="BodyText"/>
      </w:pPr>
      <w:r>
        <w:t>Saunders and Wong (2012) found p</w:t>
      </w:r>
      <w:r w:rsidR="00DC1C2A">
        <w:t xml:space="preserve">eople living in regions at the bottom 10 per cent of the distribution </w:t>
      </w:r>
      <w:r w:rsidR="00BF1C00">
        <w:t xml:space="preserve">of relative socioeconomic disadvantage </w:t>
      </w:r>
      <w:r w:rsidR="00DC1C2A">
        <w:t>tend to:</w:t>
      </w:r>
      <w:r w:rsidR="00DC1C2A" w:rsidRPr="00C913BD">
        <w:t xml:space="preserve"> </w:t>
      </w:r>
    </w:p>
    <w:p w:rsidR="00DC1C2A" w:rsidRDefault="00DC1C2A" w:rsidP="00DC1C2A">
      <w:pPr>
        <w:pStyle w:val="ListBullet"/>
      </w:pPr>
      <w:r>
        <w:t>be less satisfied with their location</w:t>
      </w:r>
    </w:p>
    <w:p w:rsidR="00DC1C2A" w:rsidRDefault="00DC1C2A" w:rsidP="00DC1C2A">
      <w:pPr>
        <w:pStyle w:val="ListBullet"/>
      </w:pPr>
      <w:r>
        <w:t>report a greater prevalence of neighbourhood problems (as measured by noisy neighbours, loitering teenagers and presence of rubbish and litter)</w:t>
      </w:r>
    </w:p>
    <w:p w:rsidR="00DC1C2A" w:rsidRDefault="00DC1C2A" w:rsidP="00DC1C2A">
      <w:pPr>
        <w:pStyle w:val="ListBullet"/>
      </w:pPr>
      <w:r>
        <w:t>report higher rates of vandalism, graffiti and damage to private property</w:t>
      </w:r>
    </w:p>
    <w:p w:rsidR="00DC1C2A" w:rsidRDefault="00DC1C2A" w:rsidP="00DC1C2A">
      <w:pPr>
        <w:pStyle w:val="ListBullet"/>
      </w:pPr>
      <w:r>
        <w:t>record a slightly higher service exclusion score</w:t>
      </w:r>
    </w:p>
    <w:p w:rsidR="00DC1C2A" w:rsidRPr="00DC1C2A" w:rsidRDefault="00DC1C2A" w:rsidP="00DC1C2A">
      <w:pPr>
        <w:pStyle w:val="ListBullet"/>
      </w:pPr>
      <w:r>
        <w:t>record a much higher mean deprivation and economic exclusion score.</w:t>
      </w:r>
    </w:p>
    <w:p w:rsidR="008D19C2" w:rsidRDefault="00660318" w:rsidP="00967F98">
      <w:pPr>
        <w:pStyle w:val="Heading4"/>
      </w:pPr>
      <w:r>
        <w:t xml:space="preserve">What do </w:t>
      </w:r>
      <w:r w:rsidR="008D19C2">
        <w:t>measures of locational disadvantage</w:t>
      </w:r>
      <w:r>
        <w:t xml:space="preserve"> tell us?</w:t>
      </w:r>
    </w:p>
    <w:p w:rsidR="008D19C2" w:rsidRDefault="007C49CA" w:rsidP="00967F98">
      <w:pPr>
        <w:pStyle w:val="BodyText"/>
      </w:pPr>
      <w:r>
        <w:t>T</w:t>
      </w:r>
      <w:r w:rsidR="00660318">
        <w:t>he work of Saunders and Wong</w:t>
      </w:r>
      <w:r w:rsidR="009C495A">
        <w:t xml:space="preserve"> (2012)</w:t>
      </w:r>
      <w:r w:rsidR="00660318">
        <w:t xml:space="preserve"> and other</w:t>
      </w:r>
      <w:r>
        <w:t>s reveal that</w:t>
      </w:r>
      <w:r w:rsidR="00660318">
        <w:t xml:space="preserve"> </w:t>
      </w:r>
      <w:r w:rsidR="00D05B64">
        <w:t>p</w:t>
      </w:r>
      <w:r w:rsidR="00D05B64" w:rsidRPr="00C13E87">
        <w:t xml:space="preserve">overty, deprivation and social exclusion </w:t>
      </w:r>
      <w:r w:rsidR="000A7712">
        <w:t>tends to</w:t>
      </w:r>
      <w:r w:rsidR="000A7712" w:rsidRPr="00C13E87">
        <w:t xml:space="preserve"> </w:t>
      </w:r>
      <w:r w:rsidR="00D05B64" w:rsidRPr="00C13E87">
        <w:t>be concentrated in particular locations</w:t>
      </w:r>
      <w:r w:rsidR="00D05B64">
        <w:t xml:space="preserve">. </w:t>
      </w:r>
      <w:r w:rsidR="002F0116">
        <w:t xml:space="preserve">A range of information sources show </w:t>
      </w:r>
      <w:r w:rsidR="00660318">
        <w:t xml:space="preserve">Australians residing in more disadvantaged areas experience </w:t>
      </w:r>
      <w:r w:rsidR="002F0116">
        <w:t xml:space="preserve">much </w:t>
      </w:r>
      <w:r w:rsidR="00660318">
        <w:t>higher rates of chronic disease and mental health problems</w:t>
      </w:r>
      <w:r w:rsidR="002F0116">
        <w:t>. More disadvantaged regions are also characterised by higher rates of</w:t>
      </w:r>
      <w:r w:rsidR="00660318">
        <w:t xml:space="preserve"> unemployment, </w:t>
      </w:r>
      <w:r w:rsidR="002F0116">
        <w:t xml:space="preserve">people dependent upon income support </w:t>
      </w:r>
      <w:r w:rsidR="00660318">
        <w:t xml:space="preserve">and children living in jobless families. The </w:t>
      </w:r>
      <w:r w:rsidR="00660318">
        <w:lastRenderedPageBreak/>
        <w:t xml:space="preserve">same </w:t>
      </w:r>
      <w:r w:rsidR="00FF51EA">
        <w:t xml:space="preserve">regions exhibit </w:t>
      </w:r>
      <w:r w:rsidR="00660318">
        <w:t xml:space="preserve">lower rates </w:t>
      </w:r>
      <w:r w:rsidR="00FF51EA">
        <w:t xml:space="preserve">of </w:t>
      </w:r>
      <w:r w:rsidR="00660318">
        <w:t xml:space="preserve">community volunteering and children participating in full-time study (Monitoring Inequality in Australia </w:t>
      </w:r>
      <w:r w:rsidR="00DF3E07">
        <w:t>2013</w:t>
      </w:r>
      <w:r w:rsidR="00660318">
        <w:t>).</w:t>
      </w:r>
    </w:p>
    <w:p w:rsidR="008D69DD" w:rsidRDefault="008D69DD" w:rsidP="008D69DD">
      <w:pPr>
        <w:pStyle w:val="BodyText"/>
      </w:pPr>
      <w:r>
        <w:t xml:space="preserve">People with higher socioeconomic status </w:t>
      </w:r>
      <w:r w:rsidR="00FF51EA">
        <w:t xml:space="preserve">within </w:t>
      </w:r>
      <w:r w:rsidR="00FD2C83">
        <w:t xml:space="preserve">disadvantaged </w:t>
      </w:r>
      <w:r w:rsidR="00FF51EA">
        <w:t xml:space="preserve">regions </w:t>
      </w:r>
      <w:r w:rsidR="00D05B64">
        <w:t xml:space="preserve">tend to be more </w:t>
      </w:r>
      <w:r>
        <w:t xml:space="preserve">geographically </w:t>
      </w:r>
      <w:r w:rsidR="00D05B64">
        <w:t>mobile which contributes to even greater concentrations of disadvantage</w:t>
      </w:r>
      <w:r>
        <w:t xml:space="preserve"> (Ryan and Whelan 2010)</w:t>
      </w:r>
      <w:r w:rsidR="00D05B64">
        <w:t xml:space="preserve">. Government policy decisions to concentrate public housing in particular localities </w:t>
      </w:r>
      <w:r w:rsidR="00FF51EA">
        <w:t xml:space="preserve">have </w:t>
      </w:r>
      <w:r w:rsidR="00D05B64">
        <w:t>also partly contribute</w:t>
      </w:r>
      <w:r w:rsidR="00FF51EA">
        <w:t>d</w:t>
      </w:r>
      <w:r w:rsidR="00D05B64">
        <w:t xml:space="preserve"> to greater levels of locational disadvantage. </w:t>
      </w:r>
      <w:r>
        <w:t>As Whiteford (1995)</w:t>
      </w:r>
      <w:r w:rsidR="00E662EC">
        <w:t xml:space="preserve"> said</w:t>
      </w:r>
      <w:r w:rsidR="00766580">
        <w:t xml:space="preserve">: </w:t>
      </w:r>
    </w:p>
    <w:p w:rsidR="008D69DD" w:rsidRDefault="008D69DD" w:rsidP="008D69DD">
      <w:pPr>
        <w:pStyle w:val="Quote"/>
      </w:pPr>
      <w:r>
        <w:t>It is likely that the poorest neighbourhoods contain a high (and increasing) proportion of public housing tenants.</w:t>
      </w:r>
    </w:p>
    <w:p w:rsidR="008D69DD" w:rsidRDefault="008D69DD" w:rsidP="008D69DD">
      <w:pPr>
        <w:pStyle w:val="Quote"/>
      </w:pPr>
      <w:r>
        <w:t xml:space="preserve">The increasing targeting of public housing on low income groups has the direct result that it appears that public housing areas have got poorer, because new entrants to public housing have lower incomes than those already there. </w:t>
      </w:r>
      <w:r w:rsidR="00766580">
        <w:t>(</w:t>
      </w:r>
      <w:r>
        <w:t>p. 12</w:t>
      </w:r>
      <w:r w:rsidR="00766580">
        <w:t>)</w:t>
      </w:r>
    </w:p>
    <w:p w:rsidR="008D69DD" w:rsidRPr="00967F98" w:rsidRDefault="008D69DD" w:rsidP="00967F98">
      <w:pPr>
        <w:pStyle w:val="BodyText"/>
      </w:pPr>
      <w:r w:rsidRPr="002F0116">
        <w:t>But</w:t>
      </w:r>
      <w:r>
        <w:t xml:space="preserve"> </w:t>
      </w:r>
      <w:r w:rsidRPr="002F0116">
        <w:t>ther</w:t>
      </w:r>
      <w:r>
        <w:t>e</w:t>
      </w:r>
      <w:r w:rsidRPr="002F0116">
        <w:t xml:space="preserve"> is less certainty about the direction of causality. For example, </w:t>
      </w:r>
      <w:r w:rsidR="00E662EC">
        <w:t xml:space="preserve">some </w:t>
      </w:r>
      <w:r w:rsidRPr="002F0116">
        <w:t>disadvantaged people may decide to live in regions characterised by higher levels of disadvantage because rents and housing</w:t>
      </w:r>
      <w:r>
        <w:t xml:space="preserve"> prices are lower.</w:t>
      </w:r>
    </w:p>
    <w:p w:rsidR="000D4E47" w:rsidRDefault="00833BF4" w:rsidP="000D4E47">
      <w:pPr>
        <w:pStyle w:val="Heading2"/>
      </w:pPr>
      <w:r>
        <w:t>3.</w:t>
      </w:r>
      <w:r w:rsidR="0069448C">
        <w:rPr>
          <w:noProof/>
        </w:rPr>
        <w:t>6</w:t>
      </w:r>
      <w:r w:rsidR="00290093">
        <w:tab/>
      </w:r>
      <w:r w:rsidR="000D4E47" w:rsidRPr="000E4C32">
        <w:t xml:space="preserve">The relative merits of the </w:t>
      </w:r>
      <w:r w:rsidR="000D4E47">
        <w:t xml:space="preserve">different </w:t>
      </w:r>
      <w:r w:rsidR="000D4E47" w:rsidRPr="000E4C32">
        <w:t>measures of disadvantage</w:t>
      </w:r>
    </w:p>
    <w:p w:rsidR="000429DD" w:rsidRDefault="007C2ED1" w:rsidP="000D4E47">
      <w:pPr>
        <w:pStyle w:val="BodyText"/>
      </w:pPr>
      <w:r>
        <w:t>A number of m</w:t>
      </w:r>
      <w:r w:rsidR="000D4E47">
        <w:t xml:space="preserve">easures of disadvantage have been examined in this chapter. No </w:t>
      </w:r>
      <w:r w:rsidR="00B240C5">
        <w:t xml:space="preserve">single </w:t>
      </w:r>
      <w:r w:rsidR="000D4E47">
        <w:t xml:space="preserve">indicator provides an </w:t>
      </w:r>
      <w:r w:rsidR="002A532A">
        <w:t>over</w:t>
      </w:r>
      <w:r w:rsidR="002A532A">
        <w:noBreakHyphen/>
        <w:t xml:space="preserve">arching and </w:t>
      </w:r>
      <w:r w:rsidR="000D4E47">
        <w:t xml:space="preserve">uncontested measure of the number of disadvantaged Australians. The </w:t>
      </w:r>
      <w:r w:rsidR="00C87D38">
        <w:t xml:space="preserve">various </w:t>
      </w:r>
      <w:r w:rsidR="000D4E47">
        <w:t>measures</w:t>
      </w:r>
      <w:r w:rsidR="00F323CF">
        <w:t xml:space="preserve">, however, provide different lenses </w:t>
      </w:r>
      <w:r w:rsidR="000D4E47">
        <w:t xml:space="preserve">for understanding </w:t>
      </w:r>
      <w:r w:rsidR="00F323CF">
        <w:t xml:space="preserve">the </w:t>
      </w:r>
      <w:r w:rsidR="002F407E">
        <w:t xml:space="preserve">different </w:t>
      </w:r>
      <w:r w:rsidR="000D4E47">
        <w:t xml:space="preserve">aspects of disadvantage. </w:t>
      </w:r>
    </w:p>
    <w:p w:rsidR="00A33A7E" w:rsidRDefault="00757DE5" w:rsidP="001E4E8A">
      <w:pPr>
        <w:pStyle w:val="BodyText"/>
      </w:pPr>
      <w:r>
        <w:t>Simple measures such as r</w:t>
      </w:r>
      <w:r w:rsidR="002A532A">
        <w:t>elative i</w:t>
      </w:r>
      <w:r w:rsidR="000D4E47">
        <w:t>ncome poverty</w:t>
      </w:r>
      <w:r>
        <w:t xml:space="preserve"> are wel</w:t>
      </w:r>
      <w:r w:rsidR="002A532A">
        <w:t>l</w:t>
      </w:r>
      <w:r w:rsidR="002A532A">
        <w:noBreakHyphen/>
        <w:t xml:space="preserve">established </w:t>
      </w:r>
      <w:r>
        <w:t>and allow for</w:t>
      </w:r>
      <w:r w:rsidR="000D4E47">
        <w:t xml:space="preserve"> </w:t>
      </w:r>
      <w:r w:rsidR="002A532A">
        <w:t xml:space="preserve">comparisons with other OECD countries. </w:t>
      </w:r>
      <w:r w:rsidR="001F497E">
        <w:t xml:space="preserve">However, </w:t>
      </w:r>
      <w:r>
        <w:t>their relatively narrow focus means they can overstate the extent of disadvantage of particular groups</w:t>
      </w:r>
      <w:r w:rsidR="00766580">
        <w:t xml:space="preserve">, such as </w:t>
      </w:r>
      <w:r w:rsidR="00694843">
        <w:t>the elderly</w:t>
      </w:r>
      <w:r>
        <w:t>. This problem is overcome</w:t>
      </w:r>
      <w:r w:rsidR="00AE484B">
        <w:t>,</w:t>
      </w:r>
      <w:r>
        <w:t xml:space="preserve"> in part</w:t>
      </w:r>
      <w:r w:rsidR="00AE484B">
        <w:t>,</w:t>
      </w:r>
      <w:r>
        <w:t xml:space="preserve"> by the use of additional filters which take into account factors such as consumption and net wealth.</w:t>
      </w:r>
      <w:r w:rsidR="00F323CF">
        <w:t xml:space="preserve"> </w:t>
      </w:r>
    </w:p>
    <w:p w:rsidR="00CE7C73" w:rsidRDefault="004733ED" w:rsidP="001E4E8A">
      <w:pPr>
        <w:pStyle w:val="BodyText"/>
      </w:pPr>
      <w:r>
        <w:t xml:space="preserve">Measures </w:t>
      </w:r>
      <w:r w:rsidR="00757DE5">
        <w:t xml:space="preserve">which consider disadvantage across a number of </w:t>
      </w:r>
      <w:r>
        <w:t xml:space="preserve">life domains provide useful information on the </w:t>
      </w:r>
      <w:r w:rsidR="00757DE5">
        <w:t xml:space="preserve">extent and </w:t>
      </w:r>
      <w:r>
        <w:t xml:space="preserve">depth of disadvantage. </w:t>
      </w:r>
      <w:r w:rsidR="00F55246">
        <w:t>S</w:t>
      </w:r>
      <w:r>
        <w:t>o</w:t>
      </w:r>
      <w:r w:rsidR="0085205D">
        <w:t xml:space="preserve">me </w:t>
      </w:r>
      <w:r>
        <w:t xml:space="preserve">measures are more comprehensive </w:t>
      </w:r>
      <w:r w:rsidR="0085205D">
        <w:t>than others</w:t>
      </w:r>
      <w:r w:rsidR="00CE7C73">
        <w:t xml:space="preserve"> and some domains are more meaningful for certain groups of individuals, depending on where they are in the life cycle. For example, having a job and a steady income </w:t>
      </w:r>
      <w:r w:rsidR="00F55246">
        <w:t xml:space="preserve">will </w:t>
      </w:r>
      <w:r w:rsidR="00CE7C73">
        <w:t>be more important for people of working age</w:t>
      </w:r>
      <w:r w:rsidR="00F55246">
        <w:t>, w</w:t>
      </w:r>
      <w:r w:rsidR="00694843">
        <w:t>hile for those in retirement, more meaningful indicators might include the level of community involvement and social support experienced by individuals, and the availability and affordability of health care and disability services.</w:t>
      </w:r>
    </w:p>
    <w:p w:rsidR="00284A6A" w:rsidRDefault="00CE7C73" w:rsidP="001E4E8A">
      <w:pPr>
        <w:pStyle w:val="BodyText"/>
      </w:pPr>
      <w:r>
        <w:lastRenderedPageBreak/>
        <w:t xml:space="preserve">This suggests that different measures might be more or less helpful depending on the group or aspect of disadvantage being examined. </w:t>
      </w:r>
      <w:r w:rsidR="00B13DAB">
        <w:t xml:space="preserve">For example, </w:t>
      </w:r>
      <w:r w:rsidR="00DC72C6">
        <w:t>for those interested in personal capabilities</w:t>
      </w:r>
      <w:r w:rsidR="00DC72C6" w:rsidRPr="00AE484B">
        <w:t xml:space="preserve"> </w:t>
      </w:r>
      <w:r w:rsidR="00C87D38">
        <w:t xml:space="preserve">(such as educational attainment and health) </w:t>
      </w:r>
      <w:r w:rsidR="00DC72C6">
        <w:t xml:space="preserve">the SEM and </w:t>
      </w:r>
      <w:r w:rsidR="009639EA">
        <w:t>Australian Social Inclusion Board</w:t>
      </w:r>
      <w:r w:rsidR="00DC72C6">
        <w:t xml:space="preserve"> measures might be more informative. Similarly, for those concerned with more fully understanding financial disadvantage, the SPRC measure</w:t>
      </w:r>
      <w:r w:rsidR="007479FE">
        <w:t xml:space="preserve">, </w:t>
      </w:r>
      <w:r w:rsidR="00DC72C6">
        <w:t>with its measure of deprivation</w:t>
      </w:r>
      <w:r w:rsidR="007479FE">
        <w:t xml:space="preserve">, </w:t>
      </w:r>
      <w:r w:rsidR="00DC72C6">
        <w:t>might prove more useful.</w:t>
      </w:r>
    </w:p>
    <w:p w:rsidR="00757DE5" w:rsidRDefault="00757DE5" w:rsidP="00757DE5">
      <w:pPr>
        <w:pStyle w:val="BodyText"/>
      </w:pPr>
      <w:r>
        <w:t xml:space="preserve">The regularity with which some indicators are available can also affect their usefulness. Some measures (such as the SEM) are available annually. Others are available much less regularly or </w:t>
      </w:r>
      <w:r w:rsidR="00983DC3">
        <w:t xml:space="preserve">on </w:t>
      </w:r>
      <w:r>
        <w:t>an ad hoc basis. Some measures are based on longitudinal data which enables measurement of persistence</w:t>
      </w:r>
      <w:r w:rsidR="00694843">
        <w:t>, while others rely on point</w:t>
      </w:r>
      <w:r w:rsidR="00983DC3">
        <w:noBreakHyphen/>
      </w:r>
      <w:r w:rsidR="00694843">
        <w:t>in</w:t>
      </w:r>
      <w:r w:rsidR="00983DC3">
        <w:noBreakHyphen/>
      </w:r>
      <w:r w:rsidR="00694843">
        <w:t>time estimates.</w:t>
      </w:r>
      <w:r w:rsidR="00A33A7E">
        <w:t xml:space="preserve"> A</w:t>
      </w:r>
      <w:r w:rsidR="00E662EC">
        <w:t xml:space="preserve">ppendix B provides a </w:t>
      </w:r>
      <w:r w:rsidR="00A33A7E">
        <w:t xml:space="preserve">table </w:t>
      </w:r>
      <w:r w:rsidR="00E662EC">
        <w:t xml:space="preserve">on </w:t>
      </w:r>
      <w:r w:rsidR="00A33A7E">
        <w:t xml:space="preserve">the relative strengths and weaknesses of the various measures </w:t>
      </w:r>
      <w:r w:rsidR="002F0116">
        <w:t>of disadvantage</w:t>
      </w:r>
      <w:r w:rsidR="00E662EC">
        <w:t xml:space="preserve">. </w:t>
      </w:r>
    </w:p>
    <w:p w:rsidR="009D7469" w:rsidRDefault="007479FE" w:rsidP="001E4E8A">
      <w:pPr>
        <w:pStyle w:val="BodyText"/>
      </w:pPr>
      <w:r>
        <w:t xml:space="preserve">Better access to data — including from larger departmental databases — would help improve the quality of measures. </w:t>
      </w:r>
      <w:r w:rsidR="00B240C5">
        <w:t>As discussed earlier in the chapter</w:t>
      </w:r>
      <w:r w:rsidR="003F11B5">
        <w:t xml:space="preserve"> and pursued further in chapter 6</w:t>
      </w:r>
      <w:r w:rsidR="00B240C5">
        <w:t>, t</w:t>
      </w:r>
      <w:r w:rsidR="00284A6A">
        <w:t>he capture and retention of more disadvantaged people and households in surveys is highly problematic</w:t>
      </w:r>
      <w:r w:rsidR="00B240C5">
        <w:t xml:space="preserve">. </w:t>
      </w:r>
      <w:r w:rsidR="00A33A7E">
        <w:t>Household s</w:t>
      </w:r>
      <w:r w:rsidR="00284A6A">
        <w:t>urveys are less likely to include people who are more disadvantaged as they can be difficult to locate or are less likely or able to respond</w:t>
      </w:r>
      <w:r>
        <w:t>.</w:t>
      </w:r>
      <w:r w:rsidR="00284A6A">
        <w:t xml:space="preserve"> This is particularly the case for the homeless or those at risk of homelessness</w:t>
      </w:r>
      <w:r w:rsidR="000429DD">
        <w:t xml:space="preserve"> as well as Indigenous Australians in </w:t>
      </w:r>
      <w:r w:rsidR="00643516">
        <w:t xml:space="preserve">more </w:t>
      </w:r>
      <w:r w:rsidR="000429DD">
        <w:t>remote communities</w:t>
      </w:r>
      <w:r w:rsidR="00284A6A">
        <w:t xml:space="preserve">. </w:t>
      </w:r>
    </w:p>
    <w:p w:rsidR="00694843" w:rsidRDefault="00694843" w:rsidP="001E4E8A">
      <w:pPr>
        <w:pStyle w:val="BodyText"/>
      </w:pPr>
      <w:r>
        <w:t xml:space="preserve">Migrants and recently settled refugees also tend not to be well represented in surveys </w:t>
      </w:r>
      <w:r w:rsidR="002F0116">
        <w:t xml:space="preserve">used to </w:t>
      </w:r>
      <w:r>
        <w:t xml:space="preserve">inform some measures of disadvantage. </w:t>
      </w:r>
      <w:r w:rsidR="00984DDA">
        <w:t xml:space="preserve">To </w:t>
      </w:r>
      <w:r w:rsidR="00D06062">
        <w:t xml:space="preserve">help </w:t>
      </w:r>
      <w:r w:rsidR="004A5CE5">
        <w:t>address</w:t>
      </w:r>
      <w:r w:rsidR="00984DDA">
        <w:t xml:space="preserve"> this, a longitudinal survey of 1 500 recently settled humanitarian families will be conducted annually</w:t>
      </w:r>
      <w:r w:rsidR="004A5CE5">
        <w:t xml:space="preserve"> by the AIFS </w:t>
      </w:r>
      <w:r w:rsidR="00984DDA">
        <w:t xml:space="preserve">between 2013 and </w:t>
      </w:r>
      <w:r w:rsidR="004A5CE5">
        <w:t>20</w:t>
      </w:r>
      <w:r w:rsidR="00984DDA">
        <w:t>18.</w:t>
      </w:r>
      <w:r w:rsidR="00D06062">
        <w:t xml:space="preserve"> A </w:t>
      </w:r>
      <w:r w:rsidR="004A5CE5">
        <w:t>‘</w:t>
      </w:r>
      <w:r w:rsidR="00D06062">
        <w:t>top up</w:t>
      </w:r>
      <w:r w:rsidR="004A5CE5">
        <w:t>’</w:t>
      </w:r>
      <w:r w:rsidR="00D06062">
        <w:t xml:space="preserve"> sample</w:t>
      </w:r>
      <w:r w:rsidR="004A5CE5" w:rsidRPr="004A5CE5">
        <w:t xml:space="preserve"> </w:t>
      </w:r>
      <w:r w:rsidR="004A5CE5">
        <w:t>was also added to the HILDA survey in 2011</w:t>
      </w:r>
      <w:r w:rsidR="0009268E">
        <w:t>,</w:t>
      </w:r>
      <w:r w:rsidR="007D4CCF">
        <w:t xml:space="preserve"> </w:t>
      </w:r>
      <w:r w:rsidR="009D7469">
        <w:t>which included a more representative share of</w:t>
      </w:r>
      <w:r w:rsidR="0009268E">
        <w:t xml:space="preserve"> migrants from the general population and recently arrived</w:t>
      </w:r>
      <w:r w:rsidR="009D7469">
        <w:t xml:space="preserve"> </w:t>
      </w:r>
      <w:r w:rsidR="0009268E">
        <w:t>im</w:t>
      </w:r>
      <w:r w:rsidR="009D7469">
        <w:t>migrants.</w:t>
      </w:r>
    </w:p>
    <w:p w:rsidR="000429DD" w:rsidRDefault="00320EE4" w:rsidP="001E4E8A">
      <w:pPr>
        <w:pStyle w:val="BodyText"/>
      </w:pPr>
      <w:r>
        <w:t>Disadvantaged groups also have a higher likelihood of leaving longitudinal surveys over time compared with those who are not disadvantaged</w:t>
      </w:r>
      <w:r w:rsidR="000429DD">
        <w:t>. These factors m</w:t>
      </w:r>
      <w:r>
        <w:t xml:space="preserve">ay </w:t>
      </w:r>
      <w:r w:rsidR="00643516">
        <w:t xml:space="preserve">contribute </w:t>
      </w:r>
      <w:r>
        <w:t xml:space="preserve">to underestimation of the proportion of the population experiencing deep and persistent disadvantage. </w:t>
      </w:r>
    </w:p>
    <w:p w:rsidR="004C2C23" w:rsidRDefault="00FE0C9B" w:rsidP="00FE0C9B">
      <w:pPr>
        <w:pStyle w:val="BodyText"/>
      </w:pPr>
      <w:r>
        <w:t xml:space="preserve">Despite the deficiencies </w:t>
      </w:r>
      <w:r w:rsidR="005247CE">
        <w:t xml:space="preserve">in data sources </w:t>
      </w:r>
      <w:r>
        <w:t>noted, measures such as the SEM provide valuable and regular information on the extent of</w:t>
      </w:r>
      <w:r w:rsidR="00757DE5">
        <w:t>,</w:t>
      </w:r>
      <w:r>
        <w:t xml:space="preserve"> and trends in deeper disadvantage in Australia</w:t>
      </w:r>
      <w:r w:rsidR="004733ED">
        <w:t>,</w:t>
      </w:r>
      <w:r>
        <w:t xml:space="preserve"> and the characteristics of those most likely to experience deeper disadvantage. </w:t>
      </w:r>
    </w:p>
    <w:p w:rsidR="007347C1" w:rsidRDefault="004C2C23" w:rsidP="00FE0C9B">
      <w:pPr>
        <w:pStyle w:val="BodyText"/>
      </w:pPr>
      <w:r>
        <w:t>However, s</w:t>
      </w:r>
      <w:r w:rsidR="007347C1">
        <w:t xml:space="preserve">ome questions remain unanswered. </w:t>
      </w:r>
      <w:r w:rsidR="006E2235">
        <w:t xml:space="preserve">While information </w:t>
      </w:r>
      <w:r w:rsidR="00E01EEA">
        <w:t xml:space="preserve">is available </w:t>
      </w:r>
      <w:r w:rsidR="006E2235">
        <w:t>on rates of transition between states of social exclusion and non</w:t>
      </w:r>
      <w:r w:rsidR="006E2235">
        <w:noBreakHyphen/>
        <w:t xml:space="preserve">exclusion from one </w:t>
      </w:r>
      <w:r w:rsidR="006E2235">
        <w:lastRenderedPageBreak/>
        <w:t xml:space="preserve">year to another, little is known about </w:t>
      </w:r>
      <w:r w:rsidR="00983DC3">
        <w:t xml:space="preserve">the </w:t>
      </w:r>
      <w:r w:rsidR="006E2235">
        <w:t xml:space="preserve">events (or combination of events) that </w:t>
      </w:r>
      <w:r w:rsidR="00442369">
        <w:t>trigger</w:t>
      </w:r>
      <w:r w:rsidR="006E2235">
        <w:t xml:space="preserve"> transitions. </w:t>
      </w:r>
      <w:r w:rsidR="00983DC3">
        <w:t xml:space="preserve">There is also a lack of information </w:t>
      </w:r>
      <w:r w:rsidR="006E2235">
        <w:t>about factors that contributed to the fall in prevalence rates of deep exclusion for some of the more vulnerable groups between 2001 and 2010. The strength of the economy</w:t>
      </w:r>
      <w:r w:rsidR="00E662EC">
        <w:t>,</w:t>
      </w:r>
      <w:r w:rsidR="00E01EEA">
        <w:t xml:space="preserve"> </w:t>
      </w:r>
      <w:r w:rsidR="006E2235">
        <w:t xml:space="preserve">which </w:t>
      </w:r>
      <w:r w:rsidR="00007928">
        <w:t>set</w:t>
      </w:r>
      <w:r w:rsidR="00E01EEA">
        <w:t>s</w:t>
      </w:r>
      <w:r w:rsidR="006E2235">
        <w:t xml:space="preserve"> the foundation for </w:t>
      </w:r>
      <w:r w:rsidR="00983DC3">
        <w:t xml:space="preserve">providing </w:t>
      </w:r>
      <w:r w:rsidR="006E2235">
        <w:t>employment opportunities</w:t>
      </w:r>
      <w:r w:rsidR="00E662EC">
        <w:t>,</w:t>
      </w:r>
      <w:r w:rsidR="00983DC3">
        <w:t xml:space="preserve"> </w:t>
      </w:r>
      <w:r w:rsidR="006E2235">
        <w:t>is obviously an important factor in explaining reduced rates of social exclusion</w:t>
      </w:r>
      <w:r w:rsidR="00E01EEA">
        <w:t>. B</w:t>
      </w:r>
      <w:r w:rsidR="006E2235">
        <w:t xml:space="preserve">ut other personal and social factors may also </w:t>
      </w:r>
      <w:r w:rsidR="00983DC3">
        <w:t>be contributing</w:t>
      </w:r>
      <w:r w:rsidR="006E2235">
        <w:t>.</w:t>
      </w:r>
      <w:r w:rsidR="00E01EEA">
        <w:t xml:space="preserve"> </w:t>
      </w:r>
    </w:p>
    <w:p w:rsidR="00F056FC" w:rsidRDefault="00320EE4" w:rsidP="003129F5">
      <w:pPr>
        <w:pStyle w:val="BodyText"/>
      </w:pPr>
      <w:r>
        <w:t>The following chapter</w:t>
      </w:r>
      <w:r w:rsidR="00E80600">
        <w:t xml:space="preserve"> </w:t>
      </w:r>
      <w:r w:rsidR="00295D59">
        <w:t xml:space="preserve">looks at the </w:t>
      </w:r>
      <w:r w:rsidR="00435973">
        <w:t xml:space="preserve">factors which influence the likelihood of </w:t>
      </w:r>
      <w:r w:rsidR="00D0050C">
        <w:t xml:space="preserve">people </w:t>
      </w:r>
      <w:r w:rsidR="00435973">
        <w:t>becoming disadvantaged.</w:t>
      </w:r>
    </w:p>
    <w:sectPr w:rsidR="00F056FC" w:rsidSect="00B6750C">
      <w:headerReference w:type="even" r:id="rId14"/>
      <w:headerReference w:type="default" r:id="rId15"/>
      <w:footerReference w:type="even" r:id="rId16"/>
      <w:footerReference w:type="default" r:id="rId17"/>
      <w:type w:val="oddPage"/>
      <w:pgSz w:w="11907" w:h="16840" w:code="9"/>
      <w:pgMar w:top="1985" w:right="1304" w:bottom="1418" w:left="1814" w:header="1701" w:footer="567" w:gutter="0"/>
      <w:pgNumType w:start="57" w:chapSep="period"/>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8F9" w:rsidRDefault="00F738F9">
      <w:r>
        <w:separator/>
      </w:r>
    </w:p>
  </w:endnote>
  <w:endnote w:type="continuationSeparator" w:id="0">
    <w:p w:rsidR="00F738F9" w:rsidRDefault="00F7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F738F9">
      <w:trPr>
        <w:trHeight w:hRule="exact" w:val="740"/>
      </w:trPr>
      <w:tc>
        <w:tcPr>
          <w:tcW w:w="510" w:type="dxa"/>
          <w:tcBorders>
            <w:top w:val="single" w:sz="6" w:space="0" w:color="auto"/>
          </w:tcBorders>
        </w:tcPr>
        <w:p w:rsidR="00F738F9" w:rsidRDefault="00F738F9"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267F46">
            <w:rPr>
              <w:rStyle w:val="PageNumber"/>
              <w:noProof/>
            </w:rPr>
            <w:t>92</w:t>
          </w:r>
          <w:r>
            <w:rPr>
              <w:rStyle w:val="PageNumber"/>
            </w:rPr>
            <w:fldChar w:fldCharType="end"/>
          </w:r>
        </w:p>
      </w:tc>
      <w:tc>
        <w:tcPr>
          <w:tcW w:w="1644" w:type="dxa"/>
          <w:tcBorders>
            <w:top w:val="single" w:sz="6" w:space="0" w:color="auto"/>
          </w:tcBorders>
        </w:tcPr>
        <w:p w:rsidR="00F738F9" w:rsidRDefault="00267F46" w:rsidP="0019293B">
          <w:pPr>
            <w:pStyle w:val="Footer"/>
          </w:pPr>
          <w:r>
            <w:fldChar w:fldCharType="begin"/>
          </w:r>
          <w:r>
            <w:instrText xml:space="preserve"> SUBJECT  \* MERGEFORMAT </w:instrText>
          </w:r>
          <w:r>
            <w:fldChar w:fldCharType="separate"/>
          </w:r>
          <w:r w:rsidR="008919DB">
            <w:t>Deep and persistent disadvantage</w:t>
          </w:r>
          <w:r>
            <w:fldChar w:fldCharType="end"/>
          </w:r>
        </w:p>
      </w:tc>
      <w:tc>
        <w:tcPr>
          <w:tcW w:w="6634" w:type="dxa"/>
        </w:tcPr>
        <w:p w:rsidR="00F738F9" w:rsidRDefault="00F738F9" w:rsidP="0019293B">
          <w:pPr>
            <w:pStyle w:val="Footer"/>
          </w:pPr>
        </w:p>
      </w:tc>
    </w:tr>
  </w:tbl>
  <w:p w:rsidR="00F738F9" w:rsidRDefault="00F738F9"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F738F9" w:rsidTr="003D6CA9">
      <w:trPr>
        <w:trHeight w:hRule="exact" w:val="740"/>
      </w:trPr>
      <w:tc>
        <w:tcPr>
          <w:tcW w:w="6634" w:type="dxa"/>
        </w:tcPr>
        <w:p w:rsidR="00F738F9" w:rsidRDefault="00F738F9" w:rsidP="003D6CA9">
          <w:pPr>
            <w:pStyle w:val="Footer"/>
            <w:ind w:right="360" w:firstLine="360"/>
          </w:pPr>
        </w:p>
      </w:tc>
      <w:tc>
        <w:tcPr>
          <w:tcW w:w="1644" w:type="dxa"/>
          <w:tcBorders>
            <w:top w:val="single" w:sz="6" w:space="0" w:color="auto"/>
          </w:tcBorders>
        </w:tcPr>
        <w:p w:rsidR="00F738F9" w:rsidRDefault="00267F46" w:rsidP="003D6CA9">
          <w:pPr>
            <w:pStyle w:val="Footer"/>
          </w:pPr>
          <w:r>
            <w:fldChar w:fldCharType="begin"/>
          </w:r>
          <w:r>
            <w:instrText xml:space="preserve"> TITLE  \* MERGEFORMAT </w:instrText>
          </w:r>
          <w:r>
            <w:fldChar w:fldCharType="separate"/>
          </w:r>
          <w:r w:rsidR="008919DB">
            <w:t>The extent of disadvantage in Australia</w:t>
          </w:r>
          <w:r>
            <w:fldChar w:fldCharType="end"/>
          </w:r>
        </w:p>
      </w:tc>
      <w:tc>
        <w:tcPr>
          <w:tcW w:w="510" w:type="dxa"/>
          <w:tcBorders>
            <w:top w:val="single" w:sz="6" w:space="0" w:color="auto"/>
          </w:tcBorders>
        </w:tcPr>
        <w:p w:rsidR="00F738F9" w:rsidRDefault="00F738F9" w:rsidP="003D6CA9">
          <w:pPr>
            <w:pStyle w:val="Footer"/>
            <w:jc w:val="right"/>
          </w:pPr>
          <w:r>
            <w:rPr>
              <w:rStyle w:val="PageNumber"/>
            </w:rPr>
            <w:fldChar w:fldCharType="begin"/>
          </w:r>
          <w:r>
            <w:rPr>
              <w:rStyle w:val="PageNumber"/>
            </w:rPr>
            <w:instrText xml:space="preserve">PAGE  </w:instrText>
          </w:r>
          <w:r>
            <w:rPr>
              <w:rStyle w:val="PageNumber"/>
            </w:rPr>
            <w:fldChar w:fldCharType="separate"/>
          </w:r>
          <w:r w:rsidR="00267F46">
            <w:rPr>
              <w:rStyle w:val="PageNumber"/>
              <w:noProof/>
            </w:rPr>
            <w:t>57</w:t>
          </w:r>
          <w:r>
            <w:rPr>
              <w:rStyle w:val="PageNumber"/>
            </w:rPr>
            <w:fldChar w:fldCharType="end"/>
          </w:r>
        </w:p>
      </w:tc>
    </w:tr>
  </w:tbl>
  <w:p w:rsidR="00F738F9" w:rsidRDefault="00F738F9" w:rsidP="005E0FE6">
    <w:pPr>
      <w:pStyle w:val="Head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8F9" w:rsidRDefault="00F738F9">
      <w:r>
        <w:separator/>
      </w:r>
    </w:p>
  </w:footnote>
  <w:footnote w:type="continuationSeparator" w:id="0">
    <w:p w:rsidR="00F738F9" w:rsidRDefault="00F738F9">
      <w:r>
        <w:continuationSeparator/>
      </w:r>
    </w:p>
  </w:footnote>
  <w:footnote w:id="1">
    <w:p w:rsidR="00F738F9" w:rsidRDefault="00F738F9">
      <w:pPr>
        <w:pStyle w:val="FootnoteText"/>
      </w:pPr>
      <w:r w:rsidRPr="00233A96">
        <w:rPr>
          <w:rStyle w:val="FootnoteReference"/>
        </w:rPr>
        <w:footnoteRef/>
      </w:r>
      <w:r>
        <w:tab/>
        <w:t>Household income that has been adjusted to account for differences in household size (box 2.1).</w:t>
      </w:r>
    </w:p>
  </w:footnote>
  <w:footnote w:id="2">
    <w:p w:rsidR="00F738F9" w:rsidRDefault="00F738F9">
      <w:pPr>
        <w:pStyle w:val="FootnoteText"/>
      </w:pPr>
      <w:r w:rsidRPr="00233A96">
        <w:rPr>
          <w:rStyle w:val="FootnoteReference"/>
        </w:rPr>
        <w:footnoteRef/>
      </w:r>
      <w:r>
        <w:tab/>
        <w:t>Housing costs include rent, mortgage payments and rates. Imputed rent includes the rental incomes that can be imputed to flow to people living in homes owned by occupants and to those people paying subsidised rent.</w:t>
      </w:r>
    </w:p>
  </w:footnote>
  <w:footnote w:id="3">
    <w:p w:rsidR="00F738F9" w:rsidRDefault="00F738F9" w:rsidP="00040A55">
      <w:pPr>
        <w:pStyle w:val="FootnoteText"/>
      </w:pPr>
      <w:r w:rsidRPr="00233A96">
        <w:rPr>
          <w:rStyle w:val="FootnoteReference"/>
        </w:rPr>
        <w:footnoteRef/>
      </w:r>
      <w:r>
        <w:tab/>
        <w:t>Negative incomes may occur where the business of a self-employed member of the household made a loss during the period under consideration or where transfers made by households exceeds their household income (Sandoval and Urzua 2009).</w:t>
      </w:r>
    </w:p>
  </w:footnote>
  <w:footnote w:id="4">
    <w:p w:rsidR="00F738F9" w:rsidRPr="000B6980" w:rsidRDefault="00F738F9" w:rsidP="00EA73A5">
      <w:pPr>
        <w:pStyle w:val="FootnoteText"/>
      </w:pPr>
      <w:r w:rsidRPr="00233A96">
        <w:rPr>
          <w:rStyle w:val="FootnoteReference"/>
        </w:rPr>
        <w:footnoteRef/>
      </w:r>
      <w:r>
        <w:tab/>
      </w:r>
      <w:r w:rsidRPr="000B6980">
        <w:t>The widening of income inequality in Australia (which is reflected in the relative poverty rates) is in part due to higher growth in median incomes compared with growth in incomes for those at the bottom of the income distribution. The growth of income inequality in Australia has also been due to higher growth in the incomes of those at the top of the income distribution (Greenville, Pobke and Rogers 2013).</w:t>
      </w:r>
    </w:p>
  </w:footnote>
  <w:footnote w:id="5">
    <w:p w:rsidR="00F738F9" w:rsidRDefault="00F738F9" w:rsidP="00955662">
      <w:pPr>
        <w:pStyle w:val="FootnoteText"/>
      </w:pPr>
      <w:r w:rsidRPr="00233A96">
        <w:rPr>
          <w:rStyle w:val="FootnoteReference"/>
        </w:rPr>
        <w:footnoteRef/>
      </w:r>
      <w:r>
        <w:tab/>
        <w:t>T</w:t>
      </w:r>
      <w:r w:rsidRPr="00EC587F">
        <w:t xml:space="preserve">he OECD adjusts negative </w:t>
      </w:r>
      <w:r>
        <w:t xml:space="preserve">household </w:t>
      </w:r>
      <w:r w:rsidRPr="00EC587F">
        <w:t>incomes</w:t>
      </w:r>
      <w:r>
        <w:t xml:space="preserve"> to zero and </w:t>
      </w:r>
      <w:r w:rsidRPr="00EC587F">
        <w:t xml:space="preserve">uses </w:t>
      </w:r>
      <w:r>
        <w:t>the</w:t>
      </w:r>
      <w:r w:rsidRPr="00EC587F">
        <w:t xml:space="preserve"> square root </w:t>
      </w:r>
      <w:r>
        <w:t xml:space="preserve">equivalence </w:t>
      </w:r>
      <w:r w:rsidRPr="00EC587F">
        <w:t>scale</w:t>
      </w:r>
      <w:r>
        <w:t xml:space="preserve"> to account for household composition. M</w:t>
      </w:r>
      <w:r w:rsidRPr="00EC587F">
        <w:t xml:space="preserve">any Australian researchers </w:t>
      </w:r>
      <w:r>
        <w:t xml:space="preserve">continue to use </w:t>
      </w:r>
      <w:r w:rsidRPr="00EC587F">
        <w:t xml:space="preserve">the </w:t>
      </w:r>
      <w:r>
        <w:t xml:space="preserve">older </w:t>
      </w:r>
      <w:r w:rsidRPr="00EC587F">
        <w:t>OECD modified scale (box</w:t>
      </w:r>
      <w:r>
        <w:t> </w:t>
      </w:r>
      <w:r w:rsidRPr="00EC587F">
        <w:t>2.1, chapter</w:t>
      </w:r>
      <w:r>
        <w:t> </w:t>
      </w:r>
      <w:r w:rsidRPr="00EC587F">
        <w:t>2)</w:t>
      </w:r>
      <w:r>
        <w:t>. The OECD also excludes social transfers in</w:t>
      </w:r>
      <w:r>
        <w:noBreakHyphen/>
        <w:t>kind and imputed rent for owner occupied housing from household income estimates.</w:t>
      </w:r>
    </w:p>
  </w:footnote>
  <w:footnote w:id="6">
    <w:p w:rsidR="00F738F9" w:rsidRDefault="00F738F9" w:rsidP="00886003">
      <w:pPr>
        <w:pStyle w:val="FootnoteText"/>
      </w:pPr>
      <w:r w:rsidRPr="00233A96">
        <w:rPr>
          <w:rStyle w:val="FootnoteReference"/>
        </w:rPr>
        <w:footnoteRef/>
      </w:r>
      <w:r>
        <w:tab/>
        <w:t xml:space="preserve">The poverty rate of people receiving the Aged Pension was 14 per cent in 2010, which compares with 52 per cent for those receiving Newstart Allowance, 45 per cent for those receiving Parenting Payment and 42 per cent for those in receipt of the Disability Support Pension (ACOSS 2012). </w:t>
      </w:r>
    </w:p>
  </w:footnote>
  <w:footnote w:id="7">
    <w:p w:rsidR="00F738F9" w:rsidRPr="004B4D18" w:rsidRDefault="00F738F9">
      <w:pPr>
        <w:pStyle w:val="FootnoteText"/>
      </w:pPr>
      <w:r>
        <w:rPr>
          <w:rStyle w:val="FootnoteReference"/>
        </w:rPr>
        <w:footnoteRef/>
      </w:r>
      <w:r>
        <w:tab/>
        <w:t xml:space="preserve">The absolute poverty measure used in this section is different to the concept of absolute poverty discussed in chapter 2. With this measure an </w:t>
      </w:r>
      <w:r w:rsidRPr="004B4D18">
        <w:t xml:space="preserve">absolute poverty line is </w:t>
      </w:r>
      <w:r>
        <w:t>held at a particular point in time (in this case at the value of t</w:t>
      </w:r>
      <w:r w:rsidRPr="004B4D18">
        <w:t>he 2001 relative poverty line adjusted for inflation to maintain its purchasing power over the period between 2001 and 2010</w:t>
      </w:r>
      <w:r>
        <w:t>)</w:t>
      </w:r>
      <w:r w:rsidRPr="004B4D18">
        <w:t>. To the extent that the consumption bundle of income poor varies from the average, the threshold could understate (or overstate) the level of absolute poverty if the prices of goods and services that make up a higher share rise more or less than CPI</w:t>
      </w:r>
      <w:r>
        <w:t>.</w:t>
      </w:r>
    </w:p>
  </w:footnote>
  <w:footnote w:id="8">
    <w:p w:rsidR="00F738F9" w:rsidRDefault="00F738F9">
      <w:pPr>
        <w:pStyle w:val="FootnoteText"/>
      </w:pPr>
      <w:r>
        <w:rPr>
          <w:rStyle w:val="FootnoteReference"/>
        </w:rPr>
        <w:footnoteRef/>
      </w:r>
      <w:r>
        <w:tab/>
        <w:t>While the OECD uses the bottom decile to equate to the poorest households, this presents problems in the Australian context as this decile includes households with self-employed people earning negative incomes. To overcome this the ABS define poorest households as the combination of the second and third deciles of the income distribution.</w:t>
      </w:r>
    </w:p>
  </w:footnote>
  <w:footnote w:id="9">
    <w:p w:rsidR="00F738F9" w:rsidRDefault="00F738F9">
      <w:pPr>
        <w:pStyle w:val="FootnoteText"/>
      </w:pPr>
      <w:r w:rsidRPr="00233A96">
        <w:rPr>
          <w:rStyle w:val="FootnoteReference"/>
        </w:rPr>
        <w:footnoteRef/>
      </w:r>
      <w:r>
        <w:tab/>
        <w:t>The poverty gap is defined as the difference between the income poverty threshold and the mean income of those experiencing income poverty, expressed as a percentage of the poverty threshold.</w:t>
      </w:r>
    </w:p>
  </w:footnote>
  <w:footnote w:id="10">
    <w:p w:rsidR="00F738F9" w:rsidRDefault="00F738F9">
      <w:pPr>
        <w:pStyle w:val="FootnoteText"/>
      </w:pPr>
      <w:r w:rsidRPr="00233A96">
        <w:rPr>
          <w:rStyle w:val="FootnoteReference"/>
        </w:rPr>
        <w:footnoteRef/>
      </w:r>
      <w:r>
        <w:tab/>
        <w:t xml:space="preserve">Commission estimates based on ABS </w:t>
      </w:r>
      <w:r>
        <w:rPr>
          <w:i/>
        </w:rPr>
        <w:t>Household Expenditure Survey</w:t>
      </w:r>
      <w:r>
        <w:t>, cat. no. 6503.0, CURF.</w:t>
      </w:r>
    </w:p>
  </w:footnote>
  <w:footnote w:id="11">
    <w:p w:rsidR="00F738F9" w:rsidRDefault="00F738F9">
      <w:pPr>
        <w:pStyle w:val="FootnoteText"/>
      </w:pPr>
      <w:r>
        <w:rPr>
          <w:rStyle w:val="FootnoteReference"/>
        </w:rPr>
        <w:footnoteRef/>
      </w:r>
      <w:r>
        <w:tab/>
        <w:t>Children aged 18 years and under recorded relative income poverty rates that were slightly lower than the rate for all Australians in each year between 2001 and 2010. The most recent estimate of relative income poverty for children of 10.5 per cent in 2010 compares with 12.4 per cent for the general population. Children of lone parents fared much worse. In 2010 the income poverty rate of children living with one parent stood at 24.1 per cent — almost twice the rate of the general population.</w:t>
      </w:r>
    </w:p>
  </w:footnote>
  <w:footnote w:id="12">
    <w:p w:rsidR="00F738F9" w:rsidRDefault="00F738F9" w:rsidP="00184421">
      <w:pPr>
        <w:pStyle w:val="FootnoteText"/>
      </w:pPr>
      <w:r w:rsidRPr="00233A96">
        <w:rPr>
          <w:rStyle w:val="FootnoteReference"/>
        </w:rPr>
        <w:footnoteRef/>
      </w:r>
      <w:r>
        <w:tab/>
      </w:r>
      <w:r w:rsidRPr="00822C1E" w:rsidDel="00D128D4">
        <w:t xml:space="preserve">According to the Melbourne Institute, the groups </w:t>
      </w:r>
      <w:r w:rsidRPr="00822C1E">
        <w:t xml:space="preserve">who have participated in the HILDA survey </w:t>
      </w:r>
      <w:r w:rsidRPr="00822C1E" w:rsidDel="00D128D4">
        <w:t>with lower re</w:t>
      </w:r>
      <w:r w:rsidRPr="00822C1E" w:rsidDel="00D128D4">
        <w:noBreakHyphen/>
        <w:t>interview rates include: younger people (aged 15 to 24 years); those born in a non</w:t>
      </w:r>
      <w:r w:rsidRPr="00822C1E" w:rsidDel="00D128D4">
        <w:noBreakHyphen/>
        <w:t>English speaking country; Indigenous Australians; single people; unemployed people and people working in low skilled occupations (Melbourne Institute 2012c).</w:t>
      </w:r>
    </w:p>
  </w:footnote>
  <w:footnote w:id="13">
    <w:p w:rsidR="00F738F9" w:rsidRDefault="00F738F9" w:rsidP="00FD691B">
      <w:pPr>
        <w:pStyle w:val="FootnoteText"/>
      </w:pPr>
      <w:r w:rsidRPr="00233A96">
        <w:rPr>
          <w:rStyle w:val="FootnoteReference"/>
        </w:rPr>
        <w:footnoteRef/>
      </w:r>
      <w:r>
        <w:tab/>
        <w:t>Net worth is the value of a household’s assets less the value of its liabilities (ABS 2011a).</w:t>
      </w:r>
    </w:p>
  </w:footnote>
  <w:footnote w:id="14">
    <w:p w:rsidR="00F738F9" w:rsidRDefault="00F738F9" w:rsidP="00EA73A5">
      <w:pPr>
        <w:pStyle w:val="FootnoteText"/>
      </w:pPr>
      <w:r w:rsidRPr="00233A96">
        <w:rPr>
          <w:rStyle w:val="FootnoteReference"/>
        </w:rPr>
        <w:footnoteRef/>
      </w:r>
      <w:r>
        <w:tab/>
        <w:t xml:space="preserve">Information on the methodologies used in the surveys is available in Saunders, Naidoo and Griffiths (2007), Saunders (2011) and Saunders and Wong (2012). </w:t>
      </w:r>
    </w:p>
  </w:footnote>
  <w:footnote w:id="15">
    <w:p w:rsidR="00F738F9" w:rsidRDefault="00F738F9" w:rsidP="004039D2">
      <w:pPr>
        <w:pStyle w:val="FootnoteText"/>
      </w:pPr>
      <w:r>
        <w:rPr>
          <w:rStyle w:val="FootnoteReference"/>
        </w:rPr>
        <w:footnoteRef/>
      </w:r>
      <w:r>
        <w:tab/>
        <w:t>Examples of essential items that relate to social connection include the ability of children to participate in school activities or outings (ranked 7</w:t>
      </w:r>
      <w:r w:rsidRPr="00003764">
        <w:rPr>
          <w:vertAlign w:val="superscript"/>
        </w:rPr>
        <w:t>th</w:t>
      </w:r>
      <w:r>
        <w:t xml:space="preserve"> ) and regular social contact with people (ranked 13</w:t>
      </w:r>
      <w:r w:rsidRPr="00003764">
        <w:rPr>
          <w:vertAlign w:val="superscript"/>
        </w:rPr>
        <w:t>th</w:t>
      </w:r>
      <w:r>
        <w:t xml:space="preserve">). </w:t>
      </w:r>
    </w:p>
  </w:footnote>
  <w:footnote w:id="16">
    <w:p w:rsidR="00F738F9" w:rsidRDefault="00F738F9" w:rsidP="00200AA9">
      <w:pPr>
        <w:pStyle w:val="FootnoteText"/>
      </w:pPr>
      <w:r w:rsidRPr="00233A96">
        <w:rPr>
          <w:rStyle w:val="FootnoteReference"/>
        </w:rPr>
        <w:footnoteRef/>
      </w:r>
      <w:r>
        <w:tab/>
        <w:t>The deprivation rate for ‘dental treatment if needed’ for the community sample fell from 14.5 per cent in 2006 to 13.1 per cent in 2010. The deprivation rate for ‘a yearly dental check</w:t>
      </w:r>
      <w:r>
        <w:noBreakHyphen/>
        <w:t>up for children’ fell from 9.8 per cent to 8 per cent over the same period.</w:t>
      </w:r>
    </w:p>
  </w:footnote>
  <w:footnote w:id="17">
    <w:p w:rsidR="00F738F9" w:rsidRDefault="00F738F9" w:rsidP="00E255CA">
      <w:pPr>
        <w:pStyle w:val="FootnoteText"/>
      </w:pPr>
      <w:r>
        <w:rPr>
          <w:rStyle w:val="FootnoteReference"/>
        </w:rPr>
        <w:footnoteRef/>
      </w:r>
      <w:r>
        <w:tab/>
        <w:t xml:space="preserve">The very deeply excluded (scored </w:t>
      </w:r>
      <w:r>
        <w:sym w:font="Symbol" w:char="F0B3"/>
      </w:r>
      <w:r>
        <w:t xml:space="preserve">3 from the indicators shown in box </w:t>
      </w:r>
      <w:r>
        <w:fldChar w:fldCharType="begin"/>
      </w:r>
      <w:r>
        <w:instrText xml:space="preserve"> LINK Word.Document.12 "\\\\nch1\\groups\\ED\\Final June\\Chapter 3 The extent of disadvantage in Australia 17 June.docx" "OLE_LINK12" \a \t </w:instrText>
      </w:r>
      <w:r>
        <w:fldChar w:fldCharType="separate"/>
      </w:r>
      <w:r>
        <w:t>3.2</w:t>
      </w:r>
      <w:r>
        <w:fldChar w:fldCharType="end"/>
      </w:r>
      <w:r>
        <w:t xml:space="preserve">) are a subset of the deeply excluded (scored </w:t>
      </w:r>
      <w:r>
        <w:sym w:font="Symbol" w:char="F0B3"/>
      </w:r>
      <w:r>
        <w:t xml:space="preserve">2). For example, the 4.8 per cent of people aged 15 years plus in 2010 who were classified as deeply excluded is composed of 4 per cent that scored </w:t>
      </w:r>
      <w:r>
        <w:sym w:font="Symbol" w:char="F0B3"/>
      </w:r>
      <w:r>
        <w:t xml:space="preserve">2 and &lt;3 and 0.8 per cent that scored </w:t>
      </w:r>
      <w:r>
        <w:sym w:font="Symbol" w:char="F0B3"/>
      </w:r>
      <w:r>
        <w:t>3.</w:t>
      </w:r>
    </w:p>
  </w:footnote>
  <w:footnote w:id="18">
    <w:p w:rsidR="00F738F9" w:rsidRDefault="00F738F9" w:rsidP="009043AF">
      <w:pPr>
        <w:pStyle w:val="FootnoteText"/>
      </w:pPr>
      <w:r w:rsidRPr="00233A96">
        <w:rPr>
          <w:rStyle w:val="FootnoteReference"/>
        </w:rPr>
        <w:footnoteRef/>
      </w:r>
      <w:r>
        <w:tab/>
      </w:r>
      <w:r w:rsidRPr="00374BB8">
        <w:t>The overall decline reflected a small decline in the average prevalence of social disengagement, a decline in economic exclusion and a larger decline in the average prevalence of service exclusion.</w:t>
      </w:r>
    </w:p>
  </w:footnote>
  <w:footnote w:id="19">
    <w:p w:rsidR="00F738F9" w:rsidRDefault="00F738F9">
      <w:pPr>
        <w:pStyle w:val="FootnoteText"/>
      </w:pPr>
      <w:r>
        <w:rPr>
          <w:rStyle w:val="FootnoteReference"/>
        </w:rPr>
        <w:footnoteRef/>
      </w:r>
      <w:r>
        <w:tab/>
        <w:t xml:space="preserve">Unpublished data from the Brotherhood of St Laurence and Melbourne Institute </w:t>
      </w:r>
      <w:r w:rsidRPr="00EA75F8">
        <w:rPr>
          <w:i/>
        </w:rPr>
        <w:t>Social Exclusion Monitor</w:t>
      </w:r>
      <w:r>
        <w:rPr>
          <w:i/>
        </w:rPr>
        <w:t>.</w:t>
      </w:r>
    </w:p>
  </w:footnote>
  <w:footnote w:id="20">
    <w:p w:rsidR="00F738F9" w:rsidRDefault="00F738F9" w:rsidP="004C2C23">
      <w:pPr>
        <w:pStyle w:val="FootnoteText"/>
      </w:pPr>
      <w:r>
        <w:rPr>
          <w:rStyle w:val="FootnoteReference"/>
        </w:rPr>
        <w:footnoteRef/>
      </w:r>
      <w:r>
        <w:tab/>
        <w:t>While many of the measures of disadvantage refer to adult Australians or people aged 15 years plus estimates show children of lone parents have much higher rates of persistent poverty and lone parents are much more likely than other household types to be income and asset poor.</w:t>
      </w:r>
    </w:p>
  </w:footnote>
  <w:footnote w:id="21">
    <w:p w:rsidR="00F738F9" w:rsidRDefault="00F738F9">
      <w:pPr>
        <w:pStyle w:val="FootnoteText"/>
      </w:pPr>
      <w:r>
        <w:rPr>
          <w:rStyle w:val="FootnoteReference"/>
        </w:rPr>
        <w:footnoteRef/>
      </w:r>
      <w:r>
        <w:tab/>
        <w:t>Unpublished estimates provided by Azpitarte from the Brotherhood of St Laurence.</w:t>
      </w:r>
    </w:p>
  </w:footnote>
  <w:footnote w:id="22">
    <w:p w:rsidR="00F738F9" w:rsidRDefault="00F738F9" w:rsidP="00317269">
      <w:pPr>
        <w:pStyle w:val="FootnoteText"/>
      </w:pPr>
      <w:r w:rsidRPr="00233A96">
        <w:rPr>
          <w:rStyle w:val="FootnoteReference"/>
        </w:rPr>
        <w:footnoteRef/>
      </w:r>
      <w:r>
        <w:tab/>
        <w:t>The structure used by the Melbourne Institute/Brotherhood of St Laurence</w:t>
      </w:r>
      <w:r w:rsidDel="001209FD">
        <w:t xml:space="preserve"> </w:t>
      </w:r>
      <w:r>
        <w:t>to determine regional concentration of people who are deeply and persistently excluded is based on the ABS Remoteness Area spatial unit which aggregates non</w:t>
      </w:r>
      <w:r>
        <w:noBreakHyphen/>
        <w:t>contiguous geographical areas (or Census Collection Districts) which share common characteristics of remoteness. The categories used are: Major Cities; Inner Regional Australia; Outer Regional Australia; Remote Australia; and Very Remote Australia.</w:t>
      </w:r>
    </w:p>
  </w:footnote>
  <w:footnote w:id="23">
    <w:p w:rsidR="00F738F9" w:rsidRDefault="00F738F9">
      <w:pPr>
        <w:pStyle w:val="FootnoteText"/>
      </w:pPr>
      <w:r>
        <w:rPr>
          <w:rStyle w:val="FootnoteReference"/>
        </w:rPr>
        <w:footnoteRef/>
      </w:r>
      <w:r>
        <w:tab/>
        <w:t>Only 0.4 per cent of the HILDA sample of individual respondents in 2010 resided in very remote areas while 1.7 per cent lived in remote areas. Just under 5 per cent of people aged 15 years plus in outer regional Australia were assessed as deeply and persistently excluded in 2010 followed by 4.3 per cent of people of the same age in inner regional Australia and 3.5 per cent of people in major cities. A person was assessed as persistently and deeply excluded if they recorded a score greater to or equal to 2 for at least four out of nine years.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F738F9">
      <w:tc>
        <w:tcPr>
          <w:tcW w:w="2155" w:type="dxa"/>
          <w:tcBorders>
            <w:top w:val="single" w:sz="24" w:space="0" w:color="auto"/>
          </w:tcBorders>
        </w:tcPr>
        <w:p w:rsidR="00F738F9" w:rsidRDefault="00F738F9" w:rsidP="0019293B">
          <w:pPr>
            <w:pStyle w:val="HeaderEven"/>
          </w:pPr>
        </w:p>
      </w:tc>
      <w:tc>
        <w:tcPr>
          <w:tcW w:w="6634" w:type="dxa"/>
          <w:tcBorders>
            <w:top w:val="single" w:sz="6" w:space="0" w:color="auto"/>
          </w:tcBorders>
        </w:tcPr>
        <w:p w:rsidR="00F738F9" w:rsidRDefault="00F738F9" w:rsidP="0019293B">
          <w:pPr>
            <w:pStyle w:val="HeaderEven"/>
          </w:pPr>
        </w:p>
      </w:tc>
    </w:tr>
  </w:tbl>
  <w:p w:rsidR="00F738F9" w:rsidRDefault="00F738F9"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F738F9" w:rsidTr="003D6CA9">
      <w:tc>
        <w:tcPr>
          <w:tcW w:w="6634" w:type="dxa"/>
          <w:tcBorders>
            <w:top w:val="single" w:sz="6" w:space="0" w:color="auto"/>
          </w:tcBorders>
        </w:tcPr>
        <w:p w:rsidR="00F738F9" w:rsidRDefault="00F738F9" w:rsidP="003D6CA9">
          <w:pPr>
            <w:pStyle w:val="HeaderOdd"/>
          </w:pPr>
        </w:p>
      </w:tc>
      <w:tc>
        <w:tcPr>
          <w:tcW w:w="2155" w:type="dxa"/>
          <w:tcBorders>
            <w:top w:val="single" w:sz="24" w:space="0" w:color="auto"/>
          </w:tcBorders>
        </w:tcPr>
        <w:p w:rsidR="00F738F9" w:rsidRDefault="00F738F9" w:rsidP="003D6CA9">
          <w:pPr>
            <w:pStyle w:val="HeaderOdd"/>
          </w:pPr>
        </w:p>
      </w:tc>
    </w:tr>
  </w:tbl>
  <w:p w:rsidR="00F738F9" w:rsidRDefault="00F738F9" w:rsidP="005E0FE6">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55A227B"/>
    <w:multiLevelType w:val="hybridMultilevel"/>
    <w:tmpl w:val="E13A24C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3A602DCF"/>
    <w:multiLevelType w:val="hybridMultilevel"/>
    <w:tmpl w:val="B7BEA0E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6">
    <w:nsid w:val="51F74561"/>
    <w:multiLevelType w:val="singleLevel"/>
    <w:tmpl w:val="ED98921A"/>
    <w:lvl w:ilvl="0">
      <w:start w:val="1"/>
      <w:numFmt w:val="decimal"/>
      <w:lvlText w:val="%1."/>
      <w:legacy w:legacy="1" w:legacySpace="0" w:legacyIndent="340"/>
      <w:lvlJc w:val="left"/>
      <w:pPr>
        <w:ind w:left="340" w:hanging="340"/>
      </w:pPr>
    </w:lvl>
  </w:abstractNum>
  <w:abstractNum w:abstractNumId="27">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8">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9">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3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1">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2">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3">
    <w:nsid w:val="5A096576"/>
    <w:multiLevelType w:val="singleLevel"/>
    <w:tmpl w:val="ED98921A"/>
    <w:lvl w:ilvl="0">
      <w:start w:val="1"/>
      <w:numFmt w:val="decimal"/>
      <w:lvlText w:val="%1."/>
      <w:legacy w:legacy="1" w:legacySpace="0" w:legacyIndent="340"/>
      <w:lvlJc w:val="left"/>
      <w:pPr>
        <w:ind w:left="340" w:hanging="340"/>
      </w:pPr>
    </w:lvl>
  </w:abstractNum>
  <w:abstractNum w:abstractNumId="34">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60055F7F"/>
    <w:multiLevelType w:val="singleLevel"/>
    <w:tmpl w:val="ED98921A"/>
    <w:lvl w:ilvl="0">
      <w:start w:val="1"/>
      <w:numFmt w:val="decimal"/>
      <w:lvlText w:val="%1."/>
      <w:legacy w:legacy="1" w:legacySpace="0" w:legacyIndent="340"/>
      <w:lvlJc w:val="left"/>
      <w:pPr>
        <w:ind w:left="340" w:hanging="340"/>
      </w:pPr>
    </w:lvl>
  </w:abstractNum>
  <w:abstractNum w:abstractNumId="36">
    <w:nsid w:val="608E741E"/>
    <w:multiLevelType w:val="singleLevel"/>
    <w:tmpl w:val="ED98921A"/>
    <w:lvl w:ilvl="0">
      <w:start w:val="1"/>
      <w:numFmt w:val="decimal"/>
      <w:lvlText w:val="%1."/>
      <w:legacy w:legacy="1" w:legacySpace="0" w:legacyIndent="340"/>
      <w:lvlJc w:val="left"/>
      <w:pPr>
        <w:ind w:left="340" w:hanging="340"/>
      </w:pPr>
    </w:lvl>
  </w:abstractNum>
  <w:abstractNum w:abstractNumId="37">
    <w:nsid w:val="61320C1E"/>
    <w:multiLevelType w:val="singleLevel"/>
    <w:tmpl w:val="C444122C"/>
    <w:lvl w:ilvl="0">
      <w:start w:val="1"/>
      <w:numFmt w:val="decimal"/>
      <w:lvlText w:val="%1."/>
      <w:legacy w:legacy="1" w:legacySpace="0" w:legacyIndent="284"/>
      <w:lvlJc w:val="left"/>
      <w:pPr>
        <w:ind w:left="284" w:hanging="284"/>
      </w:pPr>
    </w:lvl>
  </w:abstractNum>
  <w:abstractNum w:abstractNumId="38">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9">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40">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1">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2">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6">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0"/>
  </w:num>
  <w:num w:numId="3">
    <w:abstractNumId w:val="44"/>
  </w:num>
  <w:num w:numId="4">
    <w:abstractNumId w:val="7"/>
  </w:num>
  <w:num w:numId="5">
    <w:abstractNumId w:val="5"/>
  </w:num>
  <w:num w:numId="6">
    <w:abstractNumId w:val="27"/>
  </w:num>
  <w:num w:numId="7">
    <w:abstractNumId w:val="3"/>
  </w:num>
  <w:num w:numId="8">
    <w:abstractNumId w:val="9"/>
  </w:num>
  <w:num w:numId="9">
    <w:abstractNumId w:val="2"/>
  </w:num>
  <w:num w:numId="10">
    <w:abstractNumId w:val="39"/>
  </w:num>
  <w:num w:numId="11">
    <w:abstractNumId w:val="4"/>
  </w:num>
  <w:num w:numId="12">
    <w:abstractNumId w:val="1"/>
  </w:num>
  <w:num w:numId="13">
    <w:abstractNumId w:val="0"/>
  </w:num>
  <w:num w:numId="14">
    <w:abstractNumId w:val="30"/>
  </w:num>
  <w:num w:numId="15">
    <w:abstractNumId w:val="45"/>
  </w:num>
  <w:num w:numId="16">
    <w:abstractNumId w:val="17"/>
  </w:num>
  <w:num w:numId="17">
    <w:abstractNumId w:val="16"/>
  </w:num>
  <w:num w:numId="18">
    <w:abstractNumId w:val="28"/>
  </w:num>
  <w:num w:numId="19">
    <w:abstractNumId w:val="12"/>
  </w:num>
  <w:num w:numId="20">
    <w:abstractNumId w:val="36"/>
  </w:num>
  <w:num w:numId="21">
    <w:abstractNumId w:val="38"/>
  </w:num>
  <w:num w:numId="22">
    <w:abstractNumId w:val="26"/>
  </w:num>
  <w:num w:numId="23">
    <w:abstractNumId w:val="29"/>
  </w:num>
  <w:num w:numId="24">
    <w:abstractNumId w:val="31"/>
  </w:num>
  <w:num w:numId="25">
    <w:abstractNumId w:val="43"/>
  </w:num>
  <w:num w:numId="26">
    <w:abstractNumId w:val="35"/>
  </w:num>
  <w:num w:numId="27">
    <w:abstractNumId w:val="40"/>
  </w:num>
  <w:num w:numId="28">
    <w:abstractNumId w:val="41"/>
  </w:num>
  <w:num w:numId="29">
    <w:abstractNumId w:val="33"/>
  </w:num>
  <w:num w:numId="30">
    <w:abstractNumId w:val="22"/>
  </w:num>
  <w:num w:numId="31">
    <w:abstractNumId w:val="46"/>
  </w:num>
  <w:num w:numId="32">
    <w:abstractNumId w:val="15"/>
  </w:num>
  <w:num w:numId="33">
    <w:abstractNumId w:val="8"/>
  </w:num>
  <w:num w:numId="34">
    <w:abstractNumId w:val="19"/>
  </w:num>
  <w:num w:numId="35">
    <w:abstractNumId w:val="42"/>
  </w:num>
  <w:num w:numId="36">
    <w:abstractNumId w:val="34"/>
  </w:num>
  <w:num w:numId="37">
    <w:abstractNumId w:val="13"/>
  </w:num>
  <w:num w:numId="38">
    <w:abstractNumId w:val="37"/>
  </w:num>
  <w:num w:numId="39">
    <w:abstractNumId w:val="14"/>
  </w:num>
  <w:num w:numId="40">
    <w:abstractNumId w:val="17"/>
  </w:num>
  <w:num w:numId="41">
    <w:abstractNumId w:val="9"/>
  </w:num>
  <w:num w:numId="42">
    <w:abstractNumId w:val="25"/>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3"/>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20"/>
  </w:num>
  <w:num w:numId="49">
    <w:abstractNumId w:val="24"/>
  </w:num>
  <w:num w:numId="50">
    <w:abstractNumId w:val="32"/>
  </w:num>
  <w:num w:numId="51">
    <w:abstractNumId w:val="10"/>
  </w:num>
  <w:num w:numId="52">
    <w:abstractNumId w:val="10"/>
  </w:num>
  <w:num w:numId="53">
    <w:abstractNumId w:val="21"/>
  </w:num>
  <w:num w:numId="54">
    <w:abstractNumId w:val="10"/>
  </w:num>
  <w:num w:numId="55">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The extent of disadvantage in Australia"/>
    <w:docVar w:name="ShortReportTitle" w:val="Deep and persistent disadvantage"/>
  </w:docVars>
  <w:rsids>
    <w:rsidRoot w:val="00F03AF6"/>
    <w:rsid w:val="00000181"/>
    <w:rsid w:val="00000C18"/>
    <w:rsid w:val="00001284"/>
    <w:rsid w:val="00002228"/>
    <w:rsid w:val="000025FC"/>
    <w:rsid w:val="00003022"/>
    <w:rsid w:val="00003257"/>
    <w:rsid w:val="00003276"/>
    <w:rsid w:val="000033C3"/>
    <w:rsid w:val="00003764"/>
    <w:rsid w:val="0000406C"/>
    <w:rsid w:val="00004D29"/>
    <w:rsid w:val="0000535A"/>
    <w:rsid w:val="00005B19"/>
    <w:rsid w:val="00005B75"/>
    <w:rsid w:val="000069D6"/>
    <w:rsid w:val="00006A5C"/>
    <w:rsid w:val="00006BA6"/>
    <w:rsid w:val="00006F64"/>
    <w:rsid w:val="00007928"/>
    <w:rsid w:val="000101ED"/>
    <w:rsid w:val="00010389"/>
    <w:rsid w:val="00010D31"/>
    <w:rsid w:val="000111DB"/>
    <w:rsid w:val="0001171B"/>
    <w:rsid w:val="00011AF3"/>
    <w:rsid w:val="00011C0A"/>
    <w:rsid w:val="000124C7"/>
    <w:rsid w:val="0001266E"/>
    <w:rsid w:val="00012AA0"/>
    <w:rsid w:val="00012BDE"/>
    <w:rsid w:val="000138B0"/>
    <w:rsid w:val="00013A26"/>
    <w:rsid w:val="00014535"/>
    <w:rsid w:val="00014AF5"/>
    <w:rsid w:val="00015105"/>
    <w:rsid w:val="00015713"/>
    <w:rsid w:val="000158E7"/>
    <w:rsid w:val="00015A5E"/>
    <w:rsid w:val="00015E85"/>
    <w:rsid w:val="00017078"/>
    <w:rsid w:val="000173C2"/>
    <w:rsid w:val="0001783C"/>
    <w:rsid w:val="00017CBA"/>
    <w:rsid w:val="00017EEB"/>
    <w:rsid w:val="00020414"/>
    <w:rsid w:val="00020A5A"/>
    <w:rsid w:val="00020EA5"/>
    <w:rsid w:val="00021124"/>
    <w:rsid w:val="00021C2F"/>
    <w:rsid w:val="00022211"/>
    <w:rsid w:val="00022CF9"/>
    <w:rsid w:val="00022FAE"/>
    <w:rsid w:val="0002307F"/>
    <w:rsid w:val="00023EFE"/>
    <w:rsid w:val="000245AA"/>
    <w:rsid w:val="00025A55"/>
    <w:rsid w:val="0002622F"/>
    <w:rsid w:val="0002707D"/>
    <w:rsid w:val="0002785D"/>
    <w:rsid w:val="00027A14"/>
    <w:rsid w:val="00027EC3"/>
    <w:rsid w:val="000303C5"/>
    <w:rsid w:val="00030C80"/>
    <w:rsid w:val="00031367"/>
    <w:rsid w:val="00032A42"/>
    <w:rsid w:val="00032F4B"/>
    <w:rsid w:val="00033CF4"/>
    <w:rsid w:val="0003512E"/>
    <w:rsid w:val="00035195"/>
    <w:rsid w:val="00036443"/>
    <w:rsid w:val="0003664B"/>
    <w:rsid w:val="000379B3"/>
    <w:rsid w:val="00037F89"/>
    <w:rsid w:val="00040439"/>
    <w:rsid w:val="00040A55"/>
    <w:rsid w:val="00040ED6"/>
    <w:rsid w:val="00040FF4"/>
    <w:rsid w:val="0004111F"/>
    <w:rsid w:val="00041134"/>
    <w:rsid w:val="000429DD"/>
    <w:rsid w:val="00042E91"/>
    <w:rsid w:val="00043795"/>
    <w:rsid w:val="00043E9C"/>
    <w:rsid w:val="000440A2"/>
    <w:rsid w:val="00044656"/>
    <w:rsid w:val="00044BDF"/>
    <w:rsid w:val="00045DAA"/>
    <w:rsid w:val="00046214"/>
    <w:rsid w:val="000475BF"/>
    <w:rsid w:val="0004791A"/>
    <w:rsid w:val="000507F0"/>
    <w:rsid w:val="00051181"/>
    <w:rsid w:val="0005128E"/>
    <w:rsid w:val="000517A3"/>
    <w:rsid w:val="00052087"/>
    <w:rsid w:val="00052844"/>
    <w:rsid w:val="0005418B"/>
    <w:rsid w:val="00054225"/>
    <w:rsid w:val="00054BF1"/>
    <w:rsid w:val="000556D3"/>
    <w:rsid w:val="000561FA"/>
    <w:rsid w:val="0005634E"/>
    <w:rsid w:val="000565B3"/>
    <w:rsid w:val="00056CB1"/>
    <w:rsid w:val="00057014"/>
    <w:rsid w:val="000570DB"/>
    <w:rsid w:val="00057CA1"/>
    <w:rsid w:val="000601EA"/>
    <w:rsid w:val="00061432"/>
    <w:rsid w:val="00061A55"/>
    <w:rsid w:val="000621C9"/>
    <w:rsid w:val="00062A22"/>
    <w:rsid w:val="00063757"/>
    <w:rsid w:val="00063E97"/>
    <w:rsid w:val="00063EEB"/>
    <w:rsid w:val="0006421E"/>
    <w:rsid w:val="000648D5"/>
    <w:rsid w:val="000649B1"/>
    <w:rsid w:val="0006595E"/>
    <w:rsid w:val="00065A5B"/>
    <w:rsid w:val="00065F12"/>
    <w:rsid w:val="00066CD8"/>
    <w:rsid w:val="00067220"/>
    <w:rsid w:val="00067559"/>
    <w:rsid w:val="00067A41"/>
    <w:rsid w:val="00071114"/>
    <w:rsid w:val="0007150B"/>
    <w:rsid w:val="00071559"/>
    <w:rsid w:val="00072017"/>
    <w:rsid w:val="00072CA5"/>
    <w:rsid w:val="000737A0"/>
    <w:rsid w:val="00073E1F"/>
    <w:rsid w:val="00074149"/>
    <w:rsid w:val="0007600C"/>
    <w:rsid w:val="00076BDF"/>
    <w:rsid w:val="00077123"/>
    <w:rsid w:val="000771FE"/>
    <w:rsid w:val="00077350"/>
    <w:rsid w:val="000773F7"/>
    <w:rsid w:val="00077F82"/>
    <w:rsid w:val="00077FBF"/>
    <w:rsid w:val="00080176"/>
    <w:rsid w:val="00080332"/>
    <w:rsid w:val="00080B2F"/>
    <w:rsid w:val="00080B71"/>
    <w:rsid w:val="00080FCF"/>
    <w:rsid w:val="0008306B"/>
    <w:rsid w:val="000841A9"/>
    <w:rsid w:val="000855A6"/>
    <w:rsid w:val="000861E8"/>
    <w:rsid w:val="00086D77"/>
    <w:rsid w:val="00086EB7"/>
    <w:rsid w:val="00087904"/>
    <w:rsid w:val="00087BE2"/>
    <w:rsid w:val="0009113F"/>
    <w:rsid w:val="000912CB"/>
    <w:rsid w:val="00091B95"/>
    <w:rsid w:val="00091BD2"/>
    <w:rsid w:val="00092251"/>
    <w:rsid w:val="0009268E"/>
    <w:rsid w:val="00092753"/>
    <w:rsid w:val="0009295E"/>
    <w:rsid w:val="00092D40"/>
    <w:rsid w:val="000932D3"/>
    <w:rsid w:val="000938F5"/>
    <w:rsid w:val="00093AA9"/>
    <w:rsid w:val="0009443B"/>
    <w:rsid w:val="000961B2"/>
    <w:rsid w:val="000966A4"/>
    <w:rsid w:val="00097C97"/>
    <w:rsid w:val="00097FDE"/>
    <w:rsid w:val="000A0A87"/>
    <w:rsid w:val="000A22B3"/>
    <w:rsid w:val="000A253D"/>
    <w:rsid w:val="000A2F3B"/>
    <w:rsid w:val="000A3146"/>
    <w:rsid w:val="000A398C"/>
    <w:rsid w:val="000A5AD9"/>
    <w:rsid w:val="000A5F4F"/>
    <w:rsid w:val="000A6C48"/>
    <w:rsid w:val="000A6C95"/>
    <w:rsid w:val="000A6F6D"/>
    <w:rsid w:val="000A7712"/>
    <w:rsid w:val="000A7A57"/>
    <w:rsid w:val="000A7F1A"/>
    <w:rsid w:val="000B05CD"/>
    <w:rsid w:val="000B0811"/>
    <w:rsid w:val="000B0814"/>
    <w:rsid w:val="000B1627"/>
    <w:rsid w:val="000B170B"/>
    <w:rsid w:val="000B20A5"/>
    <w:rsid w:val="000B30C5"/>
    <w:rsid w:val="000B33F0"/>
    <w:rsid w:val="000B3A79"/>
    <w:rsid w:val="000B3DD0"/>
    <w:rsid w:val="000B4E5A"/>
    <w:rsid w:val="000B601B"/>
    <w:rsid w:val="000B6054"/>
    <w:rsid w:val="000B647D"/>
    <w:rsid w:val="000B6980"/>
    <w:rsid w:val="000B6A82"/>
    <w:rsid w:val="000B7674"/>
    <w:rsid w:val="000C038A"/>
    <w:rsid w:val="000C103D"/>
    <w:rsid w:val="000C1EF1"/>
    <w:rsid w:val="000C207E"/>
    <w:rsid w:val="000C21A7"/>
    <w:rsid w:val="000C2907"/>
    <w:rsid w:val="000C292C"/>
    <w:rsid w:val="000C2FE8"/>
    <w:rsid w:val="000C4D93"/>
    <w:rsid w:val="000C4F92"/>
    <w:rsid w:val="000C58AD"/>
    <w:rsid w:val="000C5C95"/>
    <w:rsid w:val="000C5F52"/>
    <w:rsid w:val="000C6497"/>
    <w:rsid w:val="000C6F5F"/>
    <w:rsid w:val="000C71F4"/>
    <w:rsid w:val="000C78E8"/>
    <w:rsid w:val="000C795C"/>
    <w:rsid w:val="000D0266"/>
    <w:rsid w:val="000D0C2C"/>
    <w:rsid w:val="000D2C5C"/>
    <w:rsid w:val="000D3597"/>
    <w:rsid w:val="000D36F4"/>
    <w:rsid w:val="000D3948"/>
    <w:rsid w:val="000D3B06"/>
    <w:rsid w:val="000D41C6"/>
    <w:rsid w:val="000D4E47"/>
    <w:rsid w:val="000D53A9"/>
    <w:rsid w:val="000D57B8"/>
    <w:rsid w:val="000D5F8E"/>
    <w:rsid w:val="000D61F5"/>
    <w:rsid w:val="000D6608"/>
    <w:rsid w:val="000D6D27"/>
    <w:rsid w:val="000D7842"/>
    <w:rsid w:val="000D7CCB"/>
    <w:rsid w:val="000E04FD"/>
    <w:rsid w:val="000E0BE7"/>
    <w:rsid w:val="000E1AE2"/>
    <w:rsid w:val="000E22B9"/>
    <w:rsid w:val="000E242A"/>
    <w:rsid w:val="000E318B"/>
    <w:rsid w:val="000E324A"/>
    <w:rsid w:val="000E327D"/>
    <w:rsid w:val="000E3D93"/>
    <w:rsid w:val="000E472B"/>
    <w:rsid w:val="000E4962"/>
    <w:rsid w:val="000E4C32"/>
    <w:rsid w:val="000E5292"/>
    <w:rsid w:val="000E598A"/>
    <w:rsid w:val="000E5A09"/>
    <w:rsid w:val="000E6A1A"/>
    <w:rsid w:val="000E6FF1"/>
    <w:rsid w:val="000E756E"/>
    <w:rsid w:val="000F014A"/>
    <w:rsid w:val="000F0735"/>
    <w:rsid w:val="000F2235"/>
    <w:rsid w:val="000F27B0"/>
    <w:rsid w:val="000F2D0A"/>
    <w:rsid w:val="000F39BA"/>
    <w:rsid w:val="000F3A35"/>
    <w:rsid w:val="000F47BA"/>
    <w:rsid w:val="000F59C3"/>
    <w:rsid w:val="000F5D92"/>
    <w:rsid w:val="000F6328"/>
    <w:rsid w:val="000F6341"/>
    <w:rsid w:val="000F65C0"/>
    <w:rsid w:val="000F6869"/>
    <w:rsid w:val="000F6B51"/>
    <w:rsid w:val="000F6B80"/>
    <w:rsid w:val="000F7463"/>
    <w:rsid w:val="000F7F6B"/>
    <w:rsid w:val="00100415"/>
    <w:rsid w:val="00100448"/>
    <w:rsid w:val="00100682"/>
    <w:rsid w:val="001006C5"/>
    <w:rsid w:val="00100E02"/>
    <w:rsid w:val="0010174A"/>
    <w:rsid w:val="00102AE4"/>
    <w:rsid w:val="00102C64"/>
    <w:rsid w:val="00102E53"/>
    <w:rsid w:val="001030E3"/>
    <w:rsid w:val="00103F88"/>
    <w:rsid w:val="00104AD0"/>
    <w:rsid w:val="001051E1"/>
    <w:rsid w:val="001052A8"/>
    <w:rsid w:val="00105676"/>
    <w:rsid w:val="00105AC2"/>
    <w:rsid w:val="00106BAF"/>
    <w:rsid w:val="001074E1"/>
    <w:rsid w:val="001078D1"/>
    <w:rsid w:val="00110116"/>
    <w:rsid w:val="00111FE9"/>
    <w:rsid w:val="00112354"/>
    <w:rsid w:val="001125E5"/>
    <w:rsid w:val="00112E8C"/>
    <w:rsid w:val="001134D0"/>
    <w:rsid w:val="001138B7"/>
    <w:rsid w:val="00113D8C"/>
    <w:rsid w:val="001140DA"/>
    <w:rsid w:val="00114FA2"/>
    <w:rsid w:val="0011551E"/>
    <w:rsid w:val="001165C6"/>
    <w:rsid w:val="00116FC1"/>
    <w:rsid w:val="00117087"/>
    <w:rsid w:val="00120190"/>
    <w:rsid w:val="001209FD"/>
    <w:rsid w:val="00121319"/>
    <w:rsid w:val="001218B5"/>
    <w:rsid w:val="00121A1C"/>
    <w:rsid w:val="001222D0"/>
    <w:rsid w:val="0012248F"/>
    <w:rsid w:val="00122632"/>
    <w:rsid w:val="0012269B"/>
    <w:rsid w:val="0012299D"/>
    <w:rsid w:val="00122D68"/>
    <w:rsid w:val="00124A07"/>
    <w:rsid w:val="0012520F"/>
    <w:rsid w:val="00125ECC"/>
    <w:rsid w:val="001261E6"/>
    <w:rsid w:val="001262E7"/>
    <w:rsid w:val="001263AF"/>
    <w:rsid w:val="00126E49"/>
    <w:rsid w:val="00126EB8"/>
    <w:rsid w:val="001275A4"/>
    <w:rsid w:val="0012783B"/>
    <w:rsid w:val="001279A5"/>
    <w:rsid w:val="00127D6D"/>
    <w:rsid w:val="00127E02"/>
    <w:rsid w:val="001301B2"/>
    <w:rsid w:val="00130318"/>
    <w:rsid w:val="00130C3D"/>
    <w:rsid w:val="001312FE"/>
    <w:rsid w:val="001318C7"/>
    <w:rsid w:val="00132E94"/>
    <w:rsid w:val="001330EB"/>
    <w:rsid w:val="001340C1"/>
    <w:rsid w:val="0013485C"/>
    <w:rsid w:val="00135ACB"/>
    <w:rsid w:val="00135BF4"/>
    <w:rsid w:val="00135C28"/>
    <w:rsid w:val="001363AA"/>
    <w:rsid w:val="00136DA4"/>
    <w:rsid w:val="00137D0C"/>
    <w:rsid w:val="0014054F"/>
    <w:rsid w:val="001409FB"/>
    <w:rsid w:val="00142337"/>
    <w:rsid w:val="001424D5"/>
    <w:rsid w:val="00142BA9"/>
    <w:rsid w:val="00143943"/>
    <w:rsid w:val="00143977"/>
    <w:rsid w:val="00144203"/>
    <w:rsid w:val="00144C0E"/>
    <w:rsid w:val="00145BEE"/>
    <w:rsid w:val="00145CFF"/>
    <w:rsid w:val="00145E30"/>
    <w:rsid w:val="00145F1F"/>
    <w:rsid w:val="0014602E"/>
    <w:rsid w:val="001460FE"/>
    <w:rsid w:val="00146409"/>
    <w:rsid w:val="00146FB3"/>
    <w:rsid w:val="001476DF"/>
    <w:rsid w:val="00147FCA"/>
    <w:rsid w:val="001507DE"/>
    <w:rsid w:val="00150D22"/>
    <w:rsid w:val="00151395"/>
    <w:rsid w:val="0015145A"/>
    <w:rsid w:val="00151EDB"/>
    <w:rsid w:val="001523CB"/>
    <w:rsid w:val="0015245F"/>
    <w:rsid w:val="0015280F"/>
    <w:rsid w:val="00153F68"/>
    <w:rsid w:val="001546D4"/>
    <w:rsid w:val="001554E4"/>
    <w:rsid w:val="00155C71"/>
    <w:rsid w:val="00156776"/>
    <w:rsid w:val="00156AF1"/>
    <w:rsid w:val="00156D3C"/>
    <w:rsid w:val="00160623"/>
    <w:rsid w:val="0016074C"/>
    <w:rsid w:val="00160851"/>
    <w:rsid w:val="00161487"/>
    <w:rsid w:val="00161720"/>
    <w:rsid w:val="00161786"/>
    <w:rsid w:val="00161AA6"/>
    <w:rsid w:val="00161E3E"/>
    <w:rsid w:val="00161F2F"/>
    <w:rsid w:val="00162F97"/>
    <w:rsid w:val="00163859"/>
    <w:rsid w:val="00163D85"/>
    <w:rsid w:val="00164283"/>
    <w:rsid w:val="00164A73"/>
    <w:rsid w:val="00165304"/>
    <w:rsid w:val="001655DC"/>
    <w:rsid w:val="00166800"/>
    <w:rsid w:val="00167955"/>
    <w:rsid w:val="00170FAE"/>
    <w:rsid w:val="001714AF"/>
    <w:rsid w:val="001716A8"/>
    <w:rsid w:val="0017233C"/>
    <w:rsid w:val="0017311A"/>
    <w:rsid w:val="0017453B"/>
    <w:rsid w:val="0017499E"/>
    <w:rsid w:val="00175B0A"/>
    <w:rsid w:val="00175E24"/>
    <w:rsid w:val="001761C1"/>
    <w:rsid w:val="00176C14"/>
    <w:rsid w:val="00176C80"/>
    <w:rsid w:val="001770ED"/>
    <w:rsid w:val="00177271"/>
    <w:rsid w:val="0017764A"/>
    <w:rsid w:val="001802D1"/>
    <w:rsid w:val="00180601"/>
    <w:rsid w:val="001808B6"/>
    <w:rsid w:val="001809D9"/>
    <w:rsid w:val="00180E66"/>
    <w:rsid w:val="00180EBD"/>
    <w:rsid w:val="001811D3"/>
    <w:rsid w:val="00182168"/>
    <w:rsid w:val="001824A8"/>
    <w:rsid w:val="00182688"/>
    <w:rsid w:val="00182720"/>
    <w:rsid w:val="001827A5"/>
    <w:rsid w:val="00182D9C"/>
    <w:rsid w:val="0018396C"/>
    <w:rsid w:val="00183B9A"/>
    <w:rsid w:val="00183E82"/>
    <w:rsid w:val="001841FD"/>
    <w:rsid w:val="0018431C"/>
    <w:rsid w:val="00184421"/>
    <w:rsid w:val="00184A3B"/>
    <w:rsid w:val="001850B3"/>
    <w:rsid w:val="001858D0"/>
    <w:rsid w:val="0018590B"/>
    <w:rsid w:val="0018598D"/>
    <w:rsid w:val="00185AF6"/>
    <w:rsid w:val="00185BF1"/>
    <w:rsid w:val="00185E2E"/>
    <w:rsid w:val="00186EFA"/>
    <w:rsid w:val="00186F4B"/>
    <w:rsid w:val="001871F8"/>
    <w:rsid w:val="00187DD9"/>
    <w:rsid w:val="00187E7F"/>
    <w:rsid w:val="00190026"/>
    <w:rsid w:val="0019069A"/>
    <w:rsid w:val="00190B3E"/>
    <w:rsid w:val="00190ED1"/>
    <w:rsid w:val="0019103E"/>
    <w:rsid w:val="00191AC5"/>
    <w:rsid w:val="00192550"/>
    <w:rsid w:val="0019293B"/>
    <w:rsid w:val="00192CDE"/>
    <w:rsid w:val="00193018"/>
    <w:rsid w:val="00193F7D"/>
    <w:rsid w:val="001946CE"/>
    <w:rsid w:val="00195D9F"/>
    <w:rsid w:val="00196A24"/>
    <w:rsid w:val="00196B70"/>
    <w:rsid w:val="00196C99"/>
    <w:rsid w:val="001A0083"/>
    <w:rsid w:val="001A0422"/>
    <w:rsid w:val="001A0992"/>
    <w:rsid w:val="001A15F1"/>
    <w:rsid w:val="001A16DC"/>
    <w:rsid w:val="001A16F5"/>
    <w:rsid w:val="001A1C0C"/>
    <w:rsid w:val="001A1CC1"/>
    <w:rsid w:val="001A299A"/>
    <w:rsid w:val="001A3095"/>
    <w:rsid w:val="001A3814"/>
    <w:rsid w:val="001A440B"/>
    <w:rsid w:val="001A4A60"/>
    <w:rsid w:val="001A50B8"/>
    <w:rsid w:val="001A5287"/>
    <w:rsid w:val="001A5E30"/>
    <w:rsid w:val="001A6506"/>
    <w:rsid w:val="001A6A51"/>
    <w:rsid w:val="001A7253"/>
    <w:rsid w:val="001A7326"/>
    <w:rsid w:val="001A7462"/>
    <w:rsid w:val="001A7917"/>
    <w:rsid w:val="001A7A31"/>
    <w:rsid w:val="001B19DB"/>
    <w:rsid w:val="001B21F8"/>
    <w:rsid w:val="001B22B1"/>
    <w:rsid w:val="001B2594"/>
    <w:rsid w:val="001B4140"/>
    <w:rsid w:val="001B4AB0"/>
    <w:rsid w:val="001B518F"/>
    <w:rsid w:val="001B51F6"/>
    <w:rsid w:val="001B5F1F"/>
    <w:rsid w:val="001B6134"/>
    <w:rsid w:val="001B66FF"/>
    <w:rsid w:val="001B67D2"/>
    <w:rsid w:val="001B6BBD"/>
    <w:rsid w:val="001B7834"/>
    <w:rsid w:val="001B7CC0"/>
    <w:rsid w:val="001B7DE1"/>
    <w:rsid w:val="001C022C"/>
    <w:rsid w:val="001C0551"/>
    <w:rsid w:val="001C0865"/>
    <w:rsid w:val="001C1659"/>
    <w:rsid w:val="001C1A1E"/>
    <w:rsid w:val="001C1E3A"/>
    <w:rsid w:val="001C26F2"/>
    <w:rsid w:val="001C278A"/>
    <w:rsid w:val="001C307B"/>
    <w:rsid w:val="001C318C"/>
    <w:rsid w:val="001C3ABA"/>
    <w:rsid w:val="001C489D"/>
    <w:rsid w:val="001C501B"/>
    <w:rsid w:val="001C5045"/>
    <w:rsid w:val="001C51A5"/>
    <w:rsid w:val="001C6ABD"/>
    <w:rsid w:val="001D0141"/>
    <w:rsid w:val="001D05FE"/>
    <w:rsid w:val="001D1DA2"/>
    <w:rsid w:val="001D1F51"/>
    <w:rsid w:val="001D25BF"/>
    <w:rsid w:val="001D26AC"/>
    <w:rsid w:val="001D2C4E"/>
    <w:rsid w:val="001D2D63"/>
    <w:rsid w:val="001D31EB"/>
    <w:rsid w:val="001D339A"/>
    <w:rsid w:val="001D4F04"/>
    <w:rsid w:val="001D5429"/>
    <w:rsid w:val="001D5678"/>
    <w:rsid w:val="001D5758"/>
    <w:rsid w:val="001D5CC9"/>
    <w:rsid w:val="001E019F"/>
    <w:rsid w:val="001E04AB"/>
    <w:rsid w:val="001E0878"/>
    <w:rsid w:val="001E0DE3"/>
    <w:rsid w:val="001E1180"/>
    <w:rsid w:val="001E1192"/>
    <w:rsid w:val="001E17F4"/>
    <w:rsid w:val="001E1A25"/>
    <w:rsid w:val="001E26F6"/>
    <w:rsid w:val="001E3506"/>
    <w:rsid w:val="001E3927"/>
    <w:rsid w:val="001E4011"/>
    <w:rsid w:val="001E4543"/>
    <w:rsid w:val="001E4747"/>
    <w:rsid w:val="001E4775"/>
    <w:rsid w:val="001E488B"/>
    <w:rsid w:val="001E4A1C"/>
    <w:rsid w:val="001E4E8A"/>
    <w:rsid w:val="001E5436"/>
    <w:rsid w:val="001E569B"/>
    <w:rsid w:val="001E6276"/>
    <w:rsid w:val="001E6353"/>
    <w:rsid w:val="001E688B"/>
    <w:rsid w:val="001E6DE0"/>
    <w:rsid w:val="001E715E"/>
    <w:rsid w:val="001E73D1"/>
    <w:rsid w:val="001E7BE8"/>
    <w:rsid w:val="001F00BD"/>
    <w:rsid w:val="001F0248"/>
    <w:rsid w:val="001F028B"/>
    <w:rsid w:val="001F0FB6"/>
    <w:rsid w:val="001F2109"/>
    <w:rsid w:val="001F219E"/>
    <w:rsid w:val="001F232D"/>
    <w:rsid w:val="001F2C33"/>
    <w:rsid w:val="001F3EB3"/>
    <w:rsid w:val="001F497E"/>
    <w:rsid w:val="001F4E87"/>
    <w:rsid w:val="001F5B21"/>
    <w:rsid w:val="001F5C74"/>
    <w:rsid w:val="001F607C"/>
    <w:rsid w:val="001F6B51"/>
    <w:rsid w:val="001F6F87"/>
    <w:rsid w:val="001F6F92"/>
    <w:rsid w:val="001F710C"/>
    <w:rsid w:val="001F7A94"/>
    <w:rsid w:val="001F7D7D"/>
    <w:rsid w:val="00200AA9"/>
    <w:rsid w:val="002016D9"/>
    <w:rsid w:val="002017AA"/>
    <w:rsid w:val="00201E30"/>
    <w:rsid w:val="002024E2"/>
    <w:rsid w:val="00202C02"/>
    <w:rsid w:val="00202C2C"/>
    <w:rsid w:val="00202CDF"/>
    <w:rsid w:val="002033D9"/>
    <w:rsid w:val="002034F8"/>
    <w:rsid w:val="002038D7"/>
    <w:rsid w:val="002048E2"/>
    <w:rsid w:val="00205D94"/>
    <w:rsid w:val="002068A5"/>
    <w:rsid w:val="00206FB1"/>
    <w:rsid w:val="00207300"/>
    <w:rsid w:val="0020749F"/>
    <w:rsid w:val="002078CF"/>
    <w:rsid w:val="002102B9"/>
    <w:rsid w:val="00210DBD"/>
    <w:rsid w:val="00211082"/>
    <w:rsid w:val="0021141F"/>
    <w:rsid w:val="002115EC"/>
    <w:rsid w:val="00211778"/>
    <w:rsid w:val="00212395"/>
    <w:rsid w:val="002123FE"/>
    <w:rsid w:val="00212491"/>
    <w:rsid w:val="00212B9D"/>
    <w:rsid w:val="00212CCD"/>
    <w:rsid w:val="00213132"/>
    <w:rsid w:val="002133A1"/>
    <w:rsid w:val="002135A3"/>
    <w:rsid w:val="002138EE"/>
    <w:rsid w:val="002139F6"/>
    <w:rsid w:val="00213D52"/>
    <w:rsid w:val="0021404D"/>
    <w:rsid w:val="00214120"/>
    <w:rsid w:val="00214A38"/>
    <w:rsid w:val="00214A46"/>
    <w:rsid w:val="00215235"/>
    <w:rsid w:val="00215A94"/>
    <w:rsid w:val="00216235"/>
    <w:rsid w:val="002169EA"/>
    <w:rsid w:val="00216AA3"/>
    <w:rsid w:val="00217A3C"/>
    <w:rsid w:val="00217BBC"/>
    <w:rsid w:val="00220035"/>
    <w:rsid w:val="0022057B"/>
    <w:rsid w:val="002207B6"/>
    <w:rsid w:val="00220958"/>
    <w:rsid w:val="00220BB8"/>
    <w:rsid w:val="002212A9"/>
    <w:rsid w:val="00221410"/>
    <w:rsid w:val="00221857"/>
    <w:rsid w:val="00221DE7"/>
    <w:rsid w:val="002223A6"/>
    <w:rsid w:val="00222C0F"/>
    <w:rsid w:val="002234D9"/>
    <w:rsid w:val="00223CEB"/>
    <w:rsid w:val="002261DC"/>
    <w:rsid w:val="002266E1"/>
    <w:rsid w:val="00226CA1"/>
    <w:rsid w:val="0022756D"/>
    <w:rsid w:val="00227F79"/>
    <w:rsid w:val="00230081"/>
    <w:rsid w:val="0023082B"/>
    <w:rsid w:val="00230A3C"/>
    <w:rsid w:val="002317B1"/>
    <w:rsid w:val="002317D2"/>
    <w:rsid w:val="00231D04"/>
    <w:rsid w:val="00231D2B"/>
    <w:rsid w:val="002327CF"/>
    <w:rsid w:val="00232EB1"/>
    <w:rsid w:val="0023350C"/>
    <w:rsid w:val="00233A04"/>
    <w:rsid w:val="00233A96"/>
    <w:rsid w:val="00233E1D"/>
    <w:rsid w:val="00233EE4"/>
    <w:rsid w:val="00233F0B"/>
    <w:rsid w:val="00234188"/>
    <w:rsid w:val="002348CE"/>
    <w:rsid w:val="002353E8"/>
    <w:rsid w:val="00235CBA"/>
    <w:rsid w:val="00236706"/>
    <w:rsid w:val="002369F9"/>
    <w:rsid w:val="0023750C"/>
    <w:rsid w:val="00237E64"/>
    <w:rsid w:val="002404B1"/>
    <w:rsid w:val="002407D0"/>
    <w:rsid w:val="002408B9"/>
    <w:rsid w:val="00240931"/>
    <w:rsid w:val="00240B8B"/>
    <w:rsid w:val="00240BDA"/>
    <w:rsid w:val="00241370"/>
    <w:rsid w:val="00241497"/>
    <w:rsid w:val="00241738"/>
    <w:rsid w:val="0024200A"/>
    <w:rsid w:val="00242279"/>
    <w:rsid w:val="00242B21"/>
    <w:rsid w:val="002431B6"/>
    <w:rsid w:val="00244488"/>
    <w:rsid w:val="002446B8"/>
    <w:rsid w:val="002449B0"/>
    <w:rsid w:val="00244C6C"/>
    <w:rsid w:val="00245550"/>
    <w:rsid w:val="00245726"/>
    <w:rsid w:val="00245C82"/>
    <w:rsid w:val="00245D3C"/>
    <w:rsid w:val="00246757"/>
    <w:rsid w:val="0024686E"/>
    <w:rsid w:val="00247167"/>
    <w:rsid w:val="002478CF"/>
    <w:rsid w:val="00247DF0"/>
    <w:rsid w:val="002508B8"/>
    <w:rsid w:val="00250B88"/>
    <w:rsid w:val="00250EB7"/>
    <w:rsid w:val="00251809"/>
    <w:rsid w:val="00252310"/>
    <w:rsid w:val="00252C77"/>
    <w:rsid w:val="00253BD7"/>
    <w:rsid w:val="0025425E"/>
    <w:rsid w:val="002542C4"/>
    <w:rsid w:val="00254D79"/>
    <w:rsid w:val="00255451"/>
    <w:rsid w:val="0025579A"/>
    <w:rsid w:val="00255D3B"/>
    <w:rsid w:val="00255E00"/>
    <w:rsid w:val="002569EF"/>
    <w:rsid w:val="00256E11"/>
    <w:rsid w:val="00256EC7"/>
    <w:rsid w:val="00257185"/>
    <w:rsid w:val="00257215"/>
    <w:rsid w:val="00257A5A"/>
    <w:rsid w:val="0026035E"/>
    <w:rsid w:val="00260646"/>
    <w:rsid w:val="00260870"/>
    <w:rsid w:val="00260879"/>
    <w:rsid w:val="00262C1C"/>
    <w:rsid w:val="00262C4F"/>
    <w:rsid w:val="00262CFA"/>
    <w:rsid w:val="00263118"/>
    <w:rsid w:val="0026393B"/>
    <w:rsid w:val="00263A41"/>
    <w:rsid w:val="00263B2C"/>
    <w:rsid w:val="002644AA"/>
    <w:rsid w:val="002648AA"/>
    <w:rsid w:val="00265624"/>
    <w:rsid w:val="00265B97"/>
    <w:rsid w:val="002662EA"/>
    <w:rsid w:val="00266574"/>
    <w:rsid w:val="002665AF"/>
    <w:rsid w:val="00266ABE"/>
    <w:rsid w:val="00267392"/>
    <w:rsid w:val="002678DF"/>
    <w:rsid w:val="00267A48"/>
    <w:rsid w:val="00267C72"/>
    <w:rsid w:val="00267F46"/>
    <w:rsid w:val="00270082"/>
    <w:rsid w:val="0027126A"/>
    <w:rsid w:val="002713C8"/>
    <w:rsid w:val="002715F0"/>
    <w:rsid w:val="0027216D"/>
    <w:rsid w:val="00272297"/>
    <w:rsid w:val="002731E3"/>
    <w:rsid w:val="0027348D"/>
    <w:rsid w:val="0027389A"/>
    <w:rsid w:val="00274FCA"/>
    <w:rsid w:val="002759E2"/>
    <w:rsid w:val="00275C5C"/>
    <w:rsid w:val="00275D06"/>
    <w:rsid w:val="002760A0"/>
    <w:rsid w:val="0027678C"/>
    <w:rsid w:val="00276C2B"/>
    <w:rsid w:val="00277612"/>
    <w:rsid w:val="00277923"/>
    <w:rsid w:val="0028082A"/>
    <w:rsid w:val="00280999"/>
    <w:rsid w:val="0028121B"/>
    <w:rsid w:val="002812DF"/>
    <w:rsid w:val="00281733"/>
    <w:rsid w:val="002818F9"/>
    <w:rsid w:val="00281FC4"/>
    <w:rsid w:val="0028226A"/>
    <w:rsid w:val="0028233A"/>
    <w:rsid w:val="00282B4B"/>
    <w:rsid w:val="0028480C"/>
    <w:rsid w:val="002849DF"/>
    <w:rsid w:val="00284A6A"/>
    <w:rsid w:val="00284ABE"/>
    <w:rsid w:val="00284BC2"/>
    <w:rsid w:val="002862E4"/>
    <w:rsid w:val="00286AC4"/>
    <w:rsid w:val="002879FD"/>
    <w:rsid w:val="00287E5B"/>
    <w:rsid w:val="00290093"/>
    <w:rsid w:val="00290105"/>
    <w:rsid w:val="0029041F"/>
    <w:rsid w:val="00290BCB"/>
    <w:rsid w:val="00291822"/>
    <w:rsid w:val="00291B40"/>
    <w:rsid w:val="00291F56"/>
    <w:rsid w:val="00292187"/>
    <w:rsid w:val="00292448"/>
    <w:rsid w:val="00292B04"/>
    <w:rsid w:val="00292C8F"/>
    <w:rsid w:val="0029404C"/>
    <w:rsid w:val="00294435"/>
    <w:rsid w:val="002944DB"/>
    <w:rsid w:val="00294548"/>
    <w:rsid w:val="00294CFA"/>
    <w:rsid w:val="00294F90"/>
    <w:rsid w:val="0029524C"/>
    <w:rsid w:val="002952EF"/>
    <w:rsid w:val="00295D59"/>
    <w:rsid w:val="00296EF5"/>
    <w:rsid w:val="00296FF7"/>
    <w:rsid w:val="00297567"/>
    <w:rsid w:val="002977DF"/>
    <w:rsid w:val="002A01BF"/>
    <w:rsid w:val="002A02D0"/>
    <w:rsid w:val="002A1280"/>
    <w:rsid w:val="002A1A89"/>
    <w:rsid w:val="002A2A98"/>
    <w:rsid w:val="002A3308"/>
    <w:rsid w:val="002A3B31"/>
    <w:rsid w:val="002A46ED"/>
    <w:rsid w:val="002A4C71"/>
    <w:rsid w:val="002A4FEE"/>
    <w:rsid w:val="002A532A"/>
    <w:rsid w:val="002A5F22"/>
    <w:rsid w:val="002A62BB"/>
    <w:rsid w:val="002A7168"/>
    <w:rsid w:val="002A7DC0"/>
    <w:rsid w:val="002B0D02"/>
    <w:rsid w:val="002B11D6"/>
    <w:rsid w:val="002B1502"/>
    <w:rsid w:val="002B25E7"/>
    <w:rsid w:val="002B26B6"/>
    <w:rsid w:val="002B294B"/>
    <w:rsid w:val="002B2AAF"/>
    <w:rsid w:val="002B31EB"/>
    <w:rsid w:val="002B31F4"/>
    <w:rsid w:val="002B3246"/>
    <w:rsid w:val="002B39EB"/>
    <w:rsid w:val="002B3E19"/>
    <w:rsid w:val="002B3F94"/>
    <w:rsid w:val="002B4008"/>
    <w:rsid w:val="002B416C"/>
    <w:rsid w:val="002B53BA"/>
    <w:rsid w:val="002B78E7"/>
    <w:rsid w:val="002C0B8B"/>
    <w:rsid w:val="002C0FAF"/>
    <w:rsid w:val="002C1903"/>
    <w:rsid w:val="002C1DB3"/>
    <w:rsid w:val="002C37E5"/>
    <w:rsid w:val="002C4CB1"/>
    <w:rsid w:val="002C5559"/>
    <w:rsid w:val="002C5F83"/>
    <w:rsid w:val="002C69F2"/>
    <w:rsid w:val="002C6D1B"/>
    <w:rsid w:val="002C70C7"/>
    <w:rsid w:val="002C7362"/>
    <w:rsid w:val="002C7920"/>
    <w:rsid w:val="002C79A4"/>
    <w:rsid w:val="002C7C23"/>
    <w:rsid w:val="002D0A35"/>
    <w:rsid w:val="002D0E8E"/>
    <w:rsid w:val="002D1024"/>
    <w:rsid w:val="002D126A"/>
    <w:rsid w:val="002D1745"/>
    <w:rsid w:val="002D2351"/>
    <w:rsid w:val="002D3AFA"/>
    <w:rsid w:val="002D4DB7"/>
    <w:rsid w:val="002D4F18"/>
    <w:rsid w:val="002D51BF"/>
    <w:rsid w:val="002D6172"/>
    <w:rsid w:val="002D728B"/>
    <w:rsid w:val="002D746A"/>
    <w:rsid w:val="002D7555"/>
    <w:rsid w:val="002D7C3B"/>
    <w:rsid w:val="002E0834"/>
    <w:rsid w:val="002E1667"/>
    <w:rsid w:val="002E166D"/>
    <w:rsid w:val="002E1A88"/>
    <w:rsid w:val="002E1ED9"/>
    <w:rsid w:val="002E275A"/>
    <w:rsid w:val="002E2BAE"/>
    <w:rsid w:val="002E36F4"/>
    <w:rsid w:val="002E38F9"/>
    <w:rsid w:val="002E3AC2"/>
    <w:rsid w:val="002E3B5B"/>
    <w:rsid w:val="002E3D24"/>
    <w:rsid w:val="002E3EFC"/>
    <w:rsid w:val="002E482D"/>
    <w:rsid w:val="002E4ED2"/>
    <w:rsid w:val="002E56E2"/>
    <w:rsid w:val="002E7149"/>
    <w:rsid w:val="002E75FF"/>
    <w:rsid w:val="002F0116"/>
    <w:rsid w:val="002F115E"/>
    <w:rsid w:val="002F1DA6"/>
    <w:rsid w:val="002F2C6A"/>
    <w:rsid w:val="002F2E1B"/>
    <w:rsid w:val="002F2FD0"/>
    <w:rsid w:val="002F2FEE"/>
    <w:rsid w:val="002F3251"/>
    <w:rsid w:val="002F345D"/>
    <w:rsid w:val="002F407E"/>
    <w:rsid w:val="002F421D"/>
    <w:rsid w:val="002F4324"/>
    <w:rsid w:val="002F4699"/>
    <w:rsid w:val="002F5655"/>
    <w:rsid w:val="002F5BC2"/>
    <w:rsid w:val="002F5EB0"/>
    <w:rsid w:val="002F6FE3"/>
    <w:rsid w:val="002F7301"/>
    <w:rsid w:val="002F75AA"/>
    <w:rsid w:val="002F7EED"/>
    <w:rsid w:val="00300464"/>
    <w:rsid w:val="00301189"/>
    <w:rsid w:val="0030169D"/>
    <w:rsid w:val="00302770"/>
    <w:rsid w:val="00302E65"/>
    <w:rsid w:val="0030389C"/>
    <w:rsid w:val="003038AA"/>
    <w:rsid w:val="00303AEA"/>
    <w:rsid w:val="00304E24"/>
    <w:rsid w:val="00305356"/>
    <w:rsid w:val="003054FF"/>
    <w:rsid w:val="00306FE6"/>
    <w:rsid w:val="003076BB"/>
    <w:rsid w:val="0031013B"/>
    <w:rsid w:val="0031021C"/>
    <w:rsid w:val="00310B14"/>
    <w:rsid w:val="003111F7"/>
    <w:rsid w:val="00311EAC"/>
    <w:rsid w:val="003123D5"/>
    <w:rsid w:val="0031298A"/>
    <w:rsid w:val="003129F5"/>
    <w:rsid w:val="00312D23"/>
    <w:rsid w:val="00313A6A"/>
    <w:rsid w:val="00313E81"/>
    <w:rsid w:val="0031433A"/>
    <w:rsid w:val="00314996"/>
    <w:rsid w:val="00315929"/>
    <w:rsid w:val="00315B69"/>
    <w:rsid w:val="00316E00"/>
    <w:rsid w:val="00317025"/>
    <w:rsid w:val="00317269"/>
    <w:rsid w:val="003178FD"/>
    <w:rsid w:val="003200CB"/>
    <w:rsid w:val="00320570"/>
    <w:rsid w:val="0032060A"/>
    <w:rsid w:val="0032071A"/>
    <w:rsid w:val="003209B8"/>
    <w:rsid w:val="00320EE4"/>
    <w:rsid w:val="00321975"/>
    <w:rsid w:val="00321B91"/>
    <w:rsid w:val="003227D4"/>
    <w:rsid w:val="00323661"/>
    <w:rsid w:val="00323E09"/>
    <w:rsid w:val="003241ED"/>
    <w:rsid w:val="0032521E"/>
    <w:rsid w:val="00326166"/>
    <w:rsid w:val="00326A52"/>
    <w:rsid w:val="00326C7C"/>
    <w:rsid w:val="00326CF2"/>
    <w:rsid w:val="0032759A"/>
    <w:rsid w:val="00327732"/>
    <w:rsid w:val="00327EE3"/>
    <w:rsid w:val="003305D2"/>
    <w:rsid w:val="003307AD"/>
    <w:rsid w:val="00331315"/>
    <w:rsid w:val="00331C61"/>
    <w:rsid w:val="0033212A"/>
    <w:rsid w:val="00332184"/>
    <w:rsid w:val="003322B6"/>
    <w:rsid w:val="00332C29"/>
    <w:rsid w:val="00332F6E"/>
    <w:rsid w:val="00332F9F"/>
    <w:rsid w:val="00333932"/>
    <w:rsid w:val="00333F3C"/>
    <w:rsid w:val="003340FF"/>
    <w:rsid w:val="00334D17"/>
    <w:rsid w:val="0033567C"/>
    <w:rsid w:val="00335960"/>
    <w:rsid w:val="00336983"/>
    <w:rsid w:val="00336C0A"/>
    <w:rsid w:val="00337500"/>
    <w:rsid w:val="00337B8F"/>
    <w:rsid w:val="003400B1"/>
    <w:rsid w:val="00340550"/>
    <w:rsid w:val="003405AD"/>
    <w:rsid w:val="00340C2A"/>
    <w:rsid w:val="00340FAF"/>
    <w:rsid w:val="0034109F"/>
    <w:rsid w:val="0034230D"/>
    <w:rsid w:val="00342814"/>
    <w:rsid w:val="00342B69"/>
    <w:rsid w:val="00342E0C"/>
    <w:rsid w:val="00342EEB"/>
    <w:rsid w:val="00344C48"/>
    <w:rsid w:val="00344E87"/>
    <w:rsid w:val="00345175"/>
    <w:rsid w:val="00345368"/>
    <w:rsid w:val="00345622"/>
    <w:rsid w:val="003463E3"/>
    <w:rsid w:val="00347002"/>
    <w:rsid w:val="0034763A"/>
    <w:rsid w:val="00347F6D"/>
    <w:rsid w:val="003501A9"/>
    <w:rsid w:val="00351508"/>
    <w:rsid w:val="003518AA"/>
    <w:rsid w:val="00352165"/>
    <w:rsid w:val="0035239D"/>
    <w:rsid w:val="003523A5"/>
    <w:rsid w:val="003529B7"/>
    <w:rsid w:val="00352ABB"/>
    <w:rsid w:val="00353182"/>
    <w:rsid w:val="00353914"/>
    <w:rsid w:val="0035452D"/>
    <w:rsid w:val="0035570F"/>
    <w:rsid w:val="003564DE"/>
    <w:rsid w:val="003565D9"/>
    <w:rsid w:val="0035754B"/>
    <w:rsid w:val="00357684"/>
    <w:rsid w:val="00357EC8"/>
    <w:rsid w:val="003601ED"/>
    <w:rsid w:val="003602E1"/>
    <w:rsid w:val="00360F4E"/>
    <w:rsid w:val="00361A6D"/>
    <w:rsid w:val="0036215D"/>
    <w:rsid w:val="00362176"/>
    <w:rsid w:val="0036270F"/>
    <w:rsid w:val="003635BB"/>
    <w:rsid w:val="00363E17"/>
    <w:rsid w:val="003663F6"/>
    <w:rsid w:val="003666FB"/>
    <w:rsid w:val="00366C68"/>
    <w:rsid w:val="00366CA1"/>
    <w:rsid w:val="00367027"/>
    <w:rsid w:val="00367EC2"/>
    <w:rsid w:val="0037026F"/>
    <w:rsid w:val="0037066B"/>
    <w:rsid w:val="00370A2E"/>
    <w:rsid w:val="00371240"/>
    <w:rsid w:val="00371A87"/>
    <w:rsid w:val="003721E8"/>
    <w:rsid w:val="0037242A"/>
    <w:rsid w:val="003733A4"/>
    <w:rsid w:val="003741F5"/>
    <w:rsid w:val="003742F3"/>
    <w:rsid w:val="0037457B"/>
    <w:rsid w:val="00374657"/>
    <w:rsid w:val="00374731"/>
    <w:rsid w:val="003748C1"/>
    <w:rsid w:val="00374BB8"/>
    <w:rsid w:val="00374FB4"/>
    <w:rsid w:val="00375052"/>
    <w:rsid w:val="00375576"/>
    <w:rsid w:val="003761CB"/>
    <w:rsid w:val="003763A9"/>
    <w:rsid w:val="00376676"/>
    <w:rsid w:val="00376749"/>
    <w:rsid w:val="00376B21"/>
    <w:rsid w:val="00376C31"/>
    <w:rsid w:val="00376C6C"/>
    <w:rsid w:val="00376E01"/>
    <w:rsid w:val="00377071"/>
    <w:rsid w:val="00377AFD"/>
    <w:rsid w:val="0038026E"/>
    <w:rsid w:val="00380792"/>
    <w:rsid w:val="003807CE"/>
    <w:rsid w:val="00380ECA"/>
    <w:rsid w:val="003810C9"/>
    <w:rsid w:val="00381390"/>
    <w:rsid w:val="00381464"/>
    <w:rsid w:val="00381D58"/>
    <w:rsid w:val="003827F1"/>
    <w:rsid w:val="00382C7F"/>
    <w:rsid w:val="00382FF8"/>
    <w:rsid w:val="00384656"/>
    <w:rsid w:val="00384FB3"/>
    <w:rsid w:val="00385073"/>
    <w:rsid w:val="003850EB"/>
    <w:rsid w:val="00385694"/>
    <w:rsid w:val="003859C9"/>
    <w:rsid w:val="003868FD"/>
    <w:rsid w:val="0038755C"/>
    <w:rsid w:val="0038763F"/>
    <w:rsid w:val="00387A05"/>
    <w:rsid w:val="003900A5"/>
    <w:rsid w:val="00390E6B"/>
    <w:rsid w:val="00390E9A"/>
    <w:rsid w:val="003919F9"/>
    <w:rsid w:val="00392623"/>
    <w:rsid w:val="00393014"/>
    <w:rsid w:val="003930FD"/>
    <w:rsid w:val="00393B4A"/>
    <w:rsid w:val="0039550B"/>
    <w:rsid w:val="0039566E"/>
    <w:rsid w:val="00395A21"/>
    <w:rsid w:val="0039668A"/>
    <w:rsid w:val="00396ADE"/>
    <w:rsid w:val="003976AA"/>
    <w:rsid w:val="0039771D"/>
    <w:rsid w:val="003A02E6"/>
    <w:rsid w:val="003A03EF"/>
    <w:rsid w:val="003A07E5"/>
    <w:rsid w:val="003A1581"/>
    <w:rsid w:val="003A2259"/>
    <w:rsid w:val="003A24B6"/>
    <w:rsid w:val="003A35A7"/>
    <w:rsid w:val="003A3769"/>
    <w:rsid w:val="003A3C8C"/>
    <w:rsid w:val="003A40B4"/>
    <w:rsid w:val="003A425B"/>
    <w:rsid w:val="003A4615"/>
    <w:rsid w:val="003A4E6A"/>
    <w:rsid w:val="003A53B3"/>
    <w:rsid w:val="003A5AE3"/>
    <w:rsid w:val="003A5BCE"/>
    <w:rsid w:val="003A63F4"/>
    <w:rsid w:val="003A7171"/>
    <w:rsid w:val="003A73AE"/>
    <w:rsid w:val="003A73F8"/>
    <w:rsid w:val="003A743A"/>
    <w:rsid w:val="003A748D"/>
    <w:rsid w:val="003A7BBC"/>
    <w:rsid w:val="003B0BB0"/>
    <w:rsid w:val="003B0F91"/>
    <w:rsid w:val="003B12ED"/>
    <w:rsid w:val="003B1315"/>
    <w:rsid w:val="003B176A"/>
    <w:rsid w:val="003B1F78"/>
    <w:rsid w:val="003B2004"/>
    <w:rsid w:val="003B2542"/>
    <w:rsid w:val="003B2DF7"/>
    <w:rsid w:val="003B3FCB"/>
    <w:rsid w:val="003B47B6"/>
    <w:rsid w:val="003B4B50"/>
    <w:rsid w:val="003B4B6C"/>
    <w:rsid w:val="003B55CE"/>
    <w:rsid w:val="003B5A8B"/>
    <w:rsid w:val="003B640F"/>
    <w:rsid w:val="003B64A8"/>
    <w:rsid w:val="003B66CB"/>
    <w:rsid w:val="003B6E1A"/>
    <w:rsid w:val="003B776B"/>
    <w:rsid w:val="003C04BA"/>
    <w:rsid w:val="003C0776"/>
    <w:rsid w:val="003C0F34"/>
    <w:rsid w:val="003C103A"/>
    <w:rsid w:val="003C1309"/>
    <w:rsid w:val="003C228C"/>
    <w:rsid w:val="003C29D6"/>
    <w:rsid w:val="003C3821"/>
    <w:rsid w:val="003C38B5"/>
    <w:rsid w:val="003C3DAE"/>
    <w:rsid w:val="003C3EDF"/>
    <w:rsid w:val="003C4A3F"/>
    <w:rsid w:val="003C4BCA"/>
    <w:rsid w:val="003C4FC6"/>
    <w:rsid w:val="003C5B53"/>
    <w:rsid w:val="003C5BBD"/>
    <w:rsid w:val="003C5D99"/>
    <w:rsid w:val="003C6130"/>
    <w:rsid w:val="003C628F"/>
    <w:rsid w:val="003C63FF"/>
    <w:rsid w:val="003C6DEB"/>
    <w:rsid w:val="003C7102"/>
    <w:rsid w:val="003C7F42"/>
    <w:rsid w:val="003D041D"/>
    <w:rsid w:val="003D172D"/>
    <w:rsid w:val="003D181D"/>
    <w:rsid w:val="003D21B1"/>
    <w:rsid w:val="003D30F0"/>
    <w:rsid w:val="003D3559"/>
    <w:rsid w:val="003D382B"/>
    <w:rsid w:val="003D3C08"/>
    <w:rsid w:val="003D3F8F"/>
    <w:rsid w:val="003D43DB"/>
    <w:rsid w:val="003D45C9"/>
    <w:rsid w:val="003D5151"/>
    <w:rsid w:val="003D53F7"/>
    <w:rsid w:val="003D56F6"/>
    <w:rsid w:val="003D5C39"/>
    <w:rsid w:val="003D5F46"/>
    <w:rsid w:val="003D6352"/>
    <w:rsid w:val="003D6A6F"/>
    <w:rsid w:val="003D6CA9"/>
    <w:rsid w:val="003E05BE"/>
    <w:rsid w:val="003E0FC5"/>
    <w:rsid w:val="003E1324"/>
    <w:rsid w:val="003E1DBF"/>
    <w:rsid w:val="003E2E11"/>
    <w:rsid w:val="003E30B8"/>
    <w:rsid w:val="003E3861"/>
    <w:rsid w:val="003E5396"/>
    <w:rsid w:val="003E5438"/>
    <w:rsid w:val="003E5F18"/>
    <w:rsid w:val="003E6357"/>
    <w:rsid w:val="003E700C"/>
    <w:rsid w:val="003E756A"/>
    <w:rsid w:val="003E76A4"/>
    <w:rsid w:val="003F03C5"/>
    <w:rsid w:val="003F0408"/>
    <w:rsid w:val="003F0789"/>
    <w:rsid w:val="003F09E4"/>
    <w:rsid w:val="003F11B5"/>
    <w:rsid w:val="003F139F"/>
    <w:rsid w:val="003F15AD"/>
    <w:rsid w:val="003F2641"/>
    <w:rsid w:val="003F26C4"/>
    <w:rsid w:val="003F2E21"/>
    <w:rsid w:val="003F37D6"/>
    <w:rsid w:val="003F3925"/>
    <w:rsid w:val="003F3FC2"/>
    <w:rsid w:val="003F4195"/>
    <w:rsid w:val="003F5015"/>
    <w:rsid w:val="003F5177"/>
    <w:rsid w:val="003F538D"/>
    <w:rsid w:val="003F5516"/>
    <w:rsid w:val="003F57BC"/>
    <w:rsid w:val="003F5CFA"/>
    <w:rsid w:val="003F6DC8"/>
    <w:rsid w:val="003F77F3"/>
    <w:rsid w:val="003F7F04"/>
    <w:rsid w:val="0040034E"/>
    <w:rsid w:val="004006C8"/>
    <w:rsid w:val="0040078F"/>
    <w:rsid w:val="00400804"/>
    <w:rsid w:val="00400BEB"/>
    <w:rsid w:val="004013E8"/>
    <w:rsid w:val="00401882"/>
    <w:rsid w:val="00401AFF"/>
    <w:rsid w:val="004020C9"/>
    <w:rsid w:val="004022C8"/>
    <w:rsid w:val="00402452"/>
    <w:rsid w:val="00402462"/>
    <w:rsid w:val="004025A3"/>
    <w:rsid w:val="00403041"/>
    <w:rsid w:val="0040358F"/>
    <w:rsid w:val="004039D2"/>
    <w:rsid w:val="00403D68"/>
    <w:rsid w:val="0040485F"/>
    <w:rsid w:val="004049BD"/>
    <w:rsid w:val="00404C31"/>
    <w:rsid w:val="00404DDF"/>
    <w:rsid w:val="00404F21"/>
    <w:rsid w:val="004050FC"/>
    <w:rsid w:val="00405243"/>
    <w:rsid w:val="0040535A"/>
    <w:rsid w:val="0040601B"/>
    <w:rsid w:val="00406589"/>
    <w:rsid w:val="00406825"/>
    <w:rsid w:val="00406D93"/>
    <w:rsid w:val="00407709"/>
    <w:rsid w:val="00407CF8"/>
    <w:rsid w:val="00407DDA"/>
    <w:rsid w:val="004100C8"/>
    <w:rsid w:val="00410364"/>
    <w:rsid w:val="0041076F"/>
    <w:rsid w:val="004114ED"/>
    <w:rsid w:val="004119F5"/>
    <w:rsid w:val="00411A25"/>
    <w:rsid w:val="00411A37"/>
    <w:rsid w:val="00412299"/>
    <w:rsid w:val="004125A2"/>
    <w:rsid w:val="00412ACE"/>
    <w:rsid w:val="00413807"/>
    <w:rsid w:val="00413976"/>
    <w:rsid w:val="00413F62"/>
    <w:rsid w:val="004147D2"/>
    <w:rsid w:val="00414D3F"/>
    <w:rsid w:val="00414DAB"/>
    <w:rsid w:val="00415DAD"/>
    <w:rsid w:val="004171D5"/>
    <w:rsid w:val="004174C7"/>
    <w:rsid w:val="00417834"/>
    <w:rsid w:val="00417ACA"/>
    <w:rsid w:val="004218E6"/>
    <w:rsid w:val="004221D1"/>
    <w:rsid w:val="00422529"/>
    <w:rsid w:val="00422CBB"/>
    <w:rsid w:val="0042352B"/>
    <w:rsid w:val="00423570"/>
    <w:rsid w:val="0042360B"/>
    <w:rsid w:val="00423681"/>
    <w:rsid w:val="00423B0C"/>
    <w:rsid w:val="0042448D"/>
    <w:rsid w:val="00424AC4"/>
    <w:rsid w:val="00424C45"/>
    <w:rsid w:val="00425465"/>
    <w:rsid w:val="0042564E"/>
    <w:rsid w:val="004257D3"/>
    <w:rsid w:val="00425BD3"/>
    <w:rsid w:val="00425EDF"/>
    <w:rsid w:val="004260D4"/>
    <w:rsid w:val="004261F2"/>
    <w:rsid w:val="00426452"/>
    <w:rsid w:val="0042649F"/>
    <w:rsid w:val="00430821"/>
    <w:rsid w:val="00430BF3"/>
    <w:rsid w:val="00431249"/>
    <w:rsid w:val="00434C19"/>
    <w:rsid w:val="00434E16"/>
    <w:rsid w:val="0043560D"/>
    <w:rsid w:val="0043580D"/>
    <w:rsid w:val="00435973"/>
    <w:rsid w:val="00435B06"/>
    <w:rsid w:val="00436611"/>
    <w:rsid w:val="00437290"/>
    <w:rsid w:val="004374DC"/>
    <w:rsid w:val="004378DF"/>
    <w:rsid w:val="00437A56"/>
    <w:rsid w:val="00437B46"/>
    <w:rsid w:val="00440064"/>
    <w:rsid w:val="00440231"/>
    <w:rsid w:val="00440387"/>
    <w:rsid w:val="0044041F"/>
    <w:rsid w:val="00440539"/>
    <w:rsid w:val="004409E3"/>
    <w:rsid w:val="00440ED1"/>
    <w:rsid w:val="0044139C"/>
    <w:rsid w:val="00441830"/>
    <w:rsid w:val="00442369"/>
    <w:rsid w:val="00444135"/>
    <w:rsid w:val="004442A5"/>
    <w:rsid w:val="004464E5"/>
    <w:rsid w:val="0044745A"/>
    <w:rsid w:val="0044780F"/>
    <w:rsid w:val="00447BD2"/>
    <w:rsid w:val="00450349"/>
    <w:rsid w:val="004504F4"/>
    <w:rsid w:val="00450596"/>
    <w:rsid w:val="00450810"/>
    <w:rsid w:val="00450FA3"/>
    <w:rsid w:val="0045148A"/>
    <w:rsid w:val="0045208E"/>
    <w:rsid w:val="00452815"/>
    <w:rsid w:val="00452C0C"/>
    <w:rsid w:val="004532F3"/>
    <w:rsid w:val="004533A5"/>
    <w:rsid w:val="00454157"/>
    <w:rsid w:val="00454609"/>
    <w:rsid w:val="0045494C"/>
    <w:rsid w:val="004549E4"/>
    <w:rsid w:val="00454AA9"/>
    <w:rsid w:val="00454CEC"/>
    <w:rsid w:val="004556D0"/>
    <w:rsid w:val="00455A07"/>
    <w:rsid w:val="0045608F"/>
    <w:rsid w:val="004564A0"/>
    <w:rsid w:val="00457F82"/>
    <w:rsid w:val="004608A7"/>
    <w:rsid w:val="0046098E"/>
    <w:rsid w:val="004614DC"/>
    <w:rsid w:val="0046155B"/>
    <w:rsid w:val="00461850"/>
    <w:rsid w:val="00461B51"/>
    <w:rsid w:val="00462F15"/>
    <w:rsid w:val="00463F3F"/>
    <w:rsid w:val="004641E0"/>
    <w:rsid w:val="004645B9"/>
    <w:rsid w:val="004654F2"/>
    <w:rsid w:val="004656AC"/>
    <w:rsid w:val="004669D5"/>
    <w:rsid w:val="0046703B"/>
    <w:rsid w:val="004679CD"/>
    <w:rsid w:val="00470EBC"/>
    <w:rsid w:val="004711CF"/>
    <w:rsid w:val="00471A50"/>
    <w:rsid w:val="00471F78"/>
    <w:rsid w:val="00472B41"/>
    <w:rsid w:val="004733ED"/>
    <w:rsid w:val="00474250"/>
    <w:rsid w:val="004747D5"/>
    <w:rsid w:val="00474F2A"/>
    <w:rsid w:val="0047554D"/>
    <w:rsid w:val="00475DEC"/>
    <w:rsid w:val="004761D7"/>
    <w:rsid w:val="004764B9"/>
    <w:rsid w:val="004766A0"/>
    <w:rsid w:val="00476BFB"/>
    <w:rsid w:val="00477085"/>
    <w:rsid w:val="00477144"/>
    <w:rsid w:val="00477955"/>
    <w:rsid w:val="00477EC4"/>
    <w:rsid w:val="00477F60"/>
    <w:rsid w:val="004802AE"/>
    <w:rsid w:val="00480711"/>
    <w:rsid w:val="00481273"/>
    <w:rsid w:val="00481C0B"/>
    <w:rsid w:val="0048298F"/>
    <w:rsid w:val="00482D4E"/>
    <w:rsid w:val="004838C9"/>
    <w:rsid w:val="0048482B"/>
    <w:rsid w:val="0048496A"/>
    <w:rsid w:val="00484C43"/>
    <w:rsid w:val="0048608B"/>
    <w:rsid w:val="004865A8"/>
    <w:rsid w:val="00487629"/>
    <w:rsid w:val="00487918"/>
    <w:rsid w:val="00487CB0"/>
    <w:rsid w:val="00487F79"/>
    <w:rsid w:val="004905C9"/>
    <w:rsid w:val="004909A5"/>
    <w:rsid w:val="00491CF6"/>
    <w:rsid w:val="00491D68"/>
    <w:rsid w:val="0049220B"/>
    <w:rsid w:val="004923FB"/>
    <w:rsid w:val="00493300"/>
    <w:rsid w:val="004935C5"/>
    <w:rsid w:val="00493EC1"/>
    <w:rsid w:val="0049459F"/>
    <w:rsid w:val="0049499E"/>
    <w:rsid w:val="00494B83"/>
    <w:rsid w:val="00494E34"/>
    <w:rsid w:val="00495563"/>
    <w:rsid w:val="0049644B"/>
    <w:rsid w:val="0049657A"/>
    <w:rsid w:val="004966FF"/>
    <w:rsid w:val="00497562"/>
    <w:rsid w:val="00497AEF"/>
    <w:rsid w:val="004A0858"/>
    <w:rsid w:val="004A0925"/>
    <w:rsid w:val="004A0B39"/>
    <w:rsid w:val="004A16B4"/>
    <w:rsid w:val="004A1E36"/>
    <w:rsid w:val="004A275C"/>
    <w:rsid w:val="004A295E"/>
    <w:rsid w:val="004A2968"/>
    <w:rsid w:val="004A29A8"/>
    <w:rsid w:val="004A2A38"/>
    <w:rsid w:val="004A30B3"/>
    <w:rsid w:val="004A3885"/>
    <w:rsid w:val="004A38DD"/>
    <w:rsid w:val="004A3A38"/>
    <w:rsid w:val="004A3CCC"/>
    <w:rsid w:val="004A3ED2"/>
    <w:rsid w:val="004A5819"/>
    <w:rsid w:val="004A58E3"/>
    <w:rsid w:val="004A5CE5"/>
    <w:rsid w:val="004A6457"/>
    <w:rsid w:val="004A6837"/>
    <w:rsid w:val="004A6C9D"/>
    <w:rsid w:val="004A73F1"/>
    <w:rsid w:val="004A7AE5"/>
    <w:rsid w:val="004B04B7"/>
    <w:rsid w:val="004B0691"/>
    <w:rsid w:val="004B07A4"/>
    <w:rsid w:val="004B0CAE"/>
    <w:rsid w:val="004B1537"/>
    <w:rsid w:val="004B1C52"/>
    <w:rsid w:val="004B2635"/>
    <w:rsid w:val="004B2640"/>
    <w:rsid w:val="004B2BA7"/>
    <w:rsid w:val="004B31AC"/>
    <w:rsid w:val="004B3F9B"/>
    <w:rsid w:val="004B43AE"/>
    <w:rsid w:val="004B4846"/>
    <w:rsid w:val="004B4A65"/>
    <w:rsid w:val="004B4B85"/>
    <w:rsid w:val="004B4D18"/>
    <w:rsid w:val="004B57E9"/>
    <w:rsid w:val="004B6439"/>
    <w:rsid w:val="004B6805"/>
    <w:rsid w:val="004B6BC9"/>
    <w:rsid w:val="004B7907"/>
    <w:rsid w:val="004B794F"/>
    <w:rsid w:val="004B7D16"/>
    <w:rsid w:val="004C0F46"/>
    <w:rsid w:val="004C115F"/>
    <w:rsid w:val="004C2C23"/>
    <w:rsid w:val="004C30ED"/>
    <w:rsid w:val="004C3442"/>
    <w:rsid w:val="004C38AE"/>
    <w:rsid w:val="004C39F4"/>
    <w:rsid w:val="004C49CC"/>
    <w:rsid w:val="004C4B15"/>
    <w:rsid w:val="004C4DFA"/>
    <w:rsid w:val="004C5EA9"/>
    <w:rsid w:val="004C6869"/>
    <w:rsid w:val="004C6E8B"/>
    <w:rsid w:val="004C7140"/>
    <w:rsid w:val="004C748D"/>
    <w:rsid w:val="004C74AC"/>
    <w:rsid w:val="004C7761"/>
    <w:rsid w:val="004C779C"/>
    <w:rsid w:val="004C7904"/>
    <w:rsid w:val="004C7A27"/>
    <w:rsid w:val="004C7B12"/>
    <w:rsid w:val="004C7B2B"/>
    <w:rsid w:val="004D0398"/>
    <w:rsid w:val="004D03B2"/>
    <w:rsid w:val="004D0824"/>
    <w:rsid w:val="004D1073"/>
    <w:rsid w:val="004D127F"/>
    <w:rsid w:val="004D1C30"/>
    <w:rsid w:val="004D1CD2"/>
    <w:rsid w:val="004D1E1A"/>
    <w:rsid w:val="004D2174"/>
    <w:rsid w:val="004D29FC"/>
    <w:rsid w:val="004D2A2A"/>
    <w:rsid w:val="004D3184"/>
    <w:rsid w:val="004D37F5"/>
    <w:rsid w:val="004D397B"/>
    <w:rsid w:val="004D4680"/>
    <w:rsid w:val="004D548D"/>
    <w:rsid w:val="004D5675"/>
    <w:rsid w:val="004D6D1A"/>
    <w:rsid w:val="004D74D0"/>
    <w:rsid w:val="004E041A"/>
    <w:rsid w:val="004E07AA"/>
    <w:rsid w:val="004E07E3"/>
    <w:rsid w:val="004E10AF"/>
    <w:rsid w:val="004E18B5"/>
    <w:rsid w:val="004E1A40"/>
    <w:rsid w:val="004E2705"/>
    <w:rsid w:val="004E3038"/>
    <w:rsid w:val="004E325C"/>
    <w:rsid w:val="004E33D5"/>
    <w:rsid w:val="004E3955"/>
    <w:rsid w:val="004E39CD"/>
    <w:rsid w:val="004E3E7D"/>
    <w:rsid w:val="004E4626"/>
    <w:rsid w:val="004E4D20"/>
    <w:rsid w:val="004E52EC"/>
    <w:rsid w:val="004E5837"/>
    <w:rsid w:val="004E5B6B"/>
    <w:rsid w:val="004E6CE7"/>
    <w:rsid w:val="004E7638"/>
    <w:rsid w:val="004E7BDC"/>
    <w:rsid w:val="004E7CAB"/>
    <w:rsid w:val="004F0769"/>
    <w:rsid w:val="004F0AEC"/>
    <w:rsid w:val="004F10A3"/>
    <w:rsid w:val="004F239D"/>
    <w:rsid w:val="004F28A0"/>
    <w:rsid w:val="004F2983"/>
    <w:rsid w:val="004F3DC2"/>
    <w:rsid w:val="004F3FBE"/>
    <w:rsid w:val="004F4573"/>
    <w:rsid w:val="004F4AC1"/>
    <w:rsid w:val="004F50AF"/>
    <w:rsid w:val="004F5813"/>
    <w:rsid w:val="004F58AD"/>
    <w:rsid w:val="004F595B"/>
    <w:rsid w:val="004F5987"/>
    <w:rsid w:val="004F5F39"/>
    <w:rsid w:val="004F6AF8"/>
    <w:rsid w:val="004F734B"/>
    <w:rsid w:val="004F735B"/>
    <w:rsid w:val="004F79CB"/>
    <w:rsid w:val="004F7B86"/>
    <w:rsid w:val="005003BC"/>
    <w:rsid w:val="00500891"/>
    <w:rsid w:val="00500AD1"/>
    <w:rsid w:val="0050136F"/>
    <w:rsid w:val="005018D8"/>
    <w:rsid w:val="00501C6D"/>
    <w:rsid w:val="005026B3"/>
    <w:rsid w:val="005032C6"/>
    <w:rsid w:val="00503354"/>
    <w:rsid w:val="00503420"/>
    <w:rsid w:val="0050361B"/>
    <w:rsid w:val="00503DEA"/>
    <w:rsid w:val="00503E15"/>
    <w:rsid w:val="00503F6C"/>
    <w:rsid w:val="00504128"/>
    <w:rsid w:val="00504CB1"/>
    <w:rsid w:val="005051BA"/>
    <w:rsid w:val="00505702"/>
    <w:rsid w:val="00505DBA"/>
    <w:rsid w:val="00505DE7"/>
    <w:rsid w:val="0050676B"/>
    <w:rsid w:val="00506BA9"/>
    <w:rsid w:val="00507597"/>
    <w:rsid w:val="005077EB"/>
    <w:rsid w:val="0050791A"/>
    <w:rsid w:val="00507E67"/>
    <w:rsid w:val="00507E68"/>
    <w:rsid w:val="00510172"/>
    <w:rsid w:val="00510B9C"/>
    <w:rsid w:val="00510CC5"/>
    <w:rsid w:val="005114D4"/>
    <w:rsid w:val="00511780"/>
    <w:rsid w:val="00511952"/>
    <w:rsid w:val="00511D83"/>
    <w:rsid w:val="005121C8"/>
    <w:rsid w:val="005125C5"/>
    <w:rsid w:val="00513567"/>
    <w:rsid w:val="00513ACF"/>
    <w:rsid w:val="00514117"/>
    <w:rsid w:val="0051563A"/>
    <w:rsid w:val="005156E6"/>
    <w:rsid w:val="0051588F"/>
    <w:rsid w:val="005204C9"/>
    <w:rsid w:val="005204E5"/>
    <w:rsid w:val="00522CE1"/>
    <w:rsid w:val="00523102"/>
    <w:rsid w:val="005231F3"/>
    <w:rsid w:val="00523639"/>
    <w:rsid w:val="005239F7"/>
    <w:rsid w:val="00523C84"/>
    <w:rsid w:val="005247CE"/>
    <w:rsid w:val="00524950"/>
    <w:rsid w:val="00524E18"/>
    <w:rsid w:val="00525054"/>
    <w:rsid w:val="00525C0A"/>
    <w:rsid w:val="00526D3F"/>
    <w:rsid w:val="0052769D"/>
    <w:rsid w:val="00530093"/>
    <w:rsid w:val="005301FF"/>
    <w:rsid w:val="00530248"/>
    <w:rsid w:val="005314CD"/>
    <w:rsid w:val="00531692"/>
    <w:rsid w:val="00531EEA"/>
    <w:rsid w:val="00531F15"/>
    <w:rsid w:val="005323A4"/>
    <w:rsid w:val="00532591"/>
    <w:rsid w:val="00533FE8"/>
    <w:rsid w:val="005343E7"/>
    <w:rsid w:val="005351E6"/>
    <w:rsid w:val="005357F2"/>
    <w:rsid w:val="0053593C"/>
    <w:rsid w:val="00536592"/>
    <w:rsid w:val="00536846"/>
    <w:rsid w:val="00536A39"/>
    <w:rsid w:val="00536BB6"/>
    <w:rsid w:val="00537446"/>
    <w:rsid w:val="00540061"/>
    <w:rsid w:val="00540142"/>
    <w:rsid w:val="00540462"/>
    <w:rsid w:val="005408AB"/>
    <w:rsid w:val="0054127F"/>
    <w:rsid w:val="00541871"/>
    <w:rsid w:val="0054201F"/>
    <w:rsid w:val="00542A1D"/>
    <w:rsid w:val="00543363"/>
    <w:rsid w:val="00543507"/>
    <w:rsid w:val="0054393D"/>
    <w:rsid w:val="00543E63"/>
    <w:rsid w:val="00544836"/>
    <w:rsid w:val="0054498F"/>
    <w:rsid w:val="00544B72"/>
    <w:rsid w:val="00544D7F"/>
    <w:rsid w:val="00545AAB"/>
    <w:rsid w:val="00545E79"/>
    <w:rsid w:val="00545FC3"/>
    <w:rsid w:val="00546002"/>
    <w:rsid w:val="00546250"/>
    <w:rsid w:val="005463B9"/>
    <w:rsid w:val="00547046"/>
    <w:rsid w:val="00550115"/>
    <w:rsid w:val="00550D5F"/>
    <w:rsid w:val="00550FA7"/>
    <w:rsid w:val="0055118D"/>
    <w:rsid w:val="00551396"/>
    <w:rsid w:val="005513FD"/>
    <w:rsid w:val="005516CD"/>
    <w:rsid w:val="00552E18"/>
    <w:rsid w:val="00553831"/>
    <w:rsid w:val="005539C7"/>
    <w:rsid w:val="0055409F"/>
    <w:rsid w:val="0055427A"/>
    <w:rsid w:val="00554F14"/>
    <w:rsid w:val="00555072"/>
    <w:rsid w:val="00555B69"/>
    <w:rsid w:val="00556174"/>
    <w:rsid w:val="00560506"/>
    <w:rsid w:val="00560637"/>
    <w:rsid w:val="00561378"/>
    <w:rsid w:val="005621CD"/>
    <w:rsid w:val="00562293"/>
    <w:rsid w:val="00562412"/>
    <w:rsid w:val="00562BCE"/>
    <w:rsid w:val="005633E8"/>
    <w:rsid w:val="00563738"/>
    <w:rsid w:val="0056384E"/>
    <w:rsid w:val="00563FAE"/>
    <w:rsid w:val="00564038"/>
    <w:rsid w:val="00564883"/>
    <w:rsid w:val="005659B0"/>
    <w:rsid w:val="00565D2E"/>
    <w:rsid w:val="00565EF0"/>
    <w:rsid w:val="005664C8"/>
    <w:rsid w:val="005666A8"/>
    <w:rsid w:val="00567F0C"/>
    <w:rsid w:val="00570184"/>
    <w:rsid w:val="00571E87"/>
    <w:rsid w:val="00572111"/>
    <w:rsid w:val="005732D9"/>
    <w:rsid w:val="005738CA"/>
    <w:rsid w:val="00573965"/>
    <w:rsid w:val="00573AB0"/>
    <w:rsid w:val="00573B69"/>
    <w:rsid w:val="00574B0D"/>
    <w:rsid w:val="00574C55"/>
    <w:rsid w:val="00574CFE"/>
    <w:rsid w:val="00575D2A"/>
    <w:rsid w:val="005768D8"/>
    <w:rsid w:val="00576904"/>
    <w:rsid w:val="00576E30"/>
    <w:rsid w:val="00577079"/>
    <w:rsid w:val="0057753E"/>
    <w:rsid w:val="00580650"/>
    <w:rsid w:val="00580AF0"/>
    <w:rsid w:val="00580E13"/>
    <w:rsid w:val="005818E6"/>
    <w:rsid w:val="0058250C"/>
    <w:rsid w:val="00583C39"/>
    <w:rsid w:val="00585174"/>
    <w:rsid w:val="0058655F"/>
    <w:rsid w:val="005865BC"/>
    <w:rsid w:val="00586610"/>
    <w:rsid w:val="00587434"/>
    <w:rsid w:val="00587439"/>
    <w:rsid w:val="005909CF"/>
    <w:rsid w:val="00590DF5"/>
    <w:rsid w:val="00591550"/>
    <w:rsid w:val="00591E71"/>
    <w:rsid w:val="005920A8"/>
    <w:rsid w:val="00592539"/>
    <w:rsid w:val="005926E0"/>
    <w:rsid w:val="00593EBD"/>
    <w:rsid w:val="005948FE"/>
    <w:rsid w:val="00594CEC"/>
    <w:rsid w:val="00594FB9"/>
    <w:rsid w:val="005950B6"/>
    <w:rsid w:val="0059516E"/>
    <w:rsid w:val="005953F8"/>
    <w:rsid w:val="005957A3"/>
    <w:rsid w:val="00596839"/>
    <w:rsid w:val="0059689B"/>
    <w:rsid w:val="00596946"/>
    <w:rsid w:val="00596C37"/>
    <w:rsid w:val="00597480"/>
    <w:rsid w:val="00597609"/>
    <w:rsid w:val="005A0543"/>
    <w:rsid w:val="005A0D41"/>
    <w:rsid w:val="005A0F2F"/>
    <w:rsid w:val="005A14B6"/>
    <w:rsid w:val="005A1E4D"/>
    <w:rsid w:val="005A2938"/>
    <w:rsid w:val="005A2AB7"/>
    <w:rsid w:val="005A2C16"/>
    <w:rsid w:val="005A3891"/>
    <w:rsid w:val="005A3BAD"/>
    <w:rsid w:val="005A3BB9"/>
    <w:rsid w:val="005A447F"/>
    <w:rsid w:val="005A4579"/>
    <w:rsid w:val="005A47FC"/>
    <w:rsid w:val="005A4E3E"/>
    <w:rsid w:val="005A4FFE"/>
    <w:rsid w:val="005A591A"/>
    <w:rsid w:val="005A5B27"/>
    <w:rsid w:val="005A5C09"/>
    <w:rsid w:val="005A5E67"/>
    <w:rsid w:val="005A772B"/>
    <w:rsid w:val="005A7869"/>
    <w:rsid w:val="005A7E06"/>
    <w:rsid w:val="005B0449"/>
    <w:rsid w:val="005B0737"/>
    <w:rsid w:val="005B0818"/>
    <w:rsid w:val="005B216C"/>
    <w:rsid w:val="005B2A77"/>
    <w:rsid w:val="005B2C0C"/>
    <w:rsid w:val="005B2C65"/>
    <w:rsid w:val="005B32F0"/>
    <w:rsid w:val="005B3A27"/>
    <w:rsid w:val="005B3C69"/>
    <w:rsid w:val="005B403E"/>
    <w:rsid w:val="005B5075"/>
    <w:rsid w:val="005B6468"/>
    <w:rsid w:val="005B6D9D"/>
    <w:rsid w:val="005B753A"/>
    <w:rsid w:val="005B7685"/>
    <w:rsid w:val="005C0554"/>
    <w:rsid w:val="005C0AE0"/>
    <w:rsid w:val="005C100A"/>
    <w:rsid w:val="005C1099"/>
    <w:rsid w:val="005C190C"/>
    <w:rsid w:val="005C19CD"/>
    <w:rsid w:val="005C251E"/>
    <w:rsid w:val="005C2E7C"/>
    <w:rsid w:val="005C3737"/>
    <w:rsid w:val="005C411F"/>
    <w:rsid w:val="005C417F"/>
    <w:rsid w:val="005C48E2"/>
    <w:rsid w:val="005C4CA1"/>
    <w:rsid w:val="005C6584"/>
    <w:rsid w:val="005C6687"/>
    <w:rsid w:val="005C6784"/>
    <w:rsid w:val="005C68A6"/>
    <w:rsid w:val="005C6B0A"/>
    <w:rsid w:val="005C71E2"/>
    <w:rsid w:val="005C72AF"/>
    <w:rsid w:val="005C756B"/>
    <w:rsid w:val="005C77AF"/>
    <w:rsid w:val="005C7AC5"/>
    <w:rsid w:val="005D0149"/>
    <w:rsid w:val="005D03BE"/>
    <w:rsid w:val="005D0E1B"/>
    <w:rsid w:val="005D0ECC"/>
    <w:rsid w:val="005D170B"/>
    <w:rsid w:val="005D17A9"/>
    <w:rsid w:val="005D1A1E"/>
    <w:rsid w:val="005D1FA6"/>
    <w:rsid w:val="005D2847"/>
    <w:rsid w:val="005D3078"/>
    <w:rsid w:val="005D37E2"/>
    <w:rsid w:val="005D3D03"/>
    <w:rsid w:val="005D3E0B"/>
    <w:rsid w:val="005D3FC3"/>
    <w:rsid w:val="005D43C5"/>
    <w:rsid w:val="005D5E97"/>
    <w:rsid w:val="005D6816"/>
    <w:rsid w:val="005D68E6"/>
    <w:rsid w:val="005D7991"/>
    <w:rsid w:val="005E0114"/>
    <w:rsid w:val="005E05C1"/>
    <w:rsid w:val="005E071D"/>
    <w:rsid w:val="005E09EE"/>
    <w:rsid w:val="005E0C32"/>
    <w:rsid w:val="005E0FE6"/>
    <w:rsid w:val="005E1BE3"/>
    <w:rsid w:val="005E221F"/>
    <w:rsid w:val="005E26BB"/>
    <w:rsid w:val="005E277D"/>
    <w:rsid w:val="005E2D7B"/>
    <w:rsid w:val="005E33D3"/>
    <w:rsid w:val="005E3B2C"/>
    <w:rsid w:val="005E3D09"/>
    <w:rsid w:val="005E4599"/>
    <w:rsid w:val="005E487E"/>
    <w:rsid w:val="005E5059"/>
    <w:rsid w:val="005E51B4"/>
    <w:rsid w:val="005E5A7D"/>
    <w:rsid w:val="005E5C8E"/>
    <w:rsid w:val="005E5E9E"/>
    <w:rsid w:val="005E610E"/>
    <w:rsid w:val="005E63A8"/>
    <w:rsid w:val="005E6B0D"/>
    <w:rsid w:val="005E72B5"/>
    <w:rsid w:val="005E751F"/>
    <w:rsid w:val="005E759B"/>
    <w:rsid w:val="005F03A4"/>
    <w:rsid w:val="005F18B4"/>
    <w:rsid w:val="005F1BFF"/>
    <w:rsid w:val="005F268F"/>
    <w:rsid w:val="005F2C1E"/>
    <w:rsid w:val="005F33EB"/>
    <w:rsid w:val="005F3AF5"/>
    <w:rsid w:val="005F3FAC"/>
    <w:rsid w:val="005F45CC"/>
    <w:rsid w:val="005F4DAB"/>
    <w:rsid w:val="005F5387"/>
    <w:rsid w:val="005F5615"/>
    <w:rsid w:val="005F5ACB"/>
    <w:rsid w:val="005F638B"/>
    <w:rsid w:val="005F6478"/>
    <w:rsid w:val="005F75F6"/>
    <w:rsid w:val="005F7C63"/>
    <w:rsid w:val="005F7D17"/>
    <w:rsid w:val="005F7D50"/>
    <w:rsid w:val="00600CAD"/>
    <w:rsid w:val="006012C6"/>
    <w:rsid w:val="00601332"/>
    <w:rsid w:val="00601E8E"/>
    <w:rsid w:val="00601ED1"/>
    <w:rsid w:val="00602E38"/>
    <w:rsid w:val="0060359A"/>
    <w:rsid w:val="006035C5"/>
    <w:rsid w:val="00603C36"/>
    <w:rsid w:val="006051D1"/>
    <w:rsid w:val="0060574C"/>
    <w:rsid w:val="00605E63"/>
    <w:rsid w:val="00605F41"/>
    <w:rsid w:val="006072E0"/>
    <w:rsid w:val="00607BF1"/>
    <w:rsid w:val="00610100"/>
    <w:rsid w:val="006105EB"/>
    <w:rsid w:val="00611250"/>
    <w:rsid w:val="006112E7"/>
    <w:rsid w:val="006113C7"/>
    <w:rsid w:val="00611738"/>
    <w:rsid w:val="00611840"/>
    <w:rsid w:val="00613176"/>
    <w:rsid w:val="006137C9"/>
    <w:rsid w:val="00613929"/>
    <w:rsid w:val="00613C1B"/>
    <w:rsid w:val="00614194"/>
    <w:rsid w:val="0061430A"/>
    <w:rsid w:val="006144BD"/>
    <w:rsid w:val="00614F8B"/>
    <w:rsid w:val="00615090"/>
    <w:rsid w:val="00615F19"/>
    <w:rsid w:val="00616CD8"/>
    <w:rsid w:val="006177B4"/>
    <w:rsid w:val="00617DEE"/>
    <w:rsid w:val="00617DF7"/>
    <w:rsid w:val="00620C0B"/>
    <w:rsid w:val="00620CE8"/>
    <w:rsid w:val="00620F18"/>
    <w:rsid w:val="00620FEC"/>
    <w:rsid w:val="00621DFC"/>
    <w:rsid w:val="00621E62"/>
    <w:rsid w:val="00622397"/>
    <w:rsid w:val="00622C41"/>
    <w:rsid w:val="00622D59"/>
    <w:rsid w:val="00622F43"/>
    <w:rsid w:val="006235A6"/>
    <w:rsid w:val="0062375A"/>
    <w:rsid w:val="00623D0D"/>
    <w:rsid w:val="00623D8B"/>
    <w:rsid w:val="00624FEA"/>
    <w:rsid w:val="0062510A"/>
    <w:rsid w:val="0062562C"/>
    <w:rsid w:val="006256B2"/>
    <w:rsid w:val="006256E0"/>
    <w:rsid w:val="00625971"/>
    <w:rsid w:val="00626DA8"/>
    <w:rsid w:val="00627028"/>
    <w:rsid w:val="00630536"/>
    <w:rsid w:val="00630A8F"/>
    <w:rsid w:val="00630D4D"/>
    <w:rsid w:val="00631119"/>
    <w:rsid w:val="006312BE"/>
    <w:rsid w:val="00631781"/>
    <w:rsid w:val="00632767"/>
    <w:rsid w:val="0063279D"/>
    <w:rsid w:val="00632A74"/>
    <w:rsid w:val="00632E2D"/>
    <w:rsid w:val="006337A3"/>
    <w:rsid w:val="00635133"/>
    <w:rsid w:val="0063516F"/>
    <w:rsid w:val="006352CC"/>
    <w:rsid w:val="00635CC5"/>
    <w:rsid w:val="006364F9"/>
    <w:rsid w:val="0063662F"/>
    <w:rsid w:val="00636E62"/>
    <w:rsid w:val="006370F5"/>
    <w:rsid w:val="006376C8"/>
    <w:rsid w:val="00637E45"/>
    <w:rsid w:val="00640025"/>
    <w:rsid w:val="00640B0D"/>
    <w:rsid w:val="00640B29"/>
    <w:rsid w:val="006414EC"/>
    <w:rsid w:val="006420D6"/>
    <w:rsid w:val="006432D5"/>
    <w:rsid w:val="00643516"/>
    <w:rsid w:val="00643D80"/>
    <w:rsid w:val="006440B8"/>
    <w:rsid w:val="006441AA"/>
    <w:rsid w:val="00644499"/>
    <w:rsid w:val="006444F7"/>
    <w:rsid w:val="006454FA"/>
    <w:rsid w:val="00645723"/>
    <w:rsid w:val="006462D5"/>
    <w:rsid w:val="00646343"/>
    <w:rsid w:val="00646670"/>
    <w:rsid w:val="00646742"/>
    <w:rsid w:val="00650065"/>
    <w:rsid w:val="006505C0"/>
    <w:rsid w:val="00651058"/>
    <w:rsid w:val="0065172B"/>
    <w:rsid w:val="00651CF6"/>
    <w:rsid w:val="006520C2"/>
    <w:rsid w:val="006528E6"/>
    <w:rsid w:val="00652B8A"/>
    <w:rsid w:val="006541D1"/>
    <w:rsid w:val="0065520D"/>
    <w:rsid w:val="00655A4A"/>
    <w:rsid w:val="00655B3D"/>
    <w:rsid w:val="006562EB"/>
    <w:rsid w:val="006600DA"/>
    <w:rsid w:val="00660318"/>
    <w:rsid w:val="00660A83"/>
    <w:rsid w:val="0066101A"/>
    <w:rsid w:val="00661347"/>
    <w:rsid w:val="00661D5E"/>
    <w:rsid w:val="0066250D"/>
    <w:rsid w:val="00662A9F"/>
    <w:rsid w:val="00662E82"/>
    <w:rsid w:val="00663148"/>
    <w:rsid w:val="00663581"/>
    <w:rsid w:val="006643A1"/>
    <w:rsid w:val="00664B87"/>
    <w:rsid w:val="00665A01"/>
    <w:rsid w:val="00666553"/>
    <w:rsid w:val="00667CC1"/>
    <w:rsid w:val="00670C81"/>
    <w:rsid w:val="00671383"/>
    <w:rsid w:val="006717F0"/>
    <w:rsid w:val="00672111"/>
    <w:rsid w:val="00672BF8"/>
    <w:rsid w:val="00672E49"/>
    <w:rsid w:val="0067320E"/>
    <w:rsid w:val="00673688"/>
    <w:rsid w:val="00674235"/>
    <w:rsid w:val="00674484"/>
    <w:rsid w:val="006749C3"/>
    <w:rsid w:val="00674B90"/>
    <w:rsid w:val="00674D0E"/>
    <w:rsid w:val="006760EE"/>
    <w:rsid w:val="00676CEE"/>
    <w:rsid w:val="00676EF2"/>
    <w:rsid w:val="00677882"/>
    <w:rsid w:val="00677AF9"/>
    <w:rsid w:val="00680404"/>
    <w:rsid w:val="00680AA5"/>
    <w:rsid w:val="006832C1"/>
    <w:rsid w:val="00683599"/>
    <w:rsid w:val="00683847"/>
    <w:rsid w:val="00684C68"/>
    <w:rsid w:val="00685133"/>
    <w:rsid w:val="006859B9"/>
    <w:rsid w:val="00685AD6"/>
    <w:rsid w:val="00685D4F"/>
    <w:rsid w:val="00687785"/>
    <w:rsid w:val="00690F6F"/>
    <w:rsid w:val="006911BD"/>
    <w:rsid w:val="00691337"/>
    <w:rsid w:val="006914C6"/>
    <w:rsid w:val="00691B9A"/>
    <w:rsid w:val="00691F78"/>
    <w:rsid w:val="00692724"/>
    <w:rsid w:val="0069299D"/>
    <w:rsid w:val="00692E43"/>
    <w:rsid w:val="0069311C"/>
    <w:rsid w:val="006936AD"/>
    <w:rsid w:val="00693C09"/>
    <w:rsid w:val="00693C39"/>
    <w:rsid w:val="00693D63"/>
    <w:rsid w:val="00693F18"/>
    <w:rsid w:val="006941F6"/>
    <w:rsid w:val="0069448C"/>
    <w:rsid w:val="00694678"/>
    <w:rsid w:val="00694843"/>
    <w:rsid w:val="0069516A"/>
    <w:rsid w:val="006957BB"/>
    <w:rsid w:val="0069661F"/>
    <w:rsid w:val="00696963"/>
    <w:rsid w:val="00697707"/>
    <w:rsid w:val="00697938"/>
    <w:rsid w:val="006A146F"/>
    <w:rsid w:val="006A2DE7"/>
    <w:rsid w:val="006A2FA2"/>
    <w:rsid w:val="006A2FE2"/>
    <w:rsid w:val="006A3A43"/>
    <w:rsid w:val="006A43D8"/>
    <w:rsid w:val="006A4655"/>
    <w:rsid w:val="006A4A0D"/>
    <w:rsid w:val="006A4A51"/>
    <w:rsid w:val="006A4A61"/>
    <w:rsid w:val="006A4FB0"/>
    <w:rsid w:val="006A5A8E"/>
    <w:rsid w:val="006A6BA2"/>
    <w:rsid w:val="006A79C4"/>
    <w:rsid w:val="006A7B67"/>
    <w:rsid w:val="006A7C41"/>
    <w:rsid w:val="006B0F1E"/>
    <w:rsid w:val="006B1174"/>
    <w:rsid w:val="006B16ED"/>
    <w:rsid w:val="006B1791"/>
    <w:rsid w:val="006B1F6F"/>
    <w:rsid w:val="006B2B3C"/>
    <w:rsid w:val="006B32DE"/>
    <w:rsid w:val="006B39FC"/>
    <w:rsid w:val="006B3A3D"/>
    <w:rsid w:val="006B3BAA"/>
    <w:rsid w:val="006B3FEC"/>
    <w:rsid w:val="006B4005"/>
    <w:rsid w:val="006B4149"/>
    <w:rsid w:val="006B41D0"/>
    <w:rsid w:val="006B430D"/>
    <w:rsid w:val="006B4F58"/>
    <w:rsid w:val="006B5074"/>
    <w:rsid w:val="006B67A7"/>
    <w:rsid w:val="006B6B0C"/>
    <w:rsid w:val="006B6D4B"/>
    <w:rsid w:val="006B6E81"/>
    <w:rsid w:val="006B7EDD"/>
    <w:rsid w:val="006C002D"/>
    <w:rsid w:val="006C00C2"/>
    <w:rsid w:val="006C04D3"/>
    <w:rsid w:val="006C05F1"/>
    <w:rsid w:val="006C0AEC"/>
    <w:rsid w:val="006C100D"/>
    <w:rsid w:val="006C108E"/>
    <w:rsid w:val="006C1522"/>
    <w:rsid w:val="006C1630"/>
    <w:rsid w:val="006C1CB3"/>
    <w:rsid w:val="006C1F17"/>
    <w:rsid w:val="006C2290"/>
    <w:rsid w:val="006C26EE"/>
    <w:rsid w:val="006C4241"/>
    <w:rsid w:val="006C42FF"/>
    <w:rsid w:val="006C43DF"/>
    <w:rsid w:val="006C464E"/>
    <w:rsid w:val="006C4A50"/>
    <w:rsid w:val="006C5019"/>
    <w:rsid w:val="006C7038"/>
    <w:rsid w:val="006C7874"/>
    <w:rsid w:val="006D0258"/>
    <w:rsid w:val="006D04BF"/>
    <w:rsid w:val="006D0620"/>
    <w:rsid w:val="006D0FAA"/>
    <w:rsid w:val="006D1169"/>
    <w:rsid w:val="006D1F68"/>
    <w:rsid w:val="006D29F4"/>
    <w:rsid w:val="006D2D2C"/>
    <w:rsid w:val="006D2D65"/>
    <w:rsid w:val="006D2DEC"/>
    <w:rsid w:val="006D3108"/>
    <w:rsid w:val="006D3558"/>
    <w:rsid w:val="006D4511"/>
    <w:rsid w:val="006D4863"/>
    <w:rsid w:val="006D4A99"/>
    <w:rsid w:val="006D4F54"/>
    <w:rsid w:val="006D506A"/>
    <w:rsid w:val="006D533D"/>
    <w:rsid w:val="006D7F21"/>
    <w:rsid w:val="006E02E9"/>
    <w:rsid w:val="006E030B"/>
    <w:rsid w:val="006E0816"/>
    <w:rsid w:val="006E197F"/>
    <w:rsid w:val="006E20B3"/>
    <w:rsid w:val="006E2235"/>
    <w:rsid w:val="006E2E47"/>
    <w:rsid w:val="006E2E6A"/>
    <w:rsid w:val="006E306F"/>
    <w:rsid w:val="006E3522"/>
    <w:rsid w:val="006E36AF"/>
    <w:rsid w:val="006E3E50"/>
    <w:rsid w:val="006E5927"/>
    <w:rsid w:val="006E6437"/>
    <w:rsid w:val="006E6740"/>
    <w:rsid w:val="006E6A30"/>
    <w:rsid w:val="006E6BF7"/>
    <w:rsid w:val="006E73EF"/>
    <w:rsid w:val="006E770B"/>
    <w:rsid w:val="006E7C11"/>
    <w:rsid w:val="006F006D"/>
    <w:rsid w:val="006F0737"/>
    <w:rsid w:val="006F0813"/>
    <w:rsid w:val="006F0B44"/>
    <w:rsid w:val="006F18CB"/>
    <w:rsid w:val="006F23A3"/>
    <w:rsid w:val="006F2578"/>
    <w:rsid w:val="006F32F5"/>
    <w:rsid w:val="006F3A73"/>
    <w:rsid w:val="006F4209"/>
    <w:rsid w:val="006F4449"/>
    <w:rsid w:val="006F4E4D"/>
    <w:rsid w:val="006F52ED"/>
    <w:rsid w:val="006F5995"/>
    <w:rsid w:val="006F5AB4"/>
    <w:rsid w:val="006F5F95"/>
    <w:rsid w:val="006F6029"/>
    <w:rsid w:val="006F6C08"/>
    <w:rsid w:val="006F74DF"/>
    <w:rsid w:val="0070004E"/>
    <w:rsid w:val="007003B4"/>
    <w:rsid w:val="00700421"/>
    <w:rsid w:val="00700958"/>
    <w:rsid w:val="00700BB8"/>
    <w:rsid w:val="007014CD"/>
    <w:rsid w:val="00701A94"/>
    <w:rsid w:val="0070251F"/>
    <w:rsid w:val="00702E82"/>
    <w:rsid w:val="007033DE"/>
    <w:rsid w:val="007036FC"/>
    <w:rsid w:val="007045A0"/>
    <w:rsid w:val="00704617"/>
    <w:rsid w:val="00705084"/>
    <w:rsid w:val="00705675"/>
    <w:rsid w:val="00705BDD"/>
    <w:rsid w:val="00705DC3"/>
    <w:rsid w:val="007078CA"/>
    <w:rsid w:val="00710F0A"/>
    <w:rsid w:val="00711361"/>
    <w:rsid w:val="00711657"/>
    <w:rsid w:val="00711A3F"/>
    <w:rsid w:val="0071266F"/>
    <w:rsid w:val="00712773"/>
    <w:rsid w:val="00714A2E"/>
    <w:rsid w:val="00714D4D"/>
    <w:rsid w:val="00715349"/>
    <w:rsid w:val="007153A7"/>
    <w:rsid w:val="007156F2"/>
    <w:rsid w:val="007163F6"/>
    <w:rsid w:val="00716642"/>
    <w:rsid w:val="00716D4A"/>
    <w:rsid w:val="0071706C"/>
    <w:rsid w:val="00717415"/>
    <w:rsid w:val="0071781A"/>
    <w:rsid w:val="00717B7C"/>
    <w:rsid w:val="00720631"/>
    <w:rsid w:val="007206CF"/>
    <w:rsid w:val="00720847"/>
    <w:rsid w:val="00720AAF"/>
    <w:rsid w:val="007211B8"/>
    <w:rsid w:val="0072160E"/>
    <w:rsid w:val="007217AB"/>
    <w:rsid w:val="00721B78"/>
    <w:rsid w:val="00721C8F"/>
    <w:rsid w:val="00722352"/>
    <w:rsid w:val="007224D2"/>
    <w:rsid w:val="00722809"/>
    <w:rsid w:val="007236B3"/>
    <w:rsid w:val="00723CFD"/>
    <w:rsid w:val="00723E2A"/>
    <w:rsid w:val="00723F4C"/>
    <w:rsid w:val="00725F4A"/>
    <w:rsid w:val="00726200"/>
    <w:rsid w:val="00726270"/>
    <w:rsid w:val="007262A8"/>
    <w:rsid w:val="00726A97"/>
    <w:rsid w:val="00726CAD"/>
    <w:rsid w:val="00727427"/>
    <w:rsid w:val="0072772F"/>
    <w:rsid w:val="007279DD"/>
    <w:rsid w:val="00727D20"/>
    <w:rsid w:val="007303A4"/>
    <w:rsid w:val="00730FAB"/>
    <w:rsid w:val="007310DB"/>
    <w:rsid w:val="0073217E"/>
    <w:rsid w:val="007323D3"/>
    <w:rsid w:val="007334E4"/>
    <w:rsid w:val="007347C1"/>
    <w:rsid w:val="00734BFC"/>
    <w:rsid w:val="0073566E"/>
    <w:rsid w:val="00735DDA"/>
    <w:rsid w:val="00735F4D"/>
    <w:rsid w:val="00736690"/>
    <w:rsid w:val="00736BC6"/>
    <w:rsid w:val="007371C8"/>
    <w:rsid w:val="0073735A"/>
    <w:rsid w:val="0073768F"/>
    <w:rsid w:val="00737F78"/>
    <w:rsid w:val="00737FA8"/>
    <w:rsid w:val="0074027C"/>
    <w:rsid w:val="0074034D"/>
    <w:rsid w:val="007406B8"/>
    <w:rsid w:val="00740DCF"/>
    <w:rsid w:val="0074105E"/>
    <w:rsid w:val="00741FC4"/>
    <w:rsid w:val="0074296E"/>
    <w:rsid w:val="00742AEF"/>
    <w:rsid w:val="00743291"/>
    <w:rsid w:val="00743347"/>
    <w:rsid w:val="007434D5"/>
    <w:rsid w:val="007435EE"/>
    <w:rsid w:val="00743F1C"/>
    <w:rsid w:val="00744C73"/>
    <w:rsid w:val="007453E8"/>
    <w:rsid w:val="007453F7"/>
    <w:rsid w:val="00745455"/>
    <w:rsid w:val="00746DC1"/>
    <w:rsid w:val="00747191"/>
    <w:rsid w:val="007475BB"/>
    <w:rsid w:val="007479FE"/>
    <w:rsid w:val="00750BD1"/>
    <w:rsid w:val="00750FB6"/>
    <w:rsid w:val="00751023"/>
    <w:rsid w:val="00751090"/>
    <w:rsid w:val="00751CA4"/>
    <w:rsid w:val="007535F6"/>
    <w:rsid w:val="00753DE6"/>
    <w:rsid w:val="00754B0B"/>
    <w:rsid w:val="00754D03"/>
    <w:rsid w:val="00755325"/>
    <w:rsid w:val="00755FFB"/>
    <w:rsid w:val="00756923"/>
    <w:rsid w:val="00756F93"/>
    <w:rsid w:val="0075710A"/>
    <w:rsid w:val="007571A0"/>
    <w:rsid w:val="00757807"/>
    <w:rsid w:val="00757DE5"/>
    <w:rsid w:val="00757DFB"/>
    <w:rsid w:val="007601F5"/>
    <w:rsid w:val="007604BB"/>
    <w:rsid w:val="00760539"/>
    <w:rsid w:val="00760E4C"/>
    <w:rsid w:val="00761132"/>
    <w:rsid w:val="00761BC8"/>
    <w:rsid w:val="0076248F"/>
    <w:rsid w:val="00762B3C"/>
    <w:rsid w:val="0076329B"/>
    <w:rsid w:val="00763C7D"/>
    <w:rsid w:val="0076495C"/>
    <w:rsid w:val="007649B2"/>
    <w:rsid w:val="00764D10"/>
    <w:rsid w:val="00765DCC"/>
    <w:rsid w:val="0076614F"/>
    <w:rsid w:val="00766580"/>
    <w:rsid w:val="0076690C"/>
    <w:rsid w:val="00766A49"/>
    <w:rsid w:val="0076773C"/>
    <w:rsid w:val="007707EC"/>
    <w:rsid w:val="00770814"/>
    <w:rsid w:val="00770B93"/>
    <w:rsid w:val="007713D1"/>
    <w:rsid w:val="00771466"/>
    <w:rsid w:val="0077182A"/>
    <w:rsid w:val="00771A1C"/>
    <w:rsid w:val="00771A31"/>
    <w:rsid w:val="00772269"/>
    <w:rsid w:val="0077231E"/>
    <w:rsid w:val="00772B5A"/>
    <w:rsid w:val="00772B67"/>
    <w:rsid w:val="007730FA"/>
    <w:rsid w:val="007733B0"/>
    <w:rsid w:val="0077430E"/>
    <w:rsid w:val="00774571"/>
    <w:rsid w:val="007748D8"/>
    <w:rsid w:val="007749EA"/>
    <w:rsid w:val="00775484"/>
    <w:rsid w:val="00775D6A"/>
    <w:rsid w:val="0077737B"/>
    <w:rsid w:val="00777551"/>
    <w:rsid w:val="00777D58"/>
    <w:rsid w:val="00780184"/>
    <w:rsid w:val="007802CA"/>
    <w:rsid w:val="00780D90"/>
    <w:rsid w:val="007810D0"/>
    <w:rsid w:val="007814A5"/>
    <w:rsid w:val="007825D6"/>
    <w:rsid w:val="007826FA"/>
    <w:rsid w:val="007831F7"/>
    <w:rsid w:val="00783E41"/>
    <w:rsid w:val="00783F01"/>
    <w:rsid w:val="00784739"/>
    <w:rsid w:val="00784B6C"/>
    <w:rsid w:val="00785232"/>
    <w:rsid w:val="00785E84"/>
    <w:rsid w:val="00785F48"/>
    <w:rsid w:val="0078605A"/>
    <w:rsid w:val="007871CD"/>
    <w:rsid w:val="0078798A"/>
    <w:rsid w:val="00790115"/>
    <w:rsid w:val="00790447"/>
    <w:rsid w:val="00791261"/>
    <w:rsid w:val="0079137B"/>
    <w:rsid w:val="00791F95"/>
    <w:rsid w:val="00792981"/>
    <w:rsid w:val="007929EA"/>
    <w:rsid w:val="00792F36"/>
    <w:rsid w:val="00793498"/>
    <w:rsid w:val="007937A1"/>
    <w:rsid w:val="0079542E"/>
    <w:rsid w:val="007960B0"/>
    <w:rsid w:val="007974CF"/>
    <w:rsid w:val="007A0534"/>
    <w:rsid w:val="007A06FF"/>
    <w:rsid w:val="007A11F3"/>
    <w:rsid w:val="007A21EB"/>
    <w:rsid w:val="007A286B"/>
    <w:rsid w:val="007A3812"/>
    <w:rsid w:val="007A40E3"/>
    <w:rsid w:val="007A46EC"/>
    <w:rsid w:val="007A483D"/>
    <w:rsid w:val="007A5831"/>
    <w:rsid w:val="007A5A63"/>
    <w:rsid w:val="007A6260"/>
    <w:rsid w:val="007A64E5"/>
    <w:rsid w:val="007A65BB"/>
    <w:rsid w:val="007A6A43"/>
    <w:rsid w:val="007A6C02"/>
    <w:rsid w:val="007A6FDE"/>
    <w:rsid w:val="007A7053"/>
    <w:rsid w:val="007A77BD"/>
    <w:rsid w:val="007A7C03"/>
    <w:rsid w:val="007A7C85"/>
    <w:rsid w:val="007B0353"/>
    <w:rsid w:val="007B0403"/>
    <w:rsid w:val="007B0669"/>
    <w:rsid w:val="007B0AC5"/>
    <w:rsid w:val="007B10CE"/>
    <w:rsid w:val="007B113E"/>
    <w:rsid w:val="007B1EC6"/>
    <w:rsid w:val="007B1F01"/>
    <w:rsid w:val="007B210D"/>
    <w:rsid w:val="007B22A9"/>
    <w:rsid w:val="007B2789"/>
    <w:rsid w:val="007B2AE1"/>
    <w:rsid w:val="007B30EE"/>
    <w:rsid w:val="007B34F0"/>
    <w:rsid w:val="007B3812"/>
    <w:rsid w:val="007B41CE"/>
    <w:rsid w:val="007B445E"/>
    <w:rsid w:val="007B4A12"/>
    <w:rsid w:val="007B4ECA"/>
    <w:rsid w:val="007B52AC"/>
    <w:rsid w:val="007B57DA"/>
    <w:rsid w:val="007B63C7"/>
    <w:rsid w:val="007C033E"/>
    <w:rsid w:val="007C0C90"/>
    <w:rsid w:val="007C1066"/>
    <w:rsid w:val="007C1A9D"/>
    <w:rsid w:val="007C1AA5"/>
    <w:rsid w:val="007C1C20"/>
    <w:rsid w:val="007C1FE7"/>
    <w:rsid w:val="007C2AC8"/>
    <w:rsid w:val="007C2E6B"/>
    <w:rsid w:val="007C2ED1"/>
    <w:rsid w:val="007C3438"/>
    <w:rsid w:val="007C36C9"/>
    <w:rsid w:val="007C3DAD"/>
    <w:rsid w:val="007C48FB"/>
    <w:rsid w:val="007C49CA"/>
    <w:rsid w:val="007C4C32"/>
    <w:rsid w:val="007C50BF"/>
    <w:rsid w:val="007C5291"/>
    <w:rsid w:val="007C5BE7"/>
    <w:rsid w:val="007C6268"/>
    <w:rsid w:val="007C6942"/>
    <w:rsid w:val="007C6BB2"/>
    <w:rsid w:val="007C7BF9"/>
    <w:rsid w:val="007C7EE8"/>
    <w:rsid w:val="007D0814"/>
    <w:rsid w:val="007D0847"/>
    <w:rsid w:val="007D0CED"/>
    <w:rsid w:val="007D106A"/>
    <w:rsid w:val="007D1DBB"/>
    <w:rsid w:val="007D21AE"/>
    <w:rsid w:val="007D2645"/>
    <w:rsid w:val="007D2ABB"/>
    <w:rsid w:val="007D2EB2"/>
    <w:rsid w:val="007D317C"/>
    <w:rsid w:val="007D3412"/>
    <w:rsid w:val="007D3BB5"/>
    <w:rsid w:val="007D3D7A"/>
    <w:rsid w:val="007D4797"/>
    <w:rsid w:val="007D48AE"/>
    <w:rsid w:val="007D4CCF"/>
    <w:rsid w:val="007D57C7"/>
    <w:rsid w:val="007D60AC"/>
    <w:rsid w:val="007D6A7C"/>
    <w:rsid w:val="007D7235"/>
    <w:rsid w:val="007D78AF"/>
    <w:rsid w:val="007D7E2C"/>
    <w:rsid w:val="007E00D7"/>
    <w:rsid w:val="007E01E4"/>
    <w:rsid w:val="007E0E23"/>
    <w:rsid w:val="007E103C"/>
    <w:rsid w:val="007E13C5"/>
    <w:rsid w:val="007E19C3"/>
    <w:rsid w:val="007E1F1A"/>
    <w:rsid w:val="007E24D6"/>
    <w:rsid w:val="007E27B0"/>
    <w:rsid w:val="007E38B7"/>
    <w:rsid w:val="007E3EBB"/>
    <w:rsid w:val="007E4554"/>
    <w:rsid w:val="007E49A1"/>
    <w:rsid w:val="007E4EF5"/>
    <w:rsid w:val="007E50A5"/>
    <w:rsid w:val="007E54A9"/>
    <w:rsid w:val="007E5AF8"/>
    <w:rsid w:val="007E60D8"/>
    <w:rsid w:val="007E6B1D"/>
    <w:rsid w:val="007E7072"/>
    <w:rsid w:val="007E72A9"/>
    <w:rsid w:val="007E7CA1"/>
    <w:rsid w:val="007E7DAC"/>
    <w:rsid w:val="007F0720"/>
    <w:rsid w:val="007F07B1"/>
    <w:rsid w:val="007F0ED7"/>
    <w:rsid w:val="007F10AA"/>
    <w:rsid w:val="007F12E1"/>
    <w:rsid w:val="007F1405"/>
    <w:rsid w:val="007F16DE"/>
    <w:rsid w:val="007F24B5"/>
    <w:rsid w:val="007F2744"/>
    <w:rsid w:val="007F2A27"/>
    <w:rsid w:val="007F3A0D"/>
    <w:rsid w:val="007F40DE"/>
    <w:rsid w:val="007F4755"/>
    <w:rsid w:val="007F4ACB"/>
    <w:rsid w:val="007F539B"/>
    <w:rsid w:val="007F5550"/>
    <w:rsid w:val="007F5D1B"/>
    <w:rsid w:val="007F649D"/>
    <w:rsid w:val="007F6DF8"/>
    <w:rsid w:val="007F7107"/>
    <w:rsid w:val="007F72AA"/>
    <w:rsid w:val="007F74D9"/>
    <w:rsid w:val="007F752A"/>
    <w:rsid w:val="007F7532"/>
    <w:rsid w:val="007F7685"/>
    <w:rsid w:val="007F7D26"/>
    <w:rsid w:val="00800197"/>
    <w:rsid w:val="008011E5"/>
    <w:rsid w:val="00801D73"/>
    <w:rsid w:val="008025C8"/>
    <w:rsid w:val="00802A84"/>
    <w:rsid w:val="00803530"/>
    <w:rsid w:val="0080383F"/>
    <w:rsid w:val="00804428"/>
    <w:rsid w:val="0080544D"/>
    <w:rsid w:val="00805522"/>
    <w:rsid w:val="00805573"/>
    <w:rsid w:val="0080688D"/>
    <w:rsid w:val="00806B70"/>
    <w:rsid w:val="0081030F"/>
    <w:rsid w:val="0081131E"/>
    <w:rsid w:val="00811AEF"/>
    <w:rsid w:val="008126C9"/>
    <w:rsid w:val="00813072"/>
    <w:rsid w:val="00813292"/>
    <w:rsid w:val="008134CE"/>
    <w:rsid w:val="00814538"/>
    <w:rsid w:val="00814AE1"/>
    <w:rsid w:val="00817D37"/>
    <w:rsid w:val="008202A6"/>
    <w:rsid w:val="008206C9"/>
    <w:rsid w:val="0082087D"/>
    <w:rsid w:val="00820F51"/>
    <w:rsid w:val="00822135"/>
    <w:rsid w:val="00822C1E"/>
    <w:rsid w:val="00824B5C"/>
    <w:rsid w:val="00824F58"/>
    <w:rsid w:val="00825142"/>
    <w:rsid w:val="00825A61"/>
    <w:rsid w:val="00825ABB"/>
    <w:rsid w:val="00825C72"/>
    <w:rsid w:val="00825C95"/>
    <w:rsid w:val="00825CCE"/>
    <w:rsid w:val="0082652C"/>
    <w:rsid w:val="0082669C"/>
    <w:rsid w:val="00826839"/>
    <w:rsid w:val="00826A22"/>
    <w:rsid w:val="00826D09"/>
    <w:rsid w:val="008300EC"/>
    <w:rsid w:val="00830987"/>
    <w:rsid w:val="00831006"/>
    <w:rsid w:val="00831048"/>
    <w:rsid w:val="00831967"/>
    <w:rsid w:val="00831A20"/>
    <w:rsid w:val="00831D45"/>
    <w:rsid w:val="00831DB2"/>
    <w:rsid w:val="00832034"/>
    <w:rsid w:val="00833865"/>
    <w:rsid w:val="00833937"/>
    <w:rsid w:val="00833BF4"/>
    <w:rsid w:val="008343A4"/>
    <w:rsid w:val="00834A51"/>
    <w:rsid w:val="0083504E"/>
    <w:rsid w:val="00835357"/>
    <w:rsid w:val="00835B19"/>
    <w:rsid w:val="00836F20"/>
    <w:rsid w:val="008375F0"/>
    <w:rsid w:val="0083790B"/>
    <w:rsid w:val="00840153"/>
    <w:rsid w:val="00840509"/>
    <w:rsid w:val="00840B61"/>
    <w:rsid w:val="00840E48"/>
    <w:rsid w:val="00840FE3"/>
    <w:rsid w:val="008428AC"/>
    <w:rsid w:val="00842933"/>
    <w:rsid w:val="00842D72"/>
    <w:rsid w:val="00842EBF"/>
    <w:rsid w:val="00844D32"/>
    <w:rsid w:val="00845229"/>
    <w:rsid w:val="0084669B"/>
    <w:rsid w:val="008470F5"/>
    <w:rsid w:val="00847115"/>
    <w:rsid w:val="00847288"/>
    <w:rsid w:val="00847374"/>
    <w:rsid w:val="00851375"/>
    <w:rsid w:val="0085205D"/>
    <w:rsid w:val="00853C26"/>
    <w:rsid w:val="00853D62"/>
    <w:rsid w:val="00854A27"/>
    <w:rsid w:val="00854BA5"/>
    <w:rsid w:val="0085546A"/>
    <w:rsid w:val="00855AA4"/>
    <w:rsid w:val="00855E7C"/>
    <w:rsid w:val="0085601E"/>
    <w:rsid w:val="00856206"/>
    <w:rsid w:val="008567E0"/>
    <w:rsid w:val="00856A84"/>
    <w:rsid w:val="00856E9E"/>
    <w:rsid w:val="00857CEA"/>
    <w:rsid w:val="0086054E"/>
    <w:rsid w:val="0086082C"/>
    <w:rsid w:val="00860A6F"/>
    <w:rsid w:val="00860B26"/>
    <w:rsid w:val="008611EB"/>
    <w:rsid w:val="00861684"/>
    <w:rsid w:val="008616B0"/>
    <w:rsid w:val="00861D9E"/>
    <w:rsid w:val="0086294E"/>
    <w:rsid w:val="00862E67"/>
    <w:rsid w:val="00862EF4"/>
    <w:rsid w:val="0086317D"/>
    <w:rsid w:val="00863FA2"/>
    <w:rsid w:val="00864330"/>
    <w:rsid w:val="008643B2"/>
    <w:rsid w:val="008647D1"/>
    <w:rsid w:val="00864ADC"/>
    <w:rsid w:val="00866CCB"/>
    <w:rsid w:val="0087073B"/>
    <w:rsid w:val="00870A61"/>
    <w:rsid w:val="0087162B"/>
    <w:rsid w:val="00871905"/>
    <w:rsid w:val="00871B05"/>
    <w:rsid w:val="00872480"/>
    <w:rsid w:val="0087503E"/>
    <w:rsid w:val="00875558"/>
    <w:rsid w:val="00875BF3"/>
    <w:rsid w:val="00876726"/>
    <w:rsid w:val="00876BDB"/>
    <w:rsid w:val="00877838"/>
    <w:rsid w:val="00880153"/>
    <w:rsid w:val="00880F97"/>
    <w:rsid w:val="0088133A"/>
    <w:rsid w:val="00881479"/>
    <w:rsid w:val="0088148D"/>
    <w:rsid w:val="00881F41"/>
    <w:rsid w:val="008828FE"/>
    <w:rsid w:val="00882CB0"/>
    <w:rsid w:val="00882E1C"/>
    <w:rsid w:val="00883248"/>
    <w:rsid w:val="00883711"/>
    <w:rsid w:val="008838AE"/>
    <w:rsid w:val="008845EF"/>
    <w:rsid w:val="00884D75"/>
    <w:rsid w:val="0088507D"/>
    <w:rsid w:val="00885B3B"/>
    <w:rsid w:val="00886003"/>
    <w:rsid w:val="008860A5"/>
    <w:rsid w:val="00886365"/>
    <w:rsid w:val="00886971"/>
    <w:rsid w:val="00886CA1"/>
    <w:rsid w:val="00886D7B"/>
    <w:rsid w:val="00887367"/>
    <w:rsid w:val="00887447"/>
    <w:rsid w:val="00887C8A"/>
    <w:rsid w:val="00887C95"/>
    <w:rsid w:val="0089015D"/>
    <w:rsid w:val="0089030E"/>
    <w:rsid w:val="00890AD0"/>
    <w:rsid w:val="00890BD1"/>
    <w:rsid w:val="008919DB"/>
    <w:rsid w:val="0089285E"/>
    <w:rsid w:val="00893261"/>
    <w:rsid w:val="00893344"/>
    <w:rsid w:val="00893513"/>
    <w:rsid w:val="00893719"/>
    <w:rsid w:val="008941CC"/>
    <w:rsid w:val="0089436C"/>
    <w:rsid w:val="0089521F"/>
    <w:rsid w:val="00895832"/>
    <w:rsid w:val="00895A55"/>
    <w:rsid w:val="00895C15"/>
    <w:rsid w:val="00895DF7"/>
    <w:rsid w:val="008965CA"/>
    <w:rsid w:val="00896888"/>
    <w:rsid w:val="008968C3"/>
    <w:rsid w:val="00896A49"/>
    <w:rsid w:val="00896AAC"/>
    <w:rsid w:val="00897BC0"/>
    <w:rsid w:val="008A04DB"/>
    <w:rsid w:val="008A0B3C"/>
    <w:rsid w:val="008A1B97"/>
    <w:rsid w:val="008A1FF6"/>
    <w:rsid w:val="008A23AE"/>
    <w:rsid w:val="008A255D"/>
    <w:rsid w:val="008A259F"/>
    <w:rsid w:val="008A2990"/>
    <w:rsid w:val="008A2CBA"/>
    <w:rsid w:val="008A39C4"/>
    <w:rsid w:val="008A3D0A"/>
    <w:rsid w:val="008A4A48"/>
    <w:rsid w:val="008A5125"/>
    <w:rsid w:val="008A54BF"/>
    <w:rsid w:val="008A5CFF"/>
    <w:rsid w:val="008A609E"/>
    <w:rsid w:val="008A7833"/>
    <w:rsid w:val="008A78CF"/>
    <w:rsid w:val="008A7A53"/>
    <w:rsid w:val="008A7BCA"/>
    <w:rsid w:val="008B0987"/>
    <w:rsid w:val="008B0AE1"/>
    <w:rsid w:val="008B24D6"/>
    <w:rsid w:val="008B2EBA"/>
    <w:rsid w:val="008B364A"/>
    <w:rsid w:val="008B37F0"/>
    <w:rsid w:val="008B3D33"/>
    <w:rsid w:val="008B4196"/>
    <w:rsid w:val="008B4725"/>
    <w:rsid w:val="008B4C2E"/>
    <w:rsid w:val="008B54DA"/>
    <w:rsid w:val="008B68D9"/>
    <w:rsid w:val="008B6B69"/>
    <w:rsid w:val="008B6DD2"/>
    <w:rsid w:val="008B6E83"/>
    <w:rsid w:val="008B7333"/>
    <w:rsid w:val="008B7655"/>
    <w:rsid w:val="008B784A"/>
    <w:rsid w:val="008B78C1"/>
    <w:rsid w:val="008B7E94"/>
    <w:rsid w:val="008C01C1"/>
    <w:rsid w:val="008C100E"/>
    <w:rsid w:val="008C182F"/>
    <w:rsid w:val="008C1D5C"/>
    <w:rsid w:val="008C3BF1"/>
    <w:rsid w:val="008C3C1E"/>
    <w:rsid w:val="008C4281"/>
    <w:rsid w:val="008C5813"/>
    <w:rsid w:val="008C595A"/>
    <w:rsid w:val="008C5BE5"/>
    <w:rsid w:val="008C71DB"/>
    <w:rsid w:val="008C727B"/>
    <w:rsid w:val="008C79EA"/>
    <w:rsid w:val="008C7A2D"/>
    <w:rsid w:val="008C7A85"/>
    <w:rsid w:val="008D139D"/>
    <w:rsid w:val="008D1641"/>
    <w:rsid w:val="008D185C"/>
    <w:rsid w:val="008D19C2"/>
    <w:rsid w:val="008D1DE7"/>
    <w:rsid w:val="008D353B"/>
    <w:rsid w:val="008D365C"/>
    <w:rsid w:val="008D5750"/>
    <w:rsid w:val="008D5ED2"/>
    <w:rsid w:val="008D6140"/>
    <w:rsid w:val="008D61C7"/>
    <w:rsid w:val="008D64D6"/>
    <w:rsid w:val="008D695B"/>
    <w:rsid w:val="008D69DD"/>
    <w:rsid w:val="008D6D15"/>
    <w:rsid w:val="008D7BE2"/>
    <w:rsid w:val="008D7C77"/>
    <w:rsid w:val="008E1147"/>
    <w:rsid w:val="008E1554"/>
    <w:rsid w:val="008E184A"/>
    <w:rsid w:val="008E2370"/>
    <w:rsid w:val="008E2635"/>
    <w:rsid w:val="008E2FAA"/>
    <w:rsid w:val="008E33A4"/>
    <w:rsid w:val="008E5102"/>
    <w:rsid w:val="008E583B"/>
    <w:rsid w:val="008E5B4A"/>
    <w:rsid w:val="008E6BE1"/>
    <w:rsid w:val="008E6DE3"/>
    <w:rsid w:val="008E6F6E"/>
    <w:rsid w:val="008E795B"/>
    <w:rsid w:val="008E7B59"/>
    <w:rsid w:val="008F06E6"/>
    <w:rsid w:val="008F0EEC"/>
    <w:rsid w:val="008F1115"/>
    <w:rsid w:val="008F199F"/>
    <w:rsid w:val="008F1E00"/>
    <w:rsid w:val="008F21A5"/>
    <w:rsid w:val="008F231C"/>
    <w:rsid w:val="008F252C"/>
    <w:rsid w:val="008F28AF"/>
    <w:rsid w:val="008F31D2"/>
    <w:rsid w:val="008F42D5"/>
    <w:rsid w:val="008F4C5C"/>
    <w:rsid w:val="008F5E79"/>
    <w:rsid w:val="008F6063"/>
    <w:rsid w:val="008F6978"/>
    <w:rsid w:val="008F7D49"/>
    <w:rsid w:val="0090111C"/>
    <w:rsid w:val="00901132"/>
    <w:rsid w:val="009015FC"/>
    <w:rsid w:val="00901B4E"/>
    <w:rsid w:val="00901D78"/>
    <w:rsid w:val="009023F1"/>
    <w:rsid w:val="0090245D"/>
    <w:rsid w:val="00902DB1"/>
    <w:rsid w:val="009030BF"/>
    <w:rsid w:val="009036B5"/>
    <w:rsid w:val="0090409F"/>
    <w:rsid w:val="009042A4"/>
    <w:rsid w:val="009043AF"/>
    <w:rsid w:val="00904441"/>
    <w:rsid w:val="00904DCF"/>
    <w:rsid w:val="00905741"/>
    <w:rsid w:val="00905E5D"/>
    <w:rsid w:val="0090681F"/>
    <w:rsid w:val="00907A78"/>
    <w:rsid w:val="009105CA"/>
    <w:rsid w:val="00910BA8"/>
    <w:rsid w:val="00910E35"/>
    <w:rsid w:val="009117E0"/>
    <w:rsid w:val="0091193E"/>
    <w:rsid w:val="0091221F"/>
    <w:rsid w:val="0091223F"/>
    <w:rsid w:val="00913329"/>
    <w:rsid w:val="009136A5"/>
    <w:rsid w:val="00913F06"/>
    <w:rsid w:val="009141D1"/>
    <w:rsid w:val="00914368"/>
    <w:rsid w:val="0091437A"/>
    <w:rsid w:val="00914AA8"/>
    <w:rsid w:val="00915028"/>
    <w:rsid w:val="009155FF"/>
    <w:rsid w:val="009156F6"/>
    <w:rsid w:val="00915DEF"/>
    <w:rsid w:val="00916397"/>
    <w:rsid w:val="0092308B"/>
    <w:rsid w:val="0092398E"/>
    <w:rsid w:val="00923F94"/>
    <w:rsid w:val="009246F9"/>
    <w:rsid w:val="00924887"/>
    <w:rsid w:val="00924A48"/>
    <w:rsid w:val="00924E9F"/>
    <w:rsid w:val="00925103"/>
    <w:rsid w:val="009259F7"/>
    <w:rsid w:val="00925CD3"/>
    <w:rsid w:val="00926E69"/>
    <w:rsid w:val="0092765C"/>
    <w:rsid w:val="009277A1"/>
    <w:rsid w:val="00927C78"/>
    <w:rsid w:val="00927FC9"/>
    <w:rsid w:val="00930D07"/>
    <w:rsid w:val="00931076"/>
    <w:rsid w:val="00932391"/>
    <w:rsid w:val="00932F73"/>
    <w:rsid w:val="0093360B"/>
    <w:rsid w:val="00933E64"/>
    <w:rsid w:val="009345D9"/>
    <w:rsid w:val="009347C9"/>
    <w:rsid w:val="00934B15"/>
    <w:rsid w:val="00935806"/>
    <w:rsid w:val="00935996"/>
    <w:rsid w:val="00935B57"/>
    <w:rsid w:val="00936480"/>
    <w:rsid w:val="0093671F"/>
    <w:rsid w:val="0093743E"/>
    <w:rsid w:val="00940908"/>
    <w:rsid w:val="00940EC5"/>
    <w:rsid w:val="009413E9"/>
    <w:rsid w:val="00941A37"/>
    <w:rsid w:val="009425F4"/>
    <w:rsid w:val="0094262E"/>
    <w:rsid w:val="009427AA"/>
    <w:rsid w:val="00942B62"/>
    <w:rsid w:val="00942BB4"/>
    <w:rsid w:val="009453A7"/>
    <w:rsid w:val="00945A21"/>
    <w:rsid w:val="009460A5"/>
    <w:rsid w:val="00946228"/>
    <w:rsid w:val="00946735"/>
    <w:rsid w:val="00946E91"/>
    <w:rsid w:val="00947DF5"/>
    <w:rsid w:val="00950631"/>
    <w:rsid w:val="009509FB"/>
    <w:rsid w:val="00950AEB"/>
    <w:rsid w:val="00951FD7"/>
    <w:rsid w:val="00952FAE"/>
    <w:rsid w:val="00953E0D"/>
    <w:rsid w:val="00954046"/>
    <w:rsid w:val="00954C1D"/>
    <w:rsid w:val="009555F4"/>
    <w:rsid w:val="00955662"/>
    <w:rsid w:val="00955F53"/>
    <w:rsid w:val="00956A0C"/>
    <w:rsid w:val="00956BD9"/>
    <w:rsid w:val="009579CF"/>
    <w:rsid w:val="00960576"/>
    <w:rsid w:val="00960B10"/>
    <w:rsid w:val="00960E5D"/>
    <w:rsid w:val="00961414"/>
    <w:rsid w:val="009617D0"/>
    <w:rsid w:val="00962489"/>
    <w:rsid w:val="009628A1"/>
    <w:rsid w:val="00962C98"/>
    <w:rsid w:val="00963072"/>
    <w:rsid w:val="00963853"/>
    <w:rsid w:val="00963917"/>
    <w:rsid w:val="009639EA"/>
    <w:rsid w:val="009642C0"/>
    <w:rsid w:val="00965B35"/>
    <w:rsid w:val="0096635E"/>
    <w:rsid w:val="00966CD0"/>
    <w:rsid w:val="00967148"/>
    <w:rsid w:val="009675AC"/>
    <w:rsid w:val="00967F98"/>
    <w:rsid w:val="0097032F"/>
    <w:rsid w:val="0097048C"/>
    <w:rsid w:val="00970C36"/>
    <w:rsid w:val="00970FBE"/>
    <w:rsid w:val="009713B0"/>
    <w:rsid w:val="0097143C"/>
    <w:rsid w:val="009715DC"/>
    <w:rsid w:val="00971BDC"/>
    <w:rsid w:val="009720B8"/>
    <w:rsid w:val="009722F6"/>
    <w:rsid w:val="00972745"/>
    <w:rsid w:val="009734EA"/>
    <w:rsid w:val="00973F68"/>
    <w:rsid w:val="00975A61"/>
    <w:rsid w:val="009764E1"/>
    <w:rsid w:val="00976F07"/>
    <w:rsid w:val="00980236"/>
    <w:rsid w:val="00980D4D"/>
    <w:rsid w:val="009817CB"/>
    <w:rsid w:val="00981FD4"/>
    <w:rsid w:val="009822F1"/>
    <w:rsid w:val="00982CFD"/>
    <w:rsid w:val="0098356E"/>
    <w:rsid w:val="00983687"/>
    <w:rsid w:val="00983DC3"/>
    <w:rsid w:val="0098468B"/>
    <w:rsid w:val="00984DDA"/>
    <w:rsid w:val="00984F0B"/>
    <w:rsid w:val="009865D3"/>
    <w:rsid w:val="00986771"/>
    <w:rsid w:val="00986F01"/>
    <w:rsid w:val="00987363"/>
    <w:rsid w:val="009873EF"/>
    <w:rsid w:val="009875E5"/>
    <w:rsid w:val="00987D9D"/>
    <w:rsid w:val="009902F7"/>
    <w:rsid w:val="00990C2C"/>
    <w:rsid w:val="00990C58"/>
    <w:rsid w:val="00991C66"/>
    <w:rsid w:val="00991EA7"/>
    <w:rsid w:val="009922AF"/>
    <w:rsid w:val="00992353"/>
    <w:rsid w:val="00992600"/>
    <w:rsid w:val="009929AB"/>
    <w:rsid w:val="0099384C"/>
    <w:rsid w:val="0099418E"/>
    <w:rsid w:val="009944CE"/>
    <w:rsid w:val="0099488B"/>
    <w:rsid w:val="00994E22"/>
    <w:rsid w:val="00994F88"/>
    <w:rsid w:val="0099726B"/>
    <w:rsid w:val="009972A3"/>
    <w:rsid w:val="009976D2"/>
    <w:rsid w:val="0099781B"/>
    <w:rsid w:val="00997931"/>
    <w:rsid w:val="009A0C7A"/>
    <w:rsid w:val="009A148F"/>
    <w:rsid w:val="009A1C27"/>
    <w:rsid w:val="009A1D0E"/>
    <w:rsid w:val="009A2068"/>
    <w:rsid w:val="009A2183"/>
    <w:rsid w:val="009A30BC"/>
    <w:rsid w:val="009A3300"/>
    <w:rsid w:val="009A3C34"/>
    <w:rsid w:val="009A4303"/>
    <w:rsid w:val="009A4D5E"/>
    <w:rsid w:val="009A5452"/>
    <w:rsid w:val="009A559A"/>
    <w:rsid w:val="009A6CA2"/>
    <w:rsid w:val="009A744A"/>
    <w:rsid w:val="009B005C"/>
    <w:rsid w:val="009B0460"/>
    <w:rsid w:val="009B11CF"/>
    <w:rsid w:val="009B15AA"/>
    <w:rsid w:val="009B4157"/>
    <w:rsid w:val="009B4A10"/>
    <w:rsid w:val="009B50B4"/>
    <w:rsid w:val="009B525B"/>
    <w:rsid w:val="009B5B60"/>
    <w:rsid w:val="009B5CED"/>
    <w:rsid w:val="009B717A"/>
    <w:rsid w:val="009B72D8"/>
    <w:rsid w:val="009B7338"/>
    <w:rsid w:val="009B751E"/>
    <w:rsid w:val="009B7AC1"/>
    <w:rsid w:val="009C0021"/>
    <w:rsid w:val="009C06EF"/>
    <w:rsid w:val="009C0C57"/>
    <w:rsid w:val="009C1679"/>
    <w:rsid w:val="009C23C7"/>
    <w:rsid w:val="009C2DD0"/>
    <w:rsid w:val="009C3C98"/>
    <w:rsid w:val="009C4919"/>
    <w:rsid w:val="009C495A"/>
    <w:rsid w:val="009C613D"/>
    <w:rsid w:val="009C667E"/>
    <w:rsid w:val="009C684A"/>
    <w:rsid w:val="009C6A7C"/>
    <w:rsid w:val="009C6EFA"/>
    <w:rsid w:val="009C7AEF"/>
    <w:rsid w:val="009D0A56"/>
    <w:rsid w:val="009D14AF"/>
    <w:rsid w:val="009D22A6"/>
    <w:rsid w:val="009D2432"/>
    <w:rsid w:val="009D38AC"/>
    <w:rsid w:val="009D4ABF"/>
    <w:rsid w:val="009D4B8E"/>
    <w:rsid w:val="009D66BF"/>
    <w:rsid w:val="009D686B"/>
    <w:rsid w:val="009D6F01"/>
    <w:rsid w:val="009D6F12"/>
    <w:rsid w:val="009D7034"/>
    <w:rsid w:val="009D7238"/>
    <w:rsid w:val="009D7469"/>
    <w:rsid w:val="009D780C"/>
    <w:rsid w:val="009E0B05"/>
    <w:rsid w:val="009E0F94"/>
    <w:rsid w:val="009E19CC"/>
    <w:rsid w:val="009E25EB"/>
    <w:rsid w:val="009E2E3F"/>
    <w:rsid w:val="009E30C5"/>
    <w:rsid w:val="009E35C0"/>
    <w:rsid w:val="009E39CF"/>
    <w:rsid w:val="009E3D38"/>
    <w:rsid w:val="009E482B"/>
    <w:rsid w:val="009E5423"/>
    <w:rsid w:val="009E5438"/>
    <w:rsid w:val="009E5B04"/>
    <w:rsid w:val="009E5BE3"/>
    <w:rsid w:val="009E6590"/>
    <w:rsid w:val="009E6637"/>
    <w:rsid w:val="009E6715"/>
    <w:rsid w:val="009E6DD9"/>
    <w:rsid w:val="009E73C0"/>
    <w:rsid w:val="009E754D"/>
    <w:rsid w:val="009E77FC"/>
    <w:rsid w:val="009E7967"/>
    <w:rsid w:val="009E798F"/>
    <w:rsid w:val="009E7E50"/>
    <w:rsid w:val="009E7EA8"/>
    <w:rsid w:val="009F01A5"/>
    <w:rsid w:val="009F1D9B"/>
    <w:rsid w:val="009F2791"/>
    <w:rsid w:val="009F299A"/>
    <w:rsid w:val="009F3793"/>
    <w:rsid w:val="009F3E96"/>
    <w:rsid w:val="009F4A53"/>
    <w:rsid w:val="009F4E0D"/>
    <w:rsid w:val="009F52E9"/>
    <w:rsid w:val="009F648E"/>
    <w:rsid w:val="009F659A"/>
    <w:rsid w:val="009F696D"/>
    <w:rsid w:val="009F6BC6"/>
    <w:rsid w:val="009F70DD"/>
    <w:rsid w:val="009F74C4"/>
    <w:rsid w:val="009F7F1B"/>
    <w:rsid w:val="009F7FEC"/>
    <w:rsid w:val="00A01805"/>
    <w:rsid w:val="00A01C5E"/>
    <w:rsid w:val="00A01DE8"/>
    <w:rsid w:val="00A021F3"/>
    <w:rsid w:val="00A023E5"/>
    <w:rsid w:val="00A03725"/>
    <w:rsid w:val="00A03FCD"/>
    <w:rsid w:val="00A04211"/>
    <w:rsid w:val="00A0629C"/>
    <w:rsid w:val="00A06837"/>
    <w:rsid w:val="00A0736C"/>
    <w:rsid w:val="00A10A15"/>
    <w:rsid w:val="00A1131D"/>
    <w:rsid w:val="00A117DD"/>
    <w:rsid w:val="00A124F9"/>
    <w:rsid w:val="00A1266B"/>
    <w:rsid w:val="00A12BF3"/>
    <w:rsid w:val="00A12D09"/>
    <w:rsid w:val="00A133F6"/>
    <w:rsid w:val="00A138F5"/>
    <w:rsid w:val="00A14047"/>
    <w:rsid w:val="00A1476D"/>
    <w:rsid w:val="00A14AD9"/>
    <w:rsid w:val="00A15766"/>
    <w:rsid w:val="00A16B35"/>
    <w:rsid w:val="00A17029"/>
    <w:rsid w:val="00A172BE"/>
    <w:rsid w:val="00A17328"/>
    <w:rsid w:val="00A17538"/>
    <w:rsid w:val="00A17608"/>
    <w:rsid w:val="00A1769E"/>
    <w:rsid w:val="00A204AB"/>
    <w:rsid w:val="00A20561"/>
    <w:rsid w:val="00A20C20"/>
    <w:rsid w:val="00A216BA"/>
    <w:rsid w:val="00A217F7"/>
    <w:rsid w:val="00A21A82"/>
    <w:rsid w:val="00A23744"/>
    <w:rsid w:val="00A23829"/>
    <w:rsid w:val="00A23A20"/>
    <w:rsid w:val="00A23D21"/>
    <w:rsid w:val="00A2444E"/>
    <w:rsid w:val="00A2445D"/>
    <w:rsid w:val="00A2522A"/>
    <w:rsid w:val="00A25765"/>
    <w:rsid w:val="00A25C97"/>
    <w:rsid w:val="00A260F6"/>
    <w:rsid w:val="00A26196"/>
    <w:rsid w:val="00A268B9"/>
    <w:rsid w:val="00A26FD4"/>
    <w:rsid w:val="00A2703A"/>
    <w:rsid w:val="00A27C3F"/>
    <w:rsid w:val="00A32390"/>
    <w:rsid w:val="00A331A9"/>
    <w:rsid w:val="00A33A7E"/>
    <w:rsid w:val="00A33C98"/>
    <w:rsid w:val="00A33DFF"/>
    <w:rsid w:val="00A34616"/>
    <w:rsid w:val="00A35115"/>
    <w:rsid w:val="00A353B8"/>
    <w:rsid w:val="00A3542F"/>
    <w:rsid w:val="00A359A2"/>
    <w:rsid w:val="00A3695F"/>
    <w:rsid w:val="00A369D3"/>
    <w:rsid w:val="00A36E59"/>
    <w:rsid w:val="00A36F67"/>
    <w:rsid w:val="00A376C8"/>
    <w:rsid w:val="00A3780A"/>
    <w:rsid w:val="00A37903"/>
    <w:rsid w:val="00A37982"/>
    <w:rsid w:val="00A40BC5"/>
    <w:rsid w:val="00A41CB8"/>
    <w:rsid w:val="00A4262A"/>
    <w:rsid w:val="00A4291E"/>
    <w:rsid w:val="00A431D4"/>
    <w:rsid w:val="00A4326C"/>
    <w:rsid w:val="00A4347A"/>
    <w:rsid w:val="00A43819"/>
    <w:rsid w:val="00A43CEC"/>
    <w:rsid w:val="00A44223"/>
    <w:rsid w:val="00A44885"/>
    <w:rsid w:val="00A44BA6"/>
    <w:rsid w:val="00A45542"/>
    <w:rsid w:val="00A45892"/>
    <w:rsid w:val="00A45D9D"/>
    <w:rsid w:val="00A45ECC"/>
    <w:rsid w:val="00A4610C"/>
    <w:rsid w:val="00A46476"/>
    <w:rsid w:val="00A46736"/>
    <w:rsid w:val="00A46BA0"/>
    <w:rsid w:val="00A470B0"/>
    <w:rsid w:val="00A472F2"/>
    <w:rsid w:val="00A473CD"/>
    <w:rsid w:val="00A478C9"/>
    <w:rsid w:val="00A506CF"/>
    <w:rsid w:val="00A51405"/>
    <w:rsid w:val="00A51522"/>
    <w:rsid w:val="00A51C38"/>
    <w:rsid w:val="00A51F4D"/>
    <w:rsid w:val="00A52765"/>
    <w:rsid w:val="00A52FE7"/>
    <w:rsid w:val="00A53225"/>
    <w:rsid w:val="00A54E82"/>
    <w:rsid w:val="00A54F90"/>
    <w:rsid w:val="00A554AB"/>
    <w:rsid w:val="00A55804"/>
    <w:rsid w:val="00A578D1"/>
    <w:rsid w:val="00A60F5E"/>
    <w:rsid w:val="00A6100B"/>
    <w:rsid w:val="00A6124F"/>
    <w:rsid w:val="00A61A07"/>
    <w:rsid w:val="00A623EF"/>
    <w:rsid w:val="00A6288B"/>
    <w:rsid w:val="00A64286"/>
    <w:rsid w:val="00A642B7"/>
    <w:rsid w:val="00A64331"/>
    <w:rsid w:val="00A6513B"/>
    <w:rsid w:val="00A65263"/>
    <w:rsid w:val="00A654D4"/>
    <w:rsid w:val="00A670B4"/>
    <w:rsid w:val="00A673D1"/>
    <w:rsid w:val="00A6767A"/>
    <w:rsid w:val="00A67A09"/>
    <w:rsid w:val="00A67D64"/>
    <w:rsid w:val="00A701F1"/>
    <w:rsid w:val="00A70220"/>
    <w:rsid w:val="00A710FE"/>
    <w:rsid w:val="00A7152E"/>
    <w:rsid w:val="00A72AE7"/>
    <w:rsid w:val="00A732C6"/>
    <w:rsid w:val="00A741F7"/>
    <w:rsid w:val="00A742AB"/>
    <w:rsid w:val="00A74372"/>
    <w:rsid w:val="00A74E6B"/>
    <w:rsid w:val="00A7555F"/>
    <w:rsid w:val="00A7666A"/>
    <w:rsid w:val="00A7679A"/>
    <w:rsid w:val="00A80131"/>
    <w:rsid w:val="00A8152E"/>
    <w:rsid w:val="00A81918"/>
    <w:rsid w:val="00A81B17"/>
    <w:rsid w:val="00A8242D"/>
    <w:rsid w:val="00A827E7"/>
    <w:rsid w:val="00A835DC"/>
    <w:rsid w:val="00A83635"/>
    <w:rsid w:val="00A84F89"/>
    <w:rsid w:val="00A8509D"/>
    <w:rsid w:val="00A857D6"/>
    <w:rsid w:val="00A85CFA"/>
    <w:rsid w:val="00A86B84"/>
    <w:rsid w:val="00A86FD7"/>
    <w:rsid w:val="00A8746E"/>
    <w:rsid w:val="00A87A5E"/>
    <w:rsid w:val="00A90E32"/>
    <w:rsid w:val="00A919E3"/>
    <w:rsid w:val="00A9209C"/>
    <w:rsid w:val="00A924A1"/>
    <w:rsid w:val="00A9253B"/>
    <w:rsid w:val="00A92800"/>
    <w:rsid w:val="00A92B53"/>
    <w:rsid w:val="00A93DAB"/>
    <w:rsid w:val="00A941C6"/>
    <w:rsid w:val="00A9452E"/>
    <w:rsid w:val="00A945F1"/>
    <w:rsid w:val="00A94EF8"/>
    <w:rsid w:val="00A94FA6"/>
    <w:rsid w:val="00A95C79"/>
    <w:rsid w:val="00A9600C"/>
    <w:rsid w:val="00A967D2"/>
    <w:rsid w:val="00A96C45"/>
    <w:rsid w:val="00A979E1"/>
    <w:rsid w:val="00A97AC4"/>
    <w:rsid w:val="00AA0ADF"/>
    <w:rsid w:val="00AA11E1"/>
    <w:rsid w:val="00AA1A5C"/>
    <w:rsid w:val="00AA2057"/>
    <w:rsid w:val="00AA2106"/>
    <w:rsid w:val="00AA2855"/>
    <w:rsid w:val="00AA2B1D"/>
    <w:rsid w:val="00AA305C"/>
    <w:rsid w:val="00AA34B4"/>
    <w:rsid w:val="00AA49A0"/>
    <w:rsid w:val="00AA5510"/>
    <w:rsid w:val="00AA5A1B"/>
    <w:rsid w:val="00AA5B36"/>
    <w:rsid w:val="00AA6710"/>
    <w:rsid w:val="00AA6E7F"/>
    <w:rsid w:val="00AA794F"/>
    <w:rsid w:val="00AA7EE2"/>
    <w:rsid w:val="00AA7F79"/>
    <w:rsid w:val="00AB0172"/>
    <w:rsid w:val="00AB01CA"/>
    <w:rsid w:val="00AB0572"/>
    <w:rsid w:val="00AB0681"/>
    <w:rsid w:val="00AB0E30"/>
    <w:rsid w:val="00AB0F1F"/>
    <w:rsid w:val="00AB1C86"/>
    <w:rsid w:val="00AB1D23"/>
    <w:rsid w:val="00AB1DD6"/>
    <w:rsid w:val="00AB2933"/>
    <w:rsid w:val="00AB2B7E"/>
    <w:rsid w:val="00AB30DF"/>
    <w:rsid w:val="00AB344E"/>
    <w:rsid w:val="00AB356F"/>
    <w:rsid w:val="00AB37A8"/>
    <w:rsid w:val="00AB3B91"/>
    <w:rsid w:val="00AB4694"/>
    <w:rsid w:val="00AB4D08"/>
    <w:rsid w:val="00AB4DCB"/>
    <w:rsid w:val="00AB546B"/>
    <w:rsid w:val="00AB778F"/>
    <w:rsid w:val="00AB7A42"/>
    <w:rsid w:val="00AC01A7"/>
    <w:rsid w:val="00AC0823"/>
    <w:rsid w:val="00AC0FE3"/>
    <w:rsid w:val="00AC1224"/>
    <w:rsid w:val="00AC1E38"/>
    <w:rsid w:val="00AC2E32"/>
    <w:rsid w:val="00AC32D5"/>
    <w:rsid w:val="00AC354A"/>
    <w:rsid w:val="00AC3A53"/>
    <w:rsid w:val="00AC3FC5"/>
    <w:rsid w:val="00AC461C"/>
    <w:rsid w:val="00AC4BB0"/>
    <w:rsid w:val="00AC50E4"/>
    <w:rsid w:val="00AC51CE"/>
    <w:rsid w:val="00AC53B0"/>
    <w:rsid w:val="00AC5CE1"/>
    <w:rsid w:val="00AC61F5"/>
    <w:rsid w:val="00AC6282"/>
    <w:rsid w:val="00AC65AE"/>
    <w:rsid w:val="00AC7A05"/>
    <w:rsid w:val="00AD07EB"/>
    <w:rsid w:val="00AD0A6E"/>
    <w:rsid w:val="00AD12A5"/>
    <w:rsid w:val="00AD265B"/>
    <w:rsid w:val="00AD3E51"/>
    <w:rsid w:val="00AD44F3"/>
    <w:rsid w:val="00AD48D6"/>
    <w:rsid w:val="00AD4CA7"/>
    <w:rsid w:val="00AD5463"/>
    <w:rsid w:val="00AD601F"/>
    <w:rsid w:val="00AD605C"/>
    <w:rsid w:val="00AD6345"/>
    <w:rsid w:val="00AD676F"/>
    <w:rsid w:val="00AD68A1"/>
    <w:rsid w:val="00AD6F5C"/>
    <w:rsid w:val="00AD72B1"/>
    <w:rsid w:val="00AD756C"/>
    <w:rsid w:val="00AE01E7"/>
    <w:rsid w:val="00AE0816"/>
    <w:rsid w:val="00AE11F0"/>
    <w:rsid w:val="00AE2A4B"/>
    <w:rsid w:val="00AE2D0E"/>
    <w:rsid w:val="00AE2E11"/>
    <w:rsid w:val="00AE3095"/>
    <w:rsid w:val="00AE365D"/>
    <w:rsid w:val="00AE3809"/>
    <w:rsid w:val="00AE3FAF"/>
    <w:rsid w:val="00AE465F"/>
    <w:rsid w:val="00AE484B"/>
    <w:rsid w:val="00AE49B0"/>
    <w:rsid w:val="00AE4F4A"/>
    <w:rsid w:val="00AE5070"/>
    <w:rsid w:val="00AE5273"/>
    <w:rsid w:val="00AE5BD9"/>
    <w:rsid w:val="00AE5D33"/>
    <w:rsid w:val="00AE6214"/>
    <w:rsid w:val="00AE70B5"/>
    <w:rsid w:val="00AE7521"/>
    <w:rsid w:val="00AE7F54"/>
    <w:rsid w:val="00AF0820"/>
    <w:rsid w:val="00AF0D78"/>
    <w:rsid w:val="00AF0D8C"/>
    <w:rsid w:val="00AF134F"/>
    <w:rsid w:val="00AF1879"/>
    <w:rsid w:val="00AF1BF2"/>
    <w:rsid w:val="00AF252D"/>
    <w:rsid w:val="00AF33E7"/>
    <w:rsid w:val="00AF3504"/>
    <w:rsid w:val="00AF3522"/>
    <w:rsid w:val="00AF3723"/>
    <w:rsid w:val="00AF3E95"/>
    <w:rsid w:val="00AF4408"/>
    <w:rsid w:val="00AF4425"/>
    <w:rsid w:val="00AF4B7E"/>
    <w:rsid w:val="00B00603"/>
    <w:rsid w:val="00B008A5"/>
    <w:rsid w:val="00B016CC"/>
    <w:rsid w:val="00B0198E"/>
    <w:rsid w:val="00B01B49"/>
    <w:rsid w:val="00B032FA"/>
    <w:rsid w:val="00B03405"/>
    <w:rsid w:val="00B03841"/>
    <w:rsid w:val="00B04586"/>
    <w:rsid w:val="00B0581C"/>
    <w:rsid w:val="00B06152"/>
    <w:rsid w:val="00B0669B"/>
    <w:rsid w:val="00B06E3B"/>
    <w:rsid w:val="00B07286"/>
    <w:rsid w:val="00B07F2C"/>
    <w:rsid w:val="00B104AC"/>
    <w:rsid w:val="00B108D5"/>
    <w:rsid w:val="00B10A7D"/>
    <w:rsid w:val="00B118DB"/>
    <w:rsid w:val="00B11DDF"/>
    <w:rsid w:val="00B11E03"/>
    <w:rsid w:val="00B12210"/>
    <w:rsid w:val="00B126B5"/>
    <w:rsid w:val="00B1271F"/>
    <w:rsid w:val="00B12811"/>
    <w:rsid w:val="00B12BEF"/>
    <w:rsid w:val="00B12D25"/>
    <w:rsid w:val="00B134FB"/>
    <w:rsid w:val="00B13651"/>
    <w:rsid w:val="00B13AC8"/>
    <w:rsid w:val="00B13C49"/>
    <w:rsid w:val="00B13DAB"/>
    <w:rsid w:val="00B14312"/>
    <w:rsid w:val="00B14C62"/>
    <w:rsid w:val="00B152BF"/>
    <w:rsid w:val="00B161EB"/>
    <w:rsid w:val="00B16276"/>
    <w:rsid w:val="00B1685C"/>
    <w:rsid w:val="00B17EDC"/>
    <w:rsid w:val="00B17F53"/>
    <w:rsid w:val="00B211EB"/>
    <w:rsid w:val="00B219F7"/>
    <w:rsid w:val="00B21B0D"/>
    <w:rsid w:val="00B221A0"/>
    <w:rsid w:val="00B22479"/>
    <w:rsid w:val="00B226DA"/>
    <w:rsid w:val="00B2309C"/>
    <w:rsid w:val="00B23AAB"/>
    <w:rsid w:val="00B23D1A"/>
    <w:rsid w:val="00B240C5"/>
    <w:rsid w:val="00B242C6"/>
    <w:rsid w:val="00B256E1"/>
    <w:rsid w:val="00B263D0"/>
    <w:rsid w:val="00B273BA"/>
    <w:rsid w:val="00B27458"/>
    <w:rsid w:val="00B27848"/>
    <w:rsid w:val="00B27908"/>
    <w:rsid w:val="00B27A14"/>
    <w:rsid w:val="00B27AA7"/>
    <w:rsid w:val="00B27B3B"/>
    <w:rsid w:val="00B27C9E"/>
    <w:rsid w:val="00B3135A"/>
    <w:rsid w:val="00B320D4"/>
    <w:rsid w:val="00B322EA"/>
    <w:rsid w:val="00B32EB1"/>
    <w:rsid w:val="00B33049"/>
    <w:rsid w:val="00B34334"/>
    <w:rsid w:val="00B35257"/>
    <w:rsid w:val="00B3572C"/>
    <w:rsid w:val="00B358F2"/>
    <w:rsid w:val="00B35FC6"/>
    <w:rsid w:val="00B360EE"/>
    <w:rsid w:val="00B36956"/>
    <w:rsid w:val="00B37160"/>
    <w:rsid w:val="00B37893"/>
    <w:rsid w:val="00B407A1"/>
    <w:rsid w:val="00B42CFC"/>
    <w:rsid w:val="00B42DC9"/>
    <w:rsid w:val="00B42F06"/>
    <w:rsid w:val="00B4313A"/>
    <w:rsid w:val="00B43B00"/>
    <w:rsid w:val="00B440AD"/>
    <w:rsid w:val="00B445A1"/>
    <w:rsid w:val="00B44883"/>
    <w:rsid w:val="00B44C32"/>
    <w:rsid w:val="00B44F76"/>
    <w:rsid w:val="00B4552A"/>
    <w:rsid w:val="00B4735E"/>
    <w:rsid w:val="00B47B37"/>
    <w:rsid w:val="00B50E26"/>
    <w:rsid w:val="00B51550"/>
    <w:rsid w:val="00B51578"/>
    <w:rsid w:val="00B51ECC"/>
    <w:rsid w:val="00B52A77"/>
    <w:rsid w:val="00B52D53"/>
    <w:rsid w:val="00B5306D"/>
    <w:rsid w:val="00B53891"/>
    <w:rsid w:val="00B53E7E"/>
    <w:rsid w:val="00B546DD"/>
    <w:rsid w:val="00B553A0"/>
    <w:rsid w:val="00B55760"/>
    <w:rsid w:val="00B55EF3"/>
    <w:rsid w:val="00B560E8"/>
    <w:rsid w:val="00B56B40"/>
    <w:rsid w:val="00B573BA"/>
    <w:rsid w:val="00B57757"/>
    <w:rsid w:val="00B57873"/>
    <w:rsid w:val="00B6038F"/>
    <w:rsid w:val="00B60480"/>
    <w:rsid w:val="00B6086D"/>
    <w:rsid w:val="00B6185B"/>
    <w:rsid w:val="00B622EA"/>
    <w:rsid w:val="00B62454"/>
    <w:rsid w:val="00B62847"/>
    <w:rsid w:val="00B63050"/>
    <w:rsid w:val="00B63377"/>
    <w:rsid w:val="00B6342E"/>
    <w:rsid w:val="00B63A80"/>
    <w:rsid w:val="00B63AED"/>
    <w:rsid w:val="00B63D2E"/>
    <w:rsid w:val="00B64481"/>
    <w:rsid w:val="00B64A25"/>
    <w:rsid w:val="00B656F6"/>
    <w:rsid w:val="00B65866"/>
    <w:rsid w:val="00B66593"/>
    <w:rsid w:val="00B670EA"/>
    <w:rsid w:val="00B670F6"/>
    <w:rsid w:val="00B673D0"/>
    <w:rsid w:val="00B6750C"/>
    <w:rsid w:val="00B677C5"/>
    <w:rsid w:val="00B70343"/>
    <w:rsid w:val="00B70806"/>
    <w:rsid w:val="00B70CE1"/>
    <w:rsid w:val="00B7113F"/>
    <w:rsid w:val="00B71C0D"/>
    <w:rsid w:val="00B73B4C"/>
    <w:rsid w:val="00B73E6E"/>
    <w:rsid w:val="00B74D70"/>
    <w:rsid w:val="00B752E2"/>
    <w:rsid w:val="00B7536E"/>
    <w:rsid w:val="00B761BA"/>
    <w:rsid w:val="00B7679E"/>
    <w:rsid w:val="00B76835"/>
    <w:rsid w:val="00B76DF3"/>
    <w:rsid w:val="00B77B6C"/>
    <w:rsid w:val="00B80008"/>
    <w:rsid w:val="00B801FE"/>
    <w:rsid w:val="00B80742"/>
    <w:rsid w:val="00B8148D"/>
    <w:rsid w:val="00B818D4"/>
    <w:rsid w:val="00B82848"/>
    <w:rsid w:val="00B82B03"/>
    <w:rsid w:val="00B841B0"/>
    <w:rsid w:val="00B855D9"/>
    <w:rsid w:val="00B85DBC"/>
    <w:rsid w:val="00B85F38"/>
    <w:rsid w:val="00B8657A"/>
    <w:rsid w:val="00B870CC"/>
    <w:rsid w:val="00B874C3"/>
    <w:rsid w:val="00B8776E"/>
    <w:rsid w:val="00B87A66"/>
    <w:rsid w:val="00B87B2F"/>
    <w:rsid w:val="00B90A6B"/>
    <w:rsid w:val="00B91518"/>
    <w:rsid w:val="00B91B0A"/>
    <w:rsid w:val="00B920D6"/>
    <w:rsid w:val="00B929C9"/>
    <w:rsid w:val="00B92B27"/>
    <w:rsid w:val="00B934D8"/>
    <w:rsid w:val="00B93907"/>
    <w:rsid w:val="00B93A6B"/>
    <w:rsid w:val="00B944B8"/>
    <w:rsid w:val="00B945A8"/>
    <w:rsid w:val="00B9477F"/>
    <w:rsid w:val="00B948CC"/>
    <w:rsid w:val="00B9609D"/>
    <w:rsid w:val="00B96C57"/>
    <w:rsid w:val="00B971C8"/>
    <w:rsid w:val="00B97441"/>
    <w:rsid w:val="00BA0469"/>
    <w:rsid w:val="00BA04D4"/>
    <w:rsid w:val="00BA0F9D"/>
    <w:rsid w:val="00BA0F9F"/>
    <w:rsid w:val="00BA22F6"/>
    <w:rsid w:val="00BA2328"/>
    <w:rsid w:val="00BA286A"/>
    <w:rsid w:val="00BA28E1"/>
    <w:rsid w:val="00BA2F36"/>
    <w:rsid w:val="00BA33CD"/>
    <w:rsid w:val="00BA3E40"/>
    <w:rsid w:val="00BA44C5"/>
    <w:rsid w:val="00BA4808"/>
    <w:rsid w:val="00BA4E2F"/>
    <w:rsid w:val="00BA4ECB"/>
    <w:rsid w:val="00BA5CB6"/>
    <w:rsid w:val="00BA63CA"/>
    <w:rsid w:val="00BA6C6C"/>
    <w:rsid w:val="00BA6DB3"/>
    <w:rsid w:val="00BA73B6"/>
    <w:rsid w:val="00BA7C45"/>
    <w:rsid w:val="00BB01CB"/>
    <w:rsid w:val="00BB07C2"/>
    <w:rsid w:val="00BB0D47"/>
    <w:rsid w:val="00BB138C"/>
    <w:rsid w:val="00BB1C0F"/>
    <w:rsid w:val="00BB1F5B"/>
    <w:rsid w:val="00BB211C"/>
    <w:rsid w:val="00BB26DC"/>
    <w:rsid w:val="00BB27DC"/>
    <w:rsid w:val="00BB2F93"/>
    <w:rsid w:val="00BB3311"/>
    <w:rsid w:val="00BB3B92"/>
    <w:rsid w:val="00BB4904"/>
    <w:rsid w:val="00BB4FCD"/>
    <w:rsid w:val="00BB4FFE"/>
    <w:rsid w:val="00BB6C93"/>
    <w:rsid w:val="00BC0FF8"/>
    <w:rsid w:val="00BC143E"/>
    <w:rsid w:val="00BC166E"/>
    <w:rsid w:val="00BC1A90"/>
    <w:rsid w:val="00BC1B44"/>
    <w:rsid w:val="00BC1C33"/>
    <w:rsid w:val="00BC1C4C"/>
    <w:rsid w:val="00BC1F61"/>
    <w:rsid w:val="00BC1FEB"/>
    <w:rsid w:val="00BC224A"/>
    <w:rsid w:val="00BC2E75"/>
    <w:rsid w:val="00BC398E"/>
    <w:rsid w:val="00BC3F04"/>
    <w:rsid w:val="00BC404B"/>
    <w:rsid w:val="00BC4167"/>
    <w:rsid w:val="00BC4666"/>
    <w:rsid w:val="00BC48A8"/>
    <w:rsid w:val="00BC65C7"/>
    <w:rsid w:val="00BC66F5"/>
    <w:rsid w:val="00BC692C"/>
    <w:rsid w:val="00BC6982"/>
    <w:rsid w:val="00BC73DF"/>
    <w:rsid w:val="00BD076D"/>
    <w:rsid w:val="00BD09BC"/>
    <w:rsid w:val="00BD0E1E"/>
    <w:rsid w:val="00BD13EA"/>
    <w:rsid w:val="00BD1916"/>
    <w:rsid w:val="00BD3D52"/>
    <w:rsid w:val="00BD407C"/>
    <w:rsid w:val="00BD4617"/>
    <w:rsid w:val="00BD4DE7"/>
    <w:rsid w:val="00BD518F"/>
    <w:rsid w:val="00BD53E1"/>
    <w:rsid w:val="00BD5AFE"/>
    <w:rsid w:val="00BD61B8"/>
    <w:rsid w:val="00BD62D2"/>
    <w:rsid w:val="00BD6C48"/>
    <w:rsid w:val="00BD713E"/>
    <w:rsid w:val="00BD71E2"/>
    <w:rsid w:val="00BE025F"/>
    <w:rsid w:val="00BE04C0"/>
    <w:rsid w:val="00BE0DBB"/>
    <w:rsid w:val="00BE0FB4"/>
    <w:rsid w:val="00BE2A84"/>
    <w:rsid w:val="00BE2E8E"/>
    <w:rsid w:val="00BE301B"/>
    <w:rsid w:val="00BE3808"/>
    <w:rsid w:val="00BE3915"/>
    <w:rsid w:val="00BE3AED"/>
    <w:rsid w:val="00BE4000"/>
    <w:rsid w:val="00BE5072"/>
    <w:rsid w:val="00BE5A27"/>
    <w:rsid w:val="00BE5CA6"/>
    <w:rsid w:val="00BE6954"/>
    <w:rsid w:val="00BE7422"/>
    <w:rsid w:val="00BE7E82"/>
    <w:rsid w:val="00BF0072"/>
    <w:rsid w:val="00BF05EE"/>
    <w:rsid w:val="00BF062F"/>
    <w:rsid w:val="00BF0A5D"/>
    <w:rsid w:val="00BF0F77"/>
    <w:rsid w:val="00BF1259"/>
    <w:rsid w:val="00BF1760"/>
    <w:rsid w:val="00BF1C00"/>
    <w:rsid w:val="00BF1F22"/>
    <w:rsid w:val="00BF1F8B"/>
    <w:rsid w:val="00BF250F"/>
    <w:rsid w:val="00BF28FB"/>
    <w:rsid w:val="00BF2A02"/>
    <w:rsid w:val="00BF4CFB"/>
    <w:rsid w:val="00BF52FD"/>
    <w:rsid w:val="00BF5C6F"/>
    <w:rsid w:val="00BF6F0F"/>
    <w:rsid w:val="00BF7137"/>
    <w:rsid w:val="00BF7678"/>
    <w:rsid w:val="00BF7C13"/>
    <w:rsid w:val="00C00787"/>
    <w:rsid w:val="00C00C93"/>
    <w:rsid w:val="00C013A3"/>
    <w:rsid w:val="00C01E53"/>
    <w:rsid w:val="00C025EA"/>
    <w:rsid w:val="00C02E6F"/>
    <w:rsid w:val="00C0354B"/>
    <w:rsid w:val="00C03880"/>
    <w:rsid w:val="00C03F5A"/>
    <w:rsid w:val="00C04027"/>
    <w:rsid w:val="00C04280"/>
    <w:rsid w:val="00C0491A"/>
    <w:rsid w:val="00C04D78"/>
    <w:rsid w:val="00C04F58"/>
    <w:rsid w:val="00C05479"/>
    <w:rsid w:val="00C05843"/>
    <w:rsid w:val="00C05DBF"/>
    <w:rsid w:val="00C05E36"/>
    <w:rsid w:val="00C062E9"/>
    <w:rsid w:val="00C07B64"/>
    <w:rsid w:val="00C07BCD"/>
    <w:rsid w:val="00C07E85"/>
    <w:rsid w:val="00C10103"/>
    <w:rsid w:val="00C10EBD"/>
    <w:rsid w:val="00C1116F"/>
    <w:rsid w:val="00C11B18"/>
    <w:rsid w:val="00C12732"/>
    <w:rsid w:val="00C133E0"/>
    <w:rsid w:val="00C13721"/>
    <w:rsid w:val="00C1381B"/>
    <w:rsid w:val="00C1389A"/>
    <w:rsid w:val="00C138BE"/>
    <w:rsid w:val="00C13D2C"/>
    <w:rsid w:val="00C13E87"/>
    <w:rsid w:val="00C1433F"/>
    <w:rsid w:val="00C14B80"/>
    <w:rsid w:val="00C163B8"/>
    <w:rsid w:val="00C1760C"/>
    <w:rsid w:val="00C2052C"/>
    <w:rsid w:val="00C20995"/>
    <w:rsid w:val="00C20A79"/>
    <w:rsid w:val="00C2190B"/>
    <w:rsid w:val="00C21990"/>
    <w:rsid w:val="00C21D25"/>
    <w:rsid w:val="00C226D7"/>
    <w:rsid w:val="00C22BDA"/>
    <w:rsid w:val="00C22F98"/>
    <w:rsid w:val="00C2377F"/>
    <w:rsid w:val="00C238BB"/>
    <w:rsid w:val="00C242F5"/>
    <w:rsid w:val="00C25A79"/>
    <w:rsid w:val="00C26C1D"/>
    <w:rsid w:val="00C276C8"/>
    <w:rsid w:val="00C277F7"/>
    <w:rsid w:val="00C27BF8"/>
    <w:rsid w:val="00C300D8"/>
    <w:rsid w:val="00C3066D"/>
    <w:rsid w:val="00C30AC1"/>
    <w:rsid w:val="00C30F46"/>
    <w:rsid w:val="00C32436"/>
    <w:rsid w:val="00C3286F"/>
    <w:rsid w:val="00C32D61"/>
    <w:rsid w:val="00C3404E"/>
    <w:rsid w:val="00C3432A"/>
    <w:rsid w:val="00C35CEE"/>
    <w:rsid w:val="00C35D43"/>
    <w:rsid w:val="00C35DCF"/>
    <w:rsid w:val="00C36E96"/>
    <w:rsid w:val="00C37AB5"/>
    <w:rsid w:val="00C37AB9"/>
    <w:rsid w:val="00C40BE6"/>
    <w:rsid w:val="00C40CAF"/>
    <w:rsid w:val="00C410D5"/>
    <w:rsid w:val="00C41E75"/>
    <w:rsid w:val="00C42060"/>
    <w:rsid w:val="00C42458"/>
    <w:rsid w:val="00C444D4"/>
    <w:rsid w:val="00C4463C"/>
    <w:rsid w:val="00C44DD6"/>
    <w:rsid w:val="00C45258"/>
    <w:rsid w:val="00C45763"/>
    <w:rsid w:val="00C45E4A"/>
    <w:rsid w:val="00C46123"/>
    <w:rsid w:val="00C463DF"/>
    <w:rsid w:val="00C46EFF"/>
    <w:rsid w:val="00C46F09"/>
    <w:rsid w:val="00C47486"/>
    <w:rsid w:val="00C504F9"/>
    <w:rsid w:val="00C50978"/>
    <w:rsid w:val="00C51145"/>
    <w:rsid w:val="00C5227B"/>
    <w:rsid w:val="00C5236B"/>
    <w:rsid w:val="00C52D18"/>
    <w:rsid w:val="00C52D9D"/>
    <w:rsid w:val="00C5310F"/>
    <w:rsid w:val="00C53798"/>
    <w:rsid w:val="00C543F4"/>
    <w:rsid w:val="00C5518B"/>
    <w:rsid w:val="00C55203"/>
    <w:rsid w:val="00C55285"/>
    <w:rsid w:val="00C55459"/>
    <w:rsid w:val="00C55561"/>
    <w:rsid w:val="00C55916"/>
    <w:rsid w:val="00C55F3D"/>
    <w:rsid w:val="00C5624B"/>
    <w:rsid w:val="00C56506"/>
    <w:rsid w:val="00C56526"/>
    <w:rsid w:val="00C56CA3"/>
    <w:rsid w:val="00C5701D"/>
    <w:rsid w:val="00C57AF0"/>
    <w:rsid w:val="00C605E1"/>
    <w:rsid w:val="00C60E3D"/>
    <w:rsid w:val="00C61245"/>
    <w:rsid w:val="00C614F5"/>
    <w:rsid w:val="00C61F8A"/>
    <w:rsid w:val="00C623B0"/>
    <w:rsid w:val="00C6291C"/>
    <w:rsid w:val="00C63279"/>
    <w:rsid w:val="00C633CB"/>
    <w:rsid w:val="00C64154"/>
    <w:rsid w:val="00C64629"/>
    <w:rsid w:val="00C650CC"/>
    <w:rsid w:val="00C6594C"/>
    <w:rsid w:val="00C666DF"/>
    <w:rsid w:val="00C6789D"/>
    <w:rsid w:val="00C6793A"/>
    <w:rsid w:val="00C7005B"/>
    <w:rsid w:val="00C70316"/>
    <w:rsid w:val="00C70BC2"/>
    <w:rsid w:val="00C71710"/>
    <w:rsid w:val="00C71ADE"/>
    <w:rsid w:val="00C71C52"/>
    <w:rsid w:val="00C7234A"/>
    <w:rsid w:val="00C72A85"/>
    <w:rsid w:val="00C72F74"/>
    <w:rsid w:val="00C72F79"/>
    <w:rsid w:val="00C73187"/>
    <w:rsid w:val="00C731F8"/>
    <w:rsid w:val="00C7321D"/>
    <w:rsid w:val="00C73889"/>
    <w:rsid w:val="00C738C4"/>
    <w:rsid w:val="00C73E51"/>
    <w:rsid w:val="00C73F20"/>
    <w:rsid w:val="00C745EB"/>
    <w:rsid w:val="00C75D9B"/>
    <w:rsid w:val="00C76E45"/>
    <w:rsid w:val="00C76F56"/>
    <w:rsid w:val="00C7768D"/>
    <w:rsid w:val="00C776F0"/>
    <w:rsid w:val="00C77844"/>
    <w:rsid w:val="00C77AC1"/>
    <w:rsid w:val="00C80360"/>
    <w:rsid w:val="00C80A65"/>
    <w:rsid w:val="00C80B28"/>
    <w:rsid w:val="00C80BD9"/>
    <w:rsid w:val="00C813E8"/>
    <w:rsid w:val="00C81BDF"/>
    <w:rsid w:val="00C82891"/>
    <w:rsid w:val="00C83063"/>
    <w:rsid w:val="00C831DB"/>
    <w:rsid w:val="00C83763"/>
    <w:rsid w:val="00C83E7E"/>
    <w:rsid w:val="00C8407B"/>
    <w:rsid w:val="00C84B22"/>
    <w:rsid w:val="00C84E39"/>
    <w:rsid w:val="00C85274"/>
    <w:rsid w:val="00C85662"/>
    <w:rsid w:val="00C85666"/>
    <w:rsid w:val="00C85B6D"/>
    <w:rsid w:val="00C85DC1"/>
    <w:rsid w:val="00C86608"/>
    <w:rsid w:val="00C867E2"/>
    <w:rsid w:val="00C8762C"/>
    <w:rsid w:val="00C87C43"/>
    <w:rsid w:val="00C87D38"/>
    <w:rsid w:val="00C90B79"/>
    <w:rsid w:val="00C913BD"/>
    <w:rsid w:val="00C91B2D"/>
    <w:rsid w:val="00C91E9D"/>
    <w:rsid w:val="00C9233A"/>
    <w:rsid w:val="00C924FE"/>
    <w:rsid w:val="00C92C55"/>
    <w:rsid w:val="00C92E82"/>
    <w:rsid w:val="00C930E9"/>
    <w:rsid w:val="00C93292"/>
    <w:rsid w:val="00C93394"/>
    <w:rsid w:val="00C938F2"/>
    <w:rsid w:val="00C93D8D"/>
    <w:rsid w:val="00C9540F"/>
    <w:rsid w:val="00C95E7F"/>
    <w:rsid w:val="00C960EA"/>
    <w:rsid w:val="00C969F3"/>
    <w:rsid w:val="00C96DE6"/>
    <w:rsid w:val="00CA00F9"/>
    <w:rsid w:val="00CA028A"/>
    <w:rsid w:val="00CA04B4"/>
    <w:rsid w:val="00CA1E7E"/>
    <w:rsid w:val="00CA2961"/>
    <w:rsid w:val="00CA339A"/>
    <w:rsid w:val="00CA3851"/>
    <w:rsid w:val="00CA3A98"/>
    <w:rsid w:val="00CA43B8"/>
    <w:rsid w:val="00CA4B5B"/>
    <w:rsid w:val="00CA4D77"/>
    <w:rsid w:val="00CA4DBC"/>
    <w:rsid w:val="00CA5C2D"/>
    <w:rsid w:val="00CA5E1A"/>
    <w:rsid w:val="00CA6133"/>
    <w:rsid w:val="00CA6A81"/>
    <w:rsid w:val="00CA7E5A"/>
    <w:rsid w:val="00CB0759"/>
    <w:rsid w:val="00CB08ED"/>
    <w:rsid w:val="00CB50D7"/>
    <w:rsid w:val="00CB5409"/>
    <w:rsid w:val="00CB5AE6"/>
    <w:rsid w:val="00CB6C8E"/>
    <w:rsid w:val="00CB7177"/>
    <w:rsid w:val="00CB75E8"/>
    <w:rsid w:val="00CB794E"/>
    <w:rsid w:val="00CB7D7C"/>
    <w:rsid w:val="00CC0605"/>
    <w:rsid w:val="00CC066B"/>
    <w:rsid w:val="00CC06D6"/>
    <w:rsid w:val="00CC098C"/>
    <w:rsid w:val="00CC0C46"/>
    <w:rsid w:val="00CC0ED6"/>
    <w:rsid w:val="00CC1998"/>
    <w:rsid w:val="00CC4369"/>
    <w:rsid w:val="00CC4946"/>
    <w:rsid w:val="00CC51C0"/>
    <w:rsid w:val="00CC66F0"/>
    <w:rsid w:val="00CC699B"/>
    <w:rsid w:val="00CC6B50"/>
    <w:rsid w:val="00CC6C7B"/>
    <w:rsid w:val="00CC7080"/>
    <w:rsid w:val="00CD00A8"/>
    <w:rsid w:val="00CD0629"/>
    <w:rsid w:val="00CD10E7"/>
    <w:rsid w:val="00CD1BE3"/>
    <w:rsid w:val="00CD1E61"/>
    <w:rsid w:val="00CD2F01"/>
    <w:rsid w:val="00CD342D"/>
    <w:rsid w:val="00CD35A1"/>
    <w:rsid w:val="00CD36F9"/>
    <w:rsid w:val="00CD45CB"/>
    <w:rsid w:val="00CD4D28"/>
    <w:rsid w:val="00CD5FE8"/>
    <w:rsid w:val="00CD673B"/>
    <w:rsid w:val="00CD6E5D"/>
    <w:rsid w:val="00CD7053"/>
    <w:rsid w:val="00CE0316"/>
    <w:rsid w:val="00CE13B5"/>
    <w:rsid w:val="00CE1518"/>
    <w:rsid w:val="00CE1CEE"/>
    <w:rsid w:val="00CE22D9"/>
    <w:rsid w:val="00CE2FA8"/>
    <w:rsid w:val="00CE4D23"/>
    <w:rsid w:val="00CE53A5"/>
    <w:rsid w:val="00CE56F0"/>
    <w:rsid w:val="00CE5C9B"/>
    <w:rsid w:val="00CE68F2"/>
    <w:rsid w:val="00CE69B6"/>
    <w:rsid w:val="00CE6FA0"/>
    <w:rsid w:val="00CE7C73"/>
    <w:rsid w:val="00CF04A3"/>
    <w:rsid w:val="00CF0A66"/>
    <w:rsid w:val="00CF1315"/>
    <w:rsid w:val="00CF16CA"/>
    <w:rsid w:val="00CF1842"/>
    <w:rsid w:val="00CF24B2"/>
    <w:rsid w:val="00CF292A"/>
    <w:rsid w:val="00CF3B8D"/>
    <w:rsid w:val="00CF3D29"/>
    <w:rsid w:val="00CF4313"/>
    <w:rsid w:val="00CF494D"/>
    <w:rsid w:val="00CF5103"/>
    <w:rsid w:val="00CF554D"/>
    <w:rsid w:val="00CF58C1"/>
    <w:rsid w:val="00CF5E10"/>
    <w:rsid w:val="00CF5FA9"/>
    <w:rsid w:val="00CF652A"/>
    <w:rsid w:val="00CF7CE1"/>
    <w:rsid w:val="00D0050C"/>
    <w:rsid w:val="00D005C5"/>
    <w:rsid w:val="00D0140D"/>
    <w:rsid w:val="00D0164C"/>
    <w:rsid w:val="00D0172B"/>
    <w:rsid w:val="00D01ACC"/>
    <w:rsid w:val="00D02E6C"/>
    <w:rsid w:val="00D03DB8"/>
    <w:rsid w:val="00D04B34"/>
    <w:rsid w:val="00D05057"/>
    <w:rsid w:val="00D051FB"/>
    <w:rsid w:val="00D05960"/>
    <w:rsid w:val="00D05B22"/>
    <w:rsid w:val="00D05B64"/>
    <w:rsid w:val="00D05BE6"/>
    <w:rsid w:val="00D05C18"/>
    <w:rsid w:val="00D06062"/>
    <w:rsid w:val="00D0688C"/>
    <w:rsid w:val="00D079F2"/>
    <w:rsid w:val="00D07C04"/>
    <w:rsid w:val="00D07F8D"/>
    <w:rsid w:val="00D1024D"/>
    <w:rsid w:val="00D1042A"/>
    <w:rsid w:val="00D1115E"/>
    <w:rsid w:val="00D116E7"/>
    <w:rsid w:val="00D1195C"/>
    <w:rsid w:val="00D127A7"/>
    <w:rsid w:val="00D128D4"/>
    <w:rsid w:val="00D13C91"/>
    <w:rsid w:val="00D13E77"/>
    <w:rsid w:val="00D13EFA"/>
    <w:rsid w:val="00D141D7"/>
    <w:rsid w:val="00D14939"/>
    <w:rsid w:val="00D14D32"/>
    <w:rsid w:val="00D15024"/>
    <w:rsid w:val="00D1545E"/>
    <w:rsid w:val="00D15766"/>
    <w:rsid w:val="00D15FE8"/>
    <w:rsid w:val="00D163F0"/>
    <w:rsid w:val="00D1644E"/>
    <w:rsid w:val="00D16F4F"/>
    <w:rsid w:val="00D1740A"/>
    <w:rsid w:val="00D17FF3"/>
    <w:rsid w:val="00D20033"/>
    <w:rsid w:val="00D21183"/>
    <w:rsid w:val="00D21B54"/>
    <w:rsid w:val="00D21C68"/>
    <w:rsid w:val="00D22E43"/>
    <w:rsid w:val="00D23406"/>
    <w:rsid w:val="00D23B91"/>
    <w:rsid w:val="00D23BDF"/>
    <w:rsid w:val="00D23F39"/>
    <w:rsid w:val="00D24106"/>
    <w:rsid w:val="00D24F17"/>
    <w:rsid w:val="00D251F1"/>
    <w:rsid w:val="00D270A4"/>
    <w:rsid w:val="00D27BE8"/>
    <w:rsid w:val="00D30476"/>
    <w:rsid w:val="00D30B1A"/>
    <w:rsid w:val="00D30FF0"/>
    <w:rsid w:val="00D31D8F"/>
    <w:rsid w:val="00D31DBA"/>
    <w:rsid w:val="00D327AE"/>
    <w:rsid w:val="00D3295B"/>
    <w:rsid w:val="00D32AB7"/>
    <w:rsid w:val="00D32EDA"/>
    <w:rsid w:val="00D331F1"/>
    <w:rsid w:val="00D335E3"/>
    <w:rsid w:val="00D34111"/>
    <w:rsid w:val="00D34216"/>
    <w:rsid w:val="00D34C63"/>
    <w:rsid w:val="00D34CF4"/>
    <w:rsid w:val="00D34E1B"/>
    <w:rsid w:val="00D351F2"/>
    <w:rsid w:val="00D35370"/>
    <w:rsid w:val="00D35D2A"/>
    <w:rsid w:val="00D36786"/>
    <w:rsid w:val="00D36AC4"/>
    <w:rsid w:val="00D371E3"/>
    <w:rsid w:val="00D376BA"/>
    <w:rsid w:val="00D40315"/>
    <w:rsid w:val="00D4088D"/>
    <w:rsid w:val="00D40919"/>
    <w:rsid w:val="00D40FC0"/>
    <w:rsid w:val="00D40FE7"/>
    <w:rsid w:val="00D41C39"/>
    <w:rsid w:val="00D41F11"/>
    <w:rsid w:val="00D43475"/>
    <w:rsid w:val="00D43576"/>
    <w:rsid w:val="00D43B3E"/>
    <w:rsid w:val="00D442E9"/>
    <w:rsid w:val="00D44BDB"/>
    <w:rsid w:val="00D45A23"/>
    <w:rsid w:val="00D473EB"/>
    <w:rsid w:val="00D478CD"/>
    <w:rsid w:val="00D50466"/>
    <w:rsid w:val="00D5056B"/>
    <w:rsid w:val="00D50623"/>
    <w:rsid w:val="00D5062E"/>
    <w:rsid w:val="00D513FD"/>
    <w:rsid w:val="00D516C6"/>
    <w:rsid w:val="00D5181E"/>
    <w:rsid w:val="00D51920"/>
    <w:rsid w:val="00D51D85"/>
    <w:rsid w:val="00D529A4"/>
    <w:rsid w:val="00D52B58"/>
    <w:rsid w:val="00D52F45"/>
    <w:rsid w:val="00D533C0"/>
    <w:rsid w:val="00D537F5"/>
    <w:rsid w:val="00D53E18"/>
    <w:rsid w:val="00D53FB1"/>
    <w:rsid w:val="00D54143"/>
    <w:rsid w:val="00D54453"/>
    <w:rsid w:val="00D5495A"/>
    <w:rsid w:val="00D54987"/>
    <w:rsid w:val="00D54BBD"/>
    <w:rsid w:val="00D55184"/>
    <w:rsid w:val="00D55234"/>
    <w:rsid w:val="00D553D3"/>
    <w:rsid w:val="00D5568A"/>
    <w:rsid w:val="00D5737E"/>
    <w:rsid w:val="00D60E9A"/>
    <w:rsid w:val="00D612B5"/>
    <w:rsid w:val="00D61B9E"/>
    <w:rsid w:val="00D61D60"/>
    <w:rsid w:val="00D61F38"/>
    <w:rsid w:val="00D63090"/>
    <w:rsid w:val="00D632FC"/>
    <w:rsid w:val="00D63A87"/>
    <w:rsid w:val="00D63D73"/>
    <w:rsid w:val="00D64383"/>
    <w:rsid w:val="00D64474"/>
    <w:rsid w:val="00D645F6"/>
    <w:rsid w:val="00D65EB1"/>
    <w:rsid w:val="00D6625D"/>
    <w:rsid w:val="00D66753"/>
    <w:rsid w:val="00D66E1E"/>
    <w:rsid w:val="00D66E28"/>
    <w:rsid w:val="00D66E5D"/>
    <w:rsid w:val="00D67D48"/>
    <w:rsid w:val="00D70FE3"/>
    <w:rsid w:val="00D714A7"/>
    <w:rsid w:val="00D7239D"/>
    <w:rsid w:val="00D73AA3"/>
    <w:rsid w:val="00D73E64"/>
    <w:rsid w:val="00D74A8B"/>
    <w:rsid w:val="00D75251"/>
    <w:rsid w:val="00D75722"/>
    <w:rsid w:val="00D75795"/>
    <w:rsid w:val="00D76578"/>
    <w:rsid w:val="00D771AD"/>
    <w:rsid w:val="00D775A6"/>
    <w:rsid w:val="00D80291"/>
    <w:rsid w:val="00D8060E"/>
    <w:rsid w:val="00D80A1E"/>
    <w:rsid w:val="00D810AB"/>
    <w:rsid w:val="00D81238"/>
    <w:rsid w:val="00D813EC"/>
    <w:rsid w:val="00D81CB4"/>
    <w:rsid w:val="00D82FDE"/>
    <w:rsid w:val="00D83964"/>
    <w:rsid w:val="00D83BD0"/>
    <w:rsid w:val="00D83D30"/>
    <w:rsid w:val="00D84699"/>
    <w:rsid w:val="00D851C3"/>
    <w:rsid w:val="00D85B0A"/>
    <w:rsid w:val="00D85B25"/>
    <w:rsid w:val="00D85B7D"/>
    <w:rsid w:val="00D863D9"/>
    <w:rsid w:val="00D866F1"/>
    <w:rsid w:val="00D86917"/>
    <w:rsid w:val="00D86F2B"/>
    <w:rsid w:val="00D86FE8"/>
    <w:rsid w:val="00D87055"/>
    <w:rsid w:val="00D87797"/>
    <w:rsid w:val="00D87AFC"/>
    <w:rsid w:val="00D90EB7"/>
    <w:rsid w:val="00D90F7A"/>
    <w:rsid w:val="00D91BEB"/>
    <w:rsid w:val="00D91DDB"/>
    <w:rsid w:val="00D91DF7"/>
    <w:rsid w:val="00D93559"/>
    <w:rsid w:val="00D93A5F"/>
    <w:rsid w:val="00D94240"/>
    <w:rsid w:val="00D9433C"/>
    <w:rsid w:val="00D9445F"/>
    <w:rsid w:val="00D94600"/>
    <w:rsid w:val="00D94614"/>
    <w:rsid w:val="00D94B3C"/>
    <w:rsid w:val="00D95CE4"/>
    <w:rsid w:val="00D96E1F"/>
    <w:rsid w:val="00D9738E"/>
    <w:rsid w:val="00D9741F"/>
    <w:rsid w:val="00D97BF8"/>
    <w:rsid w:val="00D97F73"/>
    <w:rsid w:val="00DA0690"/>
    <w:rsid w:val="00DA0A50"/>
    <w:rsid w:val="00DA1297"/>
    <w:rsid w:val="00DA177F"/>
    <w:rsid w:val="00DA1DBF"/>
    <w:rsid w:val="00DA2067"/>
    <w:rsid w:val="00DA20D8"/>
    <w:rsid w:val="00DA23CD"/>
    <w:rsid w:val="00DA3354"/>
    <w:rsid w:val="00DA34A6"/>
    <w:rsid w:val="00DA42DB"/>
    <w:rsid w:val="00DA46D0"/>
    <w:rsid w:val="00DA4BA0"/>
    <w:rsid w:val="00DA4D79"/>
    <w:rsid w:val="00DA56B5"/>
    <w:rsid w:val="00DA5BBA"/>
    <w:rsid w:val="00DA604C"/>
    <w:rsid w:val="00DA611A"/>
    <w:rsid w:val="00DA701B"/>
    <w:rsid w:val="00DA72D3"/>
    <w:rsid w:val="00DB08B4"/>
    <w:rsid w:val="00DB0F4B"/>
    <w:rsid w:val="00DB242B"/>
    <w:rsid w:val="00DB276E"/>
    <w:rsid w:val="00DB29D9"/>
    <w:rsid w:val="00DB2B79"/>
    <w:rsid w:val="00DB3E87"/>
    <w:rsid w:val="00DB43E8"/>
    <w:rsid w:val="00DB4422"/>
    <w:rsid w:val="00DB44B9"/>
    <w:rsid w:val="00DB4511"/>
    <w:rsid w:val="00DB55C8"/>
    <w:rsid w:val="00DB565B"/>
    <w:rsid w:val="00DB5F6F"/>
    <w:rsid w:val="00DB65AD"/>
    <w:rsid w:val="00DB67C9"/>
    <w:rsid w:val="00DB6871"/>
    <w:rsid w:val="00DB6F0B"/>
    <w:rsid w:val="00DB70E7"/>
    <w:rsid w:val="00DB732A"/>
    <w:rsid w:val="00DC06C3"/>
    <w:rsid w:val="00DC0997"/>
    <w:rsid w:val="00DC0C95"/>
    <w:rsid w:val="00DC15CA"/>
    <w:rsid w:val="00DC166C"/>
    <w:rsid w:val="00DC182D"/>
    <w:rsid w:val="00DC1C2A"/>
    <w:rsid w:val="00DC1D47"/>
    <w:rsid w:val="00DC1EAA"/>
    <w:rsid w:val="00DC2079"/>
    <w:rsid w:val="00DC2193"/>
    <w:rsid w:val="00DC296F"/>
    <w:rsid w:val="00DC29B9"/>
    <w:rsid w:val="00DC2E3D"/>
    <w:rsid w:val="00DC313B"/>
    <w:rsid w:val="00DC34E0"/>
    <w:rsid w:val="00DC372C"/>
    <w:rsid w:val="00DC37AB"/>
    <w:rsid w:val="00DC37E9"/>
    <w:rsid w:val="00DC37FB"/>
    <w:rsid w:val="00DC4424"/>
    <w:rsid w:val="00DC4466"/>
    <w:rsid w:val="00DC5394"/>
    <w:rsid w:val="00DC5B21"/>
    <w:rsid w:val="00DC5D7B"/>
    <w:rsid w:val="00DC5E7C"/>
    <w:rsid w:val="00DC6199"/>
    <w:rsid w:val="00DC64ED"/>
    <w:rsid w:val="00DC6643"/>
    <w:rsid w:val="00DC6F80"/>
    <w:rsid w:val="00DC72C6"/>
    <w:rsid w:val="00DC7B35"/>
    <w:rsid w:val="00DD0951"/>
    <w:rsid w:val="00DD13B4"/>
    <w:rsid w:val="00DD1CE2"/>
    <w:rsid w:val="00DD1F2D"/>
    <w:rsid w:val="00DD1FE5"/>
    <w:rsid w:val="00DD2BEE"/>
    <w:rsid w:val="00DD2F9C"/>
    <w:rsid w:val="00DD43FA"/>
    <w:rsid w:val="00DD4741"/>
    <w:rsid w:val="00DD4D71"/>
    <w:rsid w:val="00DD4DBB"/>
    <w:rsid w:val="00DD6041"/>
    <w:rsid w:val="00DD6361"/>
    <w:rsid w:val="00DD6580"/>
    <w:rsid w:val="00DD6961"/>
    <w:rsid w:val="00DD7075"/>
    <w:rsid w:val="00DD747F"/>
    <w:rsid w:val="00DD7843"/>
    <w:rsid w:val="00DD797C"/>
    <w:rsid w:val="00DD79E9"/>
    <w:rsid w:val="00DE08FA"/>
    <w:rsid w:val="00DE0EEC"/>
    <w:rsid w:val="00DE1706"/>
    <w:rsid w:val="00DE1895"/>
    <w:rsid w:val="00DE1F36"/>
    <w:rsid w:val="00DE2D47"/>
    <w:rsid w:val="00DE2F91"/>
    <w:rsid w:val="00DE3422"/>
    <w:rsid w:val="00DE377F"/>
    <w:rsid w:val="00DE3E75"/>
    <w:rsid w:val="00DE446B"/>
    <w:rsid w:val="00DE4AC0"/>
    <w:rsid w:val="00DE4C19"/>
    <w:rsid w:val="00DE4F21"/>
    <w:rsid w:val="00DE54DA"/>
    <w:rsid w:val="00DE5814"/>
    <w:rsid w:val="00DE6BBB"/>
    <w:rsid w:val="00DE6D41"/>
    <w:rsid w:val="00DE7308"/>
    <w:rsid w:val="00DF0911"/>
    <w:rsid w:val="00DF0A6B"/>
    <w:rsid w:val="00DF1BE7"/>
    <w:rsid w:val="00DF2123"/>
    <w:rsid w:val="00DF2EE9"/>
    <w:rsid w:val="00DF3324"/>
    <w:rsid w:val="00DF3939"/>
    <w:rsid w:val="00DF39D6"/>
    <w:rsid w:val="00DF3DB9"/>
    <w:rsid w:val="00DF3E07"/>
    <w:rsid w:val="00DF46B7"/>
    <w:rsid w:val="00DF4AC8"/>
    <w:rsid w:val="00DF4C83"/>
    <w:rsid w:val="00DF6866"/>
    <w:rsid w:val="00DF6BAF"/>
    <w:rsid w:val="00DF6C85"/>
    <w:rsid w:val="00DF6CF2"/>
    <w:rsid w:val="00DF6D36"/>
    <w:rsid w:val="00DF6F6E"/>
    <w:rsid w:val="00DF72D1"/>
    <w:rsid w:val="00E01EEA"/>
    <w:rsid w:val="00E028F5"/>
    <w:rsid w:val="00E0374D"/>
    <w:rsid w:val="00E03BE0"/>
    <w:rsid w:val="00E03E47"/>
    <w:rsid w:val="00E04F0C"/>
    <w:rsid w:val="00E0535E"/>
    <w:rsid w:val="00E05511"/>
    <w:rsid w:val="00E05B14"/>
    <w:rsid w:val="00E05B3F"/>
    <w:rsid w:val="00E061D2"/>
    <w:rsid w:val="00E06FD0"/>
    <w:rsid w:val="00E07178"/>
    <w:rsid w:val="00E074C6"/>
    <w:rsid w:val="00E07709"/>
    <w:rsid w:val="00E102D5"/>
    <w:rsid w:val="00E10B58"/>
    <w:rsid w:val="00E12190"/>
    <w:rsid w:val="00E12296"/>
    <w:rsid w:val="00E1272C"/>
    <w:rsid w:val="00E12BC5"/>
    <w:rsid w:val="00E132F4"/>
    <w:rsid w:val="00E13619"/>
    <w:rsid w:val="00E14940"/>
    <w:rsid w:val="00E14BA6"/>
    <w:rsid w:val="00E15B2B"/>
    <w:rsid w:val="00E17241"/>
    <w:rsid w:val="00E176B7"/>
    <w:rsid w:val="00E17C72"/>
    <w:rsid w:val="00E203A6"/>
    <w:rsid w:val="00E2112C"/>
    <w:rsid w:val="00E21F4A"/>
    <w:rsid w:val="00E21FC6"/>
    <w:rsid w:val="00E22533"/>
    <w:rsid w:val="00E22ADA"/>
    <w:rsid w:val="00E22AFF"/>
    <w:rsid w:val="00E237AF"/>
    <w:rsid w:val="00E24B4C"/>
    <w:rsid w:val="00E24E64"/>
    <w:rsid w:val="00E255CA"/>
    <w:rsid w:val="00E27EB6"/>
    <w:rsid w:val="00E30992"/>
    <w:rsid w:val="00E30BF7"/>
    <w:rsid w:val="00E30E3D"/>
    <w:rsid w:val="00E31474"/>
    <w:rsid w:val="00E31B8B"/>
    <w:rsid w:val="00E3238B"/>
    <w:rsid w:val="00E32722"/>
    <w:rsid w:val="00E3280C"/>
    <w:rsid w:val="00E32848"/>
    <w:rsid w:val="00E33821"/>
    <w:rsid w:val="00E33A2A"/>
    <w:rsid w:val="00E33D87"/>
    <w:rsid w:val="00E34A54"/>
    <w:rsid w:val="00E34ECE"/>
    <w:rsid w:val="00E3517A"/>
    <w:rsid w:val="00E351BC"/>
    <w:rsid w:val="00E357C4"/>
    <w:rsid w:val="00E3659F"/>
    <w:rsid w:val="00E36A93"/>
    <w:rsid w:val="00E36B35"/>
    <w:rsid w:val="00E36BD3"/>
    <w:rsid w:val="00E36DFB"/>
    <w:rsid w:val="00E374DA"/>
    <w:rsid w:val="00E37745"/>
    <w:rsid w:val="00E37B8D"/>
    <w:rsid w:val="00E37C77"/>
    <w:rsid w:val="00E37F2E"/>
    <w:rsid w:val="00E40163"/>
    <w:rsid w:val="00E410A6"/>
    <w:rsid w:val="00E42138"/>
    <w:rsid w:val="00E4247C"/>
    <w:rsid w:val="00E42C91"/>
    <w:rsid w:val="00E43935"/>
    <w:rsid w:val="00E43D8D"/>
    <w:rsid w:val="00E43DFB"/>
    <w:rsid w:val="00E43F2C"/>
    <w:rsid w:val="00E43FDC"/>
    <w:rsid w:val="00E441CE"/>
    <w:rsid w:val="00E443EB"/>
    <w:rsid w:val="00E4558E"/>
    <w:rsid w:val="00E456B0"/>
    <w:rsid w:val="00E45D73"/>
    <w:rsid w:val="00E45DAC"/>
    <w:rsid w:val="00E471E7"/>
    <w:rsid w:val="00E477E7"/>
    <w:rsid w:val="00E5053E"/>
    <w:rsid w:val="00E5066C"/>
    <w:rsid w:val="00E50969"/>
    <w:rsid w:val="00E51835"/>
    <w:rsid w:val="00E519C5"/>
    <w:rsid w:val="00E52978"/>
    <w:rsid w:val="00E52B60"/>
    <w:rsid w:val="00E5403F"/>
    <w:rsid w:val="00E54B32"/>
    <w:rsid w:val="00E5535E"/>
    <w:rsid w:val="00E55AEB"/>
    <w:rsid w:val="00E55CCE"/>
    <w:rsid w:val="00E55CD0"/>
    <w:rsid w:val="00E56159"/>
    <w:rsid w:val="00E5620A"/>
    <w:rsid w:val="00E56343"/>
    <w:rsid w:val="00E56A75"/>
    <w:rsid w:val="00E570F3"/>
    <w:rsid w:val="00E5755D"/>
    <w:rsid w:val="00E57619"/>
    <w:rsid w:val="00E579EF"/>
    <w:rsid w:val="00E57B46"/>
    <w:rsid w:val="00E604D0"/>
    <w:rsid w:val="00E60C3F"/>
    <w:rsid w:val="00E60C59"/>
    <w:rsid w:val="00E61B9E"/>
    <w:rsid w:val="00E61D27"/>
    <w:rsid w:val="00E62629"/>
    <w:rsid w:val="00E62A0D"/>
    <w:rsid w:val="00E62C37"/>
    <w:rsid w:val="00E62DE9"/>
    <w:rsid w:val="00E62E81"/>
    <w:rsid w:val="00E6327A"/>
    <w:rsid w:val="00E6355A"/>
    <w:rsid w:val="00E63667"/>
    <w:rsid w:val="00E650DD"/>
    <w:rsid w:val="00E651F0"/>
    <w:rsid w:val="00E65F72"/>
    <w:rsid w:val="00E662EC"/>
    <w:rsid w:val="00E66370"/>
    <w:rsid w:val="00E66540"/>
    <w:rsid w:val="00E66802"/>
    <w:rsid w:val="00E669E2"/>
    <w:rsid w:val="00E66E70"/>
    <w:rsid w:val="00E6712D"/>
    <w:rsid w:val="00E67143"/>
    <w:rsid w:val="00E673E3"/>
    <w:rsid w:val="00E674CD"/>
    <w:rsid w:val="00E675C0"/>
    <w:rsid w:val="00E67D7C"/>
    <w:rsid w:val="00E7066D"/>
    <w:rsid w:val="00E71881"/>
    <w:rsid w:val="00E71A19"/>
    <w:rsid w:val="00E72444"/>
    <w:rsid w:val="00E734FB"/>
    <w:rsid w:val="00E73E37"/>
    <w:rsid w:val="00E76135"/>
    <w:rsid w:val="00E76998"/>
    <w:rsid w:val="00E76A67"/>
    <w:rsid w:val="00E7753D"/>
    <w:rsid w:val="00E77B89"/>
    <w:rsid w:val="00E80118"/>
    <w:rsid w:val="00E80561"/>
    <w:rsid w:val="00E80600"/>
    <w:rsid w:val="00E80833"/>
    <w:rsid w:val="00E80EB9"/>
    <w:rsid w:val="00E81D80"/>
    <w:rsid w:val="00E820E4"/>
    <w:rsid w:val="00E82196"/>
    <w:rsid w:val="00E821BF"/>
    <w:rsid w:val="00E82969"/>
    <w:rsid w:val="00E82E36"/>
    <w:rsid w:val="00E82E7C"/>
    <w:rsid w:val="00E846FF"/>
    <w:rsid w:val="00E848B6"/>
    <w:rsid w:val="00E84F99"/>
    <w:rsid w:val="00E857BC"/>
    <w:rsid w:val="00E867B6"/>
    <w:rsid w:val="00E86A93"/>
    <w:rsid w:val="00E86DB1"/>
    <w:rsid w:val="00E8783B"/>
    <w:rsid w:val="00E87E8E"/>
    <w:rsid w:val="00E904E2"/>
    <w:rsid w:val="00E906F8"/>
    <w:rsid w:val="00E907D9"/>
    <w:rsid w:val="00E90883"/>
    <w:rsid w:val="00E90FD1"/>
    <w:rsid w:val="00E91D7E"/>
    <w:rsid w:val="00E92AF5"/>
    <w:rsid w:val="00E931DF"/>
    <w:rsid w:val="00E93345"/>
    <w:rsid w:val="00E935F4"/>
    <w:rsid w:val="00E938FA"/>
    <w:rsid w:val="00E947B0"/>
    <w:rsid w:val="00E94F2E"/>
    <w:rsid w:val="00E95151"/>
    <w:rsid w:val="00E9519D"/>
    <w:rsid w:val="00E9557F"/>
    <w:rsid w:val="00E95EF5"/>
    <w:rsid w:val="00E97A97"/>
    <w:rsid w:val="00E97CE6"/>
    <w:rsid w:val="00EA0183"/>
    <w:rsid w:val="00EA07F1"/>
    <w:rsid w:val="00EA0BD2"/>
    <w:rsid w:val="00EA0CD2"/>
    <w:rsid w:val="00EA1E6F"/>
    <w:rsid w:val="00EA1FE2"/>
    <w:rsid w:val="00EA2527"/>
    <w:rsid w:val="00EA29CC"/>
    <w:rsid w:val="00EA301D"/>
    <w:rsid w:val="00EA35BB"/>
    <w:rsid w:val="00EA380B"/>
    <w:rsid w:val="00EA3A3B"/>
    <w:rsid w:val="00EA581B"/>
    <w:rsid w:val="00EA6093"/>
    <w:rsid w:val="00EA6F39"/>
    <w:rsid w:val="00EA73A5"/>
    <w:rsid w:val="00EA75F8"/>
    <w:rsid w:val="00EA7B34"/>
    <w:rsid w:val="00EB0443"/>
    <w:rsid w:val="00EB0487"/>
    <w:rsid w:val="00EB0B43"/>
    <w:rsid w:val="00EB0F9B"/>
    <w:rsid w:val="00EB1EE4"/>
    <w:rsid w:val="00EB2E09"/>
    <w:rsid w:val="00EB38C6"/>
    <w:rsid w:val="00EB39EA"/>
    <w:rsid w:val="00EB4EDC"/>
    <w:rsid w:val="00EB507B"/>
    <w:rsid w:val="00EB5481"/>
    <w:rsid w:val="00EB5485"/>
    <w:rsid w:val="00EB56FF"/>
    <w:rsid w:val="00EB5A1B"/>
    <w:rsid w:val="00EB6F98"/>
    <w:rsid w:val="00EB7620"/>
    <w:rsid w:val="00EB789F"/>
    <w:rsid w:val="00EB7C2C"/>
    <w:rsid w:val="00EC06D2"/>
    <w:rsid w:val="00EC06FD"/>
    <w:rsid w:val="00EC179C"/>
    <w:rsid w:val="00EC1978"/>
    <w:rsid w:val="00EC1A11"/>
    <w:rsid w:val="00EC1DFB"/>
    <w:rsid w:val="00EC24D1"/>
    <w:rsid w:val="00EC27CB"/>
    <w:rsid w:val="00EC2844"/>
    <w:rsid w:val="00EC3CBE"/>
    <w:rsid w:val="00EC3F7C"/>
    <w:rsid w:val="00EC4CA8"/>
    <w:rsid w:val="00EC5259"/>
    <w:rsid w:val="00EC5434"/>
    <w:rsid w:val="00EC6E02"/>
    <w:rsid w:val="00ED06D2"/>
    <w:rsid w:val="00ED0755"/>
    <w:rsid w:val="00ED0C3A"/>
    <w:rsid w:val="00ED1683"/>
    <w:rsid w:val="00ED1704"/>
    <w:rsid w:val="00ED261D"/>
    <w:rsid w:val="00ED2B7B"/>
    <w:rsid w:val="00ED2EE1"/>
    <w:rsid w:val="00ED3545"/>
    <w:rsid w:val="00ED392B"/>
    <w:rsid w:val="00ED46C8"/>
    <w:rsid w:val="00ED54DC"/>
    <w:rsid w:val="00ED68BD"/>
    <w:rsid w:val="00ED68DC"/>
    <w:rsid w:val="00ED68E2"/>
    <w:rsid w:val="00ED70AB"/>
    <w:rsid w:val="00EE039C"/>
    <w:rsid w:val="00EE090A"/>
    <w:rsid w:val="00EE0B71"/>
    <w:rsid w:val="00EE13B1"/>
    <w:rsid w:val="00EE1487"/>
    <w:rsid w:val="00EE16AA"/>
    <w:rsid w:val="00EE1830"/>
    <w:rsid w:val="00EE2251"/>
    <w:rsid w:val="00EE255D"/>
    <w:rsid w:val="00EE2BCF"/>
    <w:rsid w:val="00EE320D"/>
    <w:rsid w:val="00EE3397"/>
    <w:rsid w:val="00EE35C8"/>
    <w:rsid w:val="00EE399F"/>
    <w:rsid w:val="00EE48E7"/>
    <w:rsid w:val="00EE4B21"/>
    <w:rsid w:val="00EE50CE"/>
    <w:rsid w:val="00EE51E6"/>
    <w:rsid w:val="00EE5A5C"/>
    <w:rsid w:val="00EE6203"/>
    <w:rsid w:val="00EE6438"/>
    <w:rsid w:val="00EE64D7"/>
    <w:rsid w:val="00EE7779"/>
    <w:rsid w:val="00EE7CC5"/>
    <w:rsid w:val="00EF0588"/>
    <w:rsid w:val="00EF09AB"/>
    <w:rsid w:val="00EF0EA7"/>
    <w:rsid w:val="00EF1091"/>
    <w:rsid w:val="00EF1538"/>
    <w:rsid w:val="00EF1F59"/>
    <w:rsid w:val="00EF218D"/>
    <w:rsid w:val="00EF2BE5"/>
    <w:rsid w:val="00EF2E33"/>
    <w:rsid w:val="00EF2EC5"/>
    <w:rsid w:val="00EF2F1C"/>
    <w:rsid w:val="00EF3090"/>
    <w:rsid w:val="00EF3329"/>
    <w:rsid w:val="00EF386B"/>
    <w:rsid w:val="00EF3C3A"/>
    <w:rsid w:val="00EF3FC6"/>
    <w:rsid w:val="00EF4A26"/>
    <w:rsid w:val="00EF4BDC"/>
    <w:rsid w:val="00EF52CB"/>
    <w:rsid w:val="00EF54F1"/>
    <w:rsid w:val="00EF551A"/>
    <w:rsid w:val="00EF56E5"/>
    <w:rsid w:val="00EF57FD"/>
    <w:rsid w:val="00EF5F3E"/>
    <w:rsid w:val="00EF5FFA"/>
    <w:rsid w:val="00EF6276"/>
    <w:rsid w:val="00EF6C6C"/>
    <w:rsid w:val="00F00016"/>
    <w:rsid w:val="00F00A44"/>
    <w:rsid w:val="00F00DE9"/>
    <w:rsid w:val="00F01293"/>
    <w:rsid w:val="00F01E0E"/>
    <w:rsid w:val="00F0228E"/>
    <w:rsid w:val="00F02357"/>
    <w:rsid w:val="00F02BD1"/>
    <w:rsid w:val="00F03207"/>
    <w:rsid w:val="00F03399"/>
    <w:rsid w:val="00F03AF6"/>
    <w:rsid w:val="00F04516"/>
    <w:rsid w:val="00F045A9"/>
    <w:rsid w:val="00F05392"/>
    <w:rsid w:val="00F056FC"/>
    <w:rsid w:val="00F058F9"/>
    <w:rsid w:val="00F06311"/>
    <w:rsid w:val="00F079DE"/>
    <w:rsid w:val="00F07B6F"/>
    <w:rsid w:val="00F07E77"/>
    <w:rsid w:val="00F10476"/>
    <w:rsid w:val="00F10643"/>
    <w:rsid w:val="00F10A80"/>
    <w:rsid w:val="00F112BE"/>
    <w:rsid w:val="00F125B6"/>
    <w:rsid w:val="00F128C3"/>
    <w:rsid w:val="00F12DB9"/>
    <w:rsid w:val="00F135D8"/>
    <w:rsid w:val="00F13782"/>
    <w:rsid w:val="00F142CC"/>
    <w:rsid w:val="00F14581"/>
    <w:rsid w:val="00F15B45"/>
    <w:rsid w:val="00F2017F"/>
    <w:rsid w:val="00F20C4D"/>
    <w:rsid w:val="00F20D18"/>
    <w:rsid w:val="00F212BC"/>
    <w:rsid w:val="00F216A4"/>
    <w:rsid w:val="00F21A28"/>
    <w:rsid w:val="00F2252C"/>
    <w:rsid w:val="00F2266E"/>
    <w:rsid w:val="00F22A7C"/>
    <w:rsid w:val="00F22CF3"/>
    <w:rsid w:val="00F22FD3"/>
    <w:rsid w:val="00F23239"/>
    <w:rsid w:val="00F2344A"/>
    <w:rsid w:val="00F239C7"/>
    <w:rsid w:val="00F23B72"/>
    <w:rsid w:val="00F23D63"/>
    <w:rsid w:val="00F262C6"/>
    <w:rsid w:val="00F278F5"/>
    <w:rsid w:val="00F27962"/>
    <w:rsid w:val="00F27A03"/>
    <w:rsid w:val="00F30170"/>
    <w:rsid w:val="00F3105A"/>
    <w:rsid w:val="00F3120A"/>
    <w:rsid w:val="00F31299"/>
    <w:rsid w:val="00F31659"/>
    <w:rsid w:val="00F3192D"/>
    <w:rsid w:val="00F31EC6"/>
    <w:rsid w:val="00F323CF"/>
    <w:rsid w:val="00F3244E"/>
    <w:rsid w:val="00F32C67"/>
    <w:rsid w:val="00F33798"/>
    <w:rsid w:val="00F33981"/>
    <w:rsid w:val="00F3409D"/>
    <w:rsid w:val="00F341D2"/>
    <w:rsid w:val="00F34EEC"/>
    <w:rsid w:val="00F3534A"/>
    <w:rsid w:val="00F35932"/>
    <w:rsid w:val="00F3655F"/>
    <w:rsid w:val="00F372B9"/>
    <w:rsid w:val="00F37A3B"/>
    <w:rsid w:val="00F37AA0"/>
    <w:rsid w:val="00F40AD2"/>
    <w:rsid w:val="00F40B5C"/>
    <w:rsid w:val="00F41064"/>
    <w:rsid w:val="00F41C7D"/>
    <w:rsid w:val="00F41E8C"/>
    <w:rsid w:val="00F41FA4"/>
    <w:rsid w:val="00F420A7"/>
    <w:rsid w:val="00F42A15"/>
    <w:rsid w:val="00F434B5"/>
    <w:rsid w:val="00F43C02"/>
    <w:rsid w:val="00F44A75"/>
    <w:rsid w:val="00F458C3"/>
    <w:rsid w:val="00F46D3A"/>
    <w:rsid w:val="00F46F77"/>
    <w:rsid w:val="00F47570"/>
    <w:rsid w:val="00F4783E"/>
    <w:rsid w:val="00F521AE"/>
    <w:rsid w:val="00F523F9"/>
    <w:rsid w:val="00F524DA"/>
    <w:rsid w:val="00F536EF"/>
    <w:rsid w:val="00F5376E"/>
    <w:rsid w:val="00F540B3"/>
    <w:rsid w:val="00F54191"/>
    <w:rsid w:val="00F549DF"/>
    <w:rsid w:val="00F55246"/>
    <w:rsid w:val="00F553DD"/>
    <w:rsid w:val="00F556C8"/>
    <w:rsid w:val="00F556F3"/>
    <w:rsid w:val="00F55C9D"/>
    <w:rsid w:val="00F56181"/>
    <w:rsid w:val="00F56631"/>
    <w:rsid w:val="00F5685E"/>
    <w:rsid w:val="00F56972"/>
    <w:rsid w:val="00F57A54"/>
    <w:rsid w:val="00F57AB4"/>
    <w:rsid w:val="00F613C5"/>
    <w:rsid w:val="00F62292"/>
    <w:rsid w:val="00F625ED"/>
    <w:rsid w:val="00F62CCD"/>
    <w:rsid w:val="00F63BF9"/>
    <w:rsid w:val="00F63C0E"/>
    <w:rsid w:val="00F63C81"/>
    <w:rsid w:val="00F6447A"/>
    <w:rsid w:val="00F644C0"/>
    <w:rsid w:val="00F64BA7"/>
    <w:rsid w:val="00F64F6D"/>
    <w:rsid w:val="00F654B6"/>
    <w:rsid w:val="00F65571"/>
    <w:rsid w:val="00F65645"/>
    <w:rsid w:val="00F65CEC"/>
    <w:rsid w:val="00F661D7"/>
    <w:rsid w:val="00F6680F"/>
    <w:rsid w:val="00F66CC4"/>
    <w:rsid w:val="00F67B91"/>
    <w:rsid w:val="00F67DA1"/>
    <w:rsid w:val="00F67E1F"/>
    <w:rsid w:val="00F704A2"/>
    <w:rsid w:val="00F708BA"/>
    <w:rsid w:val="00F70C1E"/>
    <w:rsid w:val="00F728E0"/>
    <w:rsid w:val="00F72FE2"/>
    <w:rsid w:val="00F73362"/>
    <w:rsid w:val="00F73842"/>
    <w:rsid w:val="00F738F9"/>
    <w:rsid w:val="00F74022"/>
    <w:rsid w:val="00F742C8"/>
    <w:rsid w:val="00F74677"/>
    <w:rsid w:val="00F75820"/>
    <w:rsid w:val="00F76492"/>
    <w:rsid w:val="00F768E9"/>
    <w:rsid w:val="00F76E7C"/>
    <w:rsid w:val="00F77348"/>
    <w:rsid w:val="00F77B12"/>
    <w:rsid w:val="00F8130B"/>
    <w:rsid w:val="00F81652"/>
    <w:rsid w:val="00F823BD"/>
    <w:rsid w:val="00F82A0A"/>
    <w:rsid w:val="00F82B6D"/>
    <w:rsid w:val="00F82E40"/>
    <w:rsid w:val="00F82F35"/>
    <w:rsid w:val="00F83593"/>
    <w:rsid w:val="00F84429"/>
    <w:rsid w:val="00F84CDC"/>
    <w:rsid w:val="00F85325"/>
    <w:rsid w:val="00F853CA"/>
    <w:rsid w:val="00F855C9"/>
    <w:rsid w:val="00F85FB5"/>
    <w:rsid w:val="00F85FBA"/>
    <w:rsid w:val="00F8774A"/>
    <w:rsid w:val="00F8775C"/>
    <w:rsid w:val="00F901BE"/>
    <w:rsid w:val="00F9064E"/>
    <w:rsid w:val="00F9084E"/>
    <w:rsid w:val="00F90DFD"/>
    <w:rsid w:val="00F90F76"/>
    <w:rsid w:val="00F911EC"/>
    <w:rsid w:val="00F9134B"/>
    <w:rsid w:val="00F91600"/>
    <w:rsid w:val="00F91822"/>
    <w:rsid w:val="00F91AD5"/>
    <w:rsid w:val="00F92B1B"/>
    <w:rsid w:val="00F93558"/>
    <w:rsid w:val="00F935A6"/>
    <w:rsid w:val="00F93602"/>
    <w:rsid w:val="00F93B9C"/>
    <w:rsid w:val="00F93EF5"/>
    <w:rsid w:val="00F9449B"/>
    <w:rsid w:val="00F94CC1"/>
    <w:rsid w:val="00F96A70"/>
    <w:rsid w:val="00F9749B"/>
    <w:rsid w:val="00F97ACE"/>
    <w:rsid w:val="00FA009B"/>
    <w:rsid w:val="00FA0149"/>
    <w:rsid w:val="00FA12E5"/>
    <w:rsid w:val="00FA2057"/>
    <w:rsid w:val="00FA2EF7"/>
    <w:rsid w:val="00FA3080"/>
    <w:rsid w:val="00FA3DD7"/>
    <w:rsid w:val="00FA4942"/>
    <w:rsid w:val="00FA51A3"/>
    <w:rsid w:val="00FA6F24"/>
    <w:rsid w:val="00FA7BC5"/>
    <w:rsid w:val="00FB0B6A"/>
    <w:rsid w:val="00FB0D59"/>
    <w:rsid w:val="00FB0F21"/>
    <w:rsid w:val="00FB2087"/>
    <w:rsid w:val="00FB2815"/>
    <w:rsid w:val="00FB4093"/>
    <w:rsid w:val="00FB43CE"/>
    <w:rsid w:val="00FB4E34"/>
    <w:rsid w:val="00FB5289"/>
    <w:rsid w:val="00FB5331"/>
    <w:rsid w:val="00FB71D3"/>
    <w:rsid w:val="00FB787A"/>
    <w:rsid w:val="00FC02F7"/>
    <w:rsid w:val="00FC04A7"/>
    <w:rsid w:val="00FC08BD"/>
    <w:rsid w:val="00FC0CF7"/>
    <w:rsid w:val="00FC1587"/>
    <w:rsid w:val="00FC18A6"/>
    <w:rsid w:val="00FC2A02"/>
    <w:rsid w:val="00FC30AA"/>
    <w:rsid w:val="00FC50BB"/>
    <w:rsid w:val="00FC51FC"/>
    <w:rsid w:val="00FC530E"/>
    <w:rsid w:val="00FC5B84"/>
    <w:rsid w:val="00FC5FEB"/>
    <w:rsid w:val="00FC62FF"/>
    <w:rsid w:val="00FC70A4"/>
    <w:rsid w:val="00FC763C"/>
    <w:rsid w:val="00FD05CA"/>
    <w:rsid w:val="00FD0670"/>
    <w:rsid w:val="00FD0DC5"/>
    <w:rsid w:val="00FD1596"/>
    <w:rsid w:val="00FD1FC3"/>
    <w:rsid w:val="00FD22B1"/>
    <w:rsid w:val="00FD2B17"/>
    <w:rsid w:val="00FD2C83"/>
    <w:rsid w:val="00FD3157"/>
    <w:rsid w:val="00FD35EC"/>
    <w:rsid w:val="00FD3E67"/>
    <w:rsid w:val="00FD4244"/>
    <w:rsid w:val="00FD425A"/>
    <w:rsid w:val="00FD4470"/>
    <w:rsid w:val="00FD558D"/>
    <w:rsid w:val="00FD608B"/>
    <w:rsid w:val="00FD64D6"/>
    <w:rsid w:val="00FD691B"/>
    <w:rsid w:val="00FD699F"/>
    <w:rsid w:val="00FD7311"/>
    <w:rsid w:val="00FD75A6"/>
    <w:rsid w:val="00FD761F"/>
    <w:rsid w:val="00FD7836"/>
    <w:rsid w:val="00FD7BCB"/>
    <w:rsid w:val="00FD7D62"/>
    <w:rsid w:val="00FE021B"/>
    <w:rsid w:val="00FE0254"/>
    <w:rsid w:val="00FE06A2"/>
    <w:rsid w:val="00FE0C9B"/>
    <w:rsid w:val="00FE1F13"/>
    <w:rsid w:val="00FE2976"/>
    <w:rsid w:val="00FE2FD6"/>
    <w:rsid w:val="00FE33B9"/>
    <w:rsid w:val="00FE3DED"/>
    <w:rsid w:val="00FE3F62"/>
    <w:rsid w:val="00FE4530"/>
    <w:rsid w:val="00FE466C"/>
    <w:rsid w:val="00FE4DAC"/>
    <w:rsid w:val="00FE5061"/>
    <w:rsid w:val="00FE52C3"/>
    <w:rsid w:val="00FE538B"/>
    <w:rsid w:val="00FE54B3"/>
    <w:rsid w:val="00FE5E29"/>
    <w:rsid w:val="00FE68C9"/>
    <w:rsid w:val="00FE6AB7"/>
    <w:rsid w:val="00FE7739"/>
    <w:rsid w:val="00FE79F1"/>
    <w:rsid w:val="00FE7FD5"/>
    <w:rsid w:val="00FF02DC"/>
    <w:rsid w:val="00FF0F0E"/>
    <w:rsid w:val="00FF10CF"/>
    <w:rsid w:val="00FF11F9"/>
    <w:rsid w:val="00FF13A6"/>
    <w:rsid w:val="00FF1402"/>
    <w:rsid w:val="00FF266D"/>
    <w:rsid w:val="00FF26E8"/>
    <w:rsid w:val="00FF2BA6"/>
    <w:rsid w:val="00FF33C0"/>
    <w:rsid w:val="00FF392F"/>
    <w:rsid w:val="00FF3AFE"/>
    <w:rsid w:val="00FF3DD6"/>
    <w:rsid w:val="00FF46A3"/>
    <w:rsid w:val="00FF46B1"/>
    <w:rsid w:val="00FF4B22"/>
    <w:rsid w:val="00FF4CBA"/>
    <w:rsid w:val="00FF51EA"/>
    <w:rsid w:val="00FF5CFA"/>
    <w:rsid w:val="00FF5E7D"/>
    <w:rsid w:val="00FF616A"/>
    <w:rsid w:val="00FF6A49"/>
    <w:rsid w:val="00FF7675"/>
    <w:rsid w:val="00FF7DC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Default Paragraph Font" w:uiPriority="1"/>
    <w:lsdException w:name="Body Text" w:qFormat="1"/>
    <w:lsdException w:name="Subtitle" w:qFormat="1"/>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267F46"/>
    <w:rPr>
      <w:sz w:val="26"/>
      <w:szCs w:val="24"/>
    </w:rPr>
  </w:style>
  <w:style w:type="paragraph" w:styleId="Heading1">
    <w:name w:val="heading 1"/>
    <w:basedOn w:val="BodyText"/>
    <w:next w:val="BodyText"/>
    <w:rsid w:val="00267F46"/>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267F46"/>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267F46"/>
    <w:pPr>
      <w:spacing w:before="560" w:line="320" w:lineRule="exact"/>
      <w:ind w:left="0" w:firstLine="0"/>
      <w:outlineLvl w:val="2"/>
    </w:pPr>
    <w:rPr>
      <w:sz w:val="26"/>
    </w:rPr>
  </w:style>
  <w:style w:type="paragraph" w:styleId="Heading4">
    <w:name w:val="heading 4"/>
    <w:basedOn w:val="Heading3"/>
    <w:next w:val="BodyText"/>
    <w:link w:val="Heading4Char"/>
    <w:qFormat/>
    <w:rsid w:val="00267F46"/>
    <w:pPr>
      <w:spacing w:before="480"/>
      <w:outlineLvl w:val="3"/>
    </w:pPr>
    <w:rPr>
      <w:b w:val="0"/>
      <w:i/>
      <w:sz w:val="24"/>
    </w:rPr>
  </w:style>
  <w:style w:type="paragraph" w:styleId="Heading5">
    <w:name w:val="heading 5"/>
    <w:basedOn w:val="Heading4"/>
    <w:next w:val="BodyText"/>
    <w:qFormat/>
    <w:rsid w:val="00267F46"/>
    <w:pPr>
      <w:outlineLvl w:val="4"/>
    </w:pPr>
    <w:rPr>
      <w:rFonts w:ascii="Times New Roman" w:hAnsi="Times New Roman"/>
      <w:sz w:val="26"/>
    </w:rPr>
  </w:style>
  <w:style w:type="paragraph" w:styleId="Heading6">
    <w:name w:val="heading 6"/>
    <w:basedOn w:val="BodyText"/>
    <w:next w:val="BodyText"/>
    <w:rsid w:val="00267F46"/>
    <w:pPr>
      <w:spacing w:after="60"/>
      <w:jc w:val="left"/>
      <w:outlineLvl w:val="5"/>
    </w:pPr>
    <w:rPr>
      <w:i/>
      <w:sz w:val="22"/>
    </w:rPr>
  </w:style>
  <w:style w:type="paragraph" w:styleId="Heading7">
    <w:name w:val="heading 7"/>
    <w:basedOn w:val="BodyText"/>
    <w:next w:val="BodyText"/>
    <w:rsid w:val="00267F46"/>
    <w:pPr>
      <w:spacing w:after="60" w:line="240" w:lineRule="auto"/>
      <w:jc w:val="left"/>
      <w:outlineLvl w:val="6"/>
    </w:pPr>
    <w:rPr>
      <w:rFonts w:ascii="Arial" w:hAnsi="Arial"/>
      <w:sz w:val="20"/>
    </w:rPr>
  </w:style>
  <w:style w:type="paragraph" w:styleId="Heading8">
    <w:name w:val="heading 8"/>
    <w:basedOn w:val="BodyText"/>
    <w:next w:val="BodyText"/>
    <w:rsid w:val="00267F46"/>
    <w:pPr>
      <w:spacing w:after="60" w:line="240" w:lineRule="auto"/>
      <w:jc w:val="left"/>
      <w:outlineLvl w:val="7"/>
    </w:pPr>
    <w:rPr>
      <w:rFonts w:ascii="Arial" w:hAnsi="Arial"/>
      <w:i/>
      <w:sz w:val="20"/>
    </w:rPr>
  </w:style>
  <w:style w:type="paragraph" w:styleId="Heading9">
    <w:name w:val="heading 9"/>
    <w:basedOn w:val="BodyText"/>
    <w:next w:val="BodyText"/>
    <w:rsid w:val="00267F46"/>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rsid w:val="00267F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7F46"/>
  </w:style>
  <w:style w:type="paragraph" w:styleId="BodyText">
    <w:name w:val="Body Text"/>
    <w:link w:val="BodyTextChar"/>
    <w:qFormat/>
    <w:rsid w:val="00267F46"/>
    <w:pPr>
      <w:spacing w:before="240" w:line="320" w:lineRule="atLeast"/>
      <w:jc w:val="both"/>
    </w:pPr>
    <w:rPr>
      <w:sz w:val="26"/>
    </w:rPr>
  </w:style>
  <w:style w:type="paragraph" w:styleId="Footer">
    <w:name w:val="footer"/>
    <w:basedOn w:val="BodyText"/>
    <w:link w:val="FooterChar"/>
    <w:semiHidden/>
    <w:rsid w:val="00267F46"/>
    <w:pPr>
      <w:spacing w:before="80" w:line="200" w:lineRule="exact"/>
      <w:ind w:right="6"/>
      <w:jc w:val="left"/>
    </w:pPr>
    <w:rPr>
      <w:caps/>
      <w:spacing w:val="-4"/>
      <w:sz w:val="16"/>
    </w:rPr>
  </w:style>
  <w:style w:type="paragraph" w:customStyle="1" w:styleId="FooterEnd">
    <w:name w:val="Footer End"/>
    <w:basedOn w:val="Footer"/>
    <w:rsid w:val="00267F46"/>
    <w:pPr>
      <w:spacing w:before="0" w:line="20" w:lineRule="exact"/>
    </w:pPr>
  </w:style>
  <w:style w:type="paragraph" w:styleId="Header">
    <w:name w:val="header"/>
    <w:basedOn w:val="BodyText"/>
    <w:link w:val="HeaderChar"/>
    <w:rsid w:val="00267F46"/>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267F46"/>
    <w:pPr>
      <w:spacing w:line="20" w:lineRule="exact"/>
    </w:pPr>
    <w:rPr>
      <w:sz w:val="16"/>
    </w:rPr>
  </w:style>
  <w:style w:type="paragraph" w:customStyle="1" w:styleId="HeaderEven">
    <w:name w:val="Header Even"/>
    <w:basedOn w:val="Header"/>
    <w:semiHidden/>
    <w:rsid w:val="00267F46"/>
  </w:style>
  <w:style w:type="paragraph" w:customStyle="1" w:styleId="HeaderOdd">
    <w:name w:val="Header Odd"/>
    <w:basedOn w:val="Header"/>
    <w:semiHidden/>
    <w:rsid w:val="00267F46"/>
  </w:style>
  <w:style w:type="character" w:styleId="PageNumber">
    <w:name w:val="page number"/>
    <w:basedOn w:val="DefaultParagraphFont"/>
    <w:rsid w:val="00267F46"/>
    <w:rPr>
      <w:rFonts w:ascii="Arial" w:hAnsi="Arial"/>
      <w:b/>
      <w:sz w:val="16"/>
    </w:rPr>
  </w:style>
  <w:style w:type="paragraph" w:customStyle="1" w:styleId="Abbreviation">
    <w:name w:val="Abbreviation"/>
    <w:basedOn w:val="BodyText"/>
    <w:rsid w:val="00267F46"/>
    <w:pPr>
      <w:spacing w:before="120"/>
      <w:ind w:left="2381" w:hanging="2381"/>
      <w:jc w:val="left"/>
    </w:pPr>
  </w:style>
  <w:style w:type="paragraph" w:customStyle="1" w:styleId="Box">
    <w:name w:val="Box"/>
    <w:basedOn w:val="BodyText"/>
    <w:qFormat/>
    <w:rsid w:val="00267F46"/>
    <w:pPr>
      <w:keepNext/>
      <w:spacing w:before="120" w:line="280" w:lineRule="atLeast"/>
    </w:pPr>
    <w:rPr>
      <w:rFonts w:ascii="Arial" w:hAnsi="Arial"/>
      <w:sz w:val="22"/>
    </w:rPr>
  </w:style>
  <w:style w:type="paragraph" w:customStyle="1" w:styleId="BoxContinued">
    <w:name w:val="Box Continued"/>
    <w:basedOn w:val="BodyText"/>
    <w:next w:val="BodyText"/>
    <w:semiHidden/>
    <w:rsid w:val="00267F46"/>
    <w:pPr>
      <w:spacing w:before="180" w:line="220" w:lineRule="exact"/>
      <w:jc w:val="right"/>
    </w:pPr>
    <w:rPr>
      <w:rFonts w:ascii="Arial" w:hAnsi="Arial"/>
      <w:sz w:val="18"/>
    </w:rPr>
  </w:style>
  <w:style w:type="paragraph" w:customStyle="1" w:styleId="BoxHeading1">
    <w:name w:val="Box Heading 1"/>
    <w:basedOn w:val="BodyText"/>
    <w:next w:val="Box"/>
    <w:rsid w:val="00267F46"/>
    <w:pPr>
      <w:keepNext/>
      <w:spacing w:before="200" w:line="280" w:lineRule="atLeast"/>
    </w:pPr>
    <w:rPr>
      <w:rFonts w:ascii="Arial" w:hAnsi="Arial"/>
      <w:b/>
      <w:sz w:val="22"/>
    </w:rPr>
  </w:style>
  <w:style w:type="paragraph" w:customStyle="1" w:styleId="BoxHeading2">
    <w:name w:val="Box Heading 2"/>
    <w:basedOn w:val="BoxHeading1"/>
    <w:next w:val="Normal"/>
    <w:rsid w:val="00267F46"/>
    <w:rPr>
      <w:b w:val="0"/>
      <w:i/>
    </w:rPr>
  </w:style>
  <w:style w:type="paragraph" w:customStyle="1" w:styleId="BoxListBullet">
    <w:name w:val="Box List Bullet"/>
    <w:basedOn w:val="BodyText"/>
    <w:rsid w:val="00267F46"/>
    <w:pPr>
      <w:keepNext/>
      <w:numPr>
        <w:numId w:val="1"/>
      </w:numPr>
      <w:spacing w:before="60" w:line="280" w:lineRule="atLeast"/>
    </w:pPr>
    <w:rPr>
      <w:rFonts w:ascii="Arial" w:hAnsi="Arial"/>
      <w:sz w:val="22"/>
    </w:rPr>
  </w:style>
  <w:style w:type="paragraph" w:customStyle="1" w:styleId="BoxListBullet2">
    <w:name w:val="Box List Bullet 2"/>
    <w:basedOn w:val="BodyText"/>
    <w:link w:val="BoxListBullet2Char"/>
    <w:rsid w:val="00267F46"/>
    <w:pPr>
      <w:keepNext/>
      <w:numPr>
        <w:numId w:val="2"/>
      </w:numPr>
      <w:spacing w:before="60" w:line="280" w:lineRule="atLeast"/>
    </w:pPr>
    <w:rPr>
      <w:rFonts w:ascii="Arial" w:hAnsi="Arial"/>
      <w:sz w:val="22"/>
    </w:rPr>
  </w:style>
  <w:style w:type="paragraph" w:customStyle="1" w:styleId="BoxListNumber">
    <w:name w:val="Box List Number"/>
    <w:basedOn w:val="BodyText"/>
    <w:rsid w:val="00267F46"/>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267F46"/>
    <w:pPr>
      <w:numPr>
        <w:ilvl w:val="1"/>
      </w:numPr>
    </w:pPr>
  </w:style>
  <w:style w:type="paragraph" w:customStyle="1" w:styleId="BoxQuote">
    <w:name w:val="Box Quote"/>
    <w:basedOn w:val="BodyText"/>
    <w:next w:val="Box"/>
    <w:rsid w:val="00267F46"/>
    <w:pPr>
      <w:keepNext/>
      <w:spacing w:before="60" w:line="260" w:lineRule="exact"/>
      <w:ind w:left="284"/>
    </w:pPr>
    <w:rPr>
      <w:rFonts w:ascii="Arial" w:hAnsi="Arial"/>
      <w:sz w:val="20"/>
    </w:rPr>
  </w:style>
  <w:style w:type="paragraph" w:customStyle="1" w:styleId="Note">
    <w:name w:val="Note"/>
    <w:basedOn w:val="BodyText"/>
    <w:next w:val="BodyText"/>
    <w:rsid w:val="00267F46"/>
    <w:pPr>
      <w:keepLines/>
      <w:spacing w:before="80" w:line="220" w:lineRule="exact"/>
    </w:pPr>
    <w:rPr>
      <w:rFonts w:ascii="Arial" w:hAnsi="Arial"/>
      <w:sz w:val="18"/>
    </w:rPr>
  </w:style>
  <w:style w:type="paragraph" w:customStyle="1" w:styleId="Source">
    <w:name w:val="Source"/>
    <w:basedOn w:val="Note"/>
    <w:next w:val="BodyText"/>
    <w:rsid w:val="00267F46"/>
    <w:pPr>
      <w:spacing w:after="120"/>
    </w:pPr>
  </w:style>
  <w:style w:type="paragraph" w:customStyle="1" w:styleId="BoxSource">
    <w:name w:val="Box Source"/>
    <w:basedOn w:val="Source"/>
    <w:next w:val="BodyText"/>
    <w:rsid w:val="00267F46"/>
    <w:pPr>
      <w:spacing w:before="180" w:after="0"/>
    </w:pPr>
  </w:style>
  <w:style w:type="paragraph" w:customStyle="1" w:styleId="BoxSpace">
    <w:name w:val="Box Space"/>
    <w:basedOn w:val="BodyText"/>
    <w:rsid w:val="00F02357"/>
    <w:pPr>
      <w:keepNext/>
      <w:spacing w:before="360" w:line="80" w:lineRule="exact"/>
      <w:jc w:val="left"/>
    </w:pPr>
  </w:style>
  <w:style w:type="paragraph" w:styleId="Caption">
    <w:name w:val="caption"/>
    <w:basedOn w:val="Normal"/>
    <w:next w:val="BodyText"/>
    <w:rsid w:val="00267F46"/>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267F46"/>
    <w:pPr>
      <w:spacing w:before="120" w:after="0"/>
      <w:ind w:left="1304" w:hanging="1304"/>
    </w:pPr>
    <w:rPr>
      <w:sz w:val="24"/>
    </w:rPr>
  </w:style>
  <w:style w:type="paragraph" w:customStyle="1" w:styleId="BoxSubtitle">
    <w:name w:val="Box Subtitle"/>
    <w:basedOn w:val="BoxTitle"/>
    <w:next w:val="Normal"/>
    <w:rsid w:val="00267F46"/>
    <w:pPr>
      <w:spacing w:after="80" w:line="200" w:lineRule="exact"/>
      <w:ind w:firstLine="0"/>
    </w:pPr>
    <w:rPr>
      <w:b w:val="0"/>
      <w:sz w:val="20"/>
    </w:rPr>
  </w:style>
  <w:style w:type="paragraph" w:customStyle="1" w:styleId="Chapter">
    <w:name w:val="Chapter"/>
    <w:basedOn w:val="Heading1"/>
    <w:next w:val="BodyText"/>
    <w:semiHidden/>
    <w:rsid w:val="00267F46"/>
    <w:pPr>
      <w:ind w:left="0" w:firstLine="0"/>
      <w:outlineLvl w:val="9"/>
    </w:pPr>
  </w:style>
  <w:style w:type="paragraph" w:customStyle="1" w:styleId="ChapterSummary">
    <w:name w:val="Chapter Summary"/>
    <w:basedOn w:val="BodyText"/>
    <w:rsid w:val="00267F46"/>
    <w:pPr>
      <w:ind w:left="907"/>
    </w:pPr>
    <w:rPr>
      <w:rFonts w:ascii="Arial" w:hAnsi="Arial"/>
      <w:b/>
      <w:sz w:val="22"/>
    </w:rPr>
  </w:style>
  <w:style w:type="character" w:styleId="CommentReference">
    <w:name w:val="annotation reference"/>
    <w:basedOn w:val="DefaultParagraphFont"/>
    <w:semiHidden/>
    <w:rsid w:val="00267F46"/>
    <w:rPr>
      <w:b/>
      <w:vanish/>
      <w:color w:val="FF00FF"/>
      <w:sz w:val="20"/>
    </w:rPr>
  </w:style>
  <w:style w:type="paragraph" w:styleId="CommentText">
    <w:name w:val="annotation text"/>
    <w:basedOn w:val="Normal"/>
    <w:link w:val="CommentTextChar"/>
    <w:semiHidden/>
    <w:rsid w:val="00267F46"/>
    <w:pPr>
      <w:spacing w:before="120" w:line="240" w:lineRule="atLeast"/>
      <w:ind w:left="567" w:hanging="567"/>
    </w:pPr>
    <w:rPr>
      <w:sz w:val="20"/>
    </w:rPr>
  </w:style>
  <w:style w:type="paragraph" w:customStyle="1" w:styleId="Continued">
    <w:name w:val="Continued"/>
    <w:basedOn w:val="BoxContinued"/>
    <w:next w:val="BodyText"/>
    <w:rsid w:val="00267F46"/>
  </w:style>
  <w:style w:type="character" w:customStyle="1" w:styleId="DocumentInfo">
    <w:name w:val="Document Info"/>
    <w:basedOn w:val="DefaultParagraphFont"/>
    <w:semiHidden/>
    <w:rsid w:val="00267F46"/>
    <w:rPr>
      <w:rFonts w:ascii="Arial" w:hAnsi="Arial"/>
      <w:sz w:val="14"/>
    </w:rPr>
  </w:style>
  <w:style w:type="character" w:customStyle="1" w:styleId="DraftingNote">
    <w:name w:val="Drafting Note"/>
    <w:basedOn w:val="DefaultParagraphFont"/>
    <w:rsid w:val="00267F46"/>
    <w:rPr>
      <w:b/>
      <w:color w:val="FF0000"/>
      <w:sz w:val="24"/>
      <w:u w:val="dotted"/>
    </w:rPr>
  </w:style>
  <w:style w:type="paragraph" w:customStyle="1" w:styleId="Figure">
    <w:name w:val="Figure"/>
    <w:basedOn w:val="BodyText"/>
    <w:rsid w:val="00267F46"/>
    <w:pPr>
      <w:keepNext/>
      <w:spacing w:before="120" w:after="120" w:line="240" w:lineRule="atLeast"/>
      <w:jc w:val="center"/>
    </w:pPr>
  </w:style>
  <w:style w:type="paragraph" w:customStyle="1" w:styleId="FigureTitle">
    <w:name w:val="Figure Title"/>
    <w:basedOn w:val="Caption"/>
    <w:next w:val="Subtitle"/>
    <w:rsid w:val="00267F46"/>
    <w:rPr>
      <w:sz w:val="24"/>
    </w:rPr>
  </w:style>
  <w:style w:type="paragraph" w:styleId="Subtitle">
    <w:name w:val="Subtitle"/>
    <w:basedOn w:val="Caption"/>
    <w:link w:val="SubtitleChar"/>
    <w:rsid w:val="00267F46"/>
    <w:pPr>
      <w:spacing w:before="0" w:line="200" w:lineRule="exact"/>
      <w:ind w:firstLine="0"/>
    </w:pPr>
    <w:rPr>
      <w:b w:val="0"/>
      <w:sz w:val="20"/>
    </w:rPr>
  </w:style>
  <w:style w:type="paragraph" w:customStyle="1" w:styleId="Finding">
    <w:name w:val="Finding"/>
    <w:basedOn w:val="BodyText"/>
    <w:rsid w:val="00267F46"/>
    <w:pPr>
      <w:keepLines/>
      <w:spacing w:before="180"/>
    </w:pPr>
    <w:rPr>
      <w:i/>
    </w:rPr>
  </w:style>
  <w:style w:type="paragraph" w:customStyle="1" w:styleId="FindingBullet">
    <w:name w:val="Finding Bullet"/>
    <w:basedOn w:val="Finding"/>
    <w:rsid w:val="00267F46"/>
    <w:pPr>
      <w:numPr>
        <w:numId w:val="3"/>
      </w:numPr>
      <w:spacing w:before="80"/>
    </w:pPr>
  </w:style>
  <w:style w:type="paragraph" w:customStyle="1" w:styleId="FindingNoTitle">
    <w:name w:val="Finding NoTitle"/>
    <w:basedOn w:val="Finding"/>
    <w:rsid w:val="00267F46"/>
    <w:pPr>
      <w:spacing w:before="240"/>
    </w:pPr>
  </w:style>
  <w:style w:type="paragraph" w:customStyle="1" w:styleId="RecTitle">
    <w:name w:val="Rec Title"/>
    <w:basedOn w:val="BodyText"/>
    <w:next w:val="Normal"/>
    <w:rsid w:val="00267F46"/>
    <w:pPr>
      <w:keepNext/>
      <w:keepLines/>
    </w:pPr>
    <w:rPr>
      <w:caps/>
      <w:sz w:val="20"/>
    </w:rPr>
  </w:style>
  <w:style w:type="paragraph" w:customStyle="1" w:styleId="FindingTitle">
    <w:name w:val="Finding Title"/>
    <w:basedOn w:val="RecTitle"/>
    <w:next w:val="Finding"/>
    <w:rsid w:val="00267F46"/>
    <w:pPr>
      <w:framePr w:wrap="notBeside" w:hAnchor="text"/>
    </w:pPr>
  </w:style>
  <w:style w:type="character" w:styleId="FootnoteReference">
    <w:name w:val="footnote reference"/>
    <w:basedOn w:val="DefaultParagraphFont"/>
    <w:semiHidden/>
    <w:rsid w:val="00267F46"/>
    <w:rPr>
      <w:rFonts w:ascii="Times New Roman" w:hAnsi="Times New Roman"/>
      <w:position w:val="6"/>
      <w:sz w:val="22"/>
      <w:vertAlign w:val="baseline"/>
    </w:rPr>
  </w:style>
  <w:style w:type="paragraph" w:styleId="FootnoteText">
    <w:name w:val="footnote text"/>
    <w:basedOn w:val="BodyText"/>
    <w:link w:val="FootnoteTextChar"/>
    <w:rsid w:val="00267F46"/>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267F46"/>
    <w:pPr>
      <w:spacing w:before="360" w:after="120"/>
    </w:pPr>
    <w:rPr>
      <w:rFonts w:ascii="Arial" w:hAnsi="Arial"/>
      <w:sz w:val="24"/>
    </w:rPr>
  </w:style>
  <w:style w:type="paragraph" w:customStyle="1" w:styleId="Jurisdictioncommentsbodytext">
    <w:name w:val="Jurisdiction comments body text"/>
    <w:rsid w:val="00267F46"/>
    <w:pPr>
      <w:spacing w:after="140"/>
      <w:jc w:val="both"/>
    </w:pPr>
    <w:rPr>
      <w:rFonts w:ascii="Arial" w:hAnsi="Arial"/>
      <w:sz w:val="24"/>
      <w:lang w:eastAsia="en-US"/>
    </w:rPr>
  </w:style>
  <w:style w:type="paragraph" w:customStyle="1" w:styleId="Jurisdictioncommentsheading">
    <w:name w:val="Jurisdiction comments heading"/>
    <w:rsid w:val="00267F46"/>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267F46"/>
    <w:pPr>
      <w:numPr>
        <w:numId w:val="4"/>
      </w:numPr>
      <w:spacing w:after="140"/>
      <w:jc w:val="both"/>
    </w:pPr>
    <w:rPr>
      <w:rFonts w:ascii="Arial" w:hAnsi="Arial"/>
      <w:sz w:val="24"/>
      <w:lang w:eastAsia="en-US"/>
    </w:rPr>
  </w:style>
  <w:style w:type="paragraph" w:styleId="ListBullet">
    <w:name w:val="List Bullet"/>
    <w:basedOn w:val="BodyText"/>
    <w:rsid w:val="00267F46"/>
    <w:pPr>
      <w:numPr>
        <w:numId w:val="6"/>
      </w:numPr>
      <w:spacing w:before="120"/>
    </w:pPr>
  </w:style>
  <w:style w:type="paragraph" w:styleId="ListBullet2">
    <w:name w:val="List Bullet 2"/>
    <w:basedOn w:val="BodyText"/>
    <w:rsid w:val="00267F46"/>
    <w:pPr>
      <w:numPr>
        <w:numId w:val="8"/>
      </w:numPr>
      <w:spacing w:before="120"/>
    </w:pPr>
  </w:style>
  <w:style w:type="paragraph" w:styleId="ListBullet3">
    <w:name w:val="List Bullet 3"/>
    <w:basedOn w:val="BodyText"/>
    <w:rsid w:val="00267F46"/>
    <w:pPr>
      <w:numPr>
        <w:numId w:val="10"/>
      </w:numPr>
      <w:spacing w:before="120"/>
    </w:pPr>
  </w:style>
  <w:style w:type="paragraph" w:styleId="ListNumber">
    <w:name w:val="List Number"/>
    <w:basedOn w:val="BodyText"/>
    <w:rsid w:val="00267F46"/>
    <w:pPr>
      <w:numPr>
        <w:numId w:val="32"/>
      </w:numPr>
      <w:spacing w:before="120"/>
    </w:pPr>
  </w:style>
  <w:style w:type="paragraph" w:styleId="ListNumber2">
    <w:name w:val="List Number 2"/>
    <w:basedOn w:val="ListNumber"/>
    <w:rsid w:val="00267F46"/>
    <w:pPr>
      <w:numPr>
        <w:ilvl w:val="1"/>
      </w:numPr>
    </w:pPr>
  </w:style>
  <w:style w:type="paragraph" w:styleId="ListNumber3">
    <w:name w:val="List Number 3"/>
    <w:basedOn w:val="ListNumber2"/>
    <w:rsid w:val="00267F46"/>
    <w:pPr>
      <w:numPr>
        <w:ilvl w:val="2"/>
      </w:numPr>
    </w:pPr>
  </w:style>
  <w:style w:type="character" w:customStyle="1" w:styleId="NoteLabel">
    <w:name w:val="Note Label"/>
    <w:basedOn w:val="DefaultParagraphFont"/>
    <w:rsid w:val="00267F46"/>
    <w:rPr>
      <w:rFonts w:ascii="Arial" w:hAnsi="Arial"/>
      <w:b/>
      <w:position w:val="6"/>
      <w:sz w:val="18"/>
    </w:rPr>
  </w:style>
  <w:style w:type="paragraph" w:customStyle="1" w:styleId="PartDivider">
    <w:name w:val="Part Divider"/>
    <w:basedOn w:val="BodyText"/>
    <w:next w:val="BodyText"/>
    <w:semiHidden/>
    <w:rsid w:val="00267F46"/>
    <w:pPr>
      <w:spacing w:before="0" w:line="40" w:lineRule="exact"/>
      <w:jc w:val="right"/>
    </w:pPr>
    <w:rPr>
      <w:smallCaps/>
      <w:sz w:val="16"/>
    </w:rPr>
  </w:style>
  <w:style w:type="paragraph" w:customStyle="1" w:styleId="PartNumber">
    <w:name w:val="Part Number"/>
    <w:basedOn w:val="BodyText"/>
    <w:next w:val="BodyText"/>
    <w:semiHidden/>
    <w:rsid w:val="00267F46"/>
    <w:pPr>
      <w:spacing w:before="4000" w:line="320" w:lineRule="exact"/>
      <w:ind w:left="6634"/>
      <w:jc w:val="right"/>
    </w:pPr>
    <w:rPr>
      <w:smallCaps/>
      <w:spacing w:val="60"/>
      <w:sz w:val="32"/>
    </w:rPr>
  </w:style>
  <w:style w:type="paragraph" w:customStyle="1" w:styleId="PartTitle">
    <w:name w:val="Part Title"/>
    <w:basedOn w:val="BodyText"/>
    <w:semiHidden/>
    <w:rsid w:val="00267F46"/>
    <w:pPr>
      <w:spacing w:before="160" w:after="1360" w:line="520" w:lineRule="exact"/>
      <w:ind w:right="2381"/>
      <w:jc w:val="right"/>
    </w:pPr>
    <w:rPr>
      <w:smallCaps/>
      <w:sz w:val="52"/>
    </w:rPr>
  </w:style>
  <w:style w:type="paragraph" w:styleId="Quote">
    <w:name w:val="Quote"/>
    <w:basedOn w:val="BodyText"/>
    <w:next w:val="BodyText"/>
    <w:link w:val="QuoteChar"/>
    <w:qFormat/>
    <w:rsid w:val="00267F46"/>
    <w:pPr>
      <w:spacing w:before="120" w:line="280" w:lineRule="exact"/>
      <w:ind w:left="340"/>
    </w:pPr>
    <w:rPr>
      <w:sz w:val="24"/>
    </w:rPr>
  </w:style>
  <w:style w:type="paragraph" w:customStyle="1" w:styleId="QuoteBullet">
    <w:name w:val="Quote Bullet"/>
    <w:basedOn w:val="Quote"/>
    <w:rsid w:val="00267F46"/>
    <w:pPr>
      <w:numPr>
        <w:numId w:val="14"/>
      </w:numPr>
    </w:pPr>
  </w:style>
  <w:style w:type="paragraph" w:customStyle="1" w:styleId="Rec">
    <w:name w:val="Rec"/>
    <w:basedOn w:val="BodyText"/>
    <w:rsid w:val="00267F46"/>
    <w:pPr>
      <w:keepLines/>
      <w:spacing w:before="180"/>
    </w:pPr>
    <w:rPr>
      <w:b/>
      <w:i/>
    </w:rPr>
  </w:style>
  <w:style w:type="paragraph" w:customStyle="1" w:styleId="RecBullet">
    <w:name w:val="Rec Bullet"/>
    <w:basedOn w:val="Rec"/>
    <w:rsid w:val="00267F46"/>
    <w:pPr>
      <w:numPr>
        <w:numId w:val="15"/>
      </w:numPr>
      <w:spacing w:before="80"/>
    </w:pPr>
  </w:style>
  <w:style w:type="paragraph" w:customStyle="1" w:styleId="RecB">
    <w:name w:val="RecB"/>
    <w:basedOn w:val="Normal"/>
    <w:rsid w:val="00267F46"/>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267F46"/>
    <w:pPr>
      <w:numPr>
        <w:numId w:val="16"/>
      </w:numPr>
      <w:spacing w:before="80"/>
    </w:pPr>
  </w:style>
  <w:style w:type="paragraph" w:customStyle="1" w:styleId="RecBNoTitle">
    <w:name w:val="RecB NoTitle"/>
    <w:basedOn w:val="RecB"/>
    <w:rsid w:val="00267F46"/>
    <w:pPr>
      <w:spacing w:before="240"/>
    </w:pPr>
  </w:style>
  <w:style w:type="paragraph" w:customStyle="1" w:styleId="Reference">
    <w:name w:val="Reference"/>
    <w:basedOn w:val="BodyText"/>
    <w:rsid w:val="00267F46"/>
    <w:pPr>
      <w:spacing w:before="120"/>
      <w:ind w:left="340" w:hanging="340"/>
    </w:pPr>
  </w:style>
  <w:style w:type="paragraph" w:customStyle="1" w:styleId="SequenceInfo">
    <w:name w:val="Sequence Info"/>
    <w:basedOn w:val="BodyText"/>
    <w:semiHidden/>
    <w:rsid w:val="00267F46"/>
    <w:rPr>
      <w:vanish/>
      <w:sz w:val="16"/>
    </w:rPr>
  </w:style>
  <w:style w:type="paragraph" w:customStyle="1" w:styleId="SideNote">
    <w:name w:val="Side Note"/>
    <w:basedOn w:val="BodyText"/>
    <w:next w:val="BodyText"/>
    <w:semiHidden/>
    <w:rsid w:val="00267F46"/>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267F46"/>
    <w:pPr>
      <w:framePr w:wrap="around"/>
      <w:numPr>
        <w:numId w:val="17"/>
      </w:numPr>
      <w:tabs>
        <w:tab w:val="left" w:pos="227"/>
      </w:tabs>
    </w:pPr>
  </w:style>
  <w:style w:type="paragraph" w:customStyle="1" w:styleId="SideNoteGraphic">
    <w:name w:val="Side Note Graphic"/>
    <w:basedOn w:val="SideNote"/>
    <w:next w:val="BodyText"/>
    <w:semiHidden/>
    <w:rsid w:val="00267F46"/>
    <w:pPr>
      <w:framePr w:wrap="around"/>
    </w:pPr>
  </w:style>
  <w:style w:type="paragraph" w:customStyle="1" w:styleId="TableBodyText">
    <w:name w:val="Table Body Text"/>
    <w:basedOn w:val="BodyText"/>
    <w:rsid w:val="00267F46"/>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267F46"/>
    <w:pPr>
      <w:numPr>
        <w:numId w:val="18"/>
      </w:numPr>
      <w:jc w:val="left"/>
    </w:pPr>
  </w:style>
  <w:style w:type="paragraph" w:customStyle="1" w:styleId="TableColumnHeading">
    <w:name w:val="Table Column Heading"/>
    <w:basedOn w:val="TableBodyText"/>
    <w:rsid w:val="00267F46"/>
    <w:pPr>
      <w:spacing w:before="80" w:after="80"/>
    </w:pPr>
    <w:rPr>
      <w:i/>
    </w:rPr>
  </w:style>
  <w:style w:type="paragraph" w:styleId="TOC2">
    <w:name w:val="toc 2"/>
    <w:basedOn w:val="BodyText"/>
    <w:semiHidden/>
    <w:rsid w:val="00267F46"/>
    <w:pPr>
      <w:tabs>
        <w:tab w:val="right" w:pos="8789"/>
      </w:tabs>
      <w:ind w:left="510" w:right="851" w:hanging="510"/>
      <w:jc w:val="left"/>
    </w:pPr>
    <w:rPr>
      <w:b/>
    </w:rPr>
  </w:style>
  <w:style w:type="paragraph" w:styleId="TOC3">
    <w:name w:val="toc 3"/>
    <w:basedOn w:val="TOC2"/>
    <w:semiHidden/>
    <w:rsid w:val="00267F46"/>
    <w:pPr>
      <w:spacing w:before="60"/>
      <w:ind w:left="1190" w:hanging="680"/>
    </w:pPr>
    <w:rPr>
      <w:b w:val="0"/>
    </w:rPr>
  </w:style>
  <w:style w:type="paragraph" w:styleId="TableofFigures">
    <w:name w:val="table of figures"/>
    <w:basedOn w:val="TOC3"/>
    <w:next w:val="BodyText"/>
    <w:semiHidden/>
    <w:rsid w:val="00267F46"/>
    <w:pPr>
      <w:ind w:left="737" w:hanging="737"/>
    </w:pPr>
  </w:style>
  <w:style w:type="paragraph" w:customStyle="1" w:styleId="TableTitle">
    <w:name w:val="Table Title"/>
    <w:basedOn w:val="Caption"/>
    <w:next w:val="Subtitle"/>
    <w:rsid w:val="00267F46"/>
    <w:rPr>
      <w:sz w:val="24"/>
    </w:rPr>
  </w:style>
  <w:style w:type="paragraph" w:customStyle="1" w:styleId="TableUnitsRow">
    <w:name w:val="Table Units Row"/>
    <w:basedOn w:val="TableBodyText"/>
    <w:rsid w:val="00267F46"/>
    <w:pPr>
      <w:spacing w:before="80" w:after="80"/>
    </w:pPr>
  </w:style>
  <w:style w:type="paragraph" w:styleId="TOC1">
    <w:name w:val="toc 1"/>
    <w:basedOn w:val="Normal"/>
    <w:next w:val="TOC2"/>
    <w:semiHidden/>
    <w:rsid w:val="00267F46"/>
    <w:pPr>
      <w:tabs>
        <w:tab w:val="right" w:pos="8789"/>
      </w:tabs>
      <w:spacing w:before="480" w:after="60" w:line="320" w:lineRule="exact"/>
      <w:ind w:left="1191" w:right="851" w:hanging="1191"/>
    </w:pPr>
    <w:rPr>
      <w:b/>
      <w:caps/>
    </w:rPr>
  </w:style>
  <w:style w:type="paragraph" w:styleId="TOC4">
    <w:name w:val="toc 4"/>
    <w:basedOn w:val="TOC3"/>
    <w:semiHidden/>
    <w:rsid w:val="00267F46"/>
    <w:pPr>
      <w:ind w:left="1191" w:firstLine="0"/>
    </w:pPr>
  </w:style>
  <w:style w:type="paragraph" w:customStyle="1" w:styleId="RecBBullet2">
    <w:name w:val="RecB Bullet 2"/>
    <w:basedOn w:val="ListBullet2"/>
    <w:rsid w:val="00267F46"/>
    <w:pPr>
      <w:pBdr>
        <w:left w:val="single" w:sz="24" w:space="29" w:color="C0C0C0"/>
      </w:pBdr>
    </w:pPr>
    <w:rPr>
      <w:b/>
      <w:i/>
    </w:rPr>
  </w:style>
  <w:style w:type="paragraph" w:styleId="BalloonText">
    <w:name w:val="Balloon Text"/>
    <w:basedOn w:val="Normal"/>
    <w:link w:val="BalloonTextChar"/>
    <w:rsid w:val="00267F46"/>
    <w:rPr>
      <w:rFonts w:ascii="Tahoma" w:hAnsi="Tahoma" w:cs="Tahoma"/>
      <w:sz w:val="16"/>
      <w:szCs w:val="16"/>
    </w:rPr>
  </w:style>
  <w:style w:type="character" w:customStyle="1" w:styleId="BalloonTextChar">
    <w:name w:val="Balloon Text Char"/>
    <w:basedOn w:val="DefaultParagraphFont"/>
    <w:link w:val="BalloonText"/>
    <w:rsid w:val="00267F46"/>
    <w:rPr>
      <w:rFonts w:ascii="Tahoma" w:hAnsi="Tahoma" w:cs="Tahoma"/>
      <w:sz w:val="16"/>
      <w:szCs w:val="16"/>
    </w:rPr>
  </w:style>
  <w:style w:type="character" w:customStyle="1" w:styleId="SubtitleChar">
    <w:name w:val="Subtitle Char"/>
    <w:basedOn w:val="DefaultParagraphFont"/>
    <w:link w:val="Subtitle"/>
    <w:rsid w:val="00267F46"/>
    <w:rPr>
      <w:rFonts w:ascii="Arial" w:hAnsi="Arial"/>
      <w:szCs w:val="24"/>
    </w:rPr>
  </w:style>
  <w:style w:type="paragraph" w:customStyle="1" w:styleId="BoxListBullet3">
    <w:name w:val="Box List Bullet 3"/>
    <w:basedOn w:val="ListBullet3"/>
    <w:rsid w:val="00267F46"/>
    <w:pPr>
      <w:numPr>
        <w:numId w:val="50"/>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267F46"/>
    <w:rPr>
      <w:i/>
      <w:iCs/>
    </w:rPr>
  </w:style>
  <w:style w:type="character" w:customStyle="1" w:styleId="BoxListBullet2Char">
    <w:name w:val="Box List Bullet 2 Char"/>
    <w:basedOn w:val="DefaultParagraphFont"/>
    <w:link w:val="BoxListBullet2"/>
    <w:rsid w:val="00F03AF6"/>
    <w:rPr>
      <w:rFonts w:ascii="Arial" w:hAnsi="Arial"/>
      <w:sz w:val="22"/>
    </w:rPr>
  </w:style>
  <w:style w:type="character" w:customStyle="1" w:styleId="BodyTextChar">
    <w:name w:val="Body Text Char"/>
    <w:basedOn w:val="DefaultParagraphFont"/>
    <w:link w:val="BodyText"/>
    <w:rsid w:val="00BB3B92"/>
    <w:rPr>
      <w:sz w:val="26"/>
    </w:rPr>
  </w:style>
  <w:style w:type="paragraph" w:styleId="EndnoteText">
    <w:name w:val="endnote text"/>
    <w:basedOn w:val="Normal"/>
    <w:link w:val="EndnoteTextChar"/>
    <w:rsid w:val="00CC06D6"/>
    <w:rPr>
      <w:sz w:val="20"/>
      <w:szCs w:val="20"/>
    </w:rPr>
  </w:style>
  <w:style w:type="character" w:customStyle="1" w:styleId="EndnoteTextChar">
    <w:name w:val="Endnote Text Char"/>
    <w:basedOn w:val="DefaultParagraphFont"/>
    <w:link w:val="EndnoteText"/>
    <w:rsid w:val="00CC06D6"/>
  </w:style>
  <w:style w:type="character" w:styleId="EndnoteReference">
    <w:name w:val="endnote reference"/>
    <w:basedOn w:val="DefaultParagraphFont"/>
    <w:rsid w:val="00CC06D6"/>
    <w:rPr>
      <w:vertAlign w:val="superscript"/>
    </w:rPr>
  </w:style>
  <w:style w:type="character" w:styleId="Hyperlink">
    <w:name w:val="Hyperlink"/>
    <w:basedOn w:val="DefaultParagraphFont"/>
    <w:rsid w:val="007163F6"/>
    <w:rPr>
      <w:color w:val="0000FF" w:themeColor="hyperlink"/>
      <w:u w:val="single"/>
    </w:rPr>
  </w:style>
  <w:style w:type="paragraph" w:styleId="CommentSubject">
    <w:name w:val="annotation subject"/>
    <w:basedOn w:val="CommentText"/>
    <w:next w:val="CommentText"/>
    <w:link w:val="CommentSubjectChar"/>
    <w:rsid w:val="00C813E8"/>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C813E8"/>
    <w:rPr>
      <w:szCs w:val="24"/>
    </w:rPr>
  </w:style>
  <w:style w:type="character" w:customStyle="1" w:styleId="CommentSubjectChar">
    <w:name w:val="Comment Subject Char"/>
    <w:basedOn w:val="CommentTextChar"/>
    <w:link w:val="CommentSubject"/>
    <w:rsid w:val="00C813E8"/>
    <w:rPr>
      <w:b/>
      <w:bCs/>
      <w:szCs w:val="24"/>
    </w:rPr>
  </w:style>
  <w:style w:type="character" w:customStyle="1" w:styleId="QuoteChar">
    <w:name w:val="Quote Char"/>
    <w:basedOn w:val="DefaultParagraphFont"/>
    <w:link w:val="Quote"/>
    <w:rsid w:val="00B360EE"/>
    <w:rPr>
      <w:sz w:val="24"/>
    </w:rPr>
  </w:style>
  <w:style w:type="character" w:customStyle="1" w:styleId="Heading3Char">
    <w:name w:val="Heading 3 Char"/>
    <w:basedOn w:val="DefaultParagraphFont"/>
    <w:link w:val="Heading3"/>
    <w:rsid w:val="00543363"/>
    <w:rPr>
      <w:rFonts w:ascii="Arial" w:hAnsi="Arial"/>
      <w:b/>
      <w:sz w:val="26"/>
    </w:rPr>
  </w:style>
  <w:style w:type="paragraph" w:customStyle="1" w:styleId="BoxQuoteBullet">
    <w:name w:val="Box Quote Bullet"/>
    <w:basedOn w:val="BoxQuote"/>
    <w:next w:val="Box"/>
    <w:rsid w:val="00267F46"/>
    <w:pPr>
      <w:numPr>
        <w:numId w:val="48"/>
      </w:numPr>
      <w:ind w:left="568" w:hanging="284"/>
    </w:pPr>
  </w:style>
  <w:style w:type="paragraph" w:customStyle="1" w:styleId="InformationRequestBullet">
    <w:name w:val="Information Request Bullet"/>
    <w:basedOn w:val="ListBullet"/>
    <w:next w:val="BodyText"/>
    <w:rsid w:val="00267F46"/>
    <w:pPr>
      <w:numPr>
        <w:numId w:val="49"/>
      </w:numPr>
      <w:ind w:left="340" w:hanging="340"/>
    </w:pPr>
    <w:rPr>
      <w:rFonts w:ascii="Arial" w:hAnsi="Arial"/>
      <w:i/>
      <w:sz w:val="24"/>
    </w:rPr>
  </w:style>
  <w:style w:type="paragraph" w:customStyle="1" w:styleId="BoxSpaceAbove">
    <w:name w:val="Box Space Above"/>
    <w:basedOn w:val="BodyText"/>
    <w:rsid w:val="00267F46"/>
    <w:pPr>
      <w:keepNext/>
      <w:spacing w:before="360" w:line="80" w:lineRule="exact"/>
      <w:jc w:val="left"/>
    </w:pPr>
  </w:style>
  <w:style w:type="paragraph" w:customStyle="1" w:styleId="BoxSpaceBelow">
    <w:name w:val="Box Space Below"/>
    <w:basedOn w:val="Box"/>
    <w:rsid w:val="00267F46"/>
    <w:pPr>
      <w:keepNext w:val="0"/>
      <w:spacing w:before="60" w:after="60" w:line="80" w:lineRule="exact"/>
    </w:pPr>
    <w:rPr>
      <w:sz w:val="14"/>
    </w:rPr>
  </w:style>
  <w:style w:type="paragraph" w:styleId="Revision">
    <w:name w:val="Revision"/>
    <w:hidden/>
    <w:uiPriority w:val="99"/>
    <w:semiHidden/>
    <w:rsid w:val="003635BB"/>
    <w:rPr>
      <w:sz w:val="26"/>
      <w:szCs w:val="24"/>
    </w:rPr>
  </w:style>
  <w:style w:type="character" w:customStyle="1" w:styleId="Heading4Char">
    <w:name w:val="Heading 4 Char"/>
    <w:basedOn w:val="DefaultParagraphFont"/>
    <w:link w:val="Heading4"/>
    <w:rsid w:val="00E441CE"/>
    <w:rPr>
      <w:rFonts w:ascii="Arial" w:hAnsi="Arial"/>
      <w:i/>
      <w:sz w:val="24"/>
    </w:rPr>
  </w:style>
  <w:style w:type="table" w:styleId="TableGrid">
    <w:name w:val="Table Grid"/>
    <w:basedOn w:val="TableNormal"/>
    <w:rsid w:val="00FE2F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5C6784"/>
    <w:rPr>
      <w:rFonts w:ascii="Arial" w:hAnsi="Arial"/>
      <w:b/>
      <w:sz w:val="32"/>
    </w:rPr>
  </w:style>
  <w:style w:type="character" w:customStyle="1" w:styleId="FooterChar">
    <w:name w:val="Footer Char"/>
    <w:basedOn w:val="DefaultParagraphFont"/>
    <w:link w:val="Footer"/>
    <w:semiHidden/>
    <w:rsid w:val="005C6784"/>
    <w:rPr>
      <w:caps/>
      <w:spacing w:val="-4"/>
      <w:sz w:val="16"/>
    </w:rPr>
  </w:style>
  <w:style w:type="character" w:customStyle="1" w:styleId="FootnoteTextChar">
    <w:name w:val="Footnote Text Char"/>
    <w:basedOn w:val="DefaultParagraphFont"/>
    <w:link w:val="FootnoteText"/>
    <w:rsid w:val="00BE5A27"/>
    <w:rPr>
      <w:sz w:val="22"/>
    </w:rPr>
  </w:style>
  <w:style w:type="character" w:customStyle="1" w:styleId="HeaderChar">
    <w:name w:val="Header Char"/>
    <w:basedOn w:val="DefaultParagraphFont"/>
    <w:link w:val="Header"/>
    <w:rsid w:val="00F341D2"/>
    <w:rPr>
      <w:rFonts w:ascii="Arial" w:hAnsi="Arial"/>
      <w:caps/>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Default Paragraph Font" w:uiPriority="1"/>
    <w:lsdException w:name="Body Text" w:qFormat="1"/>
    <w:lsdException w:name="Subtitle" w:qFormat="1"/>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267F46"/>
    <w:rPr>
      <w:sz w:val="26"/>
      <w:szCs w:val="24"/>
    </w:rPr>
  </w:style>
  <w:style w:type="paragraph" w:styleId="Heading1">
    <w:name w:val="heading 1"/>
    <w:basedOn w:val="BodyText"/>
    <w:next w:val="BodyText"/>
    <w:rsid w:val="00267F46"/>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267F46"/>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267F46"/>
    <w:pPr>
      <w:spacing w:before="560" w:line="320" w:lineRule="exact"/>
      <w:ind w:left="0" w:firstLine="0"/>
      <w:outlineLvl w:val="2"/>
    </w:pPr>
    <w:rPr>
      <w:sz w:val="26"/>
    </w:rPr>
  </w:style>
  <w:style w:type="paragraph" w:styleId="Heading4">
    <w:name w:val="heading 4"/>
    <w:basedOn w:val="Heading3"/>
    <w:next w:val="BodyText"/>
    <w:link w:val="Heading4Char"/>
    <w:qFormat/>
    <w:rsid w:val="00267F46"/>
    <w:pPr>
      <w:spacing w:before="480"/>
      <w:outlineLvl w:val="3"/>
    </w:pPr>
    <w:rPr>
      <w:b w:val="0"/>
      <w:i/>
      <w:sz w:val="24"/>
    </w:rPr>
  </w:style>
  <w:style w:type="paragraph" w:styleId="Heading5">
    <w:name w:val="heading 5"/>
    <w:basedOn w:val="Heading4"/>
    <w:next w:val="BodyText"/>
    <w:qFormat/>
    <w:rsid w:val="00267F46"/>
    <w:pPr>
      <w:outlineLvl w:val="4"/>
    </w:pPr>
    <w:rPr>
      <w:rFonts w:ascii="Times New Roman" w:hAnsi="Times New Roman"/>
      <w:sz w:val="26"/>
    </w:rPr>
  </w:style>
  <w:style w:type="paragraph" w:styleId="Heading6">
    <w:name w:val="heading 6"/>
    <w:basedOn w:val="BodyText"/>
    <w:next w:val="BodyText"/>
    <w:rsid w:val="00267F46"/>
    <w:pPr>
      <w:spacing w:after="60"/>
      <w:jc w:val="left"/>
      <w:outlineLvl w:val="5"/>
    </w:pPr>
    <w:rPr>
      <w:i/>
      <w:sz w:val="22"/>
    </w:rPr>
  </w:style>
  <w:style w:type="paragraph" w:styleId="Heading7">
    <w:name w:val="heading 7"/>
    <w:basedOn w:val="BodyText"/>
    <w:next w:val="BodyText"/>
    <w:rsid w:val="00267F46"/>
    <w:pPr>
      <w:spacing w:after="60" w:line="240" w:lineRule="auto"/>
      <w:jc w:val="left"/>
      <w:outlineLvl w:val="6"/>
    </w:pPr>
    <w:rPr>
      <w:rFonts w:ascii="Arial" w:hAnsi="Arial"/>
      <w:sz w:val="20"/>
    </w:rPr>
  </w:style>
  <w:style w:type="paragraph" w:styleId="Heading8">
    <w:name w:val="heading 8"/>
    <w:basedOn w:val="BodyText"/>
    <w:next w:val="BodyText"/>
    <w:rsid w:val="00267F46"/>
    <w:pPr>
      <w:spacing w:after="60" w:line="240" w:lineRule="auto"/>
      <w:jc w:val="left"/>
      <w:outlineLvl w:val="7"/>
    </w:pPr>
    <w:rPr>
      <w:rFonts w:ascii="Arial" w:hAnsi="Arial"/>
      <w:i/>
      <w:sz w:val="20"/>
    </w:rPr>
  </w:style>
  <w:style w:type="paragraph" w:styleId="Heading9">
    <w:name w:val="heading 9"/>
    <w:basedOn w:val="BodyText"/>
    <w:next w:val="BodyText"/>
    <w:rsid w:val="00267F46"/>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rsid w:val="00267F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7F46"/>
  </w:style>
  <w:style w:type="paragraph" w:styleId="BodyText">
    <w:name w:val="Body Text"/>
    <w:link w:val="BodyTextChar"/>
    <w:qFormat/>
    <w:rsid w:val="00267F46"/>
    <w:pPr>
      <w:spacing w:before="240" w:line="320" w:lineRule="atLeast"/>
      <w:jc w:val="both"/>
    </w:pPr>
    <w:rPr>
      <w:sz w:val="26"/>
    </w:rPr>
  </w:style>
  <w:style w:type="paragraph" w:styleId="Footer">
    <w:name w:val="footer"/>
    <w:basedOn w:val="BodyText"/>
    <w:link w:val="FooterChar"/>
    <w:semiHidden/>
    <w:rsid w:val="00267F46"/>
    <w:pPr>
      <w:spacing w:before="80" w:line="200" w:lineRule="exact"/>
      <w:ind w:right="6"/>
      <w:jc w:val="left"/>
    </w:pPr>
    <w:rPr>
      <w:caps/>
      <w:spacing w:val="-4"/>
      <w:sz w:val="16"/>
    </w:rPr>
  </w:style>
  <w:style w:type="paragraph" w:customStyle="1" w:styleId="FooterEnd">
    <w:name w:val="Footer End"/>
    <w:basedOn w:val="Footer"/>
    <w:rsid w:val="00267F46"/>
    <w:pPr>
      <w:spacing w:before="0" w:line="20" w:lineRule="exact"/>
    </w:pPr>
  </w:style>
  <w:style w:type="paragraph" w:styleId="Header">
    <w:name w:val="header"/>
    <w:basedOn w:val="BodyText"/>
    <w:link w:val="HeaderChar"/>
    <w:rsid w:val="00267F46"/>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267F46"/>
    <w:pPr>
      <w:spacing w:line="20" w:lineRule="exact"/>
    </w:pPr>
    <w:rPr>
      <w:sz w:val="16"/>
    </w:rPr>
  </w:style>
  <w:style w:type="paragraph" w:customStyle="1" w:styleId="HeaderEven">
    <w:name w:val="Header Even"/>
    <w:basedOn w:val="Header"/>
    <w:semiHidden/>
    <w:rsid w:val="00267F46"/>
  </w:style>
  <w:style w:type="paragraph" w:customStyle="1" w:styleId="HeaderOdd">
    <w:name w:val="Header Odd"/>
    <w:basedOn w:val="Header"/>
    <w:semiHidden/>
    <w:rsid w:val="00267F46"/>
  </w:style>
  <w:style w:type="character" w:styleId="PageNumber">
    <w:name w:val="page number"/>
    <w:basedOn w:val="DefaultParagraphFont"/>
    <w:rsid w:val="00267F46"/>
    <w:rPr>
      <w:rFonts w:ascii="Arial" w:hAnsi="Arial"/>
      <w:b/>
      <w:sz w:val="16"/>
    </w:rPr>
  </w:style>
  <w:style w:type="paragraph" w:customStyle="1" w:styleId="Abbreviation">
    <w:name w:val="Abbreviation"/>
    <w:basedOn w:val="BodyText"/>
    <w:rsid w:val="00267F46"/>
    <w:pPr>
      <w:spacing w:before="120"/>
      <w:ind w:left="2381" w:hanging="2381"/>
      <w:jc w:val="left"/>
    </w:pPr>
  </w:style>
  <w:style w:type="paragraph" w:customStyle="1" w:styleId="Box">
    <w:name w:val="Box"/>
    <w:basedOn w:val="BodyText"/>
    <w:qFormat/>
    <w:rsid w:val="00267F46"/>
    <w:pPr>
      <w:keepNext/>
      <w:spacing w:before="120" w:line="280" w:lineRule="atLeast"/>
    </w:pPr>
    <w:rPr>
      <w:rFonts w:ascii="Arial" w:hAnsi="Arial"/>
      <w:sz w:val="22"/>
    </w:rPr>
  </w:style>
  <w:style w:type="paragraph" w:customStyle="1" w:styleId="BoxContinued">
    <w:name w:val="Box Continued"/>
    <w:basedOn w:val="BodyText"/>
    <w:next w:val="BodyText"/>
    <w:semiHidden/>
    <w:rsid w:val="00267F46"/>
    <w:pPr>
      <w:spacing w:before="180" w:line="220" w:lineRule="exact"/>
      <w:jc w:val="right"/>
    </w:pPr>
    <w:rPr>
      <w:rFonts w:ascii="Arial" w:hAnsi="Arial"/>
      <w:sz w:val="18"/>
    </w:rPr>
  </w:style>
  <w:style w:type="paragraph" w:customStyle="1" w:styleId="BoxHeading1">
    <w:name w:val="Box Heading 1"/>
    <w:basedOn w:val="BodyText"/>
    <w:next w:val="Box"/>
    <w:rsid w:val="00267F46"/>
    <w:pPr>
      <w:keepNext/>
      <w:spacing w:before="200" w:line="280" w:lineRule="atLeast"/>
    </w:pPr>
    <w:rPr>
      <w:rFonts w:ascii="Arial" w:hAnsi="Arial"/>
      <w:b/>
      <w:sz w:val="22"/>
    </w:rPr>
  </w:style>
  <w:style w:type="paragraph" w:customStyle="1" w:styleId="BoxHeading2">
    <w:name w:val="Box Heading 2"/>
    <w:basedOn w:val="BoxHeading1"/>
    <w:next w:val="Normal"/>
    <w:rsid w:val="00267F46"/>
    <w:rPr>
      <w:b w:val="0"/>
      <w:i/>
    </w:rPr>
  </w:style>
  <w:style w:type="paragraph" w:customStyle="1" w:styleId="BoxListBullet">
    <w:name w:val="Box List Bullet"/>
    <w:basedOn w:val="BodyText"/>
    <w:rsid w:val="00267F46"/>
    <w:pPr>
      <w:keepNext/>
      <w:numPr>
        <w:numId w:val="1"/>
      </w:numPr>
      <w:spacing w:before="60" w:line="280" w:lineRule="atLeast"/>
    </w:pPr>
    <w:rPr>
      <w:rFonts w:ascii="Arial" w:hAnsi="Arial"/>
      <w:sz w:val="22"/>
    </w:rPr>
  </w:style>
  <w:style w:type="paragraph" w:customStyle="1" w:styleId="BoxListBullet2">
    <w:name w:val="Box List Bullet 2"/>
    <w:basedOn w:val="BodyText"/>
    <w:link w:val="BoxListBullet2Char"/>
    <w:rsid w:val="00267F46"/>
    <w:pPr>
      <w:keepNext/>
      <w:numPr>
        <w:numId w:val="2"/>
      </w:numPr>
      <w:spacing w:before="60" w:line="280" w:lineRule="atLeast"/>
    </w:pPr>
    <w:rPr>
      <w:rFonts w:ascii="Arial" w:hAnsi="Arial"/>
      <w:sz w:val="22"/>
    </w:rPr>
  </w:style>
  <w:style w:type="paragraph" w:customStyle="1" w:styleId="BoxListNumber">
    <w:name w:val="Box List Number"/>
    <w:basedOn w:val="BodyText"/>
    <w:rsid w:val="00267F46"/>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267F46"/>
    <w:pPr>
      <w:numPr>
        <w:ilvl w:val="1"/>
      </w:numPr>
    </w:pPr>
  </w:style>
  <w:style w:type="paragraph" w:customStyle="1" w:styleId="BoxQuote">
    <w:name w:val="Box Quote"/>
    <w:basedOn w:val="BodyText"/>
    <w:next w:val="Box"/>
    <w:rsid w:val="00267F46"/>
    <w:pPr>
      <w:keepNext/>
      <w:spacing w:before="60" w:line="260" w:lineRule="exact"/>
      <w:ind w:left="284"/>
    </w:pPr>
    <w:rPr>
      <w:rFonts w:ascii="Arial" w:hAnsi="Arial"/>
      <w:sz w:val="20"/>
    </w:rPr>
  </w:style>
  <w:style w:type="paragraph" w:customStyle="1" w:styleId="Note">
    <w:name w:val="Note"/>
    <w:basedOn w:val="BodyText"/>
    <w:next w:val="BodyText"/>
    <w:rsid w:val="00267F46"/>
    <w:pPr>
      <w:keepLines/>
      <w:spacing w:before="80" w:line="220" w:lineRule="exact"/>
    </w:pPr>
    <w:rPr>
      <w:rFonts w:ascii="Arial" w:hAnsi="Arial"/>
      <w:sz w:val="18"/>
    </w:rPr>
  </w:style>
  <w:style w:type="paragraph" w:customStyle="1" w:styleId="Source">
    <w:name w:val="Source"/>
    <w:basedOn w:val="Note"/>
    <w:next w:val="BodyText"/>
    <w:rsid w:val="00267F46"/>
    <w:pPr>
      <w:spacing w:after="120"/>
    </w:pPr>
  </w:style>
  <w:style w:type="paragraph" w:customStyle="1" w:styleId="BoxSource">
    <w:name w:val="Box Source"/>
    <w:basedOn w:val="Source"/>
    <w:next w:val="BodyText"/>
    <w:rsid w:val="00267F46"/>
    <w:pPr>
      <w:spacing w:before="180" w:after="0"/>
    </w:pPr>
  </w:style>
  <w:style w:type="paragraph" w:customStyle="1" w:styleId="BoxSpace">
    <w:name w:val="Box Space"/>
    <w:basedOn w:val="BodyText"/>
    <w:rsid w:val="00F02357"/>
    <w:pPr>
      <w:keepNext/>
      <w:spacing w:before="360" w:line="80" w:lineRule="exact"/>
      <w:jc w:val="left"/>
    </w:pPr>
  </w:style>
  <w:style w:type="paragraph" w:styleId="Caption">
    <w:name w:val="caption"/>
    <w:basedOn w:val="Normal"/>
    <w:next w:val="BodyText"/>
    <w:rsid w:val="00267F46"/>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267F46"/>
    <w:pPr>
      <w:spacing w:before="120" w:after="0"/>
      <w:ind w:left="1304" w:hanging="1304"/>
    </w:pPr>
    <w:rPr>
      <w:sz w:val="24"/>
    </w:rPr>
  </w:style>
  <w:style w:type="paragraph" w:customStyle="1" w:styleId="BoxSubtitle">
    <w:name w:val="Box Subtitle"/>
    <w:basedOn w:val="BoxTitle"/>
    <w:next w:val="Normal"/>
    <w:rsid w:val="00267F46"/>
    <w:pPr>
      <w:spacing w:after="80" w:line="200" w:lineRule="exact"/>
      <w:ind w:firstLine="0"/>
    </w:pPr>
    <w:rPr>
      <w:b w:val="0"/>
      <w:sz w:val="20"/>
    </w:rPr>
  </w:style>
  <w:style w:type="paragraph" w:customStyle="1" w:styleId="Chapter">
    <w:name w:val="Chapter"/>
    <w:basedOn w:val="Heading1"/>
    <w:next w:val="BodyText"/>
    <w:semiHidden/>
    <w:rsid w:val="00267F46"/>
    <w:pPr>
      <w:ind w:left="0" w:firstLine="0"/>
      <w:outlineLvl w:val="9"/>
    </w:pPr>
  </w:style>
  <w:style w:type="paragraph" w:customStyle="1" w:styleId="ChapterSummary">
    <w:name w:val="Chapter Summary"/>
    <w:basedOn w:val="BodyText"/>
    <w:rsid w:val="00267F46"/>
    <w:pPr>
      <w:ind w:left="907"/>
    </w:pPr>
    <w:rPr>
      <w:rFonts w:ascii="Arial" w:hAnsi="Arial"/>
      <w:b/>
      <w:sz w:val="22"/>
    </w:rPr>
  </w:style>
  <w:style w:type="character" w:styleId="CommentReference">
    <w:name w:val="annotation reference"/>
    <w:basedOn w:val="DefaultParagraphFont"/>
    <w:semiHidden/>
    <w:rsid w:val="00267F46"/>
    <w:rPr>
      <w:b/>
      <w:vanish/>
      <w:color w:val="FF00FF"/>
      <w:sz w:val="20"/>
    </w:rPr>
  </w:style>
  <w:style w:type="paragraph" w:styleId="CommentText">
    <w:name w:val="annotation text"/>
    <w:basedOn w:val="Normal"/>
    <w:link w:val="CommentTextChar"/>
    <w:semiHidden/>
    <w:rsid w:val="00267F46"/>
    <w:pPr>
      <w:spacing w:before="120" w:line="240" w:lineRule="atLeast"/>
      <w:ind w:left="567" w:hanging="567"/>
    </w:pPr>
    <w:rPr>
      <w:sz w:val="20"/>
    </w:rPr>
  </w:style>
  <w:style w:type="paragraph" w:customStyle="1" w:styleId="Continued">
    <w:name w:val="Continued"/>
    <w:basedOn w:val="BoxContinued"/>
    <w:next w:val="BodyText"/>
    <w:rsid w:val="00267F46"/>
  </w:style>
  <w:style w:type="character" w:customStyle="1" w:styleId="DocumentInfo">
    <w:name w:val="Document Info"/>
    <w:basedOn w:val="DefaultParagraphFont"/>
    <w:semiHidden/>
    <w:rsid w:val="00267F46"/>
    <w:rPr>
      <w:rFonts w:ascii="Arial" w:hAnsi="Arial"/>
      <w:sz w:val="14"/>
    </w:rPr>
  </w:style>
  <w:style w:type="character" w:customStyle="1" w:styleId="DraftingNote">
    <w:name w:val="Drafting Note"/>
    <w:basedOn w:val="DefaultParagraphFont"/>
    <w:rsid w:val="00267F46"/>
    <w:rPr>
      <w:b/>
      <w:color w:val="FF0000"/>
      <w:sz w:val="24"/>
      <w:u w:val="dotted"/>
    </w:rPr>
  </w:style>
  <w:style w:type="paragraph" w:customStyle="1" w:styleId="Figure">
    <w:name w:val="Figure"/>
    <w:basedOn w:val="BodyText"/>
    <w:rsid w:val="00267F46"/>
    <w:pPr>
      <w:keepNext/>
      <w:spacing w:before="120" w:after="120" w:line="240" w:lineRule="atLeast"/>
      <w:jc w:val="center"/>
    </w:pPr>
  </w:style>
  <w:style w:type="paragraph" w:customStyle="1" w:styleId="FigureTitle">
    <w:name w:val="Figure Title"/>
    <w:basedOn w:val="Caption"/>
    <w:next w:val="Subtitle"/>
    <w:rsid w:val="00267F46"/>
    <w:rPr>
      <w:sz w:val="24"/>
    </w:rPr>
  </w:style>
  <w:style w:type="paragraph" w:styleId="Subtitle">
    <w:name w:val="Subtitle"/>
    <w:basedOn w:val="Caption"/>
    <w:link w:val="SubtitleChar"/>
    <w:rsid w:val="00267F46"/>
    <w:pPr>
      <w:spacing w:before="0" w:line="200" w:lineRule="exact"/>
      <w:ind w:firstLine="0"/>
    </w:pPr>
    <w:rPr>
      <w:b w:val="0"/>
      <w:sz w:val="20"/>
    </w:rPr>
  </w:style>
  <w:style w:type="paragraph" w:customStyle="1" w:styleId="Finding">
    <w:name w:val="Finding"/>
    <w:basedOn w:val="BodyText"/>
    <w:rsid w:val="00267F46"/>
    <w:pPr>
      <w:keepLines/>
      <w:spacing w:before="180"/>
    </w:pPr>
    <w:rPr>
      <w:i/>
    </w:rPr>
  </w:style>
  <w:style w:type="paragraph" w:customStyle="1" w:styleId="FindingBullet">
    <w:name w:val="Finding Bullet"/>
    <w:basedOn w:val="Finding"/>
    <w:rsid w:val="00267F46"/>
    <w:pPr>
      <w:numPr>
        <w:numId w:val="3"/>
      </w:numPr>
      <w:spacing w:before="80"/>
    </w:pPr>
  </w:style>
  <w:style w:type="paragraph" w:customStyle="1" w:styleId="FindingNoTitle">
    <w:name w:val="Finding NoTitle"/>
    <w:basedOn w:val="Finding"/>
    <w:rsid w:val="00267F46"/>
    <w:pPr>
      <w:spacing w:before="240"/>
    </w:pPr>
  </w:style>
  <w:style w:type="paragraph" w:customStyle="1" w:styleId="RecTitle">
    <w:name w:val="Rec Title"/>
    <w:basedOn w:val="BodyText"/>
    <w:next w:val="Normal"/>
    <w:rsid w:val="00267F46"/>
    <w:pPr>
      <w:keepNext/>
      <w:keepLines/>
    </w:pPr>
    <w:rPr>
      <w:caps/>
      <w:sz w:val="20"/>
    </w:rPr>
  </w:style>
  <w:style w:type="paragraph" w:customStyle="1" w:styleId="FindingTitle">
    <w:name w:val="Finding Title"/>
    <w:basedOn w:val="RecTitle"/>
    <w:next w:val="Finding"/>
    <w:rsid w:val="00267F46"/>
    <w:pPr>
      <w:framePr w:wrap="notBeside" w:hAnchor="text"/>
    </w:pPr>
  </w:style>
  <w:style w:type="character" w:styleId="FootnoteReference">
    <w:name w:val="footnote reference"/>
    <w:basedOn w:val="DefaultParagraphFont"/>
    <w:semiHidden/>
    <w:rsid w:val="00267F46"/>
    <w:rPr>
      <w:rFonts w:ascii="Times New Roman" w:hAnsi="Times New Roman"/>
      <w:position w:val="6"/>
      <w:sz w:val="22"/>
      <w:vertAlign w:val="baseline"/>
    </w:rPr>
  </w:style>
  <w:style w:type="paragraph" w:styleId="FootnoteText">
    <w:name w:val="footnote text"/>
    <w:basedOn w:val="BodyText"/>
    <w:link w:val="FootnoteTextChar"/>
    <w:rsid w:val="00267F46"/>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267F46"/>
    <w:pPr>
      <w:spacing w:before="360" w:after="120"/>
    </w:pPr>
    <w:rPr>
      <w:rFonts w:ascii="Arial" w:hAnsi="Arial"/>
      <w:sz w:val="24"/>
    </w:rPr>
  </w:style>
  <w:style w:type="paragraph" w:customStyle="1" w:styleId="Jurisdictioncommentsbodytext">
    <w:name w:val="Jurisdiction comments body text"/>
    <w:rsid w:val="00267F46"/>
    <w:pPr>
      <w:spacing w:after="140"/>
      <w:jc w:val="both"/>
    </w:pPr>
    <w:rPr>
      <w:rFonts w:ascii="Arial" w:hAnsi="Arial"/>
      <w:sz w:val="24"/>
      <w:lang w:eastAsia="en-US"/>
    </w:rPr>
  </w:style>
  <w:style w:type="paragraph" w:customStyle="1" w:styleId="Jurisdictioncommentsheading">
    <w:name w:val="Jurisdiction comments heading"/>
    <w:rsid w:val="00267F46"/>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267F46"/>
    <w:pPr>
      <w:numPr>
        <w:numId w:val="4"/>
      </w:numPr>
      <w:spacing w:after="140"/>
      <w:jc w:val="both"/>
    </w:pPr>
    <w:rPr>
      <w:rFonts w:ascii="Arial" w:hAnsi="Arial"/>
      <w:sz w:val="24"/>
      <w:lang w:eastAsia="en-US"/>
    </w:rPr>
  </w:style>
  <w:style w:type="paragraph" w:styleId="ListBullet">
    <w:name w:val="List Bullet"/>
    <w:basedOn w:val="BodyText"/>
    <w:rsid w:val="00267F46"/>
    <w:pPr>
      <w:numPr>
        <w:numId w:val="6"/>
      </w:numPr>
      <w:spacing w:before="120"/>
    </w:pPr>
  </w:style>
  <w:style w:type="paragraph" w:styleId="ListBullet2">
    <w:name w:val="List Bullet 2"/>
    <w:basedOn w:val="BodyText"/>
    <w:rsid w:val="00267F46"/>
    <w:pPr>
      <w:numPr>
        <w:numId w:val="8"/>
      </w:numPr>
      <w:spacing w:before="120"/>
    </w:pPr>
  </w:style>
  <w:style w:type="paragraph" w:styleId="ListBullet3">
    <w:name w:val="List Bullet 3"/>
    <w:basedOn w:val="BodyText"/>
    <w:rsid w:val="00267F46"/>
    <w:pPr>
      <w:numPr>
        <w:numId w:val="10"/>
      </w:numPr>
      <w:spacing w:before="120"/>
    </w:pPr>
  </w:style>
  <w:style w:type="paragraph" w:styleId="ListNumber">
    <w:name w:val="List Number"/>
    <w:basedOn w:val="BodyText"/>
    <w:rsid w:val="00267F46"/>
    <w:pPr>
      <w:numPr>
        <w:numId w:val="32"/>
      </w:numPr>
      <w:spacing w:before="120"/>
    </w:pPr>
  </w:style>
  <w:style w:type="paragraph" w:styleId="ListNumber2">
    <w:name w:val="List Number 2"/>
    <w:basedOn w:val="ListNumber"/>
    <w:rsid w:val="00267F46"/>
    <w:pPr>
      <w:numPr>
        <w:ilvl w:val="1"/>
      </w:numPr>
    </w:pPr>
  </w:style>
  <w:style w:type="paragraph" w:styleId="ListNumber3">
    <w:name w:val="List Number 3"/>
    <w:basedOn w:val="ListNumber2"/>
    <w:rsid w:val="00267F46"/>
    <w:pPr>
      <w:numPr>
        <w:ilvl w:val="2"/>
      </w:numPr>
    </w:pPr>
  </w:style>
  <w:style w:type="character" w:customStyle="1" w:styleId="NoteLabel">
    <w:name w:val="Note Label"/>
    <w:basedOn w:val="DefaultParagraphFont"/>
    <w:rsid w:val="00267F46"/>
    <w:rPr>
      <w:rFonts w:ascii="Arial" w:hAnsi="Arial"/>
      <w:b/>
      <w:position w:val="6"/>
      <w:sz w:val="18"/>
    </w:rPr>
  </w:style>
  <w:style w:type="paragraph" w:customStyle="1" w:styleId="PartDivider">
    <w:name w:val="Part Divider"/>
    <w:basedOn w:val="BodyText"/>
    <w:next w:val="BodyText"/>
    <w:semiHidden/>
    <w:rsid w:val="00267F46"/>
    <w:pPr>
      <w:spacing w:before="0" w:line="40" w:lineRule="exact"/>
      <w:jc w:val="right"/>
    </w:pPr>
    <w:rPr>
      <w:smallCaps/>
      <w:sz w:val="16"/>
    </w:rPr>
  </w:style>
  <w:style w:type="paragraph" w:customStyle="1" w:styleId="PartNumber">
    <w:name w:val="Part Number"/>
    <w:basedOn w:val="BodyText"/>
    <w:next w:val="BodyText"/>
    <w:semiHidden/>
    <w:rsid w:val="00267F46"/>
    <w:pPr>
      <w:spacing w:before="4000" w:line="320" w:lineRule="exact"/>
      <w:ind w:left="6634"/>
      <w:jc w:val="right"/>
    </w:pPr>
    <w:rPr>
      <w:smallCaps/>
      <w:spacing w:val="60"/>
      <w:sz w:val="32"/>
    </w:rPr>
  </w:style>
  <w:style w:type="paragraph" w:customStyle="1" w:styleId="PartTitle">
    <w:name w:val="Part Title"/>
    <w:basedOn w:val="BodyText"/>
    <w:semiHidden/>
    <w:rsid w:val="00267F46"/>
    <w:pPr>
      <w:spacing w:before="160" w:after="1360" w:line="520" w:lineRule="exact"/>
      <w:ind w:right="2381"/>
      <w:jc w:val="right"/>
    </w:pPr>
    <w:rPr>
      <w:smallCaps/>
      <w:sz w:val="52"/>
    </w:rPr>
  </w:style>
  <w:style w:type="paragraph" w:styleId="Quote">
    <w:name w:val="Quote"/>
    <w:basedOn w:val="BodyText"/>
    <w:next w:val="BodyText"/>
    <w:link w:val="QuoteChar"/>
    <w:qFormat/>
    <w:rsid w:val="00267F46"/>
    <w:pPr>
      <w:spacing w:before="120" w:line="280" w:lineRule="exact"/>
      <w:ind w:left="340"/>
    </w:pPr>
    <w:rPr>
      <w:sz w:val="24"/>
    </w:rPr>
  </w:style>
  <w:style w:type="paragraph" w:customStyle="1" w:styleId="QuoteBullet">
    <w:name w:val="Quote Bullet"/>
    <w:basedOn w:val="Quote"/>
    <w:rsid w:val="00267F46"/>
    <w:pPr>
      <w:numPr>
        <w:numId w:val="14"/>
      </w:numPr>
    </w:pPr>
  </w:style>
  <w:style w:type="paragraph" w:customStyle="1" w:styleId="Rec">
    <w:name w:val="Rec"/>
    <w:basedOn w:val="BodyText"/>
    <w:rsid w:val="00267F46"/>
    <w:pPr>
      <w:keepLines/>
      <w:spacing w:before="180"/>
    </w:pPr>
    <w:rPr>
      <w:b/>
      <w:i/>
    </w:rPr>
  </w:style>
  <w:style w:type="paragraph" w:customStyle="1" w:styleId="RecBullet">
    <w:name w:val="Rec Bullet"/>
    <w:basedOn w:val="Rec"/>
    <w:rsid w:val="00267F46"/>
    <w:pPr>
      <w:numPr>
        <w:numId w:val="15"/>
      </w:numPr>
      <w:spacing w:before="80"/>
    </w:pPr>
  </w:style>
  <w:style w:type="paragraph" w:customStyle="1" w:styleId="RecB">
    <w:name w:val="RecB"/>
    <w:basedOn w:val="Normal"/>
    <w:rsid w:val="00267F46"/>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267F46"/>
    <w:pPr>
      <w:numPr>
        <w:numId w:val="16"/>
      </w:numPr>
      <w:spacing w:before="80"/>
    </w:pPr>
  </w:style>
  <w:style w:type="paragraph" w:customStyle="1" w:styleId="RecBNoTitle">
    <w:name w:val="RecB NoTitle"/>
    <w:basedOn w:val="RecB"/>
    <w:rsid w:val="00267F46"/>
    <w:pPr>
      <w:spacing w:before="240"/>
    </w:pPr>
  </w:style>
  <w:style w:type="paragraph" w:customStyle="1" w:styleId="Reference">
    <w:name w:val="Reference"/>
    <w:basedOn w:val="BodyText"/>
    <w:rsid w:val="00267F46"/>
    <w:pPr>
      <w:spacing w:before="120"/>
      <w:ind w:left="340" w:hanging="340"/>
    </w:pPr>
  </w:style>
  <w:style w:type="paragraph" w:customStyle="1" w:styleId="SequenceInfo">
    <w:name w:val="Sequence Info"/>
    <w:basedOn w:val="BodyText"/>
    <w:semiHidden/>
    <w:rsid w:val="00267F46"/>
    <w:rPr>
      <w:vanish/>
      <w:sz w:val="16"/>
    </w:rPr>
  </w:style>
  <w:style w:type="paragraph" w:customStyle="1" w:styleId="SideNote">
    <w:name w:val="Side Note"/>
    <w:basedOn w:val="BodyText"/>
    <w:next w:val="BodyText"/>
    <w:semiHidden/>
    <w:rsid w:val="00267F46"/>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267F46"/>
    <w:pPr>
      <w:framePr w:wrap="around"/>
      <w:numPr>
        <w:numId w:val="17"/>
      </w:numPr>
      <w:tabs>
        <w:tab w:val="left" w:pos="227"/>
      </w:tabs>
    </w:pPr>
  </w:style>
  <w:style w:type="paragraph" w:customStyle="1" w:styleId="SideNoteGraphic">
    <w:name w:val="Side Note Graphic"/>
    <w:basedOn w:val="SideNote"/>
    <w:next w:val="BodyText"/>
    <w:semiHidden/>
    <w:rsid w:val="00267F46"/>
    <w:pPr>
      <w:framePr w:wrap="around"/>
    </w:pPr>
  </w:style>
  <w:style w:type="paragraph" w:customStyle="1" w:styleId="TableBodyText">
    <w:name w:val="Table Body Text"/>
    <w:basedOn w:val="BodyText"/>
    <w:rsid w:val="00267F46"/>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267F46"/>
    <w:pPr>
      <w:numPr>
        <w:numId w:val="18"/>
      </w:numPr>
      <w:jc w:val="left"/>
    </w:pPr>
  </w:style>
  <w:style w:type="paragraph" w:customStyle="1" w:styleId="TableColumnHeading">
    <w:name w:val="Table Column Heading"/>
    <w:basedOn w:val="TableBodyText"/>
    <w:rsid w:val="00267F46"/>
    <w:pPr>
      <w:spacing w:before="80" w:after="80"/>
    </w:pPr>
    <w:rPr>
      <w:i/>
    </w:rPr>
  </w:style>
  <w:style w:type="paragraph" w:styleId="TOC2">
    <w:name w:val="toc 2"/>
    <w:basedOn w:val="BodyText"/>
    <w:semiHidden/>
    <w:rsid w:val="00267F46"/>
    <w:pPr>
      <w:tabs>
        <w:tab w:val="right" w:pos="8789"/>
      </w:tabs>
      <w:ind w:left="510" w:right="851" w:hanging="510"/>
      <w:jc w:val="left"/>
    </w:pPr>
    <w:rPr>
      <w:b/>
    </w:rPr>
  </w:style>
  <w:style w:type="paragraph" w:styleId="TOC3">
    <w:name w:val="toc 3"/>
    <w:basedOn w:val="TOC2"/>
    <w:semiHidden/>
    <w:rsid w:val="00267F46"/>
    <w:pPr>
      <w:spacing w:before="60"/>
      <w:ind w:left="1190" w:hanging="680"/>
    </w:pPr>
    <w:rPr>
      <w:b w:val="0"/>
    </w:rPr>
  </w:style>
  <w:style w:type="paragraph" w:styleId="TableofFigures">
    <w:name w:val="table of figures"/>
    <w:basedOn w:val="TOC3"/>
    <w:next w:val="BodyText"/>
    <w:semiHidden/>
    <w:rsid w:val="00267F46"/>
    <w:pPr>
      <w:ind w:left="737" w:hanging="737"/>
    </w:pPr>
  </w:style>
  <w:style w:type="paragraph" w:customStyle="1" w:styleId="TableTitle">
    <w:name w:val="Table Title"/>
    <w:basedOn w:val="Caption"/>
    <w:next w:val="Subtitle"/>
    <w:rsid w:val="00267F46"/>
    <w:rPr>
      <w:sz w:val="24"/>
    </w:rPr>
  </w:style>
  <w:style w:type="paragraph" w:customStyle="1" w:styleId="TableUnitsRow">
    <w:name w:val="Table Units Row"/>
    <w:basedOn w:val="TableBodyText"/>
    <w:rsid w:val="00267F46"/>
    <w:pPr>
      <w:spacing w:before="80" w:after="80"/>
    </w:pPr>
  </w:style>
  <w:style w:type="paragraph" w:styleId="TOC1">
    <w:name w:val="toc 1"/>
    <w:basedOn w:val="Normal"/>
    <w:next w:val="TOC2"/>
    <w:semiHidden/>
    <w:rsid w:val="00267F46"/>
    <w:pPr>
      <w:tabs>
        <w:tab w:val="right" w:pos="8789"/>
      </w:tabs>
      <w:spacing w:before="480" w:after="60" w:line="320" w:lineRule="exact"/>
      <w:ind w:left="1191" w:right="851" w:hanging="1191"/>
    </w:pPr>
    <w:rPr>
      <w:b/>
      <w:caps/>
    </w:rPr>
  </w:style>
  <w:style w:type="paragraph" w:styleId="TOC4">
    <w:name w:val="toc 4"/>
    <w:basedOn w:val="TOC3"/>
    <w:semiHidden/>
    <w:rsid w:val="00267F46"/>
    <w:pPr>
      <w:ind w:left="1191" w:firstLine="0"/>
    </w:pPr>
  </w:style>
  <w:style w:type="paragraph" w:customStyle="1" w:styleId="RecBBullet2">
    <w:name w:val="RecB Bullet 2"/>
    <w:basedOn w:val="ListBullet2"/>
    <w:rsid w:val="00267F46"/>
    <w:pPr>
      <w:pBdr>
        <w:left w:val="single" w:sz="24" w:space="29" w:color="C0C0C0"/>
      </w:pBdr>
    </w:pPr>
    <w:rPr>
      <w:b/>
      <w:i/>
    </w:rPr>
  </w:style>
  <w:style w:type="paragraph" w:styleId="BalloonText">
    <w:name w:val="Balloon Text"/>
    <w:basedOn w:val="Normal"/>
    <w:link w:val="BalloonTextChar"/>
    <w:rsid w:val="00267F46"/>
    <w:rPr>
      <w:rFonts w:ascii="Tahoma" w:hAnsi="Tahoma" w:cs="Tahoma"/>
      <w:sz w:val="16"/>
      <w:szCs w:val="16"/>
    </w:rPr>
  </w:style>
  <w:style w:type="character" w:customStyle="1" w:styleId="BalloonTextChar">
    <w:name w:val="Balloon Text Char"/>
    <w:basedOn w:val="DefaultParagraphFont"/>
    <w:link w:val="BalloonText"/>
    <w:rsid w:val="00267F46"/>
    <w:rPr>
      <w:rFonts w:ascii="Tahoma" w:hAnsi="Tahoma" w:cs="Tahoma"/>
      <w:sz w:val="16"/>
      <w:szCs w:val="16"/>
    </w:rPr>
  </w:style>
  <w:style w:type="character" w:customStyle="1" w:styleId="SubtitleChar">
    <w:name w:val="Subtitle Char"/>
    <w:basedOn w:val="DefaultParagraphFont"/>
    <w:link w:val="Subtitle"/>
    <w:rsid w:val="00267F46"/>
    <w:rPr>
      <w:rFonts w:ascii="Arial" w:hAnsi="Arial"/>
      <w:szCs w:val="24"/>
    </w:rPr>
  </w:style>
  <w:style w:type="paragraph" w:customStyle="1" w:styleId="BoxListBullet3">
    <w:name w:val="Box List Bullet 3"/>
    <w:basedOn w:val="ListBullet3"/>
    <w:rsid w:val="00267F46"/>
    <w:pPr>
      <w:numPr>
        <w:numId w:val="50"/>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267F46"/>
    <w:rPr>
      <w:i/>
      <w:iCs/>
    </w:rPr>
  </w:style>
  <w:style w:type="character" w:customStyle="1" w:styleId="BoxListBullet2Char">
    <w:name w:val="Box List Bullet 2 Char"/>
    <w:basedOn w:val="DefaultParagraphFont"/>
    <w:link w:val="BoxListBullet2"/>
    <w:rsid w:val="00F03AF6"/>
    <w:rPr>
      <w:rFonts w:ascii="Arial" w:hAnsi="Arial"/>
      <w:sz w:val="22"/>
    </w:rPr>
  </w:style>
  <w:style w:type="character" w:customStyle="1" w:styleId="BodyTextChar">
    <w:name w:val="Body Text Char"/>
    <w:basedOn w:val="DefaultParagraphFont"/>
    <w:link w:val="BodyText"/>
    <w:rsid w:val="00BB3B92"/>
    <w:rPr>
      <w:sz w:val="26"/>
    </w:rPr>
  </w:style>
  <w:style w:type="paragraph" w:styleId="EndnoteText">
    <w:name w:val="endnote text"/>
    <w:basedOn w:val="Normal"/>
    <w:link w:val="EndnoteTextChar"/>
    <w:rsid w:val="00CC06D6"/>
    <w:rPr>
      <w:sz w:val="20"/>
      <w:szCs w:val="20"/>
    </w:rPr>
  </w:style>
  <w:style w:type="character" w:customStyle="1" w:styleId="EndnoteTextChar">
    <w:name w:val="Endnote Text Char"/>
    <w:basedOn w:val="DefaultParagraphFont"/>
    <w:link w:val="EndnoteText"/>
    <w:rsid w:val="00CC06D6"/>
  </w:style>
  <w:style w:type="character" w:styleId="EndnoteReference">
    <w:name w:val="endnote reference"/>
    <w:basedOn w:val="DefaultParagraphFont"/>
    <w:rsid w:val="00CC06D6"/>
    <w:rPr>
      <w:vertAlign w:val="superscript"/>
    </w:rPr>
  </w:style>
  <w:style w:type="character" w:styleId="Hyperlink">
    <w:name w:val="Hyperlink"/>
    <w:basedOn w:val="DefaultParagraphFont"/>
    <w:rsid w:val="007163F6"/>
    <w:rPr>
      <w:color w:val="0000FF" w:themeColor="hyperlink"/>
      <w:u w:val="single"/>
    </w:rPr>
  </w:style>
  <w:style w:type="paragraph" w:styleId="CommentSubject">
    <w:name w:val="annotation subject"/>
    <w:basedOn w:val="CommentText"/>
    <w:next w:val="CommentText"/>
    <w:link w:val="CommentSubjectChar"/>
    <w:rsid w:val="00C813E8"/>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C813E8"/>
    <w:rPr>
      <w:szCs w:val="24"/>
    </w:rPr>
  </w:style>
  <w:style w:type="character" w:customStyle="1" w:styleId="CommentSubjectChar">
    <w:name w:val="Comment Subject Char"/>
    <w:basedOn w:val="CommentTextChar"/>
    <w:link w:val="CommentSubject"/>
    <w:rsid w:val="00C813E8"/>
    <w:rPr>
      <w:b/>
      <w:bCs/>
      <w:szCs w:val="24"/>
    </w:rPr>
  </w:style>
  <w:style w:type="character" w:customStyle="1" w:styleId="QuoteChar">
    <w:name w:val="Quote Char"/>
    <w:basedOn w:val="DefaultParagraphFont"/>
    <w:link w:val="Quote"/>
    <w:rsid w:val="00B360EE"/>
    <w:rPr>
      <w:sz w:val="24"/>
    </w:rPr>
  </w:style>
  <w:style w:type="character" w:customStyle="1" w:styleId="Heading3Char">
    <w:name w:val="Heading 3 Char"/>
    <w:basedOn w:val="DefaultParagraphFont"/>
    <w:link w:val="Heading3"/>
    <w:rsid w:val="00543363"/>
    <w:rPr>
      <w:rFonts w:ascii="Arial" w:hAnsi="Arial"/>
      <w:b/>
      <w:sz w:val="26"/>
    </w:rPr>
  </w:style>
  <w:style w:type="paragraph" w:customStyle="1" w:styleId="BoxQuoteBullet">
    <w:name w:val="Box Quote Bullet"/>
    <w:basedOn w:val="BoxQuote"/>
    <w:next w:val="Box"/>
    <w:rsid w:val="00267F46"/>
    <w:pPr>
      <w:numPr>
        <w:numId w:val="48"/>
      </w:numPr>
      <w:ind w:left="568" w:hanging="284"/>
    </w:pPr>
  </w:style>
  <w:style w:type="paragraph" w:customStyle="1" w:styleId="InformationRequestBullet">
    <w:name w:val="Information Request Bullet"/>
    <w:basedOn w:val="ListBullet"/>
    <w:next w:val="BodyText"/>
    <w:rsid w:val="00267F46"/>
    <w:pPr>
      <w:numPr>
        <w:numId w:val="49"/>
      </w:numPr>
      <w:ind w:left="340" w:hanging="340"/>
    </w:pPr>
    <w:rPr>
      <w:rFonts w:ascii="Arial" w:hAnsi="Arial"/>
      <w:i/>
      <w:sz w:val="24"/>
    </w:rPr>
  </w:style>
  <w:style w:type="paragraph" w:customStyle="1" w:styleId="BoxSpaceAbove">
    <w:name w:val="Box Space Above"/>
    <w:basedOn w:val="BodyText"/>
    <w:rsid w:val="00267F46"/>
    <w:pPr>
      <w:keepNext/>
      <w:spacing w:before="360" w:line="80" w:lineRule="exact"/>
      <w:jc w:val="left"/>
    </w:pPr>
  </w:style>
  <w:style w:type="paragraph" w:customStyle="1" w:styleId="BoxSpaceBelow">
    <w:name w:val="Box Space Below"/>
    <w:basedOn w:val="Box"/>
    <w:rsid w:val="00267F46"/>
    <w:pPr>
      <w:keepNext w:val="0"/>
      <w:spacing w:before="60" w:after="60" w:line="80" w:lineRule="exact"/>
    </w:pPr>
    <w:rPr>
      <w:sz w:val="14"/>
    </w:rPr>
  </w:style>
  <w:style w:type="paragraph" w:styleId="Revision">
    <w:name w:val="Revision"/>
    <w:hidden/>
    <w:uiPriority w:val="99"/>
    <w:semiHidden/>
    <w:rsid w:val="003635BB"/>
    <w:rPr>
      <w:sz w:val="26"/>
      <w:szCs w:val="24"/>
    </w:rPr>
  </w:style>
  <w:style w:type="character" w:customStyle="1" w:styleId="Heading4Char">
    <w:name w:val="Heading 4 Char"/>
    <w:basedOn w:val="DefaultParagraphFont"/>
    <w:link w:val="Heading4"/>
    <w:rsid w:val="00E441CE"/>
    <w:rPr>
      <w:rFonts w:ascii="Arial" w:hAnsi="Arial"/>
      <w:i/>
      <w:sz w:val="24"/>
    </w:rPr>
  </w:style>
  <w:style w:type="table" w:styleId="TableGrid">
    <w:name w:val="Table Grid"/>
    <w:basedOn w:val="TableNormal"/>
    <w:rsid w:val="00FE2F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5C6784"/>
    <w:rPr>
      <w:rFonts w:ascii="Arial" w:hAnsi="Arial"/>
      <w:b/>
      <w:sz w:val="32"/>
    </w:rPr>
  </w:style>
  <w:style w:type="character" w:customStyle="1" w:styleId="FooterChar">
    <w:name w:val="Footer Char"/>
    <w:basedOn w:val="DefaultParagraphFont"/>
    <w:link w:val="Footer"/>
    <w:semiHidden/>
    <w:rsid w:val="005C6784"/>
    <w:rPr>
      <w:caps/>
      <w:spacing w:val="-4"/>
      <w:sz w:val="16"/>
    </w:rPr>
  </w:style>
  <w:style w:type="character" w:customStyle="1" w:styleId="FootnoteTextChar">
    <w:name w:val="Footnote Text Char"/>
    <w:basedOn w:val="DefaultParagraphFont"/>
    <w:link w:val="FootnoteText"/>
    <w:rsid w:val="00BE5A27"/>
    <w:rPr>
      <w:sz w:val="22"/>
    </w:rPr>
  </w:style>
  <w:style w:type="character" w:customStyle="1" w:styleId="HeaderChar">
    <w:name w:val="Header Char"/>
    <w:basedOn w:val="DefaultParagraphFont"/>
    <w:link w:val="Header"/>
    <w:rsid w:val="00F341D2"/>
    <w:rPr>
      <w:rFonts w:ascii="Arial" w:hAnsi="Arial"/>
      <w:cap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67325">
      <w:bodyDiv w:val="1"/>
      <w:marLeft w:val="0"/>
      <w:marRight w:val="0"/>
      <w:marTop w:val="0"/>
      <w:marBottom w:val="0"/>
      <w:divBdr>
        <w:top w:val="none" w:sz="0" w:space="0" w:color="auto"/>
        <w:left w:val="none" w:sz="0" w:space="0" w:color="auto"/>
        <w:bottom w:val="none" w:sz="0" w:space="0" w:color="auto"/>
        <w:right w:val="none" w:sz="0" w:space="0" w:color="auto"/>
      </w:divBdr>
    </w:div>
    <w:div w:id="171379014">
      <w:bodyDiv w:val="1"/>
      <w:marLeft w:val="0"/>
      <w:marRight w:val="0"/>
      <w:marTop w:val="0"/>
      <w:marBottom w:val="0"/>
      <w:divBdr>
        <w:top w:val="none" w:sz="0" w:space="0" w:color="auto"/>
        <w:left w:val="none" w:sz="0" w:space="0" w:color="auto"/>
        <w:bottom w:val="none" w:sz="0" w:space="0" w:color="auto"/>
        <w:right w:val="none" w:sz="0" w:space="0" w:color="auto"/>
      </w:divBdr>
    </w:div>
    <w:div w:id="513999248">
      <w:bodyDiv w:val="1"/>
      <w:marLeft w:val="0"/>
      <w:marRight w:val="0"/>
      <w:marTop w:val="0"/>
      <w:marBottom w:val="0"/>
      <w:divBdr>
        <w:top w:val="none" w:sz="0" w:space="0" w:color="auto"/>
        <w:left w:val="none" w:sz="0" w:space="0" w:color="auto"/>
        <w:bottom w:val="none" w:sz="0" w:space="0" w:color="auto"/>
        <w:right w:val="none" w:sz="0" w:space="0" w:color="auto"/>
      </w:divBdr>
    </w:div>
    <w:div w:id="962351056">
      <w:bodyDiv w:val="1"/>
      <w:marLeft w:val="0"/>
      <w:marRight w:val="0"/>
      <w:marTop w:val="0"/>
      <w:marBottom w:val="0"/>
      <w:divBdr>
        <w:top w:val="none" w:sz="0" w:space="0" w:color="auto"/>
        <w:left w:val="none" w:sz="0" w:space="0" w:color="auto"/>
        <w:bottom w:val="none" w:sz="0" w:space="0" w:color="auto"/>
        <w:right w:val="none" w:sz="0" w:space="0" w:color="auto"/>
      </w:divBdr>
    </w:div>
    <w:div w:id="126133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73DF-D4EB-4B30-9CB4-954F271B2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36</Pages>
  <Words>11492</Words>
  <Characters>61765</Characters>
  <Application>Microsoft Office Word</Application>
  <DocSecurity>0</DocSecurity>
  <Lines>514</Lines>
  <Paragraphs>146</Paragraphs>
  <ScaleCrop>false</ScaleCrop>
  <HeadingPairs>
    <vt:vector size="2" baseType="variant">
      <vt:variant>
        <vt:lpstr>Title</vt:lpstr>
      </vt:variant>
      <vt:variant>
        <vt:i4>1</vt:i4>
      </vt:variant>
    </vt:vector>
  </HeadingPairs>
  <TitlesOfParts>
    <vt:vector size="1" baseType="lpstr">
      <vt:lpstr>The extent of disadvantage in Australia</vt:lpstr>
    </vt:vector>
  </TitlesOfParts>
  <Company>Productivity Commission</Company>
  <LinksUpToDate>false</LinksUpToDate>
  <CharactersWithSpaces>73111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extent of disadvantage in Australia</dc:title>
  <dc:subject>Deep and persistent disadvantage</dc:subject>
  <dc:creator>Productivity Commission</dc:creator>
  <dc:description>3.</dc:description>
  <cp:lastModifiedBy>Productivity Commission</cp:lastModifiedBy>
  <cp:revision>2</cp:revision>
  <cp:lastPrinted>2013-07-16T23:27:00Z</cp:lastPrinted>
  <dcterms:created xsi:type="dcterms:W3CDTF">2013-07-17T00:59:00Z</dcterms:created>
  <dcterms:modified xsi:type="dcterms:W3CDTF">2013-07-17T00:59:00Z</dcterms:modified>
</cp:coreProperties>
</file>