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B35021" w:rsidP="00B35021">
      <w:pPr>
        <w:pStyle w:val="Heading1"/>
        <w:spacing w:before="0"/>
      </w:pPr>
      <w:bookmarkStart w:id="0" w:name="ChapterNumber"/>
      <w:bookmarkStart w:id="1" w:name="_GoBack"/>
      <w:bookmarkEnd w:id="1"/>
      <w:r>
        <w:t>6</w:t>
      </w:r>
      <w:bookmarkEnd w:id="0"/>
      <w:r>
        <w:tab/>
      </w:r>
      <w:bookmarkStart w:id="2" w:name="ChapterTitle"/>
      <w:r>
        <w:t xml:space="preserve">Where to from here? – </w:t>
      </w:r>
      <w:r w:rsidR="00504516">
        <w:t>m</w:t>
      </w:r>
      <w:r>
        <w:t>easurement and data issues</w:t>
      </w:r>
      <w:bookmarkEnd w:id="2"/>
    </w:p>
    <w:p w:rsidR="00D05ADB" w:rsidRDefault="00D05ADB">
      <w:pPr>
        <w:pStyle w:val="BoxSpaceAbove"/>
      </w:pPr>
      <w:bookmarkStart w:id="3" w:name="begin"/>
      <w:bookmarkEnd w:id="3"/>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D05ADB">
        <w:tc>
          <w:tcPr>
            <w:tcW w:w="8771" w:type="dxa"/>
            <w:tcBorders>
              <w:top w:val="single" w:sz="6" w:space="0" w:color="auto"/>
              <w:bottom w:val="nil"/>
            </w:tcBorders>
          </w:tcPr>
          <w:p w:rsidR="00D05ADB" w:rsidRDefault="00D05ADB" w:rsidP="00D05ADB">
            <w:pPr>
              <w:pStyle w:val="BoxTitle"/>
            </w:pPr>
            <w:r>
              <w:t>Key points</w:t>
            </w:r>
          </w:p>
        </w:tc>
      </w:tr>
      <w:tr w:rsidR="00D05ADB">
        <w:trPr>
          <w:cantSplit/>
        </w:trPr>
        <w:tc>
          <w:tcPr>
            <w:tcW w:w="8771" w:type="dxa"/>
            <w:tcBorders>
              <w:top w:val="nil"/>
              <w:left w:val="single" w:sz="6" w:space="0" w:color="auto"/>
              <w:bottom w:val="nil"/>
              <w:right w:val="single" w:sz="6" w:space="0" w:color="auto"/>
            </w:tcBorders>
          </w:tcPr>
          <w:p w:rsidR="002A0CD3" w:rsidRDefault="00C04490" w:rsidP="002D02C5">
            <w:pPr>
              <w:pStyle w:val="BoxListBullet"/>
            </w:pPr>
            <w:r>
              <w:t xml:space="preserve">While there is general agreement that </w:t>
            </w:r>
            <w:r w:rsidR="009F5402">
              <w:t xml:space="preserve">disadvantage </w:t>
            </w:r>
            <w:r>
              <w:t xml:space="preserve">is a multi-dimensional </w:t>
            </w:r>
            <w:r w:rsidR="00EC7809">
              <w:t>conc</w:t>
            </w:r>
            <w:r w:rsidR="008A0C82">
              <w:t xml:space="preserve">ept, researchers differ on how it should be </w:t>
            </w:r>
            <w:r w:rsidR="00EC7809">
              <w:t>define</w:t>
            </w:r>
            <w:r w:rsidR="008A0C82">
              <w:t>d</w:t>
            </w:r>
            <w:r w:rsidR="00EC7809">
              <w:t xml:space="preserve"> and measure</w:t>
            </w:r>
            <w:r w:rsidR="008A0C82">
              <w:t xml:space="preserve">d. </w:t>
            </w:r>
            <w:r w:rsidR="00EC7809">
              <w:t xml:space="preserve">And, </w:t>
            </w:r>
            <w:r w:rsidR="002A0CD3">
              <w:t>there are challenges associated with multi-dimensional measures:</w:t>
            </w:r>
          </w:p>
          <w:p w:rsidR="002A0CD3" w:rsidRDefault="00B90957" w:rsidP="002A0CD3">
            <w:pPr>
              <w:pStyle w:val="BoxListBullet2"/>
            </w:pPr>
            <w:r>
              <w:t xml:space="preserve">measuring the </w:t>
            </w:r>
            <w:r w:rsidR="00EC7809">
              <w:t xml:space="preserve">personal and social </w:t>
            </w:r>
            <w:r w:rsidR="002A0CD3">
              <w:t>di</w:t>
            </w:r>
            <w:r>
              <w:t xml:space="preserve">mensions of disadvantage is </w:t>
            </w:r>
            <w:r w:rsidR="00EC7809">
              <w:t xml:space="preserve">complex </w:t>
            </w:r>
          </w:p>
          <w:p w:rsidR="002A0CD3" w:rsidRDefault="002A0CD3" w:rsidP="002A0CD3">
            <w:pPr>
              <w:pStyle w:val="BoxListBullet2"/>
            </w:pPr>
            <w:r>
              <w:t xml:space="preserve">while a single multi-dimensional </w:t>
            </w:r>
            <w:r w:rsidR="009B39CA">
              <w:t xml:space="preserve">measure </w:t>
            </w:r>
            <w:r w:rsidR="0066625A">
              <w:t xml:space="preserve">is </w:t>
            </w:r>
            <w:r>
              <w:t xml:space="preserve">useful for comparative headline analysis, </w:t>
            </w:r>
            <w:r w:rsidR="00EC7809">
              <w:t xml:space="preserve">it can mask </w:t>
            </w:r>
            <w:r w:rsidR="00B90957">
              <w:t xml:space="preserve">changes in specific </w:t>
            </w:r>
            <w:r w:rsidR="0066625A">
              <w:t>indic</w:t>
            </w:r>
            <w:r w:rsidR="00E01470">
              <w:t>a</w:t>
            </w:r>
            <w:r w:rsidR="0066625A">
              <w:t xml:space="preserve">tors </w:t>
            </w:r>
            <w:r w:rsidR="00B90957">
              <w:t>or domains</w:t>
            </w:r>
            <w:r w:rsidR="00EC7809">
              <w:t xml:space="preserve">. </w:t>
            </w:r>
            <w:r>
              <w:t>A ‘dashboard’ of indicators</w:t>
            </w:r>
            <w:r w:rsidR="00EC7809">
              <w:t xml:space="preserve"> is more difficult to interpret, but </w:t>
            </w:r>
            <w:r w:rsidR="001867BA">
              <w:t xml:space="preserve">can </w:t>
            </w:r>
            <w:r w:rsidR="00EC7809">
              <w:t xml:space="preserve">provide </w:t>
            </w:r>
            <w:r w:rsidR="001867BA">
              <w:t>policy</w:t>
            </w:r>
            <w:r w:rsidR="00504516">
              <w:noBreakHyphen/>
            </w:r>
            <w:r w:rsidR="001867BA">
              <w:t xml:space="preserve">relevant </w:t>
            </w:r>
            <w:r w:rsidR="00EC7809">
              <w:t>information</w:t>
            </w:r>
          </w:p>
          <w:p w:rsidR="001406AD" w:rsidRDefault="002A0CD3" w:rsidP="002A0CD3">
            <w:pPr>
              <w:pStyle w:val="BoxListBullet2"/>
            </w:pPr>
            <w:r>
              <w:t>the weighting given to particular questions or domains</w:t>
            </w:r>
            <w:r w:rsidR="00691672">
              <w:t>,</w:t>
            </w:r>
            <w:r>
              <w:t xml:space="preserve"> </w:t>
            </w:r>
            <w:r w:rsidR="00B90957">
              <w:t>when ca</w:t>
            </w:r>
            <w:r>
              <w:t>lculat</w:t>
            </w:r>
            <w:r w:rsidR="00B90957">
              <w:t xml:space="preserve">ing </w:t>
            </w:r>
            <w:r>
              <w:t xml:space="preserve">a single multi-dimensional </w:t>
            </w:r>
            <w:r w:rsidR="009B39CA">
              <w:t>measure</w:t>
            </w:r>
            <w:r w:rsidR="001867BA">
              <w:t>,</w:t>
            </w:r>
            <w:r w:rsidR="009B39CA">
              <w:t xml:space="preserve"> </w:t>
            </w:r>
            <w:r>
              <w:t xml:space="preserve">is a matter </w:t>
            </w:r>
            <w:r w:rsidR="00AD132F">
              <w:t>o</w:t>
            </w:r>
            <w:r>
              <w:t>f judgment</w:t>
            </w:r>
            <w:r w:rsidR="001867BA">
              <w:t>. D</w:t>
            </w:r>
            <w:r w:rsidR="0047513C">
              <w:t xml:space="preserve">ifferent approaches </w:t>
            </w:r>
            <w:r w:rsidR="001867BA">
              <w:t xml:space="preserve">and thresholds </w:t>
            </w:r>
            <w:r w:rsidR="00B90957">
              <w:t xml:space="preserve">can lead to different conclusions about </w:t>
            </w:r>
            <w:r w:rsidR="0066625A">
              <w:t xml:space="preserve">‘who’ is disadvantaged and </w:t>
            </w:r>
            <w:r w:rsidR="00B90957">
              <w:t xml:space="preserve">the </w:t>
            </w:r>
            <w:r w:rsidR="003946B3">
              <w:t xml:space="preserve">extent, depth and persistence </w:t>
            </w:r>
            <w:r w:rsidR="00B90957">
              <w:t xml:space="preserve">of disadvantage. </w:t>
            </w:r>
          </w:p>
          <w:p w:rsidR="001867BA" w:rsidRDefault="001867BA" w:rsidP="001867BA">
            <w:pPr>
              <w:pStyle w:val="BoxListBullet"/>
            </w:pPr>
            <w:r>
              <w:t>These challenges point to the importance of clarity and transparency about the judgments used in measuring disadvantage.</w:t>
            </w:r>
          </w:p>
          <w:p w:rsidR="007045CE" w:rsidRDefault="001867BA" w:rsidP="002D02C5">
            <w:pPr>
              <w:pStyle w:val="BoxListBullet"/>
            </w:pPr>
            <w:r>
              <w:t xml:space="preserve">Gaps in the evidence base limit what is known about deep and persistent disadvantage. </w:t>
            </w:r>
            <w:r w:rsidR="009820A8">
              <w:t>While l</w:t>
            </w:r>
            <w:r w:rsidR="002D02C5">
              <w:t xml:space="preserve">ongitudinal data is critical to </w:t>
            </w:r>
            <w:r w:rsidR="001C61EF">
              <w:t xml:space="preserve">understanding </w:t>
            </w:r>
            <w:r>
              <w:t xml:space="preserve">the dynamics of </w:t>
            </w:r>
            <w:r w:rsidR="001C61EF">
              <w:t>disadvantage</w:t>
            </w:r>
            <w:r>
              <w:t xml:space="preserve">, </w:t>
            </w:r>
            <w:r w:rsidR="00F35F61">
              <w:t>g</w:t>
            </w:r>
            <w:r w:rsidR="00EF13C1">
              <w:t xml:space="preserve">ood data </w:t>
            </w:r>
            <w:r w:rsidR="00691672">
              <w:t xml:space="preserve">which </w:t>
            </w:r>
            <w:r w:rsidR="002D02C5">
              <w:t>follow</w:t>
            </w:r>
            <w:r w:rsidR="00691672">
              <w:t xml:space="preserve">s </w:t>
            </w:r>
            <w:r w:rsidR="002D02C5">
              <w:t>people through the course of their lifetime</w:t>
            </w:r>
            <w:r w:rsidR="003946B3">
              <w:t xml:space="preserve"> and across generations</w:t>
            </w:r>
            <w:r w:rsidR="00EF13C1">
              <w:t xml:space="preserve"> </w:t>
            </w:r>
            <w:r w:rsidR="002D02C5">
              <w:t>takes time to amass</w:t>
            </w:r>
            <w:r w:rsidR="009509A2">
              <w:t xml:space="preserve"> — Australia’s datasets cover a relatively short period of time. </w:t>
            </w:r>
          </w:p>
          <w:p w:rsidR="002D02C5" w:rsidRDefault="009509A2" w:rsidP="002D02C5">
            <w:pPr>
              <w:pStyle w:val="BoxListBullet"/>
            </w:pPr>
            <w:r>
              <w:t>People who are m</w:t>
            </w:r>
            <w:r w:rsidR="002D02C5">
              <w:t xml:space="preserve">ost disadvantaged are </w:t>
            </w:r>
            <w:r w:rsidR="00EF13C1">
              <w:t>often not well represented in longitudinal studies</w:t>
            </w:r>
            <w:r w:rsidR="008A0C82">
              <w:t>. S</w:t>
            </w:r>
            <w:r w:rsidR="00CF7803">
              <w:t xml:space="preserve">ome of the most vulnerable are </w:t>
            </w:r>
            <w:r>
              <w:t xml:space="preserve">often </w:t>
            </w:r>
            <w:r w:rsidR="00CF7803">
              <w:t>excluded (</w:t>
            </w:r>
            <w:r w:rsidR="0047513C">
              <w:t xml:space="preserve">such as </w:t>
            </w:r>
            <w:r w:rsidR="00CF7803">
              <w:t>homeless</w:t>
            </w:r>
            <w:r w:rsidR="008A0C82">
              <w:t xml:space="preserve"> people</w:t>
            </w:r>
            <w:r w:rsidR="0047513C">
              <w:t xml:space="preserve">). </w:t>
            </w:r>
            <w:r w:rsidR="00EF13C1">
              <w:t>The</w:t>
            </w:r>
            <w:r w:rsidR="009820A8">
              <w:t xml:space="preserve"> most vulnerable </w:t>
            </w:r>
            <w:r w:rsidR="00EF13C1">
              <w:t xml:space="preserve">are </w:t>
            </w:r>
            <w:r w:rsidR="0047513C">
              <w:t xml:space="preserve">also </w:t>
            </w:r>
            <w:r w:rsidR="00EF13C1">
              <w:t xml:space="preserve">among the least likely to </w:t>
            </w:r>
            <w:r w:rsidR="002D02C5">
              <w:t>participate</w:t>
            </w:r>
            <w:r>
              <w:t xml:space="preserve">, and, if participating, </w:t>
            </w:r>
            <w:r w:rsidR="0047513C">
              <w:t xml:space="preserve">among </w:t>
            </w:r>
            <w:r w:rsidR="00EF13C1">
              <w:t xml:space="preserve">the </w:t>
            </w:r>
            <w:r w:rsidR="002D02C5">
              <w:t xml:space="preserve">most likely to drop out over time. </w:t>
            </w:r>
            <w:r>
              <w:t>Options for improving the representation of disadvantaged groups include</w:t>
            </w:r>
            <w:r w:rsidR="003135BE">
              <w:t>:</w:t>
            </w:r>
            <w:r>
              <w:t xml:space="preserve"> increasing the overall sample size</w:t>
            </w:r>
            <w:r w:rsidR="006451BF">
              <w:t>;</w:t>
            </w:r>
            <w:r>
              <w:t xml:space="preserve"> oversampling</w:t>
            </w:r>
            <w:r w:rsidR="00691672">
              <w:t xml:space="preserve"> certain groups</w:t>
            </w:r>
            <w:r w:rsidR="003135BE">
              <w:t>;</w:t>
            </w:r>
            <w:r>
              <w:t xml:space="preserve"> </w:t>
            </w:r>
            <w:r w:rsidR="00617395">
              <w:t xml:space="preserve">and </w:t>
            </w:r>
            <w:r w:rsidR="002D02C5">
              <w:t>conduct</w:t>
            </w:r>
            <w:r>
              <w:t>ing</w:t>
            </w:r>
            <w:r w:rsidR="002D02C5">
              <w:t xml:space="preserve"> special</w:t>
            </w:r>
            <w:r w:rsidR="00CF7803">
              <w:t>ised</w:t>
            </w:r>
            <w:r w:rsidR="002D02C5">
              <w:t xml:space="preserve"> surveys of ‘at risk’ groups. </w:t>
            </w:r>
          </w:p>
          <w:p w:rsidR="002D02C5" w:rsidRDefault="002D02C5" w:rsidP="007045CE">
            <w:pPr>
              <w:pStyle w:val="BoxListBullet"/>
            </w:pPr>
            <w:r>
              <w:t xml:space="preserve">Administrative data is </w:t>
            </w:r>
            <w:r w:rsidR="009509A2">
              <w:t xml:space="preserve">an important </w:t>
            </w:r>
            <w:r w:rsidR="003946B3">
              <w:t xml:space="preserve">potential </w:t>
            </w:r>
            <w:r>
              <w:t>source</w:t>
            </w:r>
            <w:r w:rsidR="009509A2">
              <w:t xml:space="preserve"> </w:t>
            </w:r>
            <w:r w:rsidR="00691672">
              <w:t>of information</w:t>
            </w:r>
            <w:r w:rsidR="003B0274">
              <w:t xml:space="preserve"> </w:t>
            </w:r>
            <w:r w:rsidR="00E64EE2">
              <w:t xml:space="preserve">on the circumstances and life courses of Australians </w:t>
            </w:r>
            <w:r w:rsidR="003B0274">
              <w:t>experiencing disadvantage</w:t>
            </w:r>
            <w:r w:rsidR="00B6322B">
              <w:t>, but it is not readily accessible to researchers.</w:t>
            </w:r>
            <w:r w:rsidR="00691672">
              <w:t xml:space="preserve"> </w:t>
            </w:r>
            <w:r w:rsidR="00B6322B">
              <w:t>P</w:t>
            </w:r>
            <w:r w:rsidR="003946B3">
              <w:t>rivacy concerns limit data a</w:t>
            </w:r>
            <w:r w:rsidR="00F531F2">
              <w:t>ccessibility</w:t>
            </w:r>
            <w:r w:rsidR="00B6322B">
              <w:t xml:space="preserve"> and the </w:t>
            </w:r>
            <w:r w:rsidR="009B39CA">
              <w:t xml:space="preserve">data </w:t>
            </w:r>
            <w:r w:rsidR="00B6322B">
              <w:t xml:space="preserve">is oriented to administrative needs which limits the scope of analysis. </w:t>
            </w:r>
          </w:p>
          <w:p w:rsidR="007045CE" w:rsidRDefault="007045CE" w:rsidP="00E64EE2">
            <w:pPr>
              <w:pStyle w:val="BoxListBullet"/>
            </w:pPr>
            <w:r>
              <w:t>The integration of administrati</w:t>
            </w:r>
            <w:r w:rsidR="005E2210">
              <w:t>ve</w:t>
            </w:r>
            <w:r>
              <w:t xml:space="preserve"> data with other data sources has the potential to provide new knowledge to inform researchers and policy makers about deep and persistent disadvantage. </w:t>
            </w:r>
            <w:r w:rsidR="002D02C5">
              <w:t>A number of data integration projects are currently underway</w:t>
            </w:r>
            <w:r w:rsidR="00E64EE2">
              <w:t xml:space="preserve">. </w:t>
            </w:r>
            <w:r w:rsidR="000A51D4">
              <w:t xml:space="preserve">These projects will be important </w:t>
            </w:r>
            <w:r w:rsidR="008A0C82">
              <w:t xml:space="preserve">for </w:t>
            </w:r>
            <w:r w:rsidR="002D02C5">
              <w:t xml:space="preserve">the </w:t>
            </w:r>
            <w:r w:rsidR="009B39CA">
              <w:t xml:space="preserve">expansion of research </w:t>
            </w:r>
            <w:r w:rsidR="008A0C82">
              <w:t xml:space="preserve">in this area. </w:t>
            </w:r>
          </w:p>
        </w:tc>
      </w:tr>
      <w:tr w:rsidR="00D05ADB">
        <w:trPr>
          <w:cantSplit/>
        </w:trPr>
        <w:tc>
          <w:tcPr>
            <w:tcW w:w="8771" w:type="dxa"/>
            <w:tcBorders>
              <w:top w:val="nil"/>
              <w:left w:val="single" w:sz="6" w:space="0" w:color="auto"/>
              <w:bottom w:val="single" w:sz="6" w:space="0" w:color="auto"/>
              <w:right w:val="single" w:sz="6" w:space="0" w:color="auto"/>
            </w:tcBorders>
          </w:tcPr>
          <w:p w:rsidR="00D05ADB" w:rsidRDefault="00D05ADB">
            <w:pPr>
              <w:pStyle w:val="Box"/>
              <w:spacing w:before="0" w:line="120" w:lineRule="exact"/>
            </w:pPr>
          </w:p>
        </w:tc>
      </w:tr>
      <w:tr w:rsidR="00D05ADB" w:rsidRPr="000863A5">
        <w:tc>
          <w:tcPr>
            <w:tcW w:w="8771" w:type="dxa"/>
            <w:tcBorders>
              <w:top w:val="nil"/>
              <w:left w:val="nil"/>
              <w:bottom w:val="nil"/>
              <w:right w:val="nil"/>
            </w:tcBorders>
          </w:tcPr>
          <w:p w:rsidR="00D05ADB" w:rsidRPr="00626D32" w:rsidRDefault="00D05ADB" w:rsidP="00C54670">
            <w:pPr>
              <w:pStyle w:val="BoxSpaceBelow"/>
            </w:pPr>
          </w:p>
        </w:tc>
      </w:tr>
    </w:tbl>
    <w:p w:rsidR="00C03C67" w:rsidRDefault="00C03C67" w:rsidP="00120072">
      <w:pPr>
        <w:pStyle w:val="BodyText"/>
      </w:pPr>
      <w:r>
        <w:lastRenderedPageBreak/>
        <w:t xml:space="preserve">As </w:t>
      </w:r>
      <w:r w:rsidR="00AB6BE7">
        <w:t xml:space="preserve">discussed in earlier chapters of this report, </w:t>
      </w:r>
      <w:r>
        <w:t xml:space="preserve">there are </w:t>
      </w:r>
      <w:r w:rsidR="000A51D4">
        <w:t xml:space="preserve">several </w:t>
      </w:r>
      <w:r>
        <w:t xml:space="preserve">ways in which disadvantage is understood and measured in Australia. There is no single indictor of disadvantage, but rather </w:t>
      </w:r>
      <w:r w:rsidR="00112425">
        <w:t xml:space="preserve">a range of </w:t>
      </w:r>
      <w:r>
        <w:t xml:space="preserve">estimates of the </w:t>
      </w:r>
      <w:r w:rsidR="009820A8">
        <w:t xml:space="preserve">prevalence </w:t>
      </w:r>
      <w:r>
        <w:t>and extent of disadvantage based on different conceptions and calculation methods. Section 6.1 looks at where there is consensus</w:t>
      </w:r>
      <w:r w:rsidR="00AB6BE7">
        <w:t xml:space="preserve"> (and contention) </w:t>
      </w:r>
      <w:r>
        <w:t xml:space="preserve">on the nature of disadvantage and the role the different measures play in understanding disadvantage. </w:t>
      </w:r>
    </w:p>
    <w:p w:rsidR="003D1301" w:rsidRDefault="00C03C67" w:rsidP="003D1301">
      <w:pPr>
        <w:pStyle w:val="BodyText"/>
      </w:pPr>
      <w:r>
        <w:t xml:space="preserve">Another key finding of this report is that </w:t>
      </w:r>
      <w:r w:rsidR="003D1301">
        <w:t xml:space="preserve">gaps in the evidence base limit </w:t>
      </w:r>
      <w:r w:rsidR="00AB6BE7">
        <w:t xml:space="preserve">what </w:t>
      </w:r>
      <w:r w:rsidR="00293F75">
        <w:t xml:space="preserve">is </w:t>
      </w:r>
      <w:r w:rsidR="00AB6BE7">
        <w:t>know</w:t>
      </w:r>
      <w:r w:rsidR="00293F75">
        <w:t xml:space="preserve">n </w:t>
      </w:r>
      <w:r w:rsidR="00AB6BE7">
        <w:t xml:space="preserve">about </w:t>
      </w:r>
      <w:r w:rsidR="003D1301">
        <w:t xml:space="preserve">deep and persistent disadvantage. Many questions remain unanswered about why some people at risk of disadvantage are </w:t>
      </w:r>
      <w:r w:rsidR="000A51D4">
        <w:t xml:space="preserve">resilient and </w:t>
      </w:r>
      <w:r w:rsidR="003D1301">
        <w:t xml:space="preserve">able to improve their situation while others continue to be disadvantaged or become </w:t>
      </w:r>
      <w:r w:rsidR="00AB6BE7">
        <w:t xml:space="preserve">more deeply disadvantaged. </w:t>
      </w:r>
      <w:r w:rsidR="003D1301">
        <w:t xml:space="preserve">Inadequacies in the data limit what </w:t>
      </w:r>
      <w:r w:rsidR="008C07BD">
        <w:t xml:space="preserve">is </w:t>
      </w:r>
      <w:r w:rsidR="003D1301">
        <w:t>know</w:t>
      </w:r>
      <w:r w:rsidR="008C07BD">
        <w:t>n</w:t>
      </w:r>
      <w:r w:rsidR="003D1301">
        <w:t xml:space="preserve"> about the causal effects and pathways that result in deep and persistent disadvantage. </w:t>
      </w:r>
    </w:p>
    <w:p w:rsidR="00843CF0" w:rsidRDefault="003D1301" w:rsidP="00120072">
      <w:pPr>
        <w:pStyle w:val="BodyText"/>
      </w:pPr>
      <w:r>
        <w:t xml:space="preserve">The chapter discusses the </w:t>
      </w:r>
      <w:r w:rsidR="00843CF0">
        <w:t xml:space="preserve">main information gaps and </w:t>
      </w:r>
      <w:r w:rsidR="00293F75">
        <w:t xml:space="preserve">the </w:t>
      </w:r>
      <w:r>
        <w:t xml:space="preserve">opportunities for improving </w:t>
      </w:r>
      <w:r w:rsidR="00843CF0">
        <w:t xml:space="preserve">the availability of quality </w:t>
      </w:r>
      <w:r w:rsidR="00617395">
        <w:t xml:space="preserve">data </w:t>
      </w:r>
      <w:r w:rsidR="00843CF0">
        <w:t xml:space="preserve">for measuring and understanding deep and persistent disadvantage. </w:t>
      </w:r>
      <w:r>
        <w:t xml:space="preserve">The </w:t>
      </w:r>
      <w:r w:rsidR="008C07BD">
        <w:t xml:space="preserve">importance </w:t>
      </w:r>
      <w:r>
        <w:t xml:space="preserve">of longitudinal data for enriching the </w:t>
      </w:r>
      <w:r w:rsidR="00AB6BE7">
        <w:t xml:space="preserve">knowledge </w:t>
      </w:r>
      <w:r>
        <w:t>base on deep and persistent disadvantage and social mobility is discussed in section 6.</w:t>
      </w:r>
      <w:r w:rsidR="00AB6BE7">
        <w:t>2</w:t>
      </w:r>
      <w:r>
        <w:t xml:space="preserve">. </w:t>
      </w:r>
      <w:r w:rsidR="00AB6BE7">
        <w:t>Section 6.3 looks at a</w:t>
      </w:r>
      <w:r>
        <w:t xml:space="preserve">dministrative datasets </w:t>
      </w:r>
      <w:r w:rsidR="00AB6BE7">
        <w:t>as an</w:t>
      </w:r>
      <w:r w:rsidR="008C07BD">
        <w:t xml:space="preserve"> important</w:t>
      </w:r>
      <w:r w:rsidR="00AB6BE7">
        <w:t xml:space="preserve"> potential source of information.</w:t>
      </w:r>
      <w:r w:rsidR="001D06A0">
        <w:t xml:space="preserve"> </w:t>
      </w:r>
    </w:p>
    <w:p w:rsidR="00BC67A6" w:rsidRDefault="00B35021" w:rsidP="00FC05F8">
      <w:pPr>
        <w:pStyle w:val="Heading2"/>
      </w:pPr>
      <w:r>
        <w:t>6.</w:t>
      </w:r>
      <w:r w:rsidR="00C61950">
        <w:rPr>
          <w:noProof/>
        </w:rPr>
        <w:t>1</w:t>
      </w:r>
      <w:r w:rsidR="00BC67A6">
        <w:tab/>
      </w:r>
      <w:r w:rsidR="000A51D4">
        <w:t xml:space="preserve">Issues underlying the </w:t>
      </w:r>
      <w:r w:rsidR="00A115CE">
        <w:t>different measures of disadvantage</w:t>
      </w:r>
    </w:p>
    <w:p w:rsidR="000413D0" w:rsidRDefault="000413D0" w:rsidP="000413D0">
      <w:pPr>
        <w:pStyle w:val="BodyText"/>
      </w:pPr>
      <w:r>
        <w:t>As discussed earlier in this report, the concept of disadvantage is contested. Gordon (2006) said:</w:t>
      </w:r>
    </w:p>
    <w:p w:rsidR="000413D0" w:rsidRDefault="000413D0" w:rsidP="000413D0">
      <w:pPr>
        <w:pStyle w:val="Quote"/>
      </w:pPr>
      <w:r>
        <w:t>It often seems that if you put five academics (or policy makers) in a room you would get at least six different definitions of poverty. The literature on poverty is full of controversies, implying that there are considerable differences in opinion on how poverty should be defined and measured. Many, possibly most, of these controversies arise from a misunderstanding of the differences between definition and measurement. (p. 32)</w:t>
      </w:r>
    </w:p>
    <w:p w:rsidR="00A115CE" w:rsidRDefault="000413D0" w:rsidP="00112425">
      <w:pPr>
        <w:pStyle w:val="BodyText"/>
      </w:pPr>
      <w:r>
        <w:t xml:space="preserve">On the measurement side, however, there is </w:t>
      </w:r>
      <w:r w:rsidR="00F12613">
        <w:t xml:space="preserve">general consensus that while </w:t>
      </w:r>
      <w:r w:rsidR="00112425">
        <w:t xml:space="preserve">static </w:t>
      </w:r>
      <w:r w:rsidR="00F12613">
        <w:t>money</w:t>
      </w:r>
      <w:r w:rsidR="009820A8">
        <w:noBreakHyphen/>
      </w:r>
      <w:r w:rsidR="00F12613">
        <w:t xml:space="preserve">metric measures of </w:t>
      </w:r>
      <w:r w:rsidR="00927AA8">
        <w:t xml:space="preserve">disadvantage </w:t>
      </w:r>
      <w:r w:rsidR="00F12613">
        <w:t xml:space="preserve">(based on either income or consumption) are useful and relatively easy to measure, </w:t>
      </w:r>
      <w:r w:rsidR="00927AA8">
        <w:t xml:space="preserve">they </w:t>
      </w:r>
      <w:r w:rsidR="003E0C2B">
        <w:t>have well</w:t>
      </w:r>
      <w:r w:rsidR="009820A8">
        <w:noBreakHyphen/>
      </w:r>
      <w:r w:rsidR="003E0C2B">
        <w:t xml:space="preserve">known limitations, including </w:t>
      </w:r>
      <w:r w:rsidR="005F105F">
        <w:t xml:space="preserve">that they are a partial measure and they </w:t>
      </w:r>
      <w:r w:rsidR="00927AA8">
        <w:t xml:space="preserve">fail to capture the dynamic nature of disadvantage </w:t>
      </w:r>
      <w:r w:rsidR="00D001DE">
        <w:t>(</w:t>
      </w:r>
      <w:r w:rsidR="005F105F">
        <w:t xml:space="preserve">chapter 2). </w:t>
      </w:r>
      <w:r w:rsidR="00830C5F">
        <w:t>While a series of cross</w:t>
      </w:r>
      <w:r w:rsidR="009820A8">
        <w:noBreakHyphen/>
      </w:r>
      <w:r w:rsidR="00830C5F">
        <w:t xml:space="preserve">sectional </w:t>
      </w:r>
      <w:r w:rsidR="005F105F">
        <w:t xml:space="preserve">income </w:t>
      </w:r>
      <w:r w:rsidR="00830C5F">
        <w:t xml:space="preserve">data </w:t>
      </w:r>
      <w:r w:rsidR="008C07BD">
        <w:t xml:space="preserve">can generally </w:t>
      </w:r>
      <w:r w:rsidR="00830C5F">
        <w:t xml:space="preserve">establish the </w:t>
      </w:r>
      <w:r w:rsidR="00D47299">
        <w:t xml:space="preserve">prevalence </w:t>
      </w:r>
      <w:r w:rsidR="00830C5F">
        <w:t>of income poverty</w:t>
      </w:r>
      <w:r w:rsidR="005F105F">
        <w:t>,</w:t>
      </w:r>
      <w:r w:rsidR="00830C5F">
        <w:t xml:space="preserve"> it does not shed any light on the depth or persistence of disadvantage or </w:t>
      </w:r>
      <w:r w:rsidR="008C07BD">
        <w:t xml:space="preserve">on </w:t>
      </w:r>
      <w:r w:rsidR="00830C5F">
        <w:t xml:space="preserve">causality. </w:t>
      </w:r>
      <w:r w:rsidR="00927AA8">
        <w:t xml:space="preserve">As </w:t>
      </w:r>
      <w:r w:rsidR="009E4D86">
        <w:t xml:space="preserve">Cellini, McKernan and Ratcliffe </w:t>
      </w:r>
      <w:r w:rsidR="00112425">
        <w:t xml:space="preserve">(2008) </w:t>
      </w:r>
      <w:r w:rsidR="00C155E9">
        <w:t xml:space="preserve">put it: </w:t>
      </w:r>
    </w:p>
    <w:p w:rsidR="00112425" w:rsidRDefault="00112425" w:rsidP="00112425">
      <w:pPr>
        <w:pStyle w:val="Quote"/>
      </w:pPr>
      <w:r>
        <w:lastRenderedPageBreak/>
        <w:t>…</w:t>
      </w:r>
      <w:r w:rsidR="003135BE">
        <w:t xml:space="preserve"> </w:t>
      </w:r>
      <w:r>
        <w:t xml:space="preserve">studies of </w:t>
      </w:r>
      <w:r w:rsidR="00F4433B">
        <w:t xml:space="preserve">static </w:t>
      </w:r>
      <w:r>
        <w:t>poverty rates do not provide a complete picture of poverty</w:t>
      </w:r>
      <w:r w:rsidR="00C155E9">
        <w:t>. They do not reveal, for example, whether those in poverty last year remain in need or whether new individuals have fallen below the poverty threshold. Nor do they reveal how long individuals remain in poverty. (p. 578)</w:t>
      </w:r>
    </w:p>
    <w:p w:rsidR="00860CCF" w:rsidRDefault="00D001DE" w:rsidP="00A115CE">
      <w:pPr>
        <w:pStyle w:val="BodyText"/>
      </w:pPr>
      <w:r>
        <w:t>There is also general agreement that d</w:t>
      </w:r>
      <w:r w:rsidR="00F12613">
        <w:t>isadvantage is a multi</w:t>
      </w:r>
      <w:r w:rsidR="009820A8">
        <w:noBreakHyphen/>
      </w:r>
      <w:r w:rsidR="00F12613">
        <w:t xml:space="preserve">dimensional concept </w:t>
      </w:r>
      <w:r>
        <w:t xml:space="preserve">(encompassing not only material </w:t>
      </w:r>
      <w:r w:rsidR="0077429F">
        <w:t xml:space="preserve">standards of living </w:t>
      </w:r>
      <w:r>
        <w:t xml:space="preserve">but also less tangible aspects </w:t>
      </w:r>
      <w:r w:rsidR="0077429F">
        <w:t xml:space="preserve">of quality of life, </w:t>
      </w:r>
      <w:r>
        <w:t>such as social connections</w:t>
      </w:r>
      <w:r w:rsidR="00933F3F">
        <w:t xml:space="preserve"> and </w:t>
      </w:r>
      <w:r>
        <w:t xml:space="preserve">personal safety) and </w:t>
      </w:r>
      <w:r w:rsidR="000413D0">
        <w:t xml:space="preserve">that </w:t>
      </w:r>
      <w:r>
        <w:t xml:space="preserve">measures of disadvantage need to reflect this. </w:t>
      </w:r>
      <w:r w:rsidR="00860CCF">
        <w:t xml:space="preserve">As Nolan and Whelan (2011) said: </w:t>
      </w:r>
    </w:p>
    <w:p w:rsidR="00860CCF" w:rsidRDefault="00860CCF" w:rsidP="00860CCF">
      <w:pPr>
        <w:pStyle w:val="Quote"/>
      </w:pPr>
      <w:r>
        <w:t xml:space="preserve">... while conventional poverty measures based on low income provide a satisfactory way of identifying the poor, they do not tell us all we need to know about what it </w:t>
      </w:r>
      <w:r w:rsidRPr="00860CCF">
        <w:rPr>
          <w:i/>
        </w:rPr>
        <w:t xml:space="preserve">means </w:t>
      </w:r>
      <w:r>
        <w:t>to be poor. Non-monetary deprivation indicators can then play a central role in capturing and conveying the realities of the experience of poverty, bringing out concretely and graphically what it means to be poor in terms of deprivation of everyday items and activities. (p. 16)</w:t>
      </w:r>
    </w:p>
    <w:p w:rsidR="00112425" w:rsidRDefault="002C04C9" w:rsidP="00A115CE">
      <w:pPr>
        <w:pStyle w:val="BodyText"/>
      </w:pPr>
      <w:r>
        <w:t>But, there are challenges associated with measuring the non</w:t>
      </w:r>
      <w:r w:rsidR="009820A8">
        <w:noBreakHyphen/>
      </w:r>
      <w:r>
        <w:t>income and less tangible dimensions of disadvantage</w:t>
      </w:r>
      <w:r w:rsidR="00137B09">
        <w:t xml:space="preserve"> (chapter 5)</w:t>
      </w:r>
      <w:r>
        <w:t xml:space="preserve">. </w:t>
      </w:r>
    </w:p>
    <w:p w:rsidR="00E8580C" w:rsidRDefault="008A1289" w:rsidP="00A115CE">
      <w:pPr>
        <w:pStyle w:val="BodyText"/>
      </w:pPr>
      <w:r>
        <w:t>While a single multi</w:t>
      </w:r>
      <w:r w:rsidR="009820A8">
        <w:noBreakHyphen/>
      </w:r>
      <w:r>
        <w:t xml:space="preserve">dimensional </w:t>
      </w:r>
      <w:r w:rsidR="00933F3F">
        <w:t xml:space="preserve">measure </w:t>
      </w:r>
      <w:r w:rsidR="00E30C14">
        <w:t xml:space="preserve">or index </w:t>
      </w:r>
      <w:r w:rsidR="0062306A">
        <w:t xml:space="preserve">(such as the Social Exclusion Monitor) </w:t>
      </w:r>
      <w:r>
        <w:t xml:space="preserve">can be useful for comparative headline analysis, </w:t>
      </w:r>
      <w:r w:rsidR="00137B09">
        <w:t xml:space="preserve">the importance of changes in the different </w:t>
      </w:r>
      <w:r w:rsidR="0077429F">
        <w:t xml:space="preserve">underlying </w:t>
      </w:r>
      <w:r>
        <w:t xml:space="preserve">indicators </w:t>
      </w:r>
      <w:r w:rsidR="00137B09">
        <w:t>can be masked or overlooked. Another approach</w:t>
      </w:r>
      <w:r w:rsidR="0077429F">
        <w:t>,</w:t>
      </w:r>
      <w:r w:rsidR="00137B09">
        <w:t xml:space="preserve"> </w:t>
      </w:r>
      <w:r w:rsidR="008A0C82">
        <w:t xml:space="preserve">which can be useful for policy purposes, </w:t>
      </w:r>
      <w:r w:rsidR="00137B09">
        <w:t>is to p</w:t>
      </w:r>
      <w:r w:rsidR="0077429F">
        <w:t xml:space="preserve">ublish </w:t>
      </w:r>
      <w:r w:rsidR="00137B09">
        <w:t xml:space="preserve">the separate indicators that make up </w:t>
      </w:r>
      <w:r w:rsidR="00293F75">
        <w:t xml:space="preserve">a </w:t>
      </w:r>
      <w:r w:rsidR="00137B09">
        <w:t>multi</w:t>
      </w:r>
      <w:r w:rsidR="009820A8">
        <w:noBreakHyphen/>
      </w:r>
      <w:r w:rsidR="00137B09">
        <w:t xml:space="preserve">dimensional measure. </w:t>
      </w:r>
      <w:r w:rsidR="00120706">
        <w:t>That said, as noted by the Po</w:t>
      </w:r>
      <w:r w:rsidR="00504516">
        <w:t>verty</w:t>
      </w:r>
      <w:r w:rsidR="00120706">
        <w:t xml:space="preserve"> Analysis Group Discussion</w:t>
      </w:r>
      <w:r w:rsidR="005F105F">
        <w:t xml:space="preserve"> (2012)</w:t>
      </w:r>
      <w:r w:rsidR="00120706">
        <w:t xml:space="preserve">, </w:t>
      </w:r>
      <w:r w:rsidR="007B75B4">
        <w:t>dashboards (</w:t>
      </w:r>
      <w:r w:rsidR="00617395">
        <w:t xml:space="preserve">where a </w:t>
      </w:r>
      <w:r w:rsidR="007B75B4">
        <w:t xml:space="preserve">number of indicators that are tracked simultaneously but not brought together into a single index) take the focus away from a single construct, but </w:t>
      </w:r>
      <w:r w:rsidR="00120706">
        <w:t xml:space="preserve">‘a large dashboard’ of indicators can </w:t>
      </w:r>
      <w:r w:rsidR="007B75B4">
        <w:t xml:space="preserve">also </w:t>
      </w:r>
      <w:r w:rsidR="00120706">
        <w:t>be confusing</w:t>
      </w:r>
      <w:r w:rsidR="000413D0">
        <w:t xml:space="preserve">. A dashboard of indicators also </w:t>
      </w:r>
      <w:r w:rsidR="00E8580C">
        <w:t xml:space="preserve">does not </w:t>
      </w:r>
      <w:r w:rsidR="00120706">
        <w:t xml:space="preserve">make </w:t>
      </w:r>
      <w:r w:rsidR="009820A8">
        <w:t xml:space="preserve">weightings </w:t>
      </w:r>
      <w:r w:rsidR="00120706">
        <w:t xml:space="preserve">between the various dimensions explicit. </w:t>
      </w:r>
    </w:p>
    <w:p w:rsidR="00E8580C" w:rsidRDefault="00CF2AF6" w:rsidP="00E8580C">
      <w:pPr>
        <w:pStyle w:val="BodyText"/>
      </w:pPr>
      <w:r>
        <w:t xml:space="preserve">There are </w:t>
      </w:r>
      <w:r w:rsidR="0077429F">
        <w:t xml:space="preserve">various </w:t>
      </w:r>
      <w:r>
        <w:t>judgments involved in the measurement of disadvantage. For multi</w:t>
      </w:r>
      <w:r w:rsidR="009820A8">
        <w:noBreakHyphen/>
      </w:r>
      <w:r>
        <w:t xml:space="preserve">dimensional measures, judgments are made about </w:t>
      </w:r>
      <w:r w:rsidR="0077429F">
        <w:t xml:space="preserve">which </w:t>
      </w:r>
      <w:r>
        <w:t xml:space="preserve">indicators </w:t>
      </w:r>
      <w:r w:rsidR="0077429F">
        <w:t xml:space="preserve">should be </w:t>
      </w:r>
      <w:r>
        <w:t>include</w:t>
      </w:r>
      <w:r w:rsidR="0077429F">
        <w:t>d,</w:t>
      </w:r>
      <w:r>
        <w:t xml:space="preserve"> and their respective weightings. Different judgments can lead to different conclusions about the extent, depth and incidence of disadvantage</w:t>
      </w:r>
      <w:r w:rsidR="00B36E07">
        <w:t xml:space="preserve"> and the groups experiencing disadvantage</w:t>
      </w:r>
      <w:r>
        <w:t xml:space="preserve">. </w:t>
      </w:r>
      <w:r w:rsidR="008B740E">
        <w:t xml:space="preserve">Such </w:t>
      </w:r>
      <w:r w:rsidR="00E8580C">
        <w:t xml:space="preserve">judgments </w:t>
      </w:r>
      <w:r w:rsidR="008B740E">
        <w:t xml:space="preserve">should be </w:t>
      </w:r>
      <w:r w:rsidR="00E8580C">
        <w:t xml:space="preserve">informed by </w:t>
      </w:r>
      <w:r>
        <w:t xml:space="preserve">evidence about the importance of particular indicators for people’s </w:t>
      </w:r>
      <w:r w:rsidR="00E8580C">
        <w:t>wellbeing</w:t>
      </w:r>
      <w:r>
        <w:t xml:space="preserve"> as well as the value the community places on various aspects of disadvantage (for example, on being deprived of certain goods and services)</w:t>
      </w:r>
      <w:r w:rsidR="00E8580C">
        <w:t xml:space="preserve">. </w:t>
      </w:r>
      <w:r w:rsidR="008B740E">
        <w:t>But, e</w:t>
      </w:r>
      <w:r w:rsidR="00E8580C">
        <w:t xml:space="preserve">ven where particular survey questions, such as those for deprivation measures, are tested against the broader community views, the threshold for including particular indicators </w:t>
      </w:r>
      <w:r w:rsidR="008B740E">
        <w:t xml:space="preserve">remains a </w:t>
      </w:r>
      <w:r w:rsidR="00E8580C">
        <w:t>matter of judgment.</w:t>
      </w:r>
    </w:p>
    <w:p w:rsidR="008B740E" w:rsidRDefault="00CF2AF6" w:rsidP="008B740E">
      <w:pPr>
        <w:pStyle w:val="BodyText"/>
      </w:pPr>
      <w:r>
        <w:lastRenderedPageBreak/>
        <w:t xml:space="preserve">There are also judgments involved in calculating thresholds for the depth of disadvantage and the time that someone is disadvantaged before they are counted as ‘persistently’ disadvantaged. </w:t>
      </w:r>
      <w:r w:rsidR="008B740E">
        <w:t xml:space="preserve">Different thresholds result in different </w:t>
      </w:r>
      <w:r w:rsidR="00E01470">
        <w:t xml:space="preserve">estimates of the number and composition </w:t>
      </w:r>
      <w:r w:rsidR="009F1B6F">
        <w:t xml:space="preserve">of disadvantage. </w:t>
      </w:r>
      <w:r>
        <w:t xml:space="preserve">This is reflected in different poverty lines (for example, the use of a 50 or 60 per cent median </w:t>
      </w:r>
      <w:r w:rsidR="009820A8">
        <w:t xml:space="preserve">household </w:t>
      </w:r>
      <w:r>
        <w:t>income line</w:t>
      </w:r>
      <w:r w:rsidR="001A5621">
        <w:t xml:space="preserve">); different thresholds of deprivation (such as the number of items regarded as essential that are not affordable); and different thresholds for exclusion (such as between deep and very deep exclusion). </w:t>
      </w:r>
    </w:p>
    <w:p w:rsidR="00E30C14" w:rsidRDefault="009F1B6F" w:rsidP="001406AD">
      <w:pPr>
        <w:pStyle w:val="BodyText"/>
      </w:pPr>
      <w:r>
        <w:t xml:space="preserve">Linked to </w:t>
      </w:r>
      <w:r w:rsidR="00933F3F">
        <w:t xml:space="preserve">the issue of thresholds is the sensitivity of </w:t>
      </w:r>
      <w:r>
        <w:t xml:space="preserve">some of the indicators of disadvantage to relatively small changes in life circumstances. For example, if people are clustered around an income poverty threshold, small changes in the level of social security payments can lead to large changes in the number of people ‘counted’ as income poor. </w:t>
      </w:r>
      <w:r w:rsidR="00933F3F">
        <w:t>Threshold</w:t>
      </w:r>
      <w:r w:rsidR="00D41420">
        <w:t xml:space="preserve"> rates </w:t>
      </w:r>
      <w:r w:rsidR="00933F3F">
        <w:t xml:space="preserve">do not provide information about the </w:t>
      </w:r>
      <w:r w:rsidR="009820A8">
        <w:t xml:space="preserve">depth of poverty experienced </w:t>
      </w:r>
      <w:r w:rsidR="00933F3F">
        <w:t xml:space="preserve">below the threshold. </w:t>
      </w:r>
      <w:r w:rsidR="001406AD">
        <w:t xml:space="preserve">This suggests </w:t>
      </w:r>
      <w:r w:rsidR="0077429F">
        <w:t xml:space="preserve">that </w:t>
      </w:r>
      <w:r w:rsidR="001406AD">
        <w:t xml:space="preserve">caution </w:t>
      </w:r>
      <w:r w:rsidR="00F531F2">
        <w:t xml:space="preserve">should be exercised </w:t>
      </w:r>
      <w:r w:rsidR="00293F75">
        <w:t xml:space="preserve">when </w:t>
      </w:r>
      <w:r w:rsidR="001406AD">
        <w:t>using a single or limited number of measures for understanding the nature</w:t>
      </w:r>
      <w:r w:rsidR="0077429F">
        <w:t xml:space="preserve">, </w:t>
      </w:r>
      <w:r w:rsidR="001406AD">
        <w:t xml:space="preserve">extent </w:t>
      </w:r>
      <w:r w:rsidR="0077429F">
        <w:t xml:space="preserve">and duration </w:t>
      </w:r>
      <w:r w:rsidR="001406AD">
        <w:t xml:space="preserve">of disadvantage. </w:t>
      </w:r>
    </w:p>
    <w:p w:rsidR="00E30C14" w:rsidRDefault="0077429F" w:rsidP="001406AD">
      <w:pPr>
        <w:pStyle w:val="BodyText"/>
      </w:pPr>
      <w:r>
        <w:t>J</w:t>
      </w:r>
      <w:r w:rsidR="001A5621">
        <w:t xml:space="preserve">udgments </w:t>
      </w:r>
      <w:r>
        <w:t xml:space="preserve">underlying </w:t>
      </w:r>
      <w:r w:rsidR="001A5621">
        <w:t xml:space="preserve">the various measures should be transparent so that they can be considered and debated. </w:t>
      </w:r>
      <w:r>
        <w:t xml:space="preserve">The development of the measures should be strongly grounded on evidence </w:t>
      </w:r>
      <w:r w:rsidR="001A5621">
        <w:t xml:space="preserve">(and informed community discussion) of the effects of different aspects of disadvantage on individuals’ wellbeing. </w:t>
      </w:r>
      <w:r w:rsidR="00E30C14">
        <w:t xml:space="preserve">Multi-dimensional measures should be able to provide a better picture about how the different dimensions of disadvantage interact (and/or reinforce) one another. </w:t>
      </w:r>
    </w:p>
    <w:p w:rsidR="001406AD" w:rsidRDefault="001406AD" w:rsidP="00F85A61">
      <w:pPr>
        <w:pStyle w:val="BodyText"/>
        <w:tabs>
          <w:tab w:val="left" w:pos="6663"/>
        </w:tabs>
      </w:pPr>
      <w:r>
        <w:t>The P</w:t>
      </w:r>
      <w:r w:rsidR="00504516">
        <w:t>overty</w:t>
      </w:r>
      <w:r>
        <w:t xml:space="preserve"> Analysis Group Discussion (2012</w:t>
      </w:r>
      <w:r w:rsidR="00853B57">
        <w:t xml:space="preserve">, </w:t>
      </w:r>
      <w:r w:rsidR="00F85A61">
        <w:t>p</w:t>
      </w:r>
      <w:r w:rsidR="00853B57">
        <w:t>. 7</w:t>
      </w:r>
      <w:r>
        <w:t xml:space="preserve">) recently </w:t>
      </w:r>
      <w:r w:rsidR="00853B57">
        <w:t xml:space="preserve">stated that an approach which takes account of different theories ‘enriches the understanding and effectiveness of poverty analysis’. The Group also </w:t>
      </w:r>
      <w:r>
        <w:t xml:space="preserve">argued the need for continued investment in finding ways to better understand the nature of disadvantage: </w:t>
      </w:r>
    </w:p>
    <w:p w:rsidR="001406AD" w:rsidRDefault="001406AD" w:rsidP="001406AD">
      <w:pPr>
        <w:pStyle w:val="Quote"/>
      </w:pPr>
      <w:r w:rsidRPr="00D001DE">
        <w:t xml:space="preserve">Continued investment in approaches for better capturing the multi-dimensionality of poverty which are appropriate to different policy environments is therefore necessary </w:t>
      </w:r>
      <w:r>
        <w:t xml:space="preserve">— </w:t>
      </w:r>
      <w:r w:rsidRPr="00D001DE">
        <w:t>including combining qualitative and quantitative measures, listening to poor people’s own views on what indicators are important, developing new measures and metrics, and combining indicators.</w:t>
      </w:r>
      <w:r>
        <w:t xml:space="preserve"> (p. 5)</w:t>
      </w:r>
    </w:p>
    <w:p w:rsidR="009E1844" w:rsidRDefault="00B35021" w:rsidP="00FC05F8">
      <w:pPr>
        <w:pStyle w:val="Heading2"/>
      </w:pPr>
      <w:r>
        <w:t>6.</w:t>
      </w:r>
      <w:r w:rsidR="00C61950">
        <w:rPr>
          <w:noProof/>
        </w:rPr>
        <w:t>2</w:t>
      </w:r>
      <w:r w:rsidR="00FC05F8">
        <w:tab/>
      </w:r>
      <w:r w:rsidR="00120706">
        <w:t>L</w:t>
      </w:r>
      <w:r w:rsidR="000D673C">
        <w:t xml:space="preserve">ongitudinal </w:t>
      </w:r>
      <w:r w:rsidR="00293F75">
        <w:t xml:space="preserve">data </w:t>
      </w:r>
      <w:r w:rsidR="00120706">
        <w:t xml:space="preserve">— critical for </w:t>
      </w:r>
      <w:r w:rsidR="00D46A93">
        <w:t xml:space="preserve">understanding disadvantage </w:t>
      </w:r>
    </w:p>
    <w:p w:rsidR="005B07EB" w:rsidRDefault="000D673C" w:rsidP="00E74A07">
      <w:pPr>
        <w:pStyle w:val="BodyText"/>
      </w:pPr>
      <w:r>
        <w:t xml:space="preserve">Longitudinal data is critical to understanding </w:t>
      </w:r>
      <w:r w:rsidR="001A5621">
        <w:t xml:space="preserve">the </w:t>
      </w:r>
      <w:r w:rsidR="00120706">
        <w:t xml:space="preserve">dynamics and </w:t>
      </w:r>
      <w:r w:rsidR="00B75256">
        <w:t xml:space="preserve">possible causes (and effects) </w:t>
      </w:r>
      <w:r w:rsidR="001A5621">
        <w:t>of disadvantage</w:t>
      </w:r>
      <w:r w:rsidR="00120706">
        <w:t xml:space="preserve">. It </w:t>
      </w:r>
      <w:r w:rsidR="001A5621">
        <w:t xml:space="preserve">can </w:t>
      </w:r>
      <w:r w:rsidR="00120706">
        <w:t xml:space="preserve">provide information about income and consumption </w:t>
      </w:r>
      <w:r w:rsidR="001A5621">
        <w:t xml:space="preserve">(for individuals and households) </w:t>
      </w:r>
      <w:r w:rsidR="00120706">
        <w:t>over time</w:t>
      </w:r>
      <w:r w:rsidR="001A5621">
        <w:t xml:space="preserve">, as well as changes in other important </w:t>
      </w:r>
      <w:r w:rsidR="001A5621">
        <w:lastRenderedPageBreak/>
        <w:t>aspects of life such as education and employment, household formation, health status and social connections</w:t>
      </w:r>
      <w:r w:rsidR="00120706">
        <w:t>. It can provide insights into the factors which determine life-chances of children and social mobility</w:t>
      </w:r>
      <w:r w:rsidR="00F531F2">
        <w:t>,</w:t>
      </w:r>
      <w:r w:rsidR="00C04490">
        <w:t xml:space="preserve"> as well as contribute to </w:t>
      </w:r>
      <w:r w:rsidR="00293F75">
        <w:t xml:space="preserve">the knowledge base </w:t>
      </w:r>
      <w:r w:rsidR="00C04490">
        <w:t>about what works in terms of policy and why</w:t>
      </w:r>
      <w:r w:rsidR="00120706">
        <w:t xml:space="preserve">. </w:t>
      </w:r>
      <w:r w:rsidR="005B07EB">
        <w:t xml:space="preserve">Commenting on why </w:t>
      </w:r>
      <w:r w:rsidR="00D10842">
        <w:t xml:space="preserve">it is so important to have data on the same person over time, </w:t>
      </w:r>
      <w:r w:rsidR="005B07EB">
        <w:t>Scobie (200</w:t>
      </w:r>
      <w:r w:rsidR="001F2DBC">
        <w:t>9</w:t>
      </w:r>
      <w:r w:rsidR="005B07EB">
        <w:t xml:space="preserve">) said: </w:t>
      </w:r>
    </w:p>
    <w:p w:rsidR="005B07EB" w:rsidRDefault="005B07EB" w:rsidP="005B07EB">
      <w:pPr>
        <w:pStyle w:val="Quote"/>
      </w:pPr>
      <w:r>
        <w:t xml:space="preserve">Cross-sectional surveys of firms or individuals are plagued with the fact that so many of the things that matter are unobservable or at best captured by a weak proxy. </w:t>
      </w:r>
      <w:r w:rsidR="00D10842">
        <w:t xml:space="preserve">… </w:t>
      </w:r>
      <w:r>
        <w:t>By observing the same individual repeatedly through time, we can, under a weak assumption, control for the unobservables and have potentially more robust evidence. (p. 173)</w:t>
      </w:r>
    </w:p>
    <w:p w:rsidR="00B75256" w:rsidRDefault="00B75256" w:rsidP="00D10842">
      <w:pPr>
        <w:pStyle w:val="BodyText"/>
      </w:pPr>
      <w:r w:rsidRPr="00571DCD">
        <w:rPr>
          <w:i/>
        </w:rPr>
        <w:t xml:space="preserve">A Guide to Australian </w:t>
      </w:r>
      <w:r w:rsidR="00197896" w:rsidRPr="00571DCD">
        <w:rPr>
          <w:i/>
        </w:rPr>
        <w:t>L</w:t>
      </w:r>
      <w:r w:rsidRPr="00571DCD">
        <w:rPr>
          <w:i/>
        </w:rPr>
        <w:t xml:space="preserve">ongitudinal </w:t>
      </w:r>
      <w:r w:rsidR="00197896" w:rsidRPr="00571DCD">
        <w:rPr>
          <w:i/>
        </w:rPr>
        <w:t>S</w:t>
      </w:r>
      <w:r w:rsidRPr="00571DCD">
        <w:rPr>
          <w:i/>
        </w:rPr>
        <w:t>tudies</w:t>
      </w:r>
      <w:r>
        <w:t xml:space="preserve"> put out by </w:t>
      </w:r>
      <w:r w:rsidR="00571DCD">
        <w:t>the Department of Famil</w:t>
      </w:r>
      <w:r w:rsidR="00E76B39">
        <w:t>ies</w:t>
      </w:r>
      <w:r w:rsidR="00571DCD">
        <w:t>, Housing, Community Services and Indigenous Affairs (</w:t>
      </w:r>
      <w:r>
        <w:t>FaH</w:t>
      </w:r>
      <w:r w:rsidR="00A318EC">
        <w:t>C</w:t>
      </w:r>
      <w:r>
        <w:t xml:space="preserve">SIA </w:t>
      </w:r>
      <w:r w:rsidR="00571DCD">
        <w:t xml:space="preserve">2013) </w:t>
      </w:r>
      <w:r>
        <w:t xml:space="preserve">also said: </w:t>
      </w:r>
    </w:p>
    <w:p w:rsidR="00B75256" w:rsidRDefault="00B75256" w:rsidP="00B75256">
      <w:pPr>
        <w:pStyle w:val="Quote"/>
      </w:pPr>
      <w:r>
        <w:t>Longitudinal data allows decision-makers to go beyond describing the extent of a policy problem to develop some understanding of how and why problems occur and what is likely to help. It also enables identification of the consequences of problems. Because longitudinal data tracks individual pathways, it can show how different people respon</w:t>
      </w:r>
      <w:r w:rsidR="009820A8">
        <w:t xml:space="preserve">d </w:t>
      </w:r>
      <w:r>
        <w:t>to opportunities and setbacks, and how their responses and outcomes change in the short and long term. This provides policy-makers a breadth and depth of perspective — showing how circumstances and policy levers affect outcomes over time. (p. 10)</w:t>
      </w:r>
    </w:p>
    <w:p w:rsidR="00C155E9" w:rsidRDefault="00D10842" w:rsidP="00D10842">
      <w:pPr>
        <w:pStyle w:val="BodyText"/>
      </w:pPr>
      <w:r>
        <w:t xml:space="preserve">But good data </w:t>
      </w:r>
      <w:r w:rsidR="005F0054">
        <w:t xml:space="preserve">which </w:t>
      </w:r>
      <w:r>
        <w:t>follow</w:t>
      </w:r>
      <w:r w:rsidR="005F0054">
        <w:t xml:space="preserve">s </w:t>
      </w:r>
      <w:r>
        <w:t xml:space="preserve">people through the course of their lifetime, and </w:t>
      </w:r>
      <w:r w:rsidR="00136059">
        <w:t xml:space="preserve">particularly </w:t>
      </w:r>
      <w:r>
        <w:t xml:space="preserve">data </w:t>
      </w:r>
      <w:r w:rsidR="005F0054">
        <w:t xml:space="preserve">which </w:t>
      </w:r>
      <w:r>
        <w:t>cover</w:t>
      </w:r>
      <w:r w:rsidR="005F0054">
        <w:t xml:space="preserve">s </w:t>
      </w:r>
      <w:r>
        <w:t>generations, takes a considerable time to amass</w:t>
      </w:r>
      <w:r w:rsidR="00BA79E4">
        <w:t xml:space="preserve"> and </w:t>
      </w:r>
      <w:r w:rsidR="006451BF">
        <w:t xml:space="preserve">is </w:t>
      </w:r>
      <w:r w:rsidR="00BA79E4">
        <w:t>expensive to co</w:t>
      </w:r>
      <w:r w:rsidR="005F0054">
        <w:t xml:space="preserve">llect. </w:t>
      </w:r>
      <w:r w:rsidR="004272CB">
        <w:t>Some of the ot</w:t>
      </w:r>
      <w:r w:rsidR="000413D0">
        <w:t xml:space="preserve">her challenges </w:t>
      </w:r>
      <w:r w:rsidR="00136059">
        <w:t xml:space="preserve">include: </w:t>
      </w:r>
      <w:r w:rsidR="00C155E9">
        <w:t xml:space="preserve">survey attrition (and </w:t>
      </w:r>
      <w:r w:rsidR="00136059">
        <w:t>the resulting small sample size of some groups a</w:t>
      </w:r>
      <w:r w:rsidR="00C155E9">
        <w:t>nd survey bias</w:t>
      </w:r>
      <w:r w:rsidR="00F531F2">
        <w:t xml:space="preserve"> as reported in chapter 3</w:t>
      </w:r>
      <w:r w:rsidR="00C155E9">
        <w:t>)</w:t>
      </w:r>
      <w:r w:rsidR="00136059">
        <w:t>; ‘seam phenomenon’ (seams can arise if there are changes in survey implementation between waves, such as the move from interviews with pencils and paper to computer-assisted technology)</w:t>
      </w:r>
      <w:r w:rsidR="00504516">
        <w:t>;</w:t>
      </w:r>
      <w:r w:rsidR="00136059">
        <w:t xml:space="preserve"> and censor</w:t>
      </w:r>
      <w:r w:rsidR="005B6BDB">
        <w:t xml:space="preserve">ed spells that can bias results </w:t>
      </w:r>
      <w:r w:rsidR="00136059">
        <w:t>(where complete spells of disadvantage are not observed in the data</w:t>
      </w:r>
      <w:r w:rsidR="005F0054">
        <w:t xml:space="preserve"> — a person </w:t>
      </w:r>
      <w:r w:rsidR="005B6BDB">
        <w:t xml:space="preserve">is not observed </w:t>
      </w:r>
      <w:r w:rsidR="005F0054">
        <w:t xml:space="preserve">entering </w:t>
      </w:r>
      <w:r w:rsidR="005B6BDB">
        <w:t xml:space="preserve">or leaving </w:t>
      </w:r>
      <w:r w:rsidR="005F0054">
        <w:t>disadvantage</w:t>
      </w:r>
      <w:r w:rsidR="005B6BDB">
        <w:t xml:space="preserve"> because of the sample period) (</w:t>
      </w:r>
      <w:r w:rsidR="00F4433B">
        <w:t>Cellini</w:t>
      </w:r>
      <w:r w:rsidR="009E4D86">
        <w:t>,</w:t>
      </w:r>
      <w:r w:rsidR="00F4433B">
        <w:t xml:space="preserve"> </w:t>
      </w:r>
      <w:r w:rsidR="009E4D86">
        <w:t xml:space="preserve">McKernan and Ratcliffe </w:t>
      </w:r>
      <w:r w:rsidR="00136059">
        <w:t>2008)</w:t>
      </w:r>
      <w:r w:rsidR="004272CB">
        <w:t xml:space="preserve">. </w:t>
      </w:r>
    </w:p>
    <w:p w:rsidR="00F97771" w:rsidRDefault="00D10842" w:rsidP="00F97771">
      <w:pPr>
        <w:pStyle w:val="BodyText"/>
      </w:pPr>
      <w:r>
        <w:t>There are limited longitudinal data bases in Australia. Other countries, including the United Kingdom, the United States</w:t>
      </w:r>
      <w:r w:rsidR="00F54146">
        <w:t>, Canada</w:t>
      </w:r>
      <w:r w:rsidR="0093792A">
        <w:t>, Germany</w:t>
      </w:r>
      <w:r w:rsidR="00F54146">
        <w:t xml:space="preserve"> </w:t>
      </w:r>
      <w:r>
        <w:t>and New Zealand</w:t>
      </w:r>
      <w:r w:rsidR="00BA79E4">
        <w:t>,</w:t>
      </w:r>
      <w:r>
        <w:t xml:space="preserve"> have more extensive longitudinal datasets. </w:t>
      </w:r>
    </w:p>
    <w:p w:rsidR="00E74A07" w:rsidRDefault="000D673C" w:rsidP="00E74A07">
      <w:pPr>
        <w:pStyle w:val="BodyText"/>
      </w:pPr>
      <w:r>
        <w:t xml:space="preserve">As discussed in chapter 3, </w:t>
      </w:r>
      <w:r w:rsidR="00BA72D2">
        <w:t xml:space="preserve">the main </w:t>
      </w:r>
      <w:r>
        <w:t xml:space="preserve">databases </w:t>
      </w:r>
      <w:r w:rsidR="009820A8">
        <w:t xml:space="preserve">in Australia </w:t>
      </w:r>
      <w:r>
        <w:t xml:space="preserve">are </w:t>
      </w:r>
      <w:r w:rsidR="00BA72D2">
        <w:t xml:space="preserve">the </w:t>
      </w:r>
      <w:r>
        <w:t>Household Income and Labour Dynamics in Australia (HILDA)</w:t>
      </w:r>
      <w:r w:rsidR="00BA72D2">
        <w:t xml:space="preserve"> Survey</w:t>
      </w:r>
      <w:r>
        <w:t xml:space="preserve">, </w:t>
      </w:r>
      <w:r w:rsidR="00BA72D2">
        <w:t xml:space="preserve">the </w:t>
      </w:r>
      <w:r>
        <w:t xml:space="preserve">Longitudinal </w:t>
      </w:r>
      <w:r w:rsidR="003C1B91">
        <w:t>Study</w:t>
      </w:r>
      <w:r>
        <w:t xml:space="preserve"> of Australian Children (LSAC) and </w:t>
      </w:r>
      <w:r w:rsidR="00BA72D2">
        <w:t xml:space="preserve">the </w:t>
      </w:r>
      <w:r>
        <w:t>Longitudinal Survey</w:t>
      </w:r>
      <w:r w:rsidR="003C1B91">
        <w:t>s</w:t>
      </w:r>
      <w:r>
        <w:t xml:space="preserve"> of Australian Youth (LSAY)</w:t>
      </w:r>
      <w:r w:rsidR="00BA72D2">
        <w:t xml:space="preserve">. </w:t>
      </w:r>
      <w:r w:rsidR="0088324E">
        <w:t>These surveys have o</w:t>
      </w:r>
      <w:r w:rsidR="00BA72D2">
        <w:t>nly been operating for a relatively short period of time</w:t>
      </w:r>
      <w:r w:rsidR="0088324E">
        <w:t xml:space="preserve"> </w:t>
      </w:r>
      <w:r w:rsidR="00AA7FF9">
        <w:t>and</w:t>
      </w:r>
      <w:r w:rsidR="00A318EC">
        <w:t>,</w:t>
      </w:r>
      <w:r w:rsidR="00AA7FF9">
        <w:t xml:space="preserve"> as such</w:t>
      </w:r>
      <w:r w:rsidR="00A318EC">
        <w:t>,</w:t>
      </w:r>
      <w:r w:rsidR="00AA7FF9">
        <w:t xml:space="preserve"> do not provide a complete picture of the life-course people take</w:t>
      </w:r>
      <w:r w:rsidR="00E74A07">
        <w:t xml:space="preserve">. </w:t>
      </w:r>
    </w:p>
    <w:p w:rsidR="00FC05F8" w:rsidRDefault="00630C30" w:rsidP="00E74A07">
      <w:pPr>
        <w:pStyle w:val="ListBullet"/>
      </w:pPr>
      <w:r>
        <w:lastRenderedPageBreak/>
        <w:t xml:space="preserve">The </w:t>
      </w:r>
      <w:r w:rsidR="000D673C">
        <w:t xml:space="preserve">HILDA </w:t>
      </w:r>
      <w:r>
        <w:t xml:space="preserve">survey commenced </w:t>
      </w:r>
      <w:r w:rsidR="00E74A07">
        <w:t xml:space="preserve">in </w:t>
      </w:r>
      <w:r>
        <w:t xml:space="preserve">2001 </w:t>
      </w:r>
      <w:r w:rsidR="000D673C">
        <w:t>and</w:t>
      </w:r>
      <w:r>
        <w:t xml:space="preserve"> data are available for the first </w:t>
      </w:r>
      <w:r w:rsidR="00F869EA">
        <w:t xml:space="preserve">ten </w:t>
      </w:r>
      <w:r>
        <w:t>waves of the study (Melbourne Institute of Applied Economic and Social Research 201</w:t>
      </w:r>
      <w:r w:rsidR="00F869EA">
        <w:t>3</w:t>
      </w:r>
      <w:r>
        <w:t>). While the survey data provide insights in</w:t>
      </w:r>
      <w:r w:rsidR="005F105F">
        <w:t>to</w:t>
      </w:r>
      <w:r>
        <w:t xml:space="preserve"> whether people remain disadvantaged year on year (or move out of disadvantage), </w:t>
      </w:r>
      <w:r w:rsidR="00504516">
        <w:t xml:space="preserve">the data </w:t>
      </w:r>
      <w:r>
        <w:t xml:space="preserve">as yet do </w:t>
      </w:r>
      <w:r w:rsidR="00D41420">
        <w:t xml:space="preserve">not </w:t>
      </w:r>
      <w:r w:rsidR="00AA7FF9">
        <w:t xml:space="preserve">provide information on pathways and subsequent </w:t>
      </w:r>
      <w:r>
        <w:t xml:space="preserve">life-course </w:t>
      </w:r>
      <w:r w:rsidR="00AA7FF9">
        <w:t xml:space="preserve">outcomes. </w:t>
      </w:r>
    </w:p>
    <w:p w:rsidR="00BA72D2" w:rsidRDefault="00BA72D2" w:rsidP="00BA72D2">
      <w:pPr>
        <w:pStyle w:val="ListBullet"/>
      </w:pPr>
      <w:r>
        <w:t xml:space="preserve">LSAC </w:t>
      </w:r>
      <w:r w:rsidR="00E74A07">
        <w:t>commenced in 2004 with two cohort</w:t>
      </w:r>
      <w:r w:rsidR="00D41420">
        <w:t>s</w:t>
      </w:r>
      <w:r w:rsidR="00E74A07">
        <w:t xml:space="preserve"> — families with 4-5 year old children and families with 0-1 year old infants. </w:t>
      </w:r>
      <w:r w:rsidR="00D46A93">
        <w:t xml:space="preserve">The LSAC has the potential to provide insights into children’s developmental pathways and support the analysis of intergenerational transmission of disadvantage. </w:t>
      </w:r>
      <w:r w:rsidR="00BA79E4">
        <w:t xml:space="preserve">However, as LSAC has been operating for less than a decade, </w:t>
      </w:r>
      <w:r w:rsidR="00D46A93">
        <w:t xml:space="preserve">the </w:t>
      </w:r>
      <w:r w:rsidR="00E74A07">
        <w:t xml:space="preserve">oldest </w:t>
      </w:r>
      <w:r>
        <w:t xml:space="preserve">children in the survey </w:t>
      </w:r>
      <w:r w:rsidR="00E74A07">
        <w:t xml:space="preserve">are </w:t>
      </w:r>
      <w:r>
        <w:t xml:space="preserve">only </w:t>
      </w:r>
      <w:r w:rsidR="00D46A93">
        <w:t xml:space="preserve">just </w:t>
      </w:r>
      <w:r>
        <w:t>beginning to approach school leaving age</w:t>
      </w:r>
      <w:r w:rsidR="00E74A07">
        <w:t>.</w:t>
      </w:r>
      <w:r>
        <w:t xml:space="preserve"> </w:t>
      </w:r>
    </w:p>
    <w:p w:rsidR="00E74A07" w:rsidRDefault="00E74A07" w:rsidP="00BA72D2">
      <w:pPr>
        <w:pStyle w:val="ListBullet"/>
      </w:pPr>
      <w:r>
        <w:t>LSAY began tracking young people (at age 15 for ten years) in 1995</w:t>
      </w:r>
      <w:r w:rsidR="00AA7FF9">
        <w:t xml:space="preserve">. These are important years of transition from dependency to independence, but for many young people they are unlikely to be completed years of transition (for example, they may delay leaving the parental home, partnering and establishing a career). </w:t>
      </w:r>
    </w:p>
    <w:p w:rsidR="00630C30" w:rsidRDefault="00AA7FF9" w:rsidP="00630C30">
      <w:pPr>
        <w:pStyle w:val="Heading3"/>
      </w:pPr>
      <w:r>
        <w:t xml:space="preserve">… </w:t>
      </w:r>
      <w:r w:rsidR="00BA79E4">
        <w:t xml:space="preserve">but often there are insufficient numbers of </w:t>
      </w:r>
      <w:r w:rsidR="005B6BDB">
        <w:t xml:space="preserve">the most </w:t>
      </w:r>
      <w:r>
        <w:t xml:space="preserve">disadvantaged </w:t>
      </w:r>
    </w:p>
    <w:p w:rsidR="00501B64" w:rsidRDefault="00BA79E4" w:rsidP="00501B64">
      <w:pPr>
        <w:pStyle w:val="BodyText"/>
      </w:pPr>
      <w:r>
        <w:t xml:space="preserve">Longitudinal surveys are limited in their coverage of </w:t>
      </w:r>
      <w:r w:rsidR="008A0C82">
        <w:t xml:space="preserve">people who are the </w:t>
      </w:r>
      <w:r>
        <w:t>most disadvantage</w:t>
      </w:r>
      <w:r w:rsidR="00A318EC">
        <w:t>d</w:t>
      </w:r>
      <w:r>
        <w:t xml:space="preserve"> for a number of reasons. First, p</w:t>
      </w:r>
      <w:r w:rsidR="00501B64">
        <w:t xml:space="preserve">eople most likely to be experiencing disadvantage are often excluded from </w:t>
      </w:r>
      <w:r w:rsidR="00D61E43">
        <w:t xml:space="preserve">longitudinal </w:t>
      </w:r>
      <w:r w:rsidR="00501B64">
        <w:t>surveys as they can be difficult to contact</w:t>
      </w:r>
      <w:r w:rsidR="00162A67">
        <w:t xml:space="preserve">. </w:t>
      </w:r>
      <w:r w:rsidR="00BB247A">
        <w:t>For example, the HILDA survey excludes homeless people</w:t>
      </w:r>
      <w:r w:rsidR="009820A8">
        <w:t xml:space="preserve"> and people living in very remote areas</w:t>
      </w:r>
      <w:r w:rsidR="00937252">
        <w:t xml:space="preserve">. </w:t>
      </w:r>
      <w:r w:rsidR="001A393A">
        <w:t xml:space="preserve">Also excluded from the initial HILDA </w:t>
      </w:r>
      <w:r w:rsidR="00A318EC">
        <w:t xml:space="preserve">survey </w:t>
      </w:r>
      <w:r w:rsidR="001A393A">
        <w:t xml:space="preserve">were people living in institutions (but people who move into institutions in subsequent years remain in the sample). </w:t>
      </w:r>
      <w:r w:rsidR="00937252">
        <w:t xml:space="preserve">The most </w:t>
      </w:r>
      <w:r w:rsidR="00A1057D">
        <w:t xml:space="preserve">disadvantaged </w:t>
      </w:r>
      <w:r w:rsidR="008A0C82">
        <w:t xml:space="preserve">people </w:t>
      </w:r>
      <w:r w:rsidR="00A1057D">
        <w:t xml:space="preserve">are </w:t>
      </w:r>
      <w:r w:rsidR="00162A67">
        <w:t xml:space="preserve">also </w:t>
      </w:r>
      <w:r w:rsidR="00501B64">
        <w:t>less likely</w:t>
      </w:r>
      <w:r w:rsidR="001A393A">
        <w:t>,</w:t>
      </w:r>
      <w:r w:rsidR="00501B64">
        <w:t xml:space="preserve"> or able</w:t>
      </w:r>
      <w:r w:rsidR="001A393A">
        <w:t>,</w:t>
      </w:r>
      <w:r w:rsidR="00501B64">
        <w:t xml:space="preserve"> to respond if </w:t>
      </w:r>
      <w:r w:rsidR="00D61E43">
        <w:t xml:space="preserve">contacted. </w:t>
      </w:r>
      <w:r w:rsidR="00A1057D">
        <w:t xml:space="preserve">As Saunders (2011) said: </w:t>
      </w:r>
    </w:p>
    <w:p w:rsidR="00BB247A" w:rsidRDefault="00BB247A" w:rsidP="00BB247A">
      <w:pPr>
        <w:pStyle w:val="Quote"/>
      </w:pPr>
      <w:r>
        <w:t xml:space="preserve">Past experience indicates that those people who are experiencing poverty are often unlikely to respond to surveys that are sent to members of the general population. If the bias that results from this under-representation is to be avoided, special efforts are required to ensure greater participation by those </w:t>
      </w:r>
      <w:r w:rsidR="0093792A">
        <w:t xml:space="preserve">most likely </w:t>
      </w:r>
      <w:r>
        <w:t xml:space="preserve">to be disadvantaged. </w:t>
      </w:r>
      <w:r w:rsidR="00A1057D">
        <w:t>(p.</w:t>
      </w:r>
      <w:r w:rsidR="0056350E">
        <w:t> </w:t>
      </w:r>
      <w:r w:rsidR="00071560">
        <w:t>9</w:t>
      </w:r>
      <w:r w:rsidR="00A1057D">
        <w:t xml:space="preserve">) </w:t>
      </w:r>
    </w:p>
    <w:p w:rsidR="00720AC4" w:rsidRDefault="0093792A" w:rsidP="00501B64">
      <w:pPr>
        <w:pStyle w:val="BodyText"/>
      </w:pPr>
      <w:r>
        <w:t xml:space="preserve">A second problem is that </w:t>
      </w:r>
      <w:r w:rsidR="00720AC4">
        <w:t xml:space="preserve">such participants are more likely to drop out </w:t>
      </w:r>
      <w:r w:rsidR="0025253B">
        <w:t xml:space="preserve">from </w:t>
      </w:r>
      <w:r w:rsidR="00720AC4">
        <w:t xml:space="preserve">the sample </w:t>
      </w:r>
      <w:r w:rsidR="00501B64">
        <w:t>over time</w:t>
      </w:r>
      <w:r w:rsidR="00D41420">
        <w:t xml:space="preserve">. </w:t>
      </w:r>
      <w:r w:rsidR="00501B64">
        <w:t xml:space="preserve">The Melbourne Institute </w:t>
      </w:r>
      <w:r w:rsidR="00F531F2">
        <w:t xml:space="preserve">of Applied Economic and Social Research </w:t>
      </w:r>
      <w:r w:rsidR="00501B64">
        <w:t>notes that people from non-English speaking backgrounds, unemployed people, Indigenous Australians and people with low skills are more likely to drop out of the HILDA survey</w:t>
      </w:r>
      <w:r w:rsidR="00D41420">
        <w:t xml:space="preserve">. </w:t>
      </w:r>
    </w:p>
    <w:p w:rsidR="00B35021" w:rsidRDefault="00B35021">
      <w:pPr>
        <w:spacing w:after="0" w:line="240" w:lineRule="auto"/>
        <w:rPr>
          <w:rFonts w:ascii="Times New Roman" w:eastAsia="Times New Roman" w:hAnsi="Times New Roman" w:cs="Times New Roman"/>
          <w:sz w:val="26"/>
          <w:szCs w:val="20"/>
          <w:lang w:eastAsia="en-AU"/>
        </w:rPr>
      </w:pPr>
      <w:r>
        <w:br w:type="page"/>
      </w:r>
    </w:p>
    <w:p w:rsidR="00630C30" w:rsidRDefault="00501B64" w:rsidP="00501B64">
      <w:pPr>
        <w:pStyle w:val="BodyText"/>
      </w:pPr>
      <w:r>
        <w:lastRenderedPageBreak/>
        <w:t xml:space="preserve">Without replacement strategies to ensure the survey remains representative, apparent trends may be confounded by sample attrition. Even if the representative nature of the sample is maintained, there will be shorter periods of data for at least some of the categories of interest, making it more difficult to identify persistence in disadvantage. </w:t>
      </w:r>
    </w:p>
    <w:p w:rsidR="00C54670" w:rsidRDefault="00BA79E4" w:rsidP="00501B64">
      <w:pPr>
        <w:pStyle w:val="BodyText"/>
      </w:pPr>
      <w:r>
        <w:t>Third, t</w:t>
      </w:r>
      <w:r w:rsidR="00162A67">
        <w:t xml:space="preserve">he relatively small sample sizes in most longitudinal collections, together with the small share of the population who experience deep and persistent disadvantage, means relatively few unit record files are available for analysis. </w:t>
      </w:r>
      <w:r w:rsidR="00080D38">
        <w:t xml:space="preserve">Working with small sample sizes </w:t>
      </w:r>
      <w:r w:rsidR="00162A67">
        <w:t>has important implications for the level of robustness of the inferences that can be made</w:t>
      </w:r>
      <w:r w:rsidR="00080D38">
        <w:t xml:space="preserve">. </w:t>
      </w:r>
    </w:p>
    <w:p w:rsidR="00162A67" w:rsidRDefault="00BA79E4" w:rsidP="00501B64">
      <w:pPr>
        <w:pStyle w:val="BodyText"/>
      </w:pPr>
      <w:r>
        <w:t xml:space="preserve">There are several options for reducing or overcoming these difficulties. </w:t>
      </w:r>
      <w:r w:rsidR="004C7389">
        <w:t xml:space="preserve">One is to have more </w:t>
      </w:r>
      <w:r w:rsidR="00D46A93">
        <w:t xml:space="preserve">special purpose surveys or focus groups. </w:t>
      </w:r>
      <w:r w:rsidR="00162A67">
        <w:t xml:space="preserve">The need for more targeted </w:t>
      </w:r>
      <w:r w:rsidR="00D46A93">
        <w:t xml:space="preserve">surveys of </w:t>
      </w:r>
      <w:r w:rsidR="00162A67">
        <w:t>those at high risk of deep and persistent disadvantage has been addressed for two groups — Indigenous children (the Longitudinal Survey of Indigenous Children (LSIC)) and people at risk of be</w:t>
      </w:r>
      <w:r w:rsidR="00504516">
        <w:t>coming</w:t>
      </w:r>
      <w:r w:rsidR="00162A67">
        <w:t xml:space="preserve"> homeless or actually experiencing homelessness (Journeys Home, box 3.</w:t>
      </w:r>
      <w:r w:rsidR="009820A8">
        <w:t>1</w:t>
      </w:r>
      <w:r w:rsidR="00162A67">
        <w:t xml:space="preserve">). Consideration may need to be given </w:t>
      </w:r>
      <w:r w:rsidR="00720AC4">
        <w:t xml:space="preserve">to </w:t>
      </w:r>
      <w:r w:rsidR="00162A67">
        <w:t xml:space="preserve">the construction of more such focused surveys covering </w:t>
      </w:r>
      <w:r w:rsidR="00720AC4">
        <w:t xml:space="preserve">other </w:t>
      </w:r>
      <w:r w:rsidR="00162A67">
        <w:t>deeply disadvantaged groups (</w:t>
      </w:r>
      <w:r w:rsidR="00016475">
        <w:t xml:space="preserve">for example, </w:t>
      </w:r>
      <w:r w:rsidR="0039231F">
        <w:t>prisoners</w:t>
      </w:r>
      <w:r w:rsidR="00016475">
        <w:t xml:space="preserve">). </w:t>
      </w:r>
    </w:p>
    <w:p w:rsidR="00F97771" w:rsidRDefault="004C7389" w:rsidP="00F97771">
      <w:pPr>
        <w:pStyle w:val="BodyText"/>
      </w:pPr>
      <w:r>
        <w:t>Other options include i</w:t>
      </w:r>
      <w:r w:rsidR="008016B1">
        <w:t xml:space="preserve">ncreasing the sample size or over sampling disadvantaged groups in </w:t>
      </w:r>
      <w:r w:rsidR="00A318EC">
        <w:t xml:space="preserve">the main longitudinal </w:t>
      </w:r>
      <w:r w:rsidR="008016B1">
        <w:t>surveys</w:t>
      </w:r>
      <w:r w:rsidR="00A318EC">
        <w:t>,</w:t>
      </w:r>
      <w:r w:rsidR="008016B1">
        <w:t xml:space="preserve"> such as HILDA and LSAC</w:t>
      </w:r>
      <w:r>
        <w:t xml:space="preserve">. These options have the </w:t>
      </w:r>
      <w:r w:rsidR="008016B1">
        <w:t>potential to improve the significance of findings and allow a finer</w:t>
      </w:r>
      <w:r w:rsidR="00504516">
        <w:noBreakHyphen/>
      </w:r>
      <w:r w:rsidR="008016B1">
        <w:t xml:space="preserve">grained examination of factors contributing to disadvantage. </w:t>
      </w:r>
      <w:r w:rsidR="00125F0D">
        <w:t>Administrative data are another potential source of information (section 6.</w:t>
      </w:r>
      <w:r w:rsidR="005F105F">
        <w:t>3</w:t>
      </w:r>
      <w:r w:rsidR="00125F0D">
        <w:t xml:space="preserve">). </w:t>
      </w:r>
    </w:p>
    <w:p w:rsidR="00E91560" w:rsidRDefault="00F0189D" w:rsidP="00E91560">
      <w:pPr>
        <w:pStyle w:val="Heading3"/>
      </w:pPr>
      <w:r>
        <w:t>…</w:t>
      </w:r>
      <w:r w:rsidR="006451BF">
        <w:t xml:space="preserve"> </w:t>
      </w:r>
      <w:r>
        <w:t xml:space="preserve">and more nuanced information on people’s experiences is needed </w:t>
      </w:r>
    </w:p>
    <w:p w:rsidR="00E91560" w:rsidRDefault="00E91560" w:rsidP="00501B64">
      <w:pPr>
        <w:pStyle w:val="BodyText"/>
      </w:pPr>
      <w:r>
        <w:t xml:space="preserve">The basic demographic and household characteristics of deeply and persistently disadvantaged people are captured in the existing surveys. But these characteristics are </w:t>
      </w:r>
      <w:r w:rsidR="00F0189D">
        <w:t xml:space="preserve">common to large </w:t>
      </w:r>
      <w:r>
        <w:t xml:space="preserve">proportions of the population — </w:t>
      </w:r>
      <w:r w:rsidR="00937252">
        <w:t xml:space="preserve">for example, </w:t>
      </w:r>
      <w:r>
        <w:t>lone parents, people with limited educational attainment, those with a long term health condition or disability</w:t>
      </w:r>
      <w:r w:rsidR="00F531F2">
        <w:t xml:space="preserve"> and</w:t>
      </w:r>
      <w:r w:rsidR="00937252">
        <w:t xml:space="preserve"> </w:t>
      </w:r>
      <w:r>
        <w:t xml:space="preserve">Indigenous Australians. </w:t>
      </w:r>
      <w:r w:rsidR="00A318EC">
        <w:t xml:space="preserve">While </w:t>
      </w:r>
      <w:r>
        <w:t>a large cross section of the community have characteristics which put them at risk of becoming disadvantaged</w:t>
      </w:r>
      <w:r w:rsidR="00A318EC">
        <w:t xml:space="preserve">, </w:t>
      </w:r>
      <w:r w:rsidR="00F0189D">
        <w:t xml:space="preserve">only a minority of people with </w:t>
      </w:r>
      <w:r>
        <w:t>such characteristics become deeply or persistently disadvantaged</w:t>
      </w:r>
      <w:r w:rsidR="00A318EC">
        <w:t xml:space="preserve"> (chapter 3)</w:t>
      </w:r>
      <w:r>
        <w:t xml:space="preserve">. </w:t>
      </w:r>
      <w:r w:rsidR="00115CC8">
        <w:t xml:space="preserve">For example, </w:t>
      </w:r>
      <w:r w:rsidR="0093792A">
        <w:t xml:space="preserve">relationship </w:t>
      </w:r>
      <w:r w:rsidR="00115CC8">
        <w:t>breakdown is a known risk factor</w:t>
      </w:r>
      <w:r w:rsidR="00504516">
        <w:t>,</w:t>
      </w:r>
      <w:r w:rsidR="00115CC8">
        <w:t xml:space="preserve"> but most lone parents do not become deeply or persistently disadvantaged. </w:t>
      </w:r>
      <w:r w:rsidR="00BB247A">
        <w:t>Similarly, many people experience poor health</w:t>
      </w:r>
      <w:r w:rsidR="00937252">
        <w:t>,</w:t>
      </w:r>
      <w:r w:rsidR="00BB247A">
        <w:t xml:space="preserve"> but most people with a long</w:t>
      </w:r>
      <w:r w:rsidR="00504516">
        <w:noBreakHyphen/>
      </w:r>
      <w:r w:rsidR="00BB247A">
        <w:t>term health problem are</w:t>
      </w:r>
      <w:r w:rsidR="00F0189D">
        <w:t xml:space="preserve"> </w:t>
      </w:r>
      <w:r w:rsidR="00BB247A">
        <w:t>n</w:t>
      </w:r>
      <w:r w:rsidR="00F0189D">
        <w:t>o</w:t>
      </w:r>
      <w:r w:rsidR="00BB247A">
        <w:t xml:space="preserve">t deeply or persistently disadvantaged. </w:t>
      </w:r>
    </w:p>
    <w:p w:rsidR="00A318EC" w:rsidRDefault="004272CB" w:rsidP="00501B64">
      <w:pPr>
        <w:pStyle w:val="BodyText"/>
      </w:pPr>
      <w:r>
        <w:lastRenderedPageBreak/>
        <w:t xml:space="preserve">A better understanding of causality is essential for informing policy makers about ways to effectively address deep and persistent disadvantage. </w:t>
      </w:r>
      <w:r w:rsidR="00293F75">
        <w:t>K</w:t>
      </w:r>
      <w:r w:rsidR="00115CC8">
        <w:t>ey question</w:t>
      </w:r>
      <w:r w:rsidR="00F0189D">
        <w:t>s</w:t>
      </w:r>
      <w:r w:rsidR="00115CC8">
        <w:t xml:space="preserve"> </w:t>
      </w:r>
      <w:r w:rsidR="00F0189D">
        <w:t xml:space="preserve">are: </w:t>
      </w:r>
    </w:p>
    <w:p w:rsidR="00A318EC" w:rsidRDefault="00115CC8" w:rsidP="00A318EC">
      <w:pPr>
        <w:pStyle w:val="ListBullet"/>
      </w:pPr>
      <w:r>
        <w:t xml:space="preserve">what is the interaction between </w:t>
      </w:r>
      <w:r w:rsidR="00E87C87">
        <w:t xml:space="preserve">what </w:t>
      </w:r>
      <w:r>
        <w:t xml:space="preserve">triggers or causes disadvantage and the characteristics of those who experience deep and persistent disadvantage? </w:t>
      </w:r>
    </w:p>
    <w:p w:rsidR="00A318EC" w:rsidRDefault="00A318EC" w:rsidP="00A318EC">
      <w:pPr>
        <w:pStyle w:val="ListBullet"/>
      </w:pPr>
      <w:r>
        <w:t>w</w:t>
      </w:r>
      <w:r w:rsidR="009B39CA">
        <w:t xml:space="preserve">hy are some </w:t>
      </w:r>
      <w:r w:rsidR="00F0189D">
        <w:t xml:space="preserve">people with </w:t>
      </w:r>
      <w:r w:rsidR="008A0C82">
        <w:t xml:space="preserve">similar ‘at risk’ </w:t>
      </w:r>
      <w:r w:rsidR="009B39CA">
        <w:t>characteristics resilient</w:t>
      </w:r>
      <w:r w:rsidR="0093792A">
        <w:t>,</w:t>
      </w:r>
      <w:r w:rsidR="009B39CA">
        <w:t xml:space="preserve"> while others are more vulnerable to becoming disadvantaged</w:t>
      </w:r>
      <w:r w:rsidR="00235D98">
        <w:t xml:space="preserve"> for long periods of time</w:t>
      </w:r>
      <w:r w:rsidR="009B39CA">
        <w:t xml:space="preserve">? </w:t>
      </w:r>
    </w:p>
    <w:p w:rsidR="009B39CA" w:rsidRDefault="00F0189D" w:rsidP="00A318EC">
      <w:pPr>
        <w:pStyle w:val="BodyText"/>
      </w:pPr>
      <w:r w:rsidRPr="00A318EC">
        <w:rPr>
          <w:rStyle w:val="BodyTextChar"/>
        </w:rPr>
        <w:t>Answering such questions requires data on the experiences of disadvantaged people</w:t>
      </w:r>
      <w:r w:rsidR="00504516">
        <w:rPr>
          <w:rStyle w:val="BodyTextChar"/>
        </w:rPr>
        <w:t>,</w:t>
      </w:r>
      <w:r w:rsidRPr="00A318EC">
        <w:rPr>
          <w:rStyle w:val="BodyTextChar"/>
        </w:rPr>
        <w:t xml:space="preserve"> together with </w:t>
      </w:r>
      <w:r w:rsidR="00235D98" w:rsidRPr="00A318EC">
        <w:rPr>
          <w:rStyle w:val="BodyTextChar"/>
        </w:rPr>
        <w:t xml:space="preserve">more </w:t>
      </w:r>
      <w:r w:rsidRPr="00A318EC">
        <w:rPr>
          <w:rStyle w:val="BodyTextChar"/>
        </w:rPr>
        <w:t>information about their personal characteristics (extending beyond the more common demographic variables).</w:t>
      </w:r>
      <w:r w:rsidR="00115CC8" w:rsidRPr="00A318EC">
        <w:rPr>
          <w:rStyle w:val="BodyTextChar"/>
        </w:rPr>
        <w:t xml:space="preserve"> </w:t>
      </w:r>
    </w:p>
    <w:p w:rsidR="00585A27" w:rsidRDefault="00A318EC" w:rsidP="00501B64">
      <w:pPr>
        <w:pStyle w:val="BodyText"/>
      </w:pPr>
      <w:r>
        <w:t>However, l</w:t>
      </w:r>
      <w:r w:rsidR="00293F75">
        <w:t>ongitudinal studies on their own</w:t>
      </w:r>
      <w:r>
        <w:t xml:space="preserve"> </w:t>
      </w:r>
      <w:r w:rsidR="00293F75">
        <w:t>are not sufficient to establish causality. A</w:t>
      </w:r>
      <w:r w:rsidR="00521762">
        <w:t xml:space="preserve">s noted by </w:t>
      </w:r>
      <w:r w:rsidR="009B39CA">
        <w:t xml:space="preserve">Boivin and </w:t>
      </w:r>
      <w:r w:rsidR="009D4DD9">
        <w:t>Hertzman</w:t>
      </w:r>
      <w:r w:rsidR="009B39CA">
        <w:t xml:space="preserve"> (2012)</w:t>
      </w:r>
      <w:r w:rsidR="00293F75">
        <w:t xml:space="preserve"> </w:t>
      </w:r>
      <w:r w:rsidR="00521762">
        <w:t>in the context of early adversity:</w:t>
      </w:r>
    </w:p>
    <w:p w:rsidR="00521762" w:rsidRDefault="00521762" w:rsidP="00521762">
      <w:pPr>
        <w:pStyle w:val="Quote"/>
      </w:pPr>
      <w:r>
        <w:t xml:space="preserve">It is important to note that while cohort studies provide evidence that early adversity is </w:t>
      </w:r>
      <w:r w:rsidRPr="000967EB">
        <w:rPr>
          <w:i/>
        </w:rPr>
        <w:t>associated</w:t>
      </w:r>
      <w:r>
        <w:t xml:space="preserve"> with later life outcomes, longitudinal designs, on their own, are not sufficient to conclusively determine that early experiences are the ‘cause’ of behaviour and mental problems in adulthood. In addition to the implicit temporal sequence linking the presumed cause and effect, causal inference also requires conditions of control, such as experimental manipulation and random assignment, to be validly assessed. (p. 20</w:t>
      </w:r>
      <w:r w:rsidR="000967EB">
        <w:t>, original emphasis</w:t>
      </w:r>
      <w:r>
        <w:t>)</w:t>
      </w:r>
    </w:p>
    <w:p w:rsidR="00D47299" w:rsidRDefault="00D47299" w:rsidP="00501B64">
      <w:pPr>
        <w:pStyle w:val="BodyText"/>
      </w:pPr>
      <w:r>
        <w:t xml:space="preserve">As discussed in chapter 4 (box 4.1), randomised trials can provide the ‘perfect’ counterfactual. But, for both ethical and practical reasons, it </w:t>
      </w:r>
      <w:r w:rsidR="00D8519C">
        <w:t xml:space="preserve">is </w:t>
      </w:r>
      <w:r>
        <w:t xml:space="preserve">difficult to conduct randomised trials in the area of social policy. Natural experiments, such as twin and adoption studies, are another approach. These studies can be a quasi-experimental test of environmental (and genetic) sources of variance. </w:t>
      </w:r>
    </w:p>
    <w:p w:rsidR="00115CC8" w:rsidRDefault="00EE054F" w:rsidP="00501B64">
      <w:pPr>
        <w:pStyle w:val="BodyText"/>
      </w:pPr>
      <w:r>
        <w:t xml:space="preserve">Smith and Middleton (2007) question whether the ‘right’ questions </w:t>
      </w:r>
      <w:r w:rsidR="00BE3327">
        <w:t xml:space="preserve">are </w:t>
      </w:r>
      <w:r>
        <w:t>been asked when it comes to triggers of poverty:</w:t>
      </w:r>
    </w:p>
    <w:p w:rsidR="00EE054F" w:rsidRDefault="00EE054F" w:rsidP="00EE054F">
      <w:pPr>
        <w:pStyle w:val="Quote"/>
      </w:pPr>
      <w:r>
        <w:t xml:space="preserve">Findings in the literature about the triggers of poverty are confined to the content of the available data and, essentially, to what questions are asked in surveys. This raises the question of how confident we can be that all the ‘right’ questions have been asked and, so, whether all potential poverty triggers have been taken into account. </w:t>
      </w:r>
      <w:r w:rsidR="005A4681">
        <w:t>…</w:t>
      </w:r>
      <w:r>
        <w:t xml:space="preserve"> Thus a second question follows: what other events need to be examined as potential poverty triggers?</w:t>
      </w:r>
      <w:r w:rsidR="005A4681">
        <w:t xml:space="preserve"> (p. 6)</w:t>
      </w:r>
    </w:p>
    <w:p w:rsidR="00585A27" w:rsidRDefault="00585A27" w:rsidP="00614110">
      <w:pPr>
        <w:pStyle w:val="BodyText"/>
      </w:pPr>
      <w:r>
        <w:t>While surveys commonly ask questions about education</w:t>
      </w:r>
      <w:r w:rsidR="00A318EC">
        <w:t xml:space="preserve">, </w:t>
      </w:r>
      <w:r>
        <w:t>employment</w:t>
      </w:r>
      <w:r w:rsidR="000B43C6">
        <w:t xml:space="preserve"> and events such as marital or relationship breakdowns</w:t>
      </w:r>
      <w:r>
        <w:t xml:space="preserve">, few ask questions about </w:t>
      </w:r>
      <w:r w:rsidR="00A318EC">
        <w:t xml:space="preserve">other </w:t>
      </w:r>
      <w:r>
        <w:t xml:space="preserve">critical life events such as the death of a family </w:t>
      </w:r>
      <w:r w:rsidR="001D06A0">
        <w:t>member</w:t>
      </w:r>
      <w:r w:rsidR="00BE3327">
        <w:t>, the experience of trauma</w:t>
      </w:r>
      <w:r w:rsidR="001D06A0">
        <w:t xml:space="preserve"> </w:t>
      </w:r>
      <w:r>
        <w:t xml:space="preserve">or </w:t>
      </w:r>
      <w:r w:rsidR="006D0632">
        <w:t>addictions th</w:t>
      </w:r>
      <w:r w:rsidR="00D43E60">
        <w:t>at could make people vulnerable to disadvantage</w:t>
      </w:r>
      <w:r w:rsidR="00806D88">
        <w:t xml:space="preserve">. </w:t>
      </w:r>
      <w:r w:rsidR="00235D98">
        <w:t>Similarly</w:t>
      </w:r>
      <w:r w:rsidR="002D15C5">
        <w:t>,</w:t>
      </w:r>
      <w:r w:rsidR="00235D98">
        <w:t xml:space="preserve"> the experience of service use is not </w:t>
      </w:r>
      <w:r w:rsidR="0025253B">
        <w:t xml:space="preserve">always </w:t>
      </w:r>
      <w:r w:rsidR="002D15C5">
        <w:t xml:space="preserve">questioned and recorded. </w:t>
      </w:r>
      <w:r w:rsidR="00806D88">
        <w:t>For example, the HILDA survey does not collect data on homelessness, access to transport, access to health and financial services or voter enrolment (</w:t>
      </w:r>
      <w:r w:rsidR="009D4DD9">
        <w:t xml:space="preserve">Brotherhood of St </w:t>
      </w:r>
      <w:r w:rsidR="009D4DD9" w:rsidRPr="00BF0F75">
        <w:t>Laurence</w:t>
      </w:r>
      <w:r w:rsidR="009D4DD9">
        <w:t> </w:t>
      </w:r>
      <w:r w:rsidR="00806D88">
        <w:t xml:space="preserve">2011). </w:t>
      </w:r>
      <w:r w:rsidR="00806D88">
        <w:lastRenderedPageBreak/>
        <w:t xml:space="preserve">Not asking the right questions could </w:t>
      </w:r>
      <w:r w:rsidR="00D43E60">
        <w:t xml:space="preserve">result in </w:t>
      </w:r>
      <w:r w:rsidR="00806D88">
        <w:t>under</w:t>
      </w:r>
      <w:r w:rsidR="000B43C6">
        <w:noBreakHyphen/>
      </w:r>
      <w:r w:rsidR="00806D88">
        <w:t xml:space="preserve">reporting of disadvantage. </w:t>
      </w:r>
      <w:r w:rsidR="00BE3327">
        <w:t xml:space="preserve">It could also miss actions (such as </w:t>
      </w:r>
      <w:r w:rsidR="000B43C6">
        <w:t xml:space="preserve">receiving </w:t>
      </w:r>
      <w:r w:rsidR="00BE3327">
        <w:t xml:space="preserve">assistance or </w:t>
      </w:r>
      <w:r w:rsidR="000B43C6">
        <w:t xml:space="preserve">participating in </w:t>
      </w:r>
      <w:r w:rsidR="00BE3327">
        <w:t xml:space="preserve">programs) that could help develop resilience and provide </w:t>
      </w:r>
      <w:r w:rsidR="003A2BBE">
        <w:t xml:space="preserve">people with </w:t>
      </w:r>
      <w:r w:rsidR="00BE3327">
        <w:t xml:space="preserve">opportunities. </w:t>
      </w:r>
    </w:p>
    <w:p w:rsidR="00614110" w:rsidRDefault="00A318EC" w:rsidP="00614110">
      <w:pPr>
        <w:pStyle w:val="BodyText"/>
      </w:pPr>
      <w:r>
        <w:t>W</w:t>
      </w:r>
      <w:r w:rsidR="00614110">
        <w:t xml:space="preserve">hile </w:t>
      </w:r>
      <w:r w:rsidR="001D06A0">
        <w:t xml:space="preserve">it is known </w:t>
      </w:r>
      <w:r w:rsidR="00614110">
        <w:t>that re</w:t>
      </w:r>
      <w:r w:rsidR="005A4681">
        <w:t xml:space="preserve">silience </w:t>
      </w:r>
      <w:r w:rsidR="00614110">
        <w:t xml:space="preserve">is important for breaking cycles of disadvantage, </w:t>
      </w:r>
      <w:r w:rsidR="001D06A0">
        <w:t xml:space="preserve">less is known </w:t>
      </w:r>
      <w:r w:rsidR="00614110">
        <w:t xml:space="preserve">about </w:t>
      </w:r>
      <w:r w:rsidR="00A00ED7">
        <w:t xml:space="preserve">the </w:t>
      </w:r>
      <w:r w:rsidR="00614110">
        <w:t xml:space="preserve">personal characteristics </w:t>
      </w:r>
      <w:r w:rsidR="00A00ED7">
        <w:t xml:space="preserve">that </w:t>
      </w:r>
      <w:r w:rsidR="00614110">
        <w:t xml:space="preserve">make some people more </w:t>
      </w:r>
      <w:r w:rsidR="00BE3327">
        <w:t xml:space="preserve">able to cope </w:t>
      </w:r>
      <w:r w:rsidR="00614110">
        <w:t>and less likely to be knocked over by particular experiences</w:t>
      </w:r>
      <w:r>
        <w:t xml:space="preserve"> (chapter 4)</w:t>
      </w:r>
      <w:r w:rsidR="00614110">
        <w:t>.</w:t>
      </w:r>
      <w:r w:rsidR="00125F0D">
        <w:t xml:space="preserve"> </w:t>
      </w:r>
      <w:r w:rsidR="00614110">
        <w:t>As Smith and Middleton, in Berthoud and Zantomio (2008)</w:t>
      </w:r>
      <w:r w:rsidR="00257DAE">
        <w:t>,</w:t>
      </w:r>
      <w:r w:rsidR="00614110">
        <w:t xml:space="preserve"> said:</w:t>
      </w:r>
    </w:p>
    <w:p w:rsidR="00614110" w:rsidRDefault="00614110" w:rsidP="00614110">
      <w:pPr>
        <w:pStyle w:val="Quote"/>
      </w:pPr>
      <w:r>
        <w:t>Poverty dynamics research highlights groups with the greatest probability of persistent poverty, but it does not explain why some of those at greatest risk nevertheless avoid or escape poverty altogether. Better understanding of this would be important to help design a more effective, targeted response to tackling substantive poverty. (p. 5)</w:t>
      </w:r>
    </w:p>
    <w:p w:rsidR="00C07142" w:rsidRDefault="00BF522A" w:rsidP="00501B64">
      <w:pPr>
        <w:pStyle w:val="BodyText"/>
      </w:pPr>
      <w:r>
        <w:t xml:space="preserve">This necessitates not just datasets with details of people who are identified as disadvantaged, but </w:t>
      </w:r>
      <w:r w:rsidR="00504516">
        <w:t xml:space="preserve">details of </w:t>
      </w:r>
      <w:r>
        <w:t xml:space="preserve">those who, despite their risk factors, do not become disadvantaged. </w:t>
      </w:r>
    </w:p>
    <w:p w:rsidR="00D03CEE" w:rsidRDefault="005A4681" w:rsidP="00501B64">
      <w:pPr>
        <w:pStyle w:val="BodyText"/>
      </w:pPr>
      <w:r>
        <w:t xml:space="preserve">Insights </w:t>
      </w:r>
      <w:r w:rsidR="00E87C87">
        <w:t>in</w:t>
      </w:r>
      <w:r w:rsidR="00F531F2">
        <w:t>to</w:t>
      </w:r>
      <w:r w:rsidR="00E87C87">
        <w:t xml:space="preserve"> resilience </w:t>
      </w:r>
      <w:r>
        <w:t xml:space="preserve">could also come from </w:t>
      </w:r>
      <w:r w:rsidR="00D03CEE">
        <w:t xml:space="preserve">longitudinal </w:t>
      </w:r>
      <w:r>
        <w:t>qualitative research</w:t>
      </w:r>
      <w:r w:rsidR="000967EB">
        <w:t>. As Smith and Middleton (2007</w:t>
      </w:r>
      <w:r w:rsidR="009E4D86">
        <w:t>)</w:t>
      </w:r>
      <w:r w:rsidR="000967EB">
        <w:t xml:space="preserve"> note</w:t>
      </w:r>
      <w:r w:rsidR="00D03CEE">
        <w:t>:</w:t>
      </w:r>
    </w:p>
    <w:p w:rsidR="00D03CEE" w:rsidRDefault="00D03CEE" w:rsidP="00D03CEE">
      <w:pPr>
        <w:pStyle w:val="Quote"/>
      </w:pPr>
      <w:r>
        <w:t>Qualitative research is not bounded by predetermined questions and would be able to identify potential poverty triggers through reiterative inquiry with participants ‘on the ground’. While such findings from a longitudinal qualitative project could be used to inform survey design, the approach would also lend itself to exploring issues of, for example, personal agency, choice, aspiration and expectation in order to provide a ‘bottom-up’ perspective and deeper understanding of poverty dynamics. (p. 6)</w:t>
      </w:r>
    </w:p>
    <w:p w:rsidR="00125F0D" w:rsidRDefault="006D0632" w:rsidP="00501B64">
      <w:pPr>
        <w:pStyle w:val="BodyText"/>
      </w:pPr>
      <w:r>
        <w:t xml:space="preserve">Similarly, </w:t>
      </w:r>
      <w:r w:rsidR="0039231F">
        <w:t>Levitas et al. (2007) argued the merits of qualitative research:</w:t>
      </w:r>
    </w:p>
    <w:p w:rsidR="0039231F" w:rsidRDefault="0039231F" w:rsidP="0039231F">
      <w:pPr>
        <w:pStyle w:val="Quote"/>
      </w:pPr>
      <w:r>
        <w:t>In general, qualitative research is superior to survey research for exploring individual experiences, and can offer far greater insights into complex interactions of factors. Qualitative research has enormous merits in its own right, but can also provide the basis for better questions for specialist surveys. (pp. 126-7)</w:t>
      </w:r>
    </w:p>
    <w:p w:rsidR="00F97771" w:rsidRDefault="002D15C5" w:rsidP="00F97771">
      <w:pPr>
        <w:pStyle w:val="BodyText"/>
      </w:pPr>
      <w:r>
        <w:t>In a similar vein, t</w:t>
      </w:r>
      <w:r w:rsidR="00F97771">
        <w:t>he Po</w:t>
      </w:r>
      <w:r w:rsidR="00504516">
        <w:t>verty</w:t>
      </w:r>
      <w:r w:rsidR="00F97771">
        <w:t xml:space="preserve"> Analysis Discussion Group (2012) argued </w:t>
      </w:r>
      <w:r w:rsidR="001D06A0">
        <w:t xml:space="preserve">for </w:t>
      </w:r>
      <w:r w:rsidR="00F97771">
        <w:t xml:space="preserve">the need to improve and expand longitudinal studies, including the use of qualitative research: </w:t>
      </w:r>
    </w:p>
    <w:p w:rsidR="00F97771" w:rsidRDefault="00F97771" w:rsidP="00F97771">
      <w:pPr>
        <w:pStyle w:val="Quote"/>
      </w:pPr>
      <w:r>
        <w:t>There are a slowly expanding number of national panel household surveys – though still far fewer than we need. The rate of expansion could be greatly enhanced. These need to (a) be undertaken over a sufficiently long span, and with sufficiently long periods between survey dates to observe significant mobility; (b) include information on different social groups and categories; (c) be partnered with qualitative research which enhances the richness of understanding and addresses issues which are difficult to address through surveys. (p. 6)</w:t>
      </w:r>
    </w:p>
    <w:p w:rsidR="00780EDC" w:rsidRDefault="00780EDC" w:rsidP="00D43E60">
      <w:pPr>
        <w:pStyle w:val="BodyText"/>
      </w:pPr>
      <w:r>
        <w:lastRenderedPageBreak/>
        <w:t xml:space="preserve">Welfare agencies are a potentially valuable source for information about what it means </w:t>
      </w:r>
      <w:r w:rsidR="006451BF">
        <w:t xml:space="preserve">(the realities of the experience) </w:t>
      </w:r>
      <w:r>
        <w:t xml:space="preserve">for </w:t>
      </w:r>
      <w:r w:rsidR="003F1586">
        <w:t xml:space="preserve">people </w:t>
      </w:r>
      <w:r>
        <w:t xml:space="preserve">to be disadvantaged. </w:t>
      </w:r>
    </w:p>
    <w:p w:rsidR="00D43E60" w:rsidRPr="00757002" w:rsidRDefault="00D43E60" w:rsidP="00D43E60">
      <w:pPr>
        <w:pStyle w:val="BodyText"/>
      </w:pPr>
      <w:r>
        <w:t xml:space="preserve">While the knowledge base on the dynamics of disadvantage is still relatively thin, further research (using </w:t>
      </w:r>
      <w:r w:rsidR="00853B57">
        <w:t xml:space="preserve">more and improved panel datasets and </w:t>
      </w:r>
      <w:r>
        <w:t xml:space="preserve">data which cover increasingly longer trajectories of individuals’ experience) is </w:t>
      </w:r>
      <w:r w:rsidR="00BE3327">
        <w:t xml:space="preserve">required </w:t>
      </w:r>
      <w:r>
        <w:t>to reveal additional insights into the nature and causes of persisten</w:t>
      </w:r>
      <w:r w:rsidR="006D0632">
        <w:t xml:space="preserve">t </w:t>
      </w:r>
      <w:r>
        <w:t xml:space="preserve">and recurrent disadvantage and </w:t>
      </w:r>
      <w:r w:rsidR="00BE3327">
        <w:t xml:space="preserve">to </w:t>
      </w:r>
      <w:r>
        <w:t xml:space="preserve">assist policy makers in designing </w:t>
      </w:r>
      <w:r w:rsidR="00853B57">
        <w:t xml:space="preserve">more </w:t>
      </w:r>
      <w:r>
        <w:t xml:space="preserve">effective policies. </w:t>
      </w:r>
    </w:p>
    <w:p w:rsidR="00016475" w:rsidRDefault="00B35021" w:rsidP="0088324E">
      <w:pPr>
        <w:pStyle w:val="Heading2"/>
      </w:pPr>
      <w:r>
        <w:t>6.</w:t>
      </w:r>
      <w:r w:rsidR="00C61950">
        <w:rPr>
          <w:noProof/>
        </w:rPr>
        <w:t>3</w:t>
      </w:r>
      <w:r w:rsidR="0088324E">
        <w:tab/>
        <w:t xml:space="preserve">Administrative data </w:t>
      </w:r>
    </w:p>
    <w:p w:rsidR="001962A1" w:rsidRPr="00F5671C" w:rsidRDefault="0088324E" w:rsidP="00F5671C">
      <w:pPr>
        <w:pStyle w:val="BodyText"/>
      </w:pPr>
      <w:r w:rsidRPr="00F5671C">
        <w:t xml:space="preserve">Administrative data sources can be an important source of </w:t>
      </w:r>
      <w:r w:rsidR="00125F0D" w:rsidRPr="00F5671C">
        <w:t>information</w:t>
      </w:r>
      <w:r w:rsidR="00235D98" w:rsidRPr="00F5671C">
        <w:t xml:space="preserve"> on </w:t>
      </w:r>
      <w:r w:rsidR="002D15C5" w:rsidRPr="00F5671C">
        <w:t xml:space="preserve">the circumstances and life courses of people </w:t>
      </w:r>
      <w:r w:rsidR="00235D98" w:rsidRPr="00F5671C">
        <w:t xml:space="preserve">who are </w:t>
      </w:r>
      <w:r w:rsidR="00C94849" w:rsidRPr="00F5671C">
        <w:t>most disadvantaged</w:t>
      </w:r>
      <w:r w:rsidR="00125F0D" w:rsidRPr="00F5671C">
        <w:t>.</w:t>
      </w:r>
      <w:r w:rsidR="00BF522A" w:rsidRPr="00F5671C">
        <w:t xml:space="preserve"> </w:t>
      </w:r>
      <w:r w:rsidR="001962A1" w:rsidRPr="00F5671C">
        <w:t>Government agencies, at all three levels of government, hold very large administrative datasets which may assist in unlocking a deeper understanding of factors influencing disadvantage, the government programs that are accessed by those experiencing disadvantage</w:t>
      </w:r>
      <w:r w:rsidR="001D06A0" w:rsidRPr="00F5671C">
        <w:t>,</w:t>
      </w:r>
      <w:r w:rsidR="001962A1" w:rsidRPr="00F5671C">
        <w:t xml:space="preserve"> and how those programs assist (or hinder) </w:t>
      </w:r>
      <w:r w:rsidR="00235D98" w:rsidRPr="00F5671C">
        <w:t xml:space="preserve">those who are the </w:t>
      </w:r>
      <w:r w:rsidR="001962A1" w:rsidRPr="00F5671C">
        <w:t>most vulnerable</w:t>
      </w:r>
      <w:r w:rsidR="00235D98" w:rsidRPr="00F5671C">
        <w:t xml:space="preserve">. </w:t>
      </w:r>
    </w:p>
    <w:p w:rsidR="00BF522A" w:rsidRDefault="001962A1" w:rsidP="0088324E">
      <w:pPr>
        <w:pStyle w:val="BodyText"/>
      </w:pPr>
      <w:r>
        <w:t>Admin</w:t>
      </w:r>
      <w:r w:rsidR="007045CE">
        <w:t>i</w:t>
      </w:r>
      <w:r>
        <w:t xml:space="preserve">strative data </w:t>
      </w:r>
      <w:r w:rsidR="0033691D">
        <w:t xml:space="preserve">can cover </w:t>
      </w:r>
      <w:r w:rsidR="003A35BF">
        <w:t xml:space="preserve">long periods of time and </w:t>
      </w:r>
      <w:r w:rsidR="00BF522A">
        <w:t xml:space="preserve">also largely address the problem of existing survey bias where deeply and persistently disadvantaged groups are poorly represented in surveys. </w:t>
      </w:r>
      <w:r w:rsidR="00BE3327">
        <w:t xml:space="preserve">However, in comparison with other countries, the </w:t>
      </w:r>
      <w:r w:rsidR="003A2BBE">
        <w:t xml:space="preserve">accessibility </w:t>
      </w:r>
      <w:r w:rsidR="00BE3327">
        <w:t>of administrative data to researchers in Australia is limited</w:t>
      </w:r>
      <w:r w:rsidR="00AE281A">
        <w:t>.</w:t>
      </w:r>
    </w:p>
    <w:p w:rsidR="005C3C86" w:rsidRDefault="00BF522A" w:rsidP="00FA6D05">
      <w:pPr>
        <w:pStyle w:val="BodyText"/>
      </w:pPr>
      <w:r>
        <w:t xml:space="preserve">There are a number of departmental datasets which could potentially shed light on the characteristics and pathways of people with multiple disadvantages. </w:t>
      </w:r>
    </w:p>
    <w:p w:rsidR="005C3C86" w:rsidRDefault="005C3C86" w:rsidP="005C3C86">
      <w:pPr>
        <w:pStyle w:val="BodyText"/>
      </w:pPr>
      <w:r>
        <w:t>The Department of Human Services (DHS) has extensive administrative datasets associated with its role in delivering payments and services to individuals and families across the social welfare, Medicare and child support programs. Recipients include disadvantaged groups or those at risk of becoming disadvantaged</w:t>
      </w:r>
      <w:r w:rsidR="00CD7A84">
        <w:t xml:space="preserve">. </w:t>
      </w:r>
    </w:p>
    <w:p w:rsidR="005C3C86" w:rsidRDefault="005C3C86" w:rsidP="005C3C86">
      <w:pPr>
        <w:pStyle w:val="BodyText"/>
      </w:pPr>
      <w:r>
        <w:t xml:space="preserve">Legislation restricts the information collected to that required to determine an individual’s eligibility for a payment or service. The Privacy Act prescribes the management of the data collected and its release. Databases for payments and services authorised under the Social Security Act are kept separate from those administered under the Medicare Act and the Child Support Scheme. The databases are not linked. </w:t>
      </w:r>
    </w:p>
    <w:p w:rsidR="005C3C86" w:rsidRDefault="005C3C86" w:rsidP="005C3C86">
      <w:pPr>
        <w:pStyle w:val="BodyText"/>
      </w:pPr>
      <w:r>
        <w:t xml:space="preserve">While some data </w:t>
      </w:r>
      <w:r w:rsidR="002D15C5">
        <w:t xml:space="preserve">are </w:t>
      </w:r>
      <w:r>
        <w:t xml:space="preserve">available on external websites and many requests for statistical information are met, external users seeking data must go through a formal request process. The </w:t>
      </w:r>
      <w:r w:rsidR="00257DAE">
        <w:t xml:space="preserve">DHS </w:t>
      </w:r>
      <w:r>
        <w:t xml:space="preserve">recently established an internal research and analysis capability </w:t>
      </w:r>
      <w:r>
        <w:lastRenderedPageBreak/>
        <w:t xml:space="preserve">to better analyse its databases to inform the development of service delivery strategies including those that would assist individuals and their families in, or at risk of, disadvantage. </w:t>
      </w:r>
      <w:r w:rsidR="002D15C5">
        <w:t xml:space="preserve">The initiative has the potential to inform broader research. </w:t>
      </w:r>
    </w:p>
    <w:p w:rsidR="00FA6D05" w:rsidRDefault="00424929" w:rsidP="00FA6D05">
      <w:pPr>
        <w:pStyle w:val="BodyText"/>
      </w:pPr>
      <w:r w:rsidRPr="006414EC">
        <w:t>FaHCSIA</w:t>
      </w:r>
      <w:r>
        <w:t xml:space="preserve"> has a number of administrative databases</w:t>
      </w:r>
      <w:r w:rsidR="00FA6D05">
        <w:t xml:space="preserve"> </w:t>
      </w:r>
      <w:r>
        <w:t>associated with its role in the delivery of government services to various groups, many of which would include disadvantaged persons or those at risk of becoming disadvantaged.</w:t>
      </w:r>
      <w:r w:rsidDel="00DF5E31">
        <w:t xml:space="preserve"> </w:t>
      </w:r>
    </w:p>
    <w:p w:rsidR="00424929" w:rsidRDefault="00424929" w:rsidP="00FA6D05">
      <w:pPr>
        <w:pStyle w:val="ListBullet"/>
      </w:pPr>
      <w:r>
        <w:t>FaHCSIA has a longitudinal data warehouse which retains information on clients on income support from its Income Security Integrated System mainframe for 12 successive years until June 2007. The data series was discontinued at this point due to maintenance costs and other priorities.</w:t>
      </w:r>
    </w:p>
    <w:p w:rsidR="00424929" w:rsidRDefault="00424929" w:rsidP="00424929">
      <w:pPr>
        <w:pStyle w:val="ListBullet"/>
      </w:pPr>
      <w:r>
        <w:t xml:space="preserve">Another dataset focuses on client dependence on housing assistance, and is linked to ABS Census data. The data is used to flag those clients who change their address regularly during a calendar year as being vulnerable to financial disadvantage </w:t>
      </w:r>
      <w:r w:rsidR="00D22262">
        <w:t xml:space="preserve">(and those at risk of homelessness) </w:t>
      </w:r>
      <w:r>
        <w:t xml:space="preserve">as well as those who are reliant on weekly rather than fortnightly housing assistance payments. </w:t>
      </w:r>
    </w:p>
    <w:p w:rsidR="00424929" w:rsidRDefault="00FA6D05" w:rsidP="00424929">
      <w:pPr>
        <w:pStyle w:val="ListBullet"/>
      </w:pPr>
      <w:r>
        <w:t xml:space="preserve">The Child Support Evaluation Dataset </w:t>
      </w:r>
      <w:r w:rsidR="00424929">
        <w:t>provides information on child support</w:t>
      </w:r>
      <w:r>
        <w:t>.</w:t>
      </w:r>
      <w:r w:rsidR="00424929">
        <w:t xml:space="preserve"> </w:t>
      </w:r>
    </w:p>
    <w:p w:rsidR="00424929" w:rsidRDefault="001D06A0" w:rsidP="00FA6D05">
      <w:pPr>
        <w:pStyle w:val="BodyText"/>
      </w:pPr>
      <w:r>
        <w:t xml:space="preserve">Such data systems, however, have been designed for internal departmental purposes such as tracking payments rather than being set up for external research. Extracting information from the longitudinal dataset also requires </w:t>
      </w:r>
      <w:r w:rsidR="002D15C5">
        <w:t xml:space="preserve">expert </w:t>
      </w:r>
      <w:r>
        <w:t xml:space="preserve">knowledge of SAS </w:t>
      </w:r>
      <w:r w:rsidR="00257DAE">
        <w:t xml:space="preserve">(a data manipulation program) </w:t>
      </w:r>
      <w:r>
        <w:t>to interact directly with the mainframe in monitoring various income support payment systems. A</w:t>
      </w:r>
      <w:r w:rsidR="002D15C5">
        <w:t xml:space="preserve">s with other departments, FaHCSIA </w:t>
      </w:r>
      <w:r w:rsidR="00424929">
        <w:t xml:space="preserve">faces tight legislative restrictions relating </w:t>
      </w:r>
      <w:r w:rsidR="0025253B">
        <w:t>to privacy concerns which limit</w:t>
      </w:r>
      <w:r w:rsidR="00424929">
        <w:t xml:space="preserve"> data availability to external users</w:t>
      </w:r>
      <w:r w:rsidR="002D15C5">
        <w:t>, even in a de-identified form</w:t>
      </w:r>
      <w:r w:rsidR="00424929">
        <w:t>.</w:t>
      </w:r>
    </w:p>
    <w:p w:rsidR="008C73E0" w:rsidRDefault="007045CE" w:rsidP="00FA6D05">
      <w:pPr>
        <w:pStyle w:val="BodyText"/>
      </w:pPr>
      <w:r>
        <w:t>The Department of E</w:t>
      </w:r>
      <w:r w:rsidR="000B43C6">
        <w:t>ducation, E</w:t>
      </w:r>
      <w:r>
        <w:t>mployment</w:t>
      </w:r>
      <w:r w:rsidR="000B43C6">
        <w:t xml:space="preserve"> </w:t>
      </w:r>
      <w:r>
        <w:t>and Workplace Relations (</w:t>
      </w:r>
      <w:r w:rsidR="008C73E0">
        <w:t>DEEWR</w:t>
      </w:r>
      <w:r>
        <w:t>)</w:t>
      </w:r>
      <w:r w:rsidR="008C73E0">
        <w:t xml:space="preserve"> uses its Research Evaluation Database (RED) to analyse information on all income support recipients apart from clients of the Department of Veterans</w:t>
      </w:r>
      <w:r w:rsidR="00D8102C">
        <w:t>’</w:t>
      </w:r>
      <w:r w:rsidR="008C73E0">
        <w:t xml:space="preserve"> Affairs. The database provides longitudinal information on the demographic characteristics of welfare recipients as well as the types of income support (benefit history) and other benefits and services that clients receive. The database also provides information on current </w:t>
      </w:r>
      <w:r w:rsidR="00E76B39">
        <w:t xml:space="preserve">income </w:t>
      </w:r>
      <w:r w:rsidR="008C73E0">
        <w:t>levels</w:t>
      </w:r>
      <w:r w:rsidR="00E76B39">
        <w:t xml:space="preserve"> </w:t>
      </w:r>
      <w:r w:rsidR="008C73E0">
        <w:t>of welfare recipients (including earnings from paid employment and other sources of income), their household circumstances (partnered or single) and their children.</w:t>
      </w:r>
    </w:p>
    <w:p w:rsidR="00424929" w:rsidRDefault="00424929" w:rsidP="00424929">
      <w:pPr>
        <w:pStyle w:val="BodyText"/>
      </w:pPr>
      <w:r>
        <w:t>One of the limitations of this database is that i</w:t>
      </w:r>
      <w:r w:rsidR="007045CE">
        <w:t>t</w:t>
      </w:r>
      <w:r>
        <w:t xml:space="preserve"> cannot shed light on activities undertaken by clients when they leave income support (for example, when they become employed or undertake education). Its longitudinal value relates to the time spent on income support — such as whether clients are engaged in part</w:t>
      </w:r>
      <w:r w:rsidR="00D8102C">
        <w:noBreakHyphen/>
      </w:r>
      <w:r>
        <w:t xml:space="preserve">time work </w:t>
      </w:r>
      <w:r>
        <w:lastRenderedPageBreak/>
        <w:t>which reduces their reliance on income support</w:t>
      </w:r>
      <w:r w:rsidR="001D06A0">
        <w:t>,</w:t>
      </w:r>
      <w:r>
        <w:t xml:space="preserve"> and whether they shift from one form of income support to another.</w:t>
      </w:r>
    </w:p>
    <w:p w:rsidR="00424929" w:rsidRDefault="00424929" w:rsidP="00424929">
      <w:pPr>
        <w:pStyle w:val="BodyText"/>
      </w:pPr>
      <w:r>
        <w:t xml:space="preserve">DEEWR has assisted the Melbourne Institute </w:t>
      </w:r>
      <w:r w:rsidR="003A2BBE">
        <w:t xml:space="preserve">of Applied Economic and Social Research </w:t>
      </w:r>
      <w:r>
        <w:t>in the past to use the RED to undertake evaluation analyses on topics such as the impact of welfare</w:t>
      </w:r>
      <w:r w:rsidR="00D8102C">
        <w:noBreakHyphen/>
      </w:r>
      <w:r>
        <w:t>to</w:t>
      </w:r>
      <w:r w:rsidR="00D8102C">
        <w:noBreakHyphen/>
      </w:r>
      <w:r>
        <w:t xml:space="preserve">work reforms. This research </w:t>
      </w:r>
      <w:r w:rsidR="001D06A0">
        <w:t xml:space="preserve">was </w:t>
      </w:r>
      <w:r>
        <w:t>commissioned under the Social Policy Research Services Agreement (2010</w:t>
      </w:r>
      <w:r>
        <w:noBreakHyphen/>
        <w:t>12).</w:t>
      </w:r>
    </w:p>
    <w:p w:rsidR="00424929" w:rsidRDefault="00424929" w:rsidP="00424929">
      <w:pPr>
        <w:pStyle w:val="BodyText"/>
      </w:pPr>
      <w:r>
        <w:t>DEEWR also uses a Job Seekers Screening Instrument to profile newly registered job seekers as to the presence of different types of relative disadvantage which may contribute to them becoming long</w:t>
      </w:r>
      <w:r w:rsidR="000B43C6">
        <w:noBreakHyphen/>
      </w:r>
      <w:r>
        <w:t xml:space="preserve">term unemployed. If new job seekers are assessed as having multiple, or more severe, forms of disadvantage, they can be referred for earlier intensive assistance. This database could be a useful source of information on the degree of disadvantage faced by some job seekers which limits their capacity to participate in the workforce. However, the information is limited to job seekers receiving Newstart Allowance and Youth Allowance and does not include the large number of people with multiple disadvantage who are in receipt of the Disability Support Pension. </w:t>
      </w:r>
    </w:p>
    <w:p w:rsidR="00424929" w:rsidRDefault="007045CE" w:rsidP="007045CE">
      <w:pPr>
        <w:pStyle w:val="Heading3"/>
      </w:pPr>
      <w:r>
        <w:t>Data integration</w:t>
      </w:r>
    </w:p>
    <w:p w:rsidR="009419E1" w:rsidRDefault="007045CE" w:rsidP="00AF00DE">
      <w:pPr>
        <w:pStyle w:val="BodyText"/>
      </w:pPr>
      <w:r>
        <w:t>Data integration (or data linkage) involves combining information from different data sources, such as surveys and administrative databases, to produce a new dataset. By linking the records in individual datasets</w:t>
      </w:r>
      <w:r w:rsidR="005C3C86">
        <w:t>,</w:t>
      </w:r>
      <w:r>
        <w:t xml:space="preserve"> </w:t>
      </w:r>
      <w:r w:rsidR="00235D98">
        <w:t>more information is leveraged f</w:t>
      </w:r>
      <w:r>
        <w:t>rom the combination of individual datasets than is available from the original sources taken separately</w:t>
      </w:r>
      <w:r w:rsidR="002D15C5">
        <w:t xml:space="preserve">. This </w:t>
      </w:r>
      <w:r>
        <w:t>maximis</w:t>
      </w:r>
      <w:r w:rsidR="002D15C5">
        <w:t xml:space="preserve">es </w:t>
      </w:r>
      <w:r>
        <w:t>the potential value of existing datasets</w:t>
      </w:r>
      <w:r w:rsidR="00EC236E">
        <w:t xml:space="preserve"> and can </w:t>
      </w:r>
      <w:r>
        <w:t>assist research</w:t>
      </w:r>
      <w:r w:rsidR="006D0632">
        <w:t>ers</w:t>
      </w:r>
      <w:r>
        <w:t xml:space="preserve"> to improve their understanding of deep and persistent disadvantage. For example</w:t>
      </w:r>
      <w:r w:rsidR="00AF00DE">
        <w:t xml:space="preserve">, </w:t>
      </w:r>
      <w:r>
        <w:t>the LSAC links survey data with the administrative databases of Medicare Australia, the National Childcare Accreditation Council and National Assessment Program Literacy and Numeracy to further research factors influencing the development of children (NSS 201</w:t>
      </w:r>
      <w:r w:rsidR="009D4DD9">
        <w:t>3</w:t>
      </w:r>
      <w:r>
        <w:t>)</w:t>
      </w:r>
      <w:r w:rsidR="00AF00DE">
        <w:t>.</w:t>
      </w:r>
    </w:p>
    <w:p w:rsidR="00424929" w:rsidRDefault="007045CE" w:rsidP="007045CE">
      <w:pPr>
        <w:pStyle w:val="Heading4"/>
      </w:pPr>
      <w:r>
        <w:t>Census Data Enhancement Project</w:t>
      </w:r>
    </w:p>
    <w:p w:rsidR="005C3C86" w:rsidRDefault="007045CE" w:rsidP="005C3C86">
      <w:pPr>
        <w:pStyle w:val="BodyText"/>
      </w:pPr>
      <w:r>
        <w:t xml:space="preserve">In 2005, the Australian Bureau of Statistics (ABS) initiated the Census Data Enhancement Project. </w:t>
      </w:r>
      <w:r w:rsidR="00D7276E">
        <w:t>As part of this project</w:t>
      </w:r>
      <w:r w:rsidR="00E76B39">
        <w:t>,</w:t>
      </w:r>
      <w:r w:rsidR="00D7276E">
        <w:t xml:space="preserve"> the ABS is linking census data to </w:t>
      </w:r>
      <w:r w:rsidR="005C3C86">
        <w:t xml:space="preserve">the following </w:t>
      </w:r>
      <w:r w:rsidR="00D7276E">
        <w:t>datasets to improve the quality of data</w:t>
      </w:r>
      <w:r w:rsidR="005C3C86">
        <w:t>:</w:t>
      </w:r>
    </w:p>
    <w:p w:rsidR="00D7276E" w:rsidRDefault="00D7276E" w:rsidP="005C3C86">
      <w:pPr>
        <w:pStyle w:val="ListBullet"/>
      </w:pPr>
      <w:r>
        <w:t>the Department of Immigration and Citizenship’s (DIAC</w:t>
      </w:r>
      <w:r w:rsidR="00D8102C">
        <w:t>’s</w:t>
      </w:r>
      <w:r>
        <w:t xml:space="preserve">) Settlement Database to facilitate evaluation of improvements implemented by DIAC to the Settlements </w:t>
      </w:r>
      <w:r w:rsidR="00D8102C">
        <w:t>D</w:t>
      </w:r>
      <w:r>
        <w:t>atabase</w:t>
      </w:r>
    </w:p>
    <w:p w:rsidR="00D7276E" w:rsidRDefault="00EC236E" w:rsidP="00D7276E">
      <w:pPr>
        <w:pStyle w:val="ListBullet"/>
      </w:pPr>
      <w:r>
        <w:lastRenderedPageBreak/>
        <w:t xml:space="preserve">a sample of student data from the National Assessment Program and the Australian Early Development Index, linking census data to school and early childhood education student enrolment data as part of a strategy to develop an Australian Longitudinal Learning Database </w:t>
      </w:r>
    </w:p>
    <w:p w:rsidR="00D7276E" w:rsidRDefault="00D7276E" w:rsidP="00D7276E">
      <w:pPr>
        <w:pStyle w:val="ListBullet"/>
      </w:pPr>
      <w:r>
        <w:t>State and Territory Regist</w:t>
      </w:r>
      <w:r w:rsidR="005C3C86">
        <w:t>ers</w:t>
      </w:r>
      <w:r>
        <w:t xml:space="preserve"> o</w:t>
      </w:r>
      <w:r w:rsidR="005C3C86">
        <w:t>f</w:t>
      </w:r>
      <w:r>
        <w:t xml:space="preserve"> Births, Deaths and Marriages</w:t>
      </w:r>
      <w:r w:rsidR="00EC236E">
        <w:t>,</w:t>
      </w:r>
      <w:r>
        <w:t xml:space="preserve"> to assess the match between Indigenous status in the two collections. This will improve data on health status, wellbeing and life expectancy of Indigenous people and provide input into the development of national best practice guidelines for data linkage related to Indigenous people</w:t>
      </w:r>
    </w:p>
    <w:p w:rsidR="00D7276E" w:rsidRDefault="00D7276E" w:rsidP="00D7276E">
      <w:pPr>
        <w:pStyle w:val="ListBullet"/>
      </w:pPr>
      <w:r>
        <w:t>the Australian Cancer database maintained by the Australian Institute of Health and Welfare with the objective of improving understanding of the relationships between socio</w:t>
      </w:r>
      <w:r w:rsidR="000B43C6">
        <w:noBreakHyphen/>
      </w:r>
      <w:r>
        <w:t>economic variables and cancer risks and outcomes, and improve the estimates of cancer incidence and mortality for the Indigenous community (ABS 2006</w:t>
      </w:r>
      <w:r w:rsidR="00D8102C">
        <w:t>b</w:t>
      </w:r>
      <w:r>
        <w:t>; ABS 2010</w:t>
      </w:r>
      <w:r w:rsidR="00D8102C">
        <w:t>c</w:t>
      </w:r>
      <w:r>
        <w:t>).</w:t>
      </w:r>
    </w:p>
    <w:p w:rsidR="00424929" w:rsidRDefault="00D7276E" w:rsidP="0088324E">
      <w:pPr>
        <w:pStyle w:val="BodyText"/>
      </w:pPr>
      <w:r>
        <w:t xml:space="preserve">The Census Data Enhancement </w:t>
      </w:r>
      <w:r w:rsidR="003737B2">
        <w:t>P</w:t>
      </w:r>
      <w:r>
        <w:t>roject also involves the formation of a Statistical Longitudinal Census Dataset (SLCD)</w:t>
      </w:r>
      <w:r w:rsidR="005C3C86">
        <w:t xml:space="preserve"> which </w:t>
      </w:r>
      <w:r>
        <w:t xml:space="preserve">will </w:t>
      </w:r>
      <w:r w:rsidR="005C3C86">
        <w:t xml:space="preserve">provide information on about </w:t>
      </w:r>
      <w:r w:rsidR="00D8102C">
        <w:t>5</w:t>
      </w:r>
      <w:r w:rsidR="00EC236E">
        <w:t> </w:t>
      </w:r>
      <w:r>
        <w:t>per</w:t>
      </w:r>
      <w:r w:rsidR="00EC236E">
        <w:t> </w:t>
      </w:r>
      <w:r>
        <w:t xml:space="preserve">cent of the Australian population. </w:t>
      </w:r>
      <w:r w:rsidR="003737B2">
        <w:t xml:space="preserve">Wave 1 </w:t>
      </w:r>
      <w:r>
        <w:t xml:space="preserve">of the SLCD was created by selecting a random sample from the 2006 Census dataset. Wave </w:t>
      </w:r>
      <w:r w:rsidR="00EC236E">
        <w:t xml:space="preserve">2 </w:t>
      </w:r>
      <w:r>
        <w:t xml:space="preserve">will endeavour to bring together the wave </w:t>
      </w:r>
      <w:r w:rsidR="003737B2">
        <w:t xml:space="preserve">1 </w:t>
      </w:r>
      <w:r>
        <w:t xml:space="preserve">records with their corresponding records from the 2011 Census. </w:t>
      </w:r>
      <w:r w:rsidR="00140E5F">
        <w:t xml:space="preserve">The </w:t>
      </w:r>
      <w:r w:rsidR="00D8102C">
        <w:t>5</w:t>
      </w:r>
      <w:r w:rsidR="00140E5F">
        <w:t> per cent SLCD containing 2006 and 20</w:t>
      </w:r>
      <w:r w:rsidR="000B43C6">
        <w:t>1</w:t>
      </w:r>
      <w:r w:rsidR="00140E5F">
        <w:t xml:space="preserve">1 Census data will be available in 2013. </w:t>
      </w:r>
      <w:r w:rsidR="002044A6">
        <w:t>Th</w:t>
      </w:r>
      <w:r w:rsidR="002441E4">
        <w:t xml:space="preserve">e dataset </w:t>
      </w:r>
      <w:r w:rsidR="002044A6">
        <w:t>will allow researchers to build a picture of how people move through transitions in their lives and what factors influence these transitions (ABS 20</w:t>
      </w:r>
      <w:r w:rsidR="00EC236E">
        <w:t>10</w:t>
      </w:r>
      <w:r w:rsidR="00D8102C">
        <w:t>c</w:t>
      </w:r>
      <w:r w:rsidR="002044A6">
        <w:t xml:space="preserve">). </w:t>
      </w:r>
    </w:p>
    <w:p w:rsidR="00F81235" w:rsidRDefault="00F81235" w:rsidP="00F81235">
      <w:pPr>
        <w:pStyle w:val="Heading4"/>
      </w:pPr>
      <w:r>
        <w:t xml:space="preserve">Statistical data integration involving </w:t>
      </w:r>
      <w:r w:rsidR="00D8102C">
        <w:t xml:space="preserve">Australian </w:t>
      </w:r>
      <w:r w:rsidR="0021322C">
        <w:t xml:space="preserve">and state </w:t>
      </w:r>
      <w:r w:rsidR="00D8102C">
        <w:t xml:space="preserve">government </w:t>
      </w:r>
      <w:r>
        <w:t>data</w:t>
      </w:r>
    </w:p>
    <w:p w:rsidR="008E5616" w:rsidRDefault="00F81235" w:rsidP="00F81235">
      <w:pPr>
        <w:pStyle w:val="BodyText"/>
      </w:pPr>
      <w:r>
        <w:t xml:space="preserve">In 2010, the heads of all </w:t>
      </w:r>
      <w:r w:rsidR="00D8102C">
        <w:t xml:space="preserve">Australian </w:t>
      </w:r>
      <w:r>
        <w:t xml:space="preserve">Government agencies and the Australian Public Service Commission endorsed a set of principles to govern the integration of </w:t>
      </w:r>
      <w:r w:rsidR="00D8102C">
        <w:t xml:space="preserve">Australian government </w:t>
      </w:r>
      <w:r>
        <w:t>data for statistical and research purposes</w:t>
      </w:r>
      <w:r w:rsidR="008E5616">
        <w:t>, as well as a set of governance and institutional arrangements to support these principles</w:t>
      </w:r>
      <w:r>
        <w:t xml:space="preserve">. </w:t>
      </w:r>
      <w:r w:rsidR="008E5616">
        <w:t xml:space="preserve">An important part of the arrangements is holding one agency accountable for the safe implementation of a data integration project. </w:t>
      </w:r>
      <w:r w:rsidR="00E722BB">
        <w:t xml:space="preserve">An Integrated Authority must be appointed for every data integration project involving </w:t>
      </w:r>
      <w:r w:rsidR="00D8102C">
        <w:t xml:space="preserve">Australian government </w:t>
      </w:r>
      <w:r w:rsidR="00E722BB">
        <w:t xml:space="preserve">data. The interim arrangements for accreditation are to be tested on </w:t>
      </w:r>
      <w:r w:rsidR="00D8102C">
        <w:t xml:space="preserve">Australian </w:t>
      </w:r>
      <w:r w:rsidR="00E722BB">
        <w:t>government agencies first. Following the testing phase, final arrangement</w:t>
      </w:r>
      <w:r w:rsidR="00D8102C">
        <w:t>s</w:t>
      </w:r>
      <w:r w:rsidR="00E722BB">
        <w:t xml:space="preserve"> will be put in place (expected to be October 2013, NSS 2013). </w:t>
      </w:r>
    </w:p>
    <w:p w:rsidR="00B35021" w:rsidRDefault="00B35021">
      <w:pPr>
        <w:spacing w:after="0" w:line="240" w:lineRule="auto"/>
        <w:rPr>
          <w:rFonts w:ascii="Times New Roman" w:eastAsia="Times New Roman" w:hAnsi="Times New Roman" w:cs="Times New Roman"/>
          <w:sz w:val="26"/>
          <w:szCs w:val="20"/>
          <w:lang w:eastAsia="en-AU"/>
        </w:rPr>
      </w:pPr>
      <w:r>
        <w:br w:type="page"/>
      </w:r>
    </w:p>
    <w:p w:rsidR="00E76B39" w:rsidRDefault="0021322C" w:rsidP="0088324E">
      <w:pPr>
        <w:pStyle w:val="BodyText"/>
      </w:pPr>
      <w:r>
        <w:lastRenderedPageBreak/>
        <w:t xml:space="preserve">At the state level, Western Australia has been linking administrative data from state agencies since 1995. </w:t>
      </w:r>
      <w:r w:rsidR="00B86C16">
        <w:t xml:space="preserve">More than </w:t>
      </w:r>
      <w:r>
        <w:t>700 studies have made use of linked data in areas such as health and aged care, development pathways for children, family connections, Indigenous identification and road safety</w:t>
      </w:r>
      <w:r w:rsidR="00E76B39">
        <w:t xml:space="preserve"> (Data Linkage Western Australia 2013)</w:t>
      </w:r>
      <w:r>
        <w:t xml:space="preserve">. </w:t>
      </w:r>
    </w:p>
    <w:p w:rsidR="005C3C86" w:rsidRDefault="0021322C" w:rsidP="0088324E">
      <w:pPr>
        <w:pStyle w:val="BodyText"/>
      </w:pPr>
      <w:r>
        <w:t>E</w:t>
      </w:r>
      <w:r w:rsidR="005C3C86">
        <w:t>xamples of integrated datasets are provided in box 6.1.</w:t>
      </w:r>
    </w:p>
    <w:p w:rsidR="00F50BD8" w:rsidRDefault="00F50BD8" w:rsidP="00F50BD8">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F50BD8" w:rsidTr="00F50BD8">
        <w:tc>
          <w:tcPr>
            <w:tcW w:w="8771" w:type="dxa"/>
            <w:tcBorders>
              <w:top w:val="single" w:sz="6" w:space="0" w:color="auto"/>
              <w:bottom w:val="nil"/>
            </w:tcBorders>
          </w:tcPr>
          <w:p w:rsidR="00F50BD8" w:rsidRDefault="00F50BD8" w:rsidP="00F50BD8">
            <w:pPr>
              <w:pStyle w:val="BoxTitle"/>
            </w:pPr>
            <w:r>
              <w:rPr>
                <w:b w:val="0"/>
              </w:rPr>
              <w:t xml:space="preserve">Box </w:t>
            </w:r>
            <w:r w:rsidR="00B35021">
              <w:rPr>
                <w:b w:val="0"/>
              </w:rPr>
              <w:t>6.</w:t>
            </w:r>
            <w:r w:rsidR="00C61950">
              <w:rPr>
                <w:b w:val="0"/>
                <w:noProof/>
              </w:rPr>
              <w:t>1</w:t>
            </w:r>
            <w:r>
              <w:tab/>
              <w:t xml:space="preserve">Data integration projects </w:t>
            </w:r>
          </w:p>
        </w:tc>
      </w:tr>
      <w:tr w:rsidR="00F50BD8" w:rsidTr="00F50BD8">
        <w:trPr>
          <w:cantSplit/>
        </w:trPr>
        <w:tc>
          <w:tcPr>
            <w:tcW w:w="8771" w:type="dxa"/>
            <w:tcBorders>
              <w:top w:val="nil"/>
              <w:left w:val="single" w:sz="6" w:space="0" w:color="auto"/>
              <w:bottom w:val="nil"/>
              <w:right w:val="single" w:sz="6" w:space="0" w:color="auto"/>
            </w:tcBorders>
          </w:tcPr>
          <w:p w:rsidR="00F50BD8" w:rsidRDefault="00F50BD8" w:rsidP="00F50BD8">
            <w:pPr>
              <w:pStyle w:val="Box"/>
            </w:pPr>
            <w:r>
              <w:t xml:space="preserve">The Ethics Committee of the </w:t>
            </w:r>
            <w:r w:rsidRPr="00F50BD8">
              <w:rPr>
                <w:i/>
              </w:rPr>
              <w:t>Australian Institute of Health and Welfare</w:t>
            </w:r>
            <w:r>
              <w:t xml:space="preserve"> (AIHW) approve</w:t>
            </w:r>
            <w:r w:rsidR="00044C70">
              <w:t xml:space="preserve">s </w:t>
            </w:r>
            <w:r>
              <w:t>data integration projects</w:t>
            </w:r>
            <w:r w:rsidR="00044C70">
              <w:t xml:space="preserve"> and w</w:t>
            </w:r>
            <w:r>
              <w:t>hile these projects focus on health issues, some are relevant to broader issues of disadvantage</w:t>
            </w:r>
            <w:r w:rsidR="00044C70">
              <w:t xml:space="preserve">. </w:t>
            </w:r>
          </w:p>
          <w:p w:rsidR="00044C70" w:rsidRDefault="00044C70" w:rsidP="00044C70">
            <w:pPr>
              <w:pStyle w:val="BoxListBullet"/>
              <w:rPr>
                <w:rStyle w:val="Strong"/>
                <w:b w:val="0"/>
                <w:bCs w:val="0"/>
              </w:rPr>
            </w:pPr>
            <w:r w:rsidRPr="00044C70">
              <w:rPr>
                <w:rStyle w:val="Strong"/>
                <w:b w:val="0"/>
                <w:bCs w:val="0"/>
              </w:rPr>
              <w:t>Passports to advantage: health and capacity building as a basis for social integration</w:t>
            </w:r>
            <w:r>
              <w:rPr>
                <w:rStyle w:val="Strong"/>
                <w:b w:val="0"/>
                <w:bCs w:val="0"/>
              </w:rPr>
              <w:t>.</w:t>
            </w:r>
          </w:p>
          <w:p w:rsidR="00044C70" w:rsidRPr="00044C70" w:rsidRDefault="00044C70" w:rsidP="00044C70">
            <w:pPr>
              <w:pStyle w:val="BoxListBullet"/>
            </w:pPr>
            <w:r>
              <w:rPr>
                <w:lang w:val="en"/>
              </w:rPr>
              <w:t>Mortality rates in a youth offender cohort: a 10 year follow-up.</w:t>
            </w:r>
          </w:p>
          <w:p w:rsidR="00044C70" w:rsidRDefault="00044C70" w:rsidP="00F50BD8">
            <w:pPr>
              <w:pStyle w:val="BoxListBullet"/>
            </w:pPr>
            <w:r>
              <w:rPr>
                <w:lang w:val="en"/>
              </w:rPr>
              <w:t>Mortality in people who inject drugs in Australia: record linkage of combined research cohorts.</w:t>
            </w:r>
          </w:p>
          <w:p w:rsidR="00F50BD8" w:rsidRDefault="00044C70" w:rsidP="00F50BD8">
            <w:pPr>
              <w:pStyle w:val="BoxListBullet"/>
            </w:pPr>
            <w:r>
              <w:t>V</w:t>
            </w:r>
            <w:r w:rsidR="00F50BD8">
              <w:t>alidation of the Enhanced Indigenous Mortality Database using NSW Native Title Register data</w:t>
            </w:r>
            <w:r>
              <w:t>.</w:t>
            </w:r>
          </w:p>
          <w:p w:rsidR="00F50BD8" w:rsidRDefault="00F50BD8" w:rsidP="00F50BD8">
            <w:pPr>
              <w:pStyle w:val="BoxListBullet"/>
            </w:pPr>
            <w:r>
              <w:t>Childhood Determinants of Adult Health Study linking data from the 1985 Australian Schools Health and Fitness Survey with the National Death Index</w:t>
            </w:r>
            <w:r w:rsidR="00044C70">
              <w:t>.</w:t>
            </w:r>
          </w:p>
          <w:p w:rsidR="00F50BD8" w:rsidRDefault="00044C70" w:rsidP="00F50BD8">
            <w:pPr>
              <w:pStyle w:val="BoxListBullet"/>
            </w:pPr>
            <w:r>
              <w:t>L</w:t>
            </w:r>
            <w:r w:rsidR="00F50BD8">
              <w:t>inking data from the Supported Accommodation Assistance Program, juvenile justice and child protection sources to enable an analysis of movements between these sectors and the characteristics of young people who are involved in more than one these programs.</w:t>
            </w:r>
          </w:p>
          <w:p w:rsidR="00F50BD8" w:rsidRDefault="00F50BD8" w:rsidP="00F50BD8">
            <w:pPr>
              <w:pStyle w:val="Box"/>
            </w:pPr>
            <w:r>
              <w:t xml:space="preserve">The </w:t>
            </w:r>
            <w:r w:rsidRPr="00F81235">
              <w:rPr>
                <w:i/>
              </w:rPr>
              <w:t>Population Health Research Network</w:t>
            </w:r>
            <w:r>
              <w:t xml:space="preserve"> (PHRN) is an Australian Government initiative responsible for building national data linkage infrastructure with the aim of improving health and health care outcomes. The PHRN is overseeing the development of new and expanded data linkage capacity in each Australian state/territory and supporting the establishment of a national Centre for Data Linkage. </w:t>
            </w:r>
          </w:p>
          <w:p w:rsidR="00F50BD8" w:rsidRDefault="0021322C" w:rsidP="004760D1">
            <w:pPr>
              <w:pStyle w:val="Box"/>
            </w:pPr>
            <w:r>
              <w:t>T</w:t>
            </w:r>
            <w:r w:rsidR="00F81235">
              <w:t xml:space="preserve">he </w:t>
            </w:r>
            <w:r w:rsidR="00F81235" w:rsidRPr="0021322C">
              <w:rPr>
                <w:i/>
              </w:rPr>
              <w:t xml:space="preserve">Developmental Pathways in WA Children </w:t>
            </w:r>
            <w:r>
              <w:rPr>
                <w:i/>
              </w:rPr>
              <w:t>P</w:t>
            </w:r>
            <w:r w:rsidR="00F81235" w:rsidRPr="0021322C">
              <w:rPr>
                <w:i/>
              </w:rPr>
              <w:t>roject</w:t>
            </w:r>
            <w:r w:rsidR="00F81235">
              <w:t xml:space="preserve"> is a multidisciplinary approach to investigat</w:t>
            </w:r>
            <w:r w:rsidR="003737B2">
              <w:t>ing</w:t>
            </w:r>
            <w:r w:rsidR="00F81235">
              <w:t xml:space="preserve"> the pathways to health and wellbeing, education and juvenile delinquency outcomes among Western Australian children and youth. It is linking data from state government departments and agencies to create a significant research and policy planning/evaluation resource.</w:t>
            </w:r>
          </w:p>
        </w:tc>
      </w:tr>
      <w:tr w:rsidR="00F50BD8" w:rsidTr="00F50BD8">
        <w:trPr>
          <w:cantSplit/>
        </w:trPr>
        <w:tc>
          <w:tcPr>
            <w:tcW w:w="8771" w:type="dxa"/>
            <w:tcBorders>
              <w:top w:val="nil"/>
              <w:left w:val="single" w:sz="6" w:space="0" w:color="auto"/>
              <w:bottom w:val="nil"/>
              <w:right w:val="single" w:sz="6" w:space="0" w:color="auto"/>
            </w:tcBorders>
          </w:tcPr>
          <w:p w:rsidR="00F50BD8" w:rsidRDefault="00F50BD8" w:rsidP="003465EF">
            <w:pPr>
              <w:pStyle w:val="BoxSource"/>
            </w:pPr>
            <w:r>
              <w:rPr>
                <w:i/>
              </w:rPr>
              <w:t>Sources</w:t>
            </w:r>
            <w:r w:rsidRPr="00167F06">
              <w:t xml:space="preserve">: </w:t>
            </w:r>
            <w:r>
              <w:t>AIHW (201</w:t>
            </w:r>
            <w:r w:rsidR="00B86C16">
              <w:t>3</w:t>
            </w:r>
            <w:r w:rsidR="00D8102C">
              <w:t>b</w:t>
            </w:r>
            <w:r>
              <w:t xml:space="preserve">); </w:t>
            </w:r>
            <w:r w:rsidR="00E76B39">
              <w:t xml:space="preserve">Data Linkage Western Australia (2010); </w:t>
            </w:r>
            <w:r w:rsidR="00B86C16">
              <w:t>PHRN (2012)</w:t>
            </w:r>
            <w:r w:rsidR="003465EF">
              <w:t xml:space="preserve">. </w:t>
            </w:r>
          </w:p>
        </w:tc>
      </w:tr>
      <w:tr w:rsidR="00F50BD8" w:rsidTr="00F50BD8">
        <w:trPr>
          <w:cantSplit/>
        </w:trPr>
        <w:tc>
          <w:tcPr>
            <w:tcW w:w="8771" w:type="dxa"/>
            <w:tcBorders>
              <w:top w:val="nil"/>
              <w:left w:val="single" w:sz="6" w:space="0" w:color="auto"/>
              <w:bottom w:val="single" w:sz="6" w:space="0" w:color="auto"/>
              <w:right w:val="single" w:sz="6" w:space="0" w:color="auto"/>
            </w:tcBorders>
          </w:tcPr>
          <w:p w:rsidR="00F50BD8" w:rsidRDefault="00F50BD8" w:rsidP="00F50BD8">
            <w:pPr>
              <w:pStyle w:val="Box"/>
              <w:spacing w:before="0" w:line="120" w:lineRule="exact"/>
            </w:pPr>
          </w:p>
        </w:tc>
      </w:tr>
      <w:tr w:rsidR="00F50BD8" w:rsidRPr="000863A5" w:rsidTr="00F50BD8">
        <w:tc>
          <w:tcPr>
            <w:tcW w:w="8771" w:type="dxa"/>
            <w:tcBorders>
              <w:top w:val="nil"/>
              <w:left w:val="nil"/>
              <w:bottom w:val="nil"/>
              <w:right w:val="nil"/>
            </w:tcBorders>
          </w:tcPr>
          <w:p w:rsidR="00F50BD8" w:rsidRPr="00626D32" w:rsidRDefault="00F50BD8" w:rsidP="00F50BD8">
            <w:pPr>
              <w:pStyle w:val="BoxSpaceBelow"/>
            </w:pPr>
          </w:p>
        </w:tc>
      </w:tr>
    </w:tbl>
    <w:p w:rsidR="00B35021" w:rsidRDefault="00B35021" w:rsidP="006B4472">
      <w:pPr>
        <w:pStyle w:val="BodyText"/>
      </w:pPr>
    </w:p>
    <w:p w:rsidR="00B35021" w:rsidRDefault="00B35021" w:rsidP="00B35021">
      <w:pPr>
        <w:pStyle w:val="BodyText"/>
      </w:pPr>
      <w:r>
        <w:br w:type="page"/>
      </w:r>
    </w:p>
    <w:p w:rsidR="00D80C91" w:rsidRDefault="003737B2" w:rsidP="006B4472">
      <w:pPr>
        <w:pStyle w:val="BodyText"/>
      </w:pPr>
      <w:r>
        <w:lastRenderedPageBreak/>
        <w:t>In summary, a</w:t>
      </w:r>
      <w:r w:rsidR="00361354">
        <w:t xml:space="preserve">dministrative datasets can be an important source of information on deep and persistent disadvantage. </w:t>
      </w:r>
      <w:r w:rsidR="00D80C91">
        <w:t xml:space="preserve">Privacy policies by necessity limit data accessibility, but greater scope to confidentialise data, and apply confidentiality at the output rather than the input stage of analysis, could greatly enhance the scope to utilise administrative data to evaluate the effectiveness of policies and programs in preventing disadvantage </w:t>
      </w:r>
      <w:r w:rsidR="0025253B">
        <w:t xml:space="preserve">and </w:t>
      </w:r>
      <w:r w:rsidR="00D80C91">
        <w:t>reduc</w:t>
      </w:r>
      <w:r w:rsidR="0025253B">
        <w:t xml:space="preserve">ing </w:t>
      </w:r>
      <w:r w:rsidR="00D80C91">
        <w:t>costs</w:t>
      </w:r>
      <w:r w:rsidR="0025253B">
        <w:t xml:space="preserve">. </w:t>
      </w:r>
    </w:p>
    <w:p w:rsidR="00F81235" w:rsidRDefault="00030933" w:rsidP="006B4472">
      <w:pPr>
        <w:pStyle w:val="BodyText"/>
      </w:pPr>
      <w:r>
        <w:t>The integration of administration data with other data sources also has the potential to provide new knowledge</w:t>
      </w:r>
      <w:r w:rsidR="003737B2">
        <w:t xml:space="preserve">. There are several initiatives, particularly but not only, at the Commonwealth level that have the </w:t>
      </w:r>
      <w:r w:rsidR="001822BC">
        <w:t xml:space="preserve">potential to significantly improve the level of information for researchers, policy makers and program administrators about deep and persistent disadvantage. It is important that these developments proceed and that there is greater transparency and availability of administrative </w:t>
      </w:r>
      <w:r w:rsidR="00375413">
        <w:t xml:space="preserve">projects </w:t>
      </w:r>
      <w:r w:rsidR="001822BC">
        <w:t xml:space="preserve">in the future. </w:t>
      </w:r>
    </w:p>
    <w:sectPr w:rsidR="00F81235" w:rsidSect="00B35021">
      <w:headerReference w:type="even" r:id="rId9"/>
      <w:headerReference w:type="default" r:id="rId10"/>
      <w:footerReference w:type="even" r:id="rId11"/>
      <w:footerReference w:type="default" r:id="rId12"/>
      <w:pgSz w:w="11907" w:h="16840" w:code="9"/>
      <w:pgMar w:top="1985" w:right="1304" w:bottom="1418" w:left="1814" w:header="1701" w:footer="567" w:gutter="0"/>
      <w:pgNumType w:start="187"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B39" w:rsidRDefault="00E76B39">
      <w:r>
        <w:separator/>
      </w:r>
    </w:p>
  </w:endnote>
  <w:endnote w:type="continuationSeparator" w:id="0">
    <w:p w:rsidR="00E76B39" w:rsidRDefault="00E76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E76B39">
      <w:trPr>
        <w:trHeight w:hRule="exact" w:val="740"/>
      </w:trPr>
      <w:tc>
        <w:tcPr>
          <w:tcW w:w="510" w:type="dxa"/>
          <w:tcBorders>
            <w:top w:val="single" w:sz="6" w:space="0" w:color="auto"/>
          </w:tcBorders>
        </w:tcPr>
        <w:p w:rsidR="00E76B39" w:rsidRDefault="00E76B39"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E314FE">
            <w:rPr>
              <w:rStyle w:val="PageNumber"/>
              <w:noProof/>
            </w:rPr>
            <w:t>200</w:t>
          </w:r>
          <w:r>
            <w:rPr>
              <w:rStyle w:val="PageNumber"/>
            </w:rPr>
            <w:fldChar w:fldCharType="end"/>
          </w:r>
        </w:p>
      </w:tc>
      <w:tc>
        <w:tcPr>
          <w:tcW w:w="1644" w:type="dxa"/>
          <w:tcBorders>
            <w:top w:val="single" w:sz="6" w:space="0" w:color="auto"/>
          </w:tcBorders>
        </w:tcPr>
        <w:p w:rsidR="00E76B39" w:rsidRDefault="00DE2237" w:rsidP="0019293B">
          <w:pPr>
            <w:pStyle w:val="Footer"/>
          </w:pPr>
          <w:fldSimple w:instr=" SUBJECT  \* MERGEFORMAT ">
            <w:r w:rsidR="00C61950">
              <w:t>Deep and Persistent Disadvantage</w:t>
            </w:r>
          </w:fldSimple>
        </w:p>
      </w:tc>
      <w:tc>
        <w:tcPr>
          <w:tcW w:w="6634" w:type="dxa"/>
        </w:tcPr>
        <w:p w:rsidR="00E76B39" w:rsidRDefault="00E76B39" w:rsidP="0019293B">
          <w:pPr>
            <w:pStyle w:val="Footer"/>
          </w:pPr>
        </w:p>
      </w:tc>
    </w:tr>
  </w:tbl>
  <w:p w:rsidR="00E76B39" w:rsidRDefault="00E76B39"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E76B39">
      <w:trPr>
        <w:trHeight w:hRule="exact" w:val="740"/>
      </w:trPr>
      <w:tc>
        <w:tcPr>
          <w:tcW w:w="6634" w:type="dxa"/>
        </w:tcPr>
        <w:p w:rsidR="00E76B39" w:rsidRDefault="00E76B39">
          <w:pPr>
            <w:pStyle w:val="Footer"/>
            <w:ind w:right="360" w:firstLine="360"/>
          </w:pPr>
        </w:p>
      </w:tc>
      <w:tc>
        <w:tcPr>
          <w:tcW w:w="1644" w:type="dxa"/>
          <w:tcBorders>
            <w:top w:val="single" w:sz="6" w:space="0" w:color="auto"/>
          </w:tcBorders>
        </w:tcPr>
        <w:p w:rsidR="00E76B39" w:rsidRDefault="00DE2237">
          <w:pPr>
            <w:pStyle w:val="Footer"/>
          </w:pPr>
          <w:fldSimple w:instr=" TITLE  \* MERGEFORMAT ">
            <w:r w:rsidR="00C61950">
              <w:t>Where to from here?</w:t>
            </w:r>
          </w:fldSimple>
        </w:p>
      </w:tc>
      <w:tc>
        <w:tcPr>
          <w:tcW w:w="510" w:type="dxa"/>
          <w:tcBorders>
            <w:top w:val="single" w:sz="6" w:space="0" w:color="auto"/>
          </w:tcBorders>
        </w:tcPr>
        <w:p w:rsidR="00E76B39" w:rsidRDefault="00E76B39">
          <w:pPr>
            <w:pStyle w:val="Footer"/>
            <w:jc w:val="right"/>
          </w:pPr>
          <w:r>
            <w:rPr>
              <w:rStyle w:val="PageNumber"/>
            </w:rPr>
            <w:fldChar w:fldCharType="begin"/>
          </w:r>
          <w:r>
            <w:rPr>
              <w:rStyle w:val="PageNumber"/>
            </w:rPr>
            <w:instrText xml:space="preserve">PAGE  </w:instrText>
          </w:r>
          <w:r>
            <w:rPr>
              <w:rStyle w:val="PageNumber"/>
            </w:rPr>
            <w:fldChar w:fldCharType="separate"/>
          </w:r>
          <w:r w:rsidR="00E314FE">
            <w:rPr>
              <w:rStyle w:val="PageNumber"/>
              <w:noProof/>
            </w:rPr>
            <w:t>187</w:t>
          </w:r>
          <w:r>
            <w:rPr>
              <w:rStyle w:val="PageNumber"/>
            </w:rPr>
            <w:fldChar w:fldCharType="end"/>
          </w:r>
        </w:p>
      </w:tc>
    </w:tr>
  </w:tbl>
  <w:p w:rsidR="00E76B39" w:rsidRDefault="00E76B3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B39" w:rsidRDefault="00E76B39">
      <w:r>
        <w:separator/>
      </w:r>
    </w:p>
  </w:footnote>
  <w:footnote w:type="continuationSeparator" w:id="0">
    <w:p w:rsidR="00E76B39" w:rsidRDefault="00E76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E76B39">
      <w:tc>
        <w:tcPr>
          <w:tcW w:w="2155" w:type="dxa"/>
          <w:tcBorders>
            <w:top w:val="single" w:sz="24" w:space="0" w:color="auto"/>
          </w:tcBorders>
        </w:tcPr>
        <w:p w:rsidR="00E76B39" w:rsidRDefault="00E76B39" w:rsidP="0019293B">
          <w:pPr>
            <w:pStyle w:val="HeaderEven"/>
          </w:pPr>
        </w:p>
      </w:tc>
      <w:tc>
        <w:tcPr>
          <w:tcW w:w="6634" w:type="dxa"/>
          <w:tcBorders>
            <w:top w:val="single" w:sz="6" w:space="0" w:color="auto"/>
          </w:tcBorders>
        </w:tcPr>
        <w:p w:rsidR="00E76B39" w:rsidRDefault="00E76B39" w:rsidP="0019293B">
          <w:pPr>
            <w:pStyle w:val="HeaderEven"/>
          </w:pPr>
        </w:p>
      </w:tc>
    </w:tr>
  </w:tbl>
  <w:p w:rsidR="00E76B39" w:rsidRDefault="00E76B39"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E76B39">
      <w:tc>
        <w:tcPr>
          <w:tcW w:w="6634" w:type="dxa"/>
          <w:tcBorders>
            <w:top w:val="single" w:sz="6" w:space="0" w:color="auto"/>
          </w:tcBorders>
        </w:tcPr>
        <w:p w:rsidR="00E76B39" w:rsidRDefault="00E76B39" w:rsidP="00E669E2">
          <w:pPr>
            <w:pStyle w:val="HeaderOdd"/>
          </w:pPr>
        </w:p>
      </w:tc>
      <w:tc>
        <w:tcPr>
          <w:tcW w:w="2155" w:type="dxa"/>
          <w:tcBorders>
            <w:top w:val="single" w:sz="24" w:space="0" w:color="auto"/>
          </w:tcBorders>
        </w:tcPr>
        <w:p w:rsidR="00E76B39" w:rsidRDefault="00E76B39" w:rsidP="00E669E2">
          <w:pPr>
            <w:pStyle w:val="HeaderOdd"/>
          </w:pPr>
        </w:p>
      </w:tc>
    </w:tr>
  </w:tbl>
  <w:p w:rsidR="00E76B39" w:rsidRDefault="00E76B39"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1">
    <w:nsid w:val="5A096576"/>
    <w:multiLevelType w:val="singleLevel"/>
    <w:tmpl w:val="ED98921A"/>
    <w:lvl w:ilvl="0">
      <w:start w:val="1"/>
      <w:numFmt w:val="decimal"/>
      <w:lvlText w:val="%1."/>
      <w:legacy w:legacy="1" w:legacySpace="0" w:legacyIndent="340"/>
      <w:lvlJc w:val="left"/>
      <w:pPr>
        <w:ind w:left="340" w:hanging="340"/>
      </w:pPr>
    </w:lvl>
  </w:abstractNum>
  <w:abstractNum w:abstractNumId="32">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0055F7F"/>
    <w:multiLevelType w:val="singleLevel"/>
    <w:tmpl w:val="ED98921A"/>
    <w:lvl w:ilvl="0">
      <w:start w:val="1"/>
      <w:numFmt w:val="decimal"/>
      <w:lvlText w:val="%1."/>
      <w:legacy w:legacy="1" w:legacySpace="0" w:legacyIndent="340"/>
      <w:lvlJc w:val="left"/>
      <w:pPr>
        <w:ind w:left="340" w:hanging="340"/>
      </w:pPr>
    </w:lvl>
  </w:abstractNum>
  <w:abstractNum w:abstractNumId="34">
    <w:nsid w:val="608E741E"/>
    <w:multiLevelType w:val="singleLevel"/>
    <w:tmpl w:val="ED98921A"/>
    <w:lvl w:ilvl="0">
      <w:start w:val="1"/>
      <w:numFmt w:val="decimal"/>
      <w:lvlText w:val="%1."/>
      <w:legacy w:legacy="1" w:legacySpace="0" w:legacyIndent="340"/>
      <w:lvlJc w:val="left"/>
      <w:pPr>
        <w:ind w:left="340" w:hanging="340"/>
      </w:pPr>
    </w:lvl>
  </w:abstractNum>
  <w:abstractNum w:abstractNumId="35">
    <w:nsid w:val="61320C1E"/>
    <w:multiLevelType w:val="singleLevel"/>
    <w:tmpl w:val="C444122C"/>
    <w:lvl w:ilvl="0">
      <w:start w:val="1"/>
      <w:numFmt w:val="decimal"/>
      <w:lvlText w:val="%1."/>
      <w:legacy w:legacy="1" w:legacySpace="0" w:legacyIndent="284"/>
      <w:lvlJc w:val="left"/>
      <w:pPr>
        <w:ind w:left="284" w:hanging="284"/>
      </w:pPr>
    </w:lvl>
  </w:abstractNum>
  <w:abstractNum w:abstractNumId="36">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7">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8">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9">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0">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2">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3">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4">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2"/>
  </w:num>
  <w:num w:numId="4">
    <w:abstractNumId w:val="7"/>
  </w:num>
  <w:num w:numId="5">
    <w:abstractNumId w:val="5"/>
  </w:num>
  <w:num w:numId="6">
    <w:abstractNumId w:val="25"/>
  </w:num>
  <w:num w:numId="7">
    <w:abstractNumId w:val="3"/>
  </w:num>
  <w:num w:numId="8">
    <w:abstractNumId w:val="9"/>
  </w:num>
  <w:num w:numId="9">
    <w:abstractNumId w:val="2"/>
  </w:num>
  <w:num w:numId="10">
    <w:abstractNumId w:val="37"/>
  </w:num>
  <w:num w:numId="11">
    <w:abstractNumId w:val="4"/>
  </w:num>
  <w:num w:numId="12">
    <w:abstractNumId w:val="1"/>
  </w:num>
  <w:num w:numId="13">
    <w:abstractNumId w:val="0"/>
  </w:num>
  <w:num w:numId="14">
    <w:abstractNumId w:val="28"/>
  </w:num>
  <w:num w:numId="15">
    <w:abstractNumId w:val="43"/>
  </w:num>
  <w:num w:numId="16">
    <w:abstractNumId w:val="17"/>
  </w:num>
  <w:num w:numId="17">
    <w:abstractNumId w:val="16"/>
  </w:num>
  <w:num w:numId="18">
    <w:abstractNumId w:val="26"/>
  </w:num>
  <w:num w:numId="19">
    <w:abstractNumId w:val="12"/>
  </w:num>
  <w:num w:numId="20">
    <w:abstractNumId w:val="34"/>
  </w:num>
  <w:num w:numId="21">
    <w:abstractNumId w:val="36"/>
  </w:num>
  <w:num w:numId="22">
    <w:abstractNumId w:val="24"/>
  </w:num>
  <w:num w:numId="23">
    <w:abstractNumId w:val="27"/>
  </w:num>
  <w:num w:numId="24">
    <w:abstractNumId w:val="29"/>
  </w:num>
  <w:num w:numId="25">
    <w:abstractNumId w:val="41"/>
  </w:num>
  <w:num w:numId="26">
    <w:abstractNumId w:val="33"/>
  </w:num>
  <w:num w:numId="27">
    <w:abstractNumId w:val="38"/>
  </w:num>
  <w:num w:numId="28">
    <w:abstractNumId w:val="39"/>
  </w:num>
  <w:num w:numId="29">
    <w:abstractNumId w:val="31"/>
  </w:num>
  <w:num w:numId="30">
    <w:abstractNumId w:val="21"/>
  </w:num>
  <w:num w:numId="31">
    <w:abstractNumId w:val="44"/>
  </w:num>
  <w:num w:numId="32">
    <w:abstractNumId w:val="15"/>
  </w:num>
  <w:num w:numId="33">
    <w:abstractNumId w:val="8"/>
  </w:num>
  <w:num w:numId="34">
    <w:abstractNumId w:val="18"/>
  </w:num>
  <w:num w:numId="35">
    <w:abstractNumId w:val="40"/>
  </w:num>
  <w:num w:numId="36">
    <w:abstractNumId w:val="32"/>
  </w:num>
  <w:num w:numId="37">
    <w:abstractNumId w:val="13"/>
  </w:num>
  <w:num w:numId="38">
    <w:abstractNumId w:val="35"/>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Where to from here?"/>
    <w:docVar w:name="ShortReportTitle" w:val="Deep and Persistent Disadvantage"/>
  </w:docVars>
  <w:rsids>
    <w:rsidRoot w:val="00D05ADB"/>
    <w:rsid w:val="00016475"/>
    <w:rsid w:val="000227D5"/>
    <w:rsid w:val="000245AA"/>
    <w:rsid w:val="00030933"/>
    <w:rsid w:val="0003664B"/>
    <w:rsid w:val="0004111F"/>
    <w:rsid w:val="000413D0"/>
    <w:rsid w:val="00044C70"/>
    <w:rsid w:val="00046658"/>
    <w:rsid w:val="000565B3"/>
    <w:rsid w:val="000638BC"/>
    <w:rsid w:val="0007150B"/>
    <w:rsid w:val="00071560"/>
    <w:rsid w:val="00080D38"/>
    <w:rsid w:val="000938F5"/>
    <w:rsid w:val="000967EB"/>
    <w:rsid w:val="00096E55"/>
    <w:rsid w:val="000A51D4"/>
    <w:rsid w:val="000A600F"/>
    <w:rsid w:val="000B43C6"/>
    <w:rsid w:val="000B601B"/>
    <w:rsid w:val="000B728E"/>
    <w:rsid w:val="000C207E"/>
    <w:rsid w:val="000D673C"/>
    <w:rsid w:val="000F0035"/>
    <w:rsid w:val="000F420B"/>
    <w:rsid w:val="00110116"/>
    <w:rsid w:val="00112425"/>
    <w:rsid w:val="00115CC8"/>
    <w:rsid w:val="00120072"/>
    <w:rsid w:val="00120706"/>
    <w:rsid w:val="00125F0D"/>
    <w:rsid w:val="00126EB8"/>
    <w:rsid w:val="001274D4"/>
    <w:rsid w:val="00136059"/>
    <w:rsid w:val="001363AA"/>
    <w:rsid w:val="00137B09"/>
    <w:rsid w:val="001406AD"/>
    <w:rsid w:val="00140E5F"/>
    <w:rsid w:val="00147030"/>
    <w:rsid w:val="00162A67"/>
    <w:rsid w:val="001822BC"/>
    <w:rsid w:val="001833AC"/>
    <w:rsid w:val="00183E82"/>
    <w:rsid w:val="001867BA"/>
    <w:rsid w:val="0018760B"/>
    <w:rsid w:val="001878BB"/>
    <w:rsid w:val="00191AE0"/>
    <w:rsid w:val="0019293B"/>
    <w:rsid w:val="001962A1"/>
    <w:rsid w:val="00197896"/>
    <w:rsid w:val="001A393A"/>
    <w:rsid w:val="001A5621"/>
    <w:rsid w:val="001C0865"/>
    <w:rsid w:val="001C172B"/>
    <w:rsid w:val="001C3ABA"/>
    <w:rsid w:val="001C61EF"/>
    <w:rsid w:val="001D06A0"/>
    <w:rsid w:val="001E7BE8"/>
    <w:rsid w:val="001F0248"/>
    <w:rsid w:val="001F2DBC"/>
    <w:rsid w:val="001F3EB3"/>
    <w:rsid w:val="001F4F86"/>
    <w:rsid w:val="00202C2C"/>
    <w:rsid w:val="002044A6"/>
    <w:rsid w:val="0021322C"/>
    <w:rsid w:val="002135AB"/>
    <w:rsid w:val="002144BE"/>
    <w:rsid w:val="00215B9B"/>
    <w:rsid w:val="00235D98"/>
    <w:rsid w:val="00242279"/>
    <w:rsid w:val="002441E4"/>
    <w:rsid w:val="00245C82"/>
    <w:rsid w:val="0025253B"/>
    <w:rsid w:val="00257DAE"/>
    <w:rsid w:val="00291B40"/>
    <w:rsid w:val="00293F75"/>
    <w:rsid w:val="002A0CD3"/>
    <w:rsid w:val="002B4008"/>
    <w:rsid w:val="002C04C9"/>
    <w:rsid w:val="002D02C5"/>
    <w:rsid w:val="002D0E8E"/>
    <w:rsid w:val="002D15C5"/>
    <w:rsid w:val="002F7F01"/>
    <w:rsid w:val="00301189"/>
    <w:rsid w:val="00307737"/>
    <w:rsid w:val="003135BE"/>
    <w:rsid w:val="00323E09"/>
    <w:rsid w:val="00333932"/>
    <w:rsid w:val="0033691D"/>
    <w:rsid w:val="003465EF"/>
    <w:rsid w:val="003518AA"/>
    <w:rsid w:val="00352165"/>
    <w:rsid w:val="00353182"/>
    <w:rsid w:val="003565D9"/>
    <w:rsid w:val="003602E1"/>
    <w:rsid w:val="00361354"/>
    <w:rsid w:val="0036586B"/>
    <w:rsid w:val="0037026F"/>
    <w:rsid w:val="00371240"/>
    <w:rsid w:val="003737B2"/>
    <w:rsid w:val="00374731"/>
    <w:rsid w:val="00375413"/>
    <w:rsid w:val="00376E59"/>
    <w:rsid w:val="003919F9"/>
    <w:rsid w:val="0039231F"/>
    <w:rsid w:val="003946B3"/>
    <w:rsid w:val="003A2BBE"/>
    <w:rsid w:val="003A35BF"/>
    <w:rsid w:val="003B0274"/>
    <w:rsid w:val="003B722D"/>
    <w:rsid w:val="003C1B91"/>
    <w:rsid w:val="003C3224"/>
    <w:rsid w:val="003C38B5"/>
    <w:rsid w:val="003C5D99"/>
    <w:rsid w:val="003D1301"/>
    <w:rsid w:val="003E0C2B"/>
    <w:rsid w:val="003E2F59"/>
    <w:rsid w:val="003F0789"/>
    <w:rsid w:val="003F1586"/>
    <w:rsid w:val="00401882"/>
    <w:rsid w:val="004100C8"/>
    <w:rsid w:val="00411DBD"/>
    <w:rsid w:val="00412ACE"/>
    <w:rsid w:val="00424929"/>
    <w:rsid w:val="00425AC8"/>
    <w:rsid w:val="004272CB"/>
    <w:rsid w:val="00431249"/>
    <w:rsid w:val="00434C19"/>
    <w:rsid w:val="00444AB5"/>
    <w:rsid w:val="00450810"/>
    <w:rsid w:val="0047513C"/>
    <w:rsid w:val="004760D1"/>
    <w:rsid w:val="00477144"/>
    <w:rsid w:val="00491380"/>
    <w:rsid w:val="0049459F"/>
    <w:rsid w:val="004A1ECE"/>
    <w:rsid w:val="004A38DD"/>
    <w:rsid w:val="004B43AE"/>
    <w:rsid w:val="004C30ED"/>
    <w:rsid w:val="004C7389"/>
    <w:rsid w:val="004D1650"/>
    <w:rsid w:val="004D5675"/>
    <w:rsid w:val="00501B64"/>
    <w:rsid w:val="00504516"/>
    <w:rsid w:val="00505261"/>
    <w:rsid w:val="00521762"/>
    <w:rsid w:val="00523639"/>
    <w:rsid w:val="00531FE5"/>
    <w:rsid w:val="005402FA"/>
    <w:rsid w:val="0056350E"/>
    <w:rsid w:val="00571DCD"/>
    <w:rsid w:val="00583C39"/>
    <w:rsid w:val="00583E50"/>
    <w:rsid w:val="00585A27"/>
    <w:rsid w:val="00587F28"/>
    <w:rsid w:val="005909CF"/>
    <w:rsid w:val="00591E71"/>
    <w:rsid w:val="005A0D41"/>
    <w:rsid w:val="005A1291"/>
    <w:rsid w:val="005A4681"/>
    <w:rsid w:val="005B07EB"/>
    <w:rsid w:val="005B6BDB"/>
    <w:rsid w:val="005B6CFF"/>
    <w:rsid w:val="005B7104"/>
    <w:rsid w:val="005C3C86"/>
    <w:rsid w:val="005E2210"/>
    <w:rsid w:val="005F0054"/>
    <w:rsid w:val="005F105F"/>
    <w:rsid w:val="00607BF1"/>
    <w:rsid w:val="00614110"/>
    <w:rsid w:val="00617395"/>
    <w:rsid w:val="0062306A"/>
    <w:rsid w:val="00626E84"/>
    <w:rsid w:val="00630C30"/>
    <w:rsid w:val="00630D4D"/>
    <w:rsid w:val="00632A74"/>
    <w:rsid w:val="006451BF"/>
    <w:rsid w:val="00646BFF"/>
    <w:rsid w:val="0066625A"/>
    <w:rsid w:val="00691672"/>
    <w:rsid w:val="00693BCC"/>
    <w:rsid w:val="006A4655"/>
    <w:rsid w:val="006B2B3C"/>
    <w:rsid w:val="006B4472"/>
    <w:rsid w:val="006C1D81"/>
    <w:rsid w:val="006C7038"/>
    <w:rsid w:val="006D0632"/>
    <w:rsid w:val="006E73EF"/>
    <w:rsid w:val="007045CE"/>
    <w:rsid w:val="00714D4D"/>
    <w:rsid w:val="00720AC4"/>
    <w:rsid w:val="00747224"/>
    <w:rsid w:val="00757002"/>
    <w:rsid w:val="007604BB"/>
    <w:rsid w:val="0077429F"/>
    <w:rsid w:val="00780EDC"/>
    <w:rsid w:val="007846A9"/>
    <w:rsid w:val="00785232"/>
    <w:rsid w:val="007A21EB"/>
    <w:rsid w:val="007B1A93"/>
    <w:rsid w:val="007B75B4"/>
    <w:rsid w:val="007C36C9"/>
    <w:rsid w:val="007D6401"/>
    <w:rsid w:val="007D6C4A"/>
    <w:rsid w:val="007E01E4"/>
    <w:rsid w:val="007E67C6"/>
    <w:rsid w:val="007F7107"/>
    <w:rsid w:val="00800D4C"/>
    <w:rsid w:val="008016B1"/>
    <w:rsid w:val="00806D88"/>
    <w:rsid w:val="0081030F"/>
    <w:rsid w:val="0082087D"/>
    <w:rsid w:val="00824B44"/>
    <w:rsid w:val="00830561"/>
    <w:rsid w:val="00830C5F"/>
    <w:rsid w:val="00835771"/>
    <w:rsid w:val="00842933"/>
    <w:rsid w:val="00843CF0"/>
    <w:rsid w:val="00853B57"/>
    <w:rsid w:val="0086082C"/>
    <w:rsid w:val="00860CCF"/>
    <w:rsid w:val="00864ADC"/>
    <w:rsid w:val="00880153"/>
    <w:rsid w:val="00880F97"/>
    <w:rsid w:val="0088133A"/>
    <w:rsid w:val="0088268C"/>
    <w:rsid w:val="0088324E"/>
    <w:rsid w:val="0089285E"/>
    <w:rsid w:val="0089436C"/>
    <w:rsid w:val="008A0C82"/>
    <w:rsid w:val="008A1289"/>
    <w:rsid w:val="008A48CE"/>
    <w:rsid w:val="008B740E"/>
    <w:rsid w:val="008C07BD"/>
    <w:rsid w:val="008C73E0"/>
    <w:rsid w:val="008D365C"/>
    <w:rsid w:val="008E1B63"/>
    <w:rsid w:val="008E5616"/>
    <w:rsid w:val="008E725D"/>
    <w:rsid w:val="008F26C7"/>
    <w:rsid w:val="008F6C93"/>
    <w:rsid w:val="008F787A"/>
    <w:rsid w:val="00900553"/>
    <w:rsid w:val="009030BF"/>
    <w:rsid w:val="0091032F"/>
    <w:rsid w:val="00914368"/>
    <w:rsid w:val="00927AA8"/>
    <w:rsid w:val="00931076"/>
    <w:rsid w:val="00933F3F"/>
    <w:rsid w:val="009345D9"/>
    <w:rsid w:val="00934B15"/>
    <w:rsid w:val="00937252"/>
    <w:rsid w:val="0093792A"/>
    <w:rsid w:val="00940C87"/>
    <w:rsid w:val="009419E1"/>
    <w:rsid w:val="00942B62"/>
    <w:rsid w:val="009509A2"/>
    <w:rsid w:val="0095323B"/>
    <w:rsid w:val="00956A0C"/>
    <w:rsid w:val="00956BD9"/>
    <w:rsid w:val="00962489"/>
    <w:rsid w:val="00966F38"/>
    <w:rsid w:val="009820A8"/>
    <w:rsid w:val="0099030E"/>
    <w:rsid w:val="00990C2C"/>
    <w:rsid w:val="009B39CA"/>
    <w:rsid w:val="009C521F"/>
    <w:rsid w:val="009D4DD9"/>
    <w:rsid w:val="009E1844"/>
    <w:rsid w:val="009E3353"/>
    <w:rsid w:val="009E4D86"/>
    <w:rsid w:val="009F0D1B"/>
    <w:rsid w:val="009F1B6F"/>
    <w:rsid w:val="009F5402"/>
    <w:rsid w:val="009F696D"/>
    <w:rsid w:val="009F6BC6"/>
    <w:rsid w:val="00A00ED7"/>
    <w:rsid w:val="00A1057D"/>
    <w:rsid w:val="00A115CE"/>
    <w:rsid w:val="00A17328"/>
    <w:rsid w:val="00A23A20"/>
    <w:rsid w:val="00A268B9"/>
    <w:rsid w:val="00A2703A"/>
    <w:rsid w:val="00A318EC"/>
    <w:rsid w:val="00A33DFF"/>
    <w:rsid w:val="00A35115"/>
    <w:rsid w:val="00A36D9A"/>
    <w:rsid w:val="00A554AB"/>
    <w:rsid w:val="00A57062"/>
    <w:rsid w:val="00A84172"/>
    <w:rsid w:val="00A92B53"/>
    <w:rsid w:val="00A94FA6"/>
    <w:rsid w:val="00AA41CC"/>
    <w:rsid w:val="00AA49A0"/>
    <w:rsid w:val="00AA6710"/>
    <w:rsid w:val="00AA7FF9"/>
    <w:rsid w:val="00AB0681"/>
    <w:rsid w:val="00AB3F4A"/>
    <w:rsid w:val="00AB67D1"/>
    <w:rsid w:val="00AB6BE7"/>
    <w:rsid w:val="00AC1A5C"/>
    <w:rsid w:val="00AC1B38"/>
    <w:rsid w:val="00AD132F"/>
    <w:rsid w:val="00AD520B"/>
    <w:rsid w:val="00AD590C"/>
    <w:rsid w:val="00AE281A"/>
    <w:rsid w:val="00AF00DE"/>
    <w:rsid w:val="00AF1483"/>
    <w:rsid w:val="00AF2352"/>
    <w:rsid w:val="00B35021"/>
    <w:rsid w:val="00B36E07"/>
    <w:rsid w:val="00B425C3"/>
    <w:rsid w:val="00B440AD"/>
    <w:rsid w:val="00B53E7E"/>
    <w:rsid w:val="00B618B8"/>
    <w:rsid w:val="00B6322B"/>
    <w:rsid w:val="00B6342E"/>
    <w:rsid w:val="00B7113F"/>
    <w:rsid w:val="00B75256"/>
    <w:rsid w:val="00B86C16"/>
    <w:rsid w:val="00B90957"/>
    <w:rsid w:val="00B96298"/>
    <w:rsid w:val="00BA5380"/>
    <w:rsid w:val="00BA72D2"/>
    <w:rsid w:val="00BA73B6"/>
    <w:rsid w:val="00BA79E4"/>
    <w:rsid w:val="00BA7E27"/>
    <w:rsid w:val="00BB247A"/>
    <w:rsid w:val="00BB2603"/>
    <w:rsid w:val="00BB4FCD"/>
    <w:rsid w:val="00BC04E9"/>
    <w:rsid w:val="00BC3E6C"/>
    <w:rsid w:val="00BC67A6"/>
    <w:rsid w:val="00BD13EA"/>
    <w:rsid w:val="00BE245E"/>
    <w:rsid w:val="00BE3327"/>
    <w:rsid w:val="00BE3808"/>
    <w:rsid w:val="00BF522A"/>
    <w:rsid w:val="00C03C67"/>
    <w:rsid w:val="00C04490"/>
    <w:rsid w:val="00C062E9"/>
    <w:rsid w:val="00C07142"/>
    <w:rsid w:val="00C07B64"/>
    <w:rsid w:val="00C13721"/>
    <w:rsid w:val="00C147C0"/>
    <w:rsid w:val="00C14FE4"/>
    <w:rsid w:val="00C155E9"/>
    <w:rsid w:val="00C3066D"/>
    <w:rsid w:val="00C33B80"/>
    <w:rsid w:val="00C52416"/>
    <w:rsid w:val="00C5385B"/>
    <w:rsid w:val="00C543F4"/>
    <w:rsid w:val="00C54670"/>
    <w:rsid w:val="00C61950"/>
    <w:rsid w:val="00C6291C"/>
    <w:rsid w:val="00C633CB"/>
    <w:rsid w:val="00C736B7"/>
    <w:rsid w:val="00C76A48"/>
    <w:rsid w:val="00C81D4A"/>
    <w:rsid w:val="00C8762C"/>
    <w:rsid w:val="00C90462"/>
    <w:rsid w:val="00C94849"/>
    <w:rsid w:val="00CA00F9"/>
    <w:rsid w:val="00CA2961"/>
    <w:rsid w:val="00CB50D7"/>
    <w:rsid w:val="00CB7177"/>
    <w:rsid w:val="00CC1998"/>
    <w:rsid w:val="00CC4946"/>
    <w:rsid w:val="00CD7A84"/>
    <w:rsid w:val="00CE3906"/>
    <w:rsid w:val="00CF2AF6"/>
    <w:rsid w:val="00CF7803"/>
    <w:rsid w:val="00D001DE"/>
    <w:rsid w:val="00D03A1F"/>
    <w:rsid w:val="00D03CEE"/>
    <w:rsid w:val="00D05ADB"/>
    <w:rsid w:val="00D10842"/>
    <w:rsid w:val="00D12DE1"/>
    <w:rsid w:val="00D22262"/>
    <w:rsid w:val="00D270A4"/>
    <w:rsid w:val="00D31FE9"/>
    <w:rsid w:val="00D34E1B"/>
    <w:rsid w:val="00D376BA"/>
    <w:rsid w:val="00D41420"/>
    <w:rsid w:val="00D43E60"/>
    <w:rsid w:val="00D45634"/>
    <w:rsid w:val="00D46A93"/>
    <w:rsid w:val="00D47299"/>
    <w:rsid w:val="00D5568A"/>
    <w:rsid w:val="00D61E43"/>
    <w:rsid w:val="00D63D73"/>
    <w:rsid w:val="00D64452"/>
    <w:rsid w:val="00D66E1E"/>
    <w:rsid w:val="00D7123A"/>
    <w:rsid w:val="00D7276E"/>
    <w:rsid w:val="00D75722"/>
    <w:rsid w:val="00D77978"/>
    <w:rsid w:val="00D80C91"/>
    <w:rsid w:val="00D80CF5"/>
    <w:rsid w:val="00D8102C"/>
    <w:rsid w:val="00D8519C"/>
    <w:rsid w:val="00DA2EE6"/>
    <w:rsid w:val="00DA5BBA"/>
    <w:rsid w:val="00DB1FDC"/>
    <w:rsid w:val="00DB26D2"/>
    <w:rsid w:val="00DB67C9"/>
    <w:rsid w:val="00DC0C95"/>
    <w:rsid w:val="00DD6580"/>
    <w:rsid w:val="00DE2237"/>
    <w:rsid w:val="00DE2C5D"/>
    <w:rsid w:val="00DF5810"/>
    <w:rsid w:val="00E01470"/>
    <w:rsid w:val="00E17C72"/>
    <w:rsid w:val="00E21FC6"/>
    <w:rsid w:val="00E30C14"/>
    <w:rsid w:val="00E314FE"/>
    <w:rsid w:val="00E431A9"/>
    <w:rsid w:val="00E56E37"/>
    <w:rsid w:val="00E64EE2"/>
    <w:rsid w:val="00E65F9C"/>
    <w:rsid w:val="00E669E2"/>
    <w:rsid w:val="00E722BB"/>
    <w:rsid w:val="00E74A07"/>
    <w:rsid w:val="00E76135"/>
    <w:rsid w:val="00E76B39"/>
    <w:rsid w:val="00E82F4F"/>
    <w:rsid w:val="00E8580C"/>
    <w:rsid w:val="00E87C87"/>
    <w:rsid w:val="00E91560"/>
    <w:rsid w:val="00EC236E"/>
    <w:rsid w:val="00EC2844"/>
    <w:rsid w:val="00EC5500"/>
    <w:rsid w:val="00EC7809"/>
    <w:rsid w:val="00EE054F"/>
    <w:rsid w:val="00EF13C1"/>
    <w:rsid w:val="00EF6C6C"/>
    <w:rsid w:val="00F0189D"/>
    <w:rsid w:val="00F056FC"/>
    <w:rsid w:val="00F10476"/>
    <w:rsid w:val="00F12613"/>
    <w:rsid w:val="00F135D8"/>
    <w:rsid w:val="00F31299"/>
    <w:rsid w:val="00F3534A"/>
    <w:rsid w:val="00F35F61"/>
    <w:rsid w:val="00F37E4D"/>
    <w:rsid w:val="00F407CF"/>
    <w:rsid w:val="00F4433B"/>
    <w:rsid w:val="00F50BD8"/>
    <w:rsid w:val="00F51609"/>
    <w:rsid w:val="00F531F2"/>
    <w:rsid w:val="00F54146"/>
    <w:rsid w:val="00F5671C"/>
    <w:rsid w:val="00F81006"/>
    <w:rsid w:val="00F81235"/>
    <w:rsid w:val="00F84FA9"/>
    <w:rsid w:val="00F85325"/>
    <w:rsid w:val="00F85A61"/>
    <w:rsid w:val="00F869EA"/>
    <w:rsid w:val="00F90498"/>
    <w:rsid w:val="00F97771"/>
    <w:rsid w:val="00FA6D05"/>
    <w:rsid w:val="00FC05F8"/>
    <w:rsid w:val="00FD22B1"/>
    <w:rsid w:val="00FE53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4" w:qFormat="1"/>
    <w:lsdException w:name="heading 5" w:qFormat="1"/>
    <w:lsdException w:name="Body Text" w:uiPriority="99" w:qFormat="1"/>
    <w:lsdException w:name="Hyperlink" w:uiPriority="99"/>
    <w:lsdException w:name="Strong" w:uiPriority="22" w:qFormat="1"/>
    <w:lsdException w:name="Normal (Web)"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030933"/>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99"/>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eastAsia="Times New Roman" w:hAnsi="Arial" w:cs="Times New Roman"/>
      <w:b/>
      <w:sz w:val="26"/>
      <w:szCs w:val="24"/>
      <w:lang w:eastAsia="en-AU"/>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after="0" w:line="240" w:lineRule="atLeast"/>
      <w:ind w:left="567" w:hanging="567"/>
    </w:pPr>
    <w:rPr>
      <w:rFonts w:ascii="Times New Roman" w:eastAsia="Times New Roman" w:hAnsi="Times New Roman" w:cs="Times New Roman"/>
      <w:sz w:val="20"/>
      <w:szCs w:val="24"/>
      <w:lang w:eastAsia="en-AU"/>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link w:val="QuoteChar"/>
    <w:uiPriority w:val="29"/>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rFonts w:ascii="Times New Roman" w:eastAsia="Times New Roman" w:hAnsi="Times New Roman" w:cs="Times New Roman"/>
      <w:b/>
      <w:caps/>
      <w:sz w:val="26"/>
      <w:szCs w:val="24"/>
      <w:lang w:eastAsia="en-AU"/>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pPr>
      <w:spacing w:after="0" w:line="240" w:lineRule="auto"/>
    </w:pPr>
    <w:rPr>
      <w:rFonts w:ascii="Tahoma" w:eastAsia="Times New Roman" w:hAnsi="Tahoma" w:cs="Tahoma"/>
      <w:sz w:val="16"/>
      <w:szCs w:val="16"/>
      <w:lang w:eastAsia="en-AU"/>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basedOn w:val="DefaultParagraphFont"/>
    <w:link w:val="BodyText"/>
    <w:uiPriority w:val="99"/>
    <w:rsid w:val="00424929"/>
    <w:rPr>
      <w:sz w:val="26"/>
    </w:rPr>
  </w:style>
  <w:style w:type="character" w:customStyle="1" w:styleId="CommentTextChar">
    <w:name w:val="Comment Text Char"/>
    <w:basedOn w:val="DefaultParagraphFont"/>
    <w:link w:val="CommentText"/>
    <w:semiHidden/>
    <w:rsid w:val="00424929"/>
    <w:rPr>
      <w:szCs w:val="24"/>
    </w:rPr>
  </w:style>
  <w:style w:type="character" w:customStyle="1" w:styleId="QuoteChar">
    <w:name w:val="Quote Char"/>
    <w:basedOn w:val="DefaultParagraphFont"/>
    <w:link w:val="Quote"/>
    <w:uiPriority w:val="29"/>
    <w:rsid w:val="00614110"/>
    <w:rPr>
      <w:sz w:val="24"/>
    </w:rPr>
  </w:style>
  <w:style w:type="paragraph" w:styleId="NormalWeb">
    <w:name w:val="Normal (Web)"/>
    <w:basedOn w:val="Normal"/>
    <w:uiPriority w:val="99"/>
    <w:unhideWhenUsed/>
    <w:rsid w:val="00D8519C"/>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D8519C"/>
    <w:rPr>
      <w:b/>
      <w:bCs/>
    </w:rPr>
  </w:style>
  <w:style w:type="character" w:styleId="Hyperlink">
    <w:name w:val="Hyperlink"/>
    <w:basedOn w:val="DefaultParagraphFont"/>
    <w:uiPriority w:val="99"/>
    <w:unhideWhenUsed/>
    <w:rsid w:val="00D8519C"/>
    <w:rPr>
      <w:color w:val="0000FF"/>
      <w:u w:val="single"/>
    </w:rPr>
  </w:style>
  <w:style w:type="paragraph" w:styleId="CommentSubject">
    <w:name w:val="annotation subject"/>
    <w:basedOn w:val="CommentText"/>
    <w:next w:val="CommentText"/>
    <w:link w:val="CommentSubjectChar"/>
    <w:rsid w:val="00F5671C"/>
    <w:pPr>
      <w:spacing w:before="0" w:after="200" w:line="240" w:lineRule="auto"/>
      <w:ind w:left="0" w:firstLine="0"/>
    </w:pPr>
    <w:rPr>
      <w:rFonts w:asciiTheme="minorHAnsi" w:eastAsiaTheme="minorHAnsi" w:hAnsiTheme="minorHAnsi" w:cstheme="minorBidi"/>
      <w:b/>
      <w:bCs/>
      <w:szCs w:val="20"/>
      <w:lang w:eastAsia="en-US"/>
    </w:rPr>
  </w:style>
  <w:style w:type="character" w:customStyle="1" w:styleId="CommentSubjectChar">
    <w:name w:val="Comment Subject Char"/>
    <w:basedOn w:val="CommentTextChar"/>
    <w:link w:val="CommentSubject"/>
    <w:rsid w:val="00F5671C"/>
    <w:rPr>
      <w:rFonts w:asciiTheme="minorHAnsi" w:eastAsiaTheme="minorHAnsi" w:hAnsiTheme="minorHAnsi" w:cstheme="minorBidi"/>
      <w:b/>
      <w:bCs/>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4" w:qFormat="1"/>
    <w:lsdException w:name="heading 5" w:qFormat="1"/>
    <w:lsdException w:name="Body Text" w:uiPriority="99" w:qFormat="1"/>
    <w:lsdException w:name="Hyperlink" w:uiPriority="99"/>
    <w:lsdException w:name="Strong" w:uiPriority="22" w:qFormat="1"/>
    <w:lsdException w:name="Normal (Web)"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030933"/>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99"/>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eastAsia="Times New Roman" w:hAnsi="Arial" w:cs="Times New Roman"/>
      <w:b/>
      <w:sz w:val="26"/>
      <w:szCs w:val="24"/>
      <w:lang w:eastAsia="en-AU"/>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after="0" w:line="240" w:lineRule="atLeast"/>
      <w:ind w:left="567" w:hanging="567"/>
    </w:pPr>
    <w:rPr>
      <w:rFonts w:ascii="Times New Roman" w:eastAsia="Times New Roman" w:hAnsi="Times New Roman" w:cs="Times New Roman"/>
      <w:sz w:val="20"/>
      <w:szCs w:val="24"/>
      <w:lang w:eastAsia="en-AU"/>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link w:val="QuoteChar"/>
    <w:uiPriority w:val="29"/>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rFonts w:ascii="Times New Roman" w:eastAsia="Times New Roman" w:hAnsi="Times New Roman" w:cs="Times New Roman"/>
      <w:b/>
      <w:caps/>
      <w:sz w:val="26"/>
      <w:szCs w:val="24"/>
      <w:lang w:eastAsia="en-AU"/>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pPr>
      <w:spacing w:after="0" w:line="240" w:lineRule="auto"/>
    </w:pPr>
    <w:rPr>
      <w:rFonts w:ascii="Tahoma" w:eastAsia="Times New Roman" w:hAnsi="Tahoma" w:cs="Tahoma"/>
      <w:sz w:val="16"/>
      <w:szCs w:val="16"/>
      <w:lang w:eastAsia="en-AU"/>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basedOn w:val="DefaultParagraphFont"/>
    <w:link w:val="BodyText"/>
    <w:uiPriority w:val="99"/>
    <w:rsid w:val="00424929"/>
    <w:rPr>
      <w:sz w:val="26"/>
    </w:rPr>
  </w:style>
  <w:style w:type="character" w:customStyle="1" w:styleId="CommentTextChar">
    <w:name w:val="Comment Text Char"/>
    <w:basedOn w:val="DefaultParagraphFont"/>
    <w:link w:val="CommentText"/>
    <w:semiHidden/>
    <w:rsid w:val="00424929"/>
    <w:rPr>
      <w:szCs w:val="24"/>
    </w:rPr>
  </w:style>
  <w:style w:type="character" w:customStyle="1" w:styleId="QuoteChar">
    <w:name w:val="Quote Char"/>
    <w:basedOn w:val="DefaultParagraphFont"/>
    <w:link w:val="Quote"/>
    <w:uiPriority w:val="29"/>
    <w:rsid w:val="00614110"/>
    <w:rPr>
      <w:sz w:val="24"/>
    </w:rPr>
  </w:style>
  <w:style w:type="paragraph" w:styleId="NormalWeb">
    <w:name w:val="Normal (Web)"/>
    <w:basedOn w:val="Normal"/>
    <w:uiPriority w:val="99"/>
    <w:unhideWhenUsed/>
    <w:rsid w:val="00D8519C"/>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D8519C"/>
    <w:rPr>
      <w:b/>
      <w:bCs/>
    </w:rPr>
  </w:style>
  <w:style w:type="character" w:styleId="Hyperlink">
    <w:name w:val="Hyperlink"/>
    <w:basedOn w:val="DefaultParagraphFont"/>
    <w:uiPriority w:val="99"/>
    <w:unhideWhenUsed/>
    <w:rsid w:val="00D8519C"/>
    <w:rPr>
      <w:color w:val="0000FF"/>
      <w:u w:val="single"/>
    </w:rPr>
  </w:style>
  <w:style w:type="paragraph" w:styleId="CommentSubject">
    <w:name w:val="annotation subject"/>
    <w:basedOn w:val="CommentText"/>
    <w:next w:val="CommentText"/>
    <w:link w:val="CommentSubjectChar"/>
    <w:rsid w:val="00F5671C"/>
    <w:pPr>
      <w:spacing w:before="0" w:after="200" w:line="240" w:lineRule="auto"/>
      <w:ind w:left="0" w:firstLine="0"/>
    </w:pPr>
    <w:rPr>
      <w:rFonts w:asciiTheme="minorHAnsi" w:eastAsiaTheme="minorHAnsi" w:hAnsiTheme="minorHAnsi" w:cstheme="minorBidi"/>
      <w:b/>
      <w:bCs/>
      <w:szCs w:val="20"/>
      <w:lang w:eastAsia="en-US"/>
    </w:rPr>
  </w:style>
  <w:style w:type="character" w:customStyle="1" w:styleId="CommentSubjectChar">
    <w:name w:val="Comment Subject Char"/>
    <w:basedOn w:val="CommentTextChar"/>
    <w:link w:val="CommentSubject"/>
    <w:rsid w:val="00F5671C"/>
    <w:rPr>
      <w:rFonts w:asciiTheme="minorHAnsi" w:eastAsiaTheme="minorHAnsi" w:hAnsiTheme="minorHAnsi" w:cstheme="minorBidi"/>
      <w:b/>
      <w:bC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47393">
      <w:bodyDiv w:val="1"/>
      <w:marLeft w:val="0"/>
      <w:marRight w:val="0"/>
      <w:marTop w:val="0"/>
      <w:marBottom w:val="0"/>
      <w:divBdr>
        <w:top w:val="none" w:sz="0" w:space="0" w:color="auto"/>
        <w:left w:val="none" w:sz="0" w:space="0" w:color="auto"/>
        <w:bottom w:val="none" w:sz="0" w:space="0" w:color="auto"/>
        <w:right w:val="none" w:sz="0" w:space="0" w:color="auto"/>
      </w:divBdr>
      <w:divsChild>
        <w:div w:id="972517900">
          <w:marLeft w:val="0"/>
          <w:marRight w:val="0"/>
          <w:marTop w:val="0"/>
          <w:marBottom w:val="0"/>
          <w:divBdr>
            <w:top w:val="none" w:sz="0" w:space="0" w:color="auto"/>
            <w:left w:val="none" w:sz="0" w:space="0" w:color="auto"/>
            <w:bottom w:val="none" w:sz="0" w:space="0" w:color="auto"/>
            <w:right w:val="none" w:sz="0" w:space="0" w:color="auto"/>
          </w:divBdr>
          <w:divsChild>
            <w:div w:id="537007237">
              <w:marLeft w:val="0"/>
              <w:marRight w:val="0"/>
              <w:marTop w:val="0"/>
              <w:marBottom w:val="0"/>
              <w:divBdr>
                <w:top w:val="none" w:sz="0" w:space="0" w:color="auto"/>
                <w:left w:val="none" w:sz="0" w:space="0" w:color="auto"/>
                <w:bottom w:val="none" w:sz="0" w:space="0" w:color="auto"/>
                <w:right w:val="none" w:sz="0" w:space="0" w:color="auto"/>
              </w:divBdr>
              <w:divsChild>
                <w:div w:id="325481748">
                  <w:marLeft w:val="0"/>
                  <w:marRight w:val="0"/>
                  <w:marTop w:val="0"/>
                  <w:marBottom w:val="0"/>
                  <w:divBdr>
                    <w:top w:val="none" w:sz="0" w:space="0" w:color="auto"/>
                    <w:left w:val="none" w:sz="0" w:space="0" w:color="auto"/>
                    <w:bottom w:val="none" w:sz="0" w:space="0" w:color="auto"/>
                    <w:right w:val="none" w:sz="0" w:space="0" w:color="auto"/>
                  </w:divBdr>
                  <w:divsChild>
                    <w:div w:id="148034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D4A79-80AD-4362-928C-B8C874694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0</TotalTime>
  <Pages>15</Pages>
  <Words>5585</Words>
  <Characters>32008</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Where to from here?</vt:lpstr>
    </vt:vector>
  </TitlesOfParts>
  <Company>Productivity Commission</Company>
  <LinksUpToDate>false</LinksUpToDate>
  <CharactersWithSpaces>37518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to from here?</dc:title>
  <dc:subject>Deep and Persistent Disadvantage</dc:subject>
  <dc:creator>Productivity Commission</dc:creator>
  <dc:description>6.</dc:description>
  <cp:lastModifiedBy>Productivity Commission</cp:lastModifiedBy>
  <cp:revision>2</cp:revision>
  <cp:lastPrinted>2013-07-03T07:57:00Z</cp:lastPrinted>
  <dcterms:created xsi:type="dcterms:W3CDTF">2013-07-17T01:00:00Z</dcterms:created>
  <dcterms:modified xsi:type="dcterms:W3CDTF">2013-07-17T01:00:00Z</dcterms:modified>
</cp:coreProperties>
</file>