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1F7FAF" w:rsidP="001F7FAF">
      <w:pPr>
        <w:pStyle w:val="Chapter"/>
        <w:ind w:left="907" w:hanging="907"/>
      </w:pPr>
      <w:bookmarkStart w:id="0" w:name="_AppendixNotByChapter"/>
      <w:bookmarkStart w:id="1" w:name="ChapterNumber"/>
      <w:bookmarkStart w:id="2" w:name="_GoBack"/>
      <w:bookmarkEnd w:id="0"/>
      <w:bookmarkEnd w:id="2"/>
      <w:r>
        <w:t>B</w:t>
      </w:r>
      <w:bookmarkEnd w:id="1"/>
      <w:r>
        <w:tab/>
      </w:r>
      <w:bookmarkStart w:id="3" w:name="ChapterTitle"/>
      <w:r>
        <w:t>Strengths and weaknesses of measures of disadvantage used in Australia</w:t>
      </w:r>
      <w:bookmarkEnd w:id="3"/>
    </w:p>
    <w:p w:rsidR="00DB26D2" w:rsidRDefault="00797D6A" w:rsidP="00120072">
      <w:pPr>
        <w:pStyle w:val="BodyText"/>
      </w:pPr>
      <w:bookmarkStart w:id="4" w:name="begin"/>
      <w:bookmarkEnd w:id="4"/>
      <w:r>
        <w:t>The strengths</w:t>
      </w:r>
      <w:r w:rsidR="006465FF">
        <w:t xml:space="preserve">, </w:t>
      </w:r>
      <w:r>
        <w:t xml:space="preserve">weaknesses and characteristics </w:t>
      </w:r>
      <w:r w:rsidR="006465FF">
        <w:t xml:space="preserve">of </w:t>
      </w:r>
      <w:r>
        <w:t xml:space="preserve">the various measures of relative income poverty, deprivation and social exclusion </w:t>
      </w:r>
      <w:r w:rsidR="006465FF">
        <w:t xml:space="preserve">used in Australia </w:t>
      </w:r>
      <w:r>
        <w:t>are summarised in table</w:t>
      </w:r>
      <w:r w:rsidR="002259EF">
        <w:t xml:space="preserve"> </w:t>
      </w:r>
      <w:proofErr w:type="spellStart"/>
      <w:r w:rsidR="002259EF">
        <w:t>B.1</w:t>
      </w:r>
      <w:proofErr w:type="spellEnd"/>
      <w:r w:rsidR="00EA502E">
        <w:t>.</w:t>
      </w:r>
    </w:p>
    <w:p w:rsidR="00797D6A" w:rsidRPr="002760F8" w:rsidRDefault="00797D6A" w:rsidP="002760F8"/>
    <w:p w:rsidR="00797D6A" w:rsidRPr="002760F8" w:rsidRDefault="00797D6A" w:rsidP="002760F8">
      <w:pPr>
        <w:sectPr w:rsidR="00797D6A" w:rsidRPr="002760F8" w:rsidSect="002F1E0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985" w:right="1304" w:bottom="1418" w:left="1814" w:header="1701" w:footer="567" w:gutter="0"/>
          <w:pgNumType w:start="213" w:chapStyle="1" w:chapSep="period"/>
          <w:cols w:space="720"/>
          <w:docGrid w:linePitch="354"/>
        </w:sectPr>
      </w:pPr>
    </w:p>
    <w:p w:rsidR="00797D6A" w:rsidRDefault="00797D6A" w:rsidP="00797D6A">
      <w:pPr>
        <w:pStyle w:val="TableTitle"/>
        <w:spacing w:before="0"/>
      </w:pPr>
      <w:r>
        <w:rPr>
          <w:b w:val="0"/>
        </w:rPr>
        <w:lastRenderedPageBreak/>
        <w:t xml:space="preserve">Table </w:t>
      </w:r>
      <w:bookmarkStart w:id="5" w:name="OLE_LINK26"/>
      <w:proofErr w:type="spellStart"/>
      <w:r w:rsidR="001F7FAF">
        <w:rPr>
          <w:b w:val="0"/>
        </w:rPr>
        <w:t>B.</w:t>
      </w:r>
      <w:r w:rsidR="001F7FAF">
        <w:rPr>
          <w:b w:val="0"/>
          <w:noProof/>
        </w:rPr>
        <w:t>1</w:t>
      </w:r>
      <w:bookmarkEnd w:id="5"/>
      <w:proofErr w:type="spellEnd"/>
      <w:r>
        <w:tab/>
        <w:t>Characteristics of different measures of disadvantage</w:t>
      </w:r>
    </w:p>
    <w:tbl>
      <w:tblPr>
        <w:tblW w:w="49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5"/>
        <w:gridCol w:w="3914"/>
        <w:gridCol w:w="1926"/>
        <w:gridCol w:w="2920"/>
        <w:gridCol w:w="2917"/>
      </w:tblGrid>
      <w:tr w:rsidR="00797D6A" w:rsidTr="002357C7">
        <w:trPr>
          <w:tblHeader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97D6A" w:rsidRDefault="00797D6A" w:rsidP="002357C7">
            <w:pPr>
              <w:pStyle w:val="TableColumnHeading"/>
              <w:jc w:val="left"/>
            </w:pPr>
          </w:p>
        </w:tc>
        <w:tc>
          <w:tcPr>
            <w:tcW w:w="1457" w:type="pct"/>
            <w:tcBorders>
              <w:top w:val="single" w:sz="6" w:space="0" w:color="auto"/>
              <w:bottom w:val="single" w:sz="6" w:space="0" w:color="auto"/>
            </w:tcBorders>
          </w:tcPr>
          <w:p w:rsidR="00797D6A" w:rsidRDefault="00797D6A" w:rsidP="002357C7">
            <w:pPr>
              <w:pStyle w:val="TableColumnHeading"/>
              <w:ind w:right="184"/>
              <w:jc w:val="left"/>
            </w:pPr>
            <w:r>
              <w:t>Definition</w:t>
            </w:r>
          </w:p>
        </w:tc>
        <w:tc>
          <w:tcPr>
            <w:tcW w:w="717" w:type="pct"/>
            <w:tcBorders>
              <w:top w:val="single" w:sz="6" w:space="0" w:color="auto"/>
              <w:bottom w:val="single" w:sz="6" w:space="0" w:color="auto"/>
            </w:tcBorders>
          </w:tcPr>
          <w:p w:rsidR="00797D6A" w:rsidRDefault="00797D6A" w:rsidP="002357C7">
            <w:pPr>
              <w:pStyle w:val="TableColumnHeading"/>
              <w:ind w:right="365"/>
              <w:jc w:val="left"/>
            </w:pPr>
            <w:r>
              <w:t>Data availability</w:t>
            </w: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:rsidR="00797D6A" w:rsidRDefault="00797D6A" w:rsidP="002357C7">
            <w:pPr>
              <w:pStyle w:val="TableColumnHeading"/>
              <w:ind w:right="309"/>
              <w:jc w:val="left"/>
            </w:pPr>
            <w:r>
              <w:t>Comparability</w:t>
            </w:r>
          </w:p>
        </w:tc>
        <w:tc>
          <w:tcPr>
            <w:tcW w:w="1086" w:type="pct"/>
            <w:tcBorders>
              <w:top w:val="single" w:sz="6" w:space="0" w:color="auto"/>
              <w:bottom w:val="single" w:sz="6" w:space="0" w:color="auto"/>
            </w:tcBorders>
          </w:tcPr>
          <w:p w:rsidR="00797D6A" w:rsidRDefault="00797D6A" w:rsidP="002357C7">
            <w:pPr>
              <w:pStyle w:val="TableColumnHeading"/>
              <w:jc w:val="left"/>
            </w:pPr>
            <w:r>
              <w:t>Coverage and quality</w:t>
            </w:r>
          </w:p>
        </w:tc>
      </w:tr>
      <w:tr w:rsidR="00797D6A" w:rsidRPr="00751090" w:rsidTr="002357C7">
        <w:tc>
          <w:tcPr>
            <w:tcW w:w="653" w:type="pc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UnitsRow"/>
              <w:spacing w:before="120" w:after="40"/>
              <w:jc w:val="left"/>
              <w:rPr>
                <w:b/>
                <w:i/>
              </w:rPr>
            </w:pPr>
            <w:r w:rsidRPr="00751090">
              <w:rPr>
                <w:b/>
                <w:i/>
              </w:rPr>
              <w:t>Income poverty</w:t>
            </w:r>
          </w:p>
        </w:tc>
        <w:tc>
          <w:tcPr>
            <w:tcW w:w="1457" w:type="pc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UnitsRow"/>
              <w:spacing w:before="120" w:after="40"/>
              <w:ind w:right="184"/>
              <w:jc w:val="left"/>
              <w:rPr>
                <w:rFonts w:cs="Arial"/>
                <w:b/>
                <w:i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UnitsRow"/>
              <w:spacing w:before="120" w:after="40"/>
              <w:ind w:right="365"/>
              <w:jc w:val="left"/>
              <w:rPr>
                <w:b/>
                <w:i/>
              </w:rPr>
            </w:pPr>
          </w:p>
        </w:tc>
        <w:tc>
          <w:tcPr>
            <w:tcW w:w="1087" w:type="pc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UnitsRow"/>
              <w:spacing w:before="120" w:after="40"/>
              <w:ind w:right="309"/>
              <w:jc w:val="left"/>
              <w:rPr>
                <w:b/>
                <w:i/>
              </w:rPr>
            </w:pPr>
          </w:p>
        </w:tc>
        <w:tc>
          <w:tcPr>
            <w:tcW w:w="1086" w:type="pc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UnitsRow"/>
              <w:spacing w:before="120" w:after="40"/>
              <w:jc w:val="left"/>
              <w:rPr>
                <w:b/>
                <w:i/>
              </w:rPr>
            </w:pP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797D6A" w:rsidP="002357C7">
            <w:pPr>
              <w:pStyle w:val="TableBodyText"/>
              <w:jc w:val="left"/>
            </w:pPr>
            <w:r>
              <w:t>Relative poverty</w:t>
            </w:r>
          </w:p>
        </w:tc>
        <w:tc>
          <w:tcPr>
            <w:tcW w:w="1457" w:type="pct"/>
          </w:tcPr>
          <w:p w:rsidR="00797D6A" w:rsidRDefault="00797D6A" w:rsidP="002357C7">
            <w:pPr>
              <w:pStyle w:val="TableBodyText"/>
              <w:ind w:right="184"/>
              <w:jc w:val="left"/>
            </w:pPr>
            <w:r>
              <w:t>Persons in households receiving less than 50% (or 60%) of household median equivalised disposable income</w:t>
            </w:r>
          </w:p>
        </w:tc>
        <w:tc>
          <w:tcPr>
            <w:tcW w:w="717" w:type="pct"/>
          </w:tcPr>
          <w:p w:rsidR="00797D6A" w:rsidRDefault="00797D6A" w:rsidP="002357C7">
            <w:pPr>
              <w:pStyle w:val="TableBodyText"/>
              <w:ind w:right="365"/>
              <w:jc w:val="left"/>
            </w:pPr>
            <w:r>
              <w:t xml:space="preserve">ABS </w:t>
            </w:r>
            <w:proofErr w:type="spellStart"/>
            <w:r>
              <w:t>SIH</w:t>
            </w:r>
            <w:proofErr w:type="spellEnd"/>
            <w:r>
              <w:t xml:space="preserve"> (biennially)</w:t>
            </w:r>
          </w:p>
          <w:p w:rsidR="00797D6A" w:rsidRDefault="00797D6A" w:rsidP="002357C7">
            <w:pPr>
              <w:pStyle w:val="TableBodyText"/>
              <w:ind w:right="365"/>
              <w:jc w:val="left"/>
            </w:pPr>
            <w:r>
              <w:t>HILDA (annually)</w:t>
            </w:r>
          </w:p>
          <w:p w:rsidR="00797D6A" w:rsidRDefault="00797D6A" w:rsidP="002357C7">
            <w:pPr>
              <w:pStyle w:val="TableBodyText"/>
              <w:ind w:right="365"/>
              <w:jc w:val="left"/>
            </w:pPr>
            <w:proofErr w:type="spellStart"/>
            <w:r>
              <w:t>CUPSE</w:t>
            </w:r>
            <w:proofErr w:type="spellEnd"/>
            <w:r>
              <w:t xml:space="preserve"> &amp; </w:t>
            </w:r>
            <w:proofErr w:type="spellStart"/>
            <w:r>
              <w:t>PEMA</w:t>
            </w:r>
            <w:proofErr w:type="spellEnd"/>
            <w:r>
              <w:t xml:space="preserve"> surveys (ad hoc)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ind w:right="309"/>
              <w:jc w:val="left"/>
            </w:pPr>
            <w:r>
              <w:t>Comparisons available across groups and between countries; some differences in time frames and methodologies when comparing with other OECD countries</w:t>
            </w: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jc w:val="left"/>
            </w:pPr>
            <w:r>
              <w:t xml:space="preserve">Partial indicator – covers some elements of financial hardship but not low consumption or low </w:t>
            </w:r>
            <w:r w:rsidR="002346F5">
              <w:t xml:space="preserve">net </w:t>
            </w:r>
            <w:r>
              <w:t xml:space="preserve">wealth </w:t>
            </w: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>Financial poverty (</w:t>
            </w:r>
            <w:proofErr w:type="spellStart"/>
            <w:r>
              <w:t>Headey</w:t>
            </w:r>
            <w:proofErr w:type="spellEnd"/>
            <w:r>
              <w:t>)</w:t>
            </w:r>
          </w:p>
        </w:tc>
        <w:tc>
          <w:tcPr>
            <w:tcW w:w="1457" w:type="pct"/>
          </w:tcPr>
          <w:p w:rsidR="00797D6A" w:rsidRDefault="00797D6A" w:rsidP="002357C7">
            <w:pPr>
              <w:pStyle w:val="TableBodyText"/>
              <w:spacing w:before="40"/>
              <w:ind w:right="184"/>
              <w:jc w:val="left"/>
              <w:rPr>
                <w:rFonts w:cs="Arial"/>
              </w:rPr>
            </w:pPr>
            <w:r>
              <w:rPr>
                <w:rFonts w:cs="Arial"/>
              </w:rPr>
              <w:t>Low income + low consumption + low wealth</w:t>
            </w:r>
          </w:p>
        </w:tc>
        <w:tc>
          <w:tcPr>
            <w:tcW w:w="717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r>
              <w:t>HILDA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spacing w:before="40"/>
              <w:ind w:right="309"/>
              <w:jc w:val="left"/>
            </w:pPr>
            <w:r>
              <w:t>Can make comparisons with some OECD countries</w:t>
            </w:r>
          </w:p>
          <w:p w:rsidR="00BA0A78" w:rsidRDefault="00BA0A78" w:rsidP="002357C7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spacing w:before="40"/>
              <w:jc w:val="left"/>
              <w:rPr>
                <w:i/>
              </w:rPr>
            </w:pPr>
            <w:r>
              <w:t>More comprehensive indicator of those e</w:t>
            </w:r>
            <w:r w:rsidR="002357C7">
              <w:t>xperiencing financial poverty</w:t>
            </w:r>
          </w:p>
        </w:tc>
      </w:tr>
      <w:tr w:rsidR="00797D6A" w:rsidRPr="00751090" w:rsidTr="002357C7">
        <w:tc>
          <w:tcPr>
            <w:tcW w:w="653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jc w:val="left"/>
              <w:rPr>
                <w:b/>
                <w:i/>
              </w:rPr>
            </w:pPr>
            <w:r w:rsidRPr="00751090">
              <w:rPr>
                <w:b/>
                <w:i/>
              </w:rPr>
              <w:t>Deprivation</w:t>
            </w:r>
          </w:p>
        </w:tc>
        <w:tc>
          <w:tcPr>
            <w:tcW w:w="145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184"/>
              <w:jc w:val="left"/>
              <w:rPr>
                <w:rFonts w:cs="Arial"/>
                <w:b/>
                <w:i/>
              </w:rPr>
            </w:pPr>
          </w:p>
        </w:tc>
        <w:tc>
          <w:tcPr>
            <w:tcW w:w="71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365"/>
              <w:jc w:val="left"/>
              <w:rPr>
                <w:b/>
                <w:i/>
              </w:rPr>
            </w:pPr>
          </w:p>
        </w:tc>
        <w:tc>
          <w:tcPr>
            <w:tcW w:w="108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309"/>
              <w:jc w:val="left"/>
              <w:rPr>
                <w:b/>
                <w:i/>
              </w:rPr>
            </w:pPr>
          </w:p>
        </w:tc>
        <w:tc>
          <w:tcPr>
            <w:tcW w:w="1086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jc w:val="left"/>
              <w:rPr>
                <w:b/>
                <w:i/>
              </w:rPr>
            </w:pP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>Saunders (</w:t>
            </w:r>
            <w:proofErr w:type="spellStart"/>
            <w:r>
              <w:t>SPRC</w:t>
            </w:r>
            <w:proofErr w:type="spellEnd"/>
            <w:r>
              <w:t>)</w:t>
            </w:r>
          </w:p>
        </w:tc>
        <w:tc>
          <w:tcPr>
            <w:tcW w:w="1457" w:type="pct"/>
          </w:tcPr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7 out of 48 essential items</w:t>
            </w:r>
          </w:p>
        </w:tc>
        <w:tc>
          <w:tcPr>
            <w:tcW w:w="717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proofErr w:type="spellStart"/>
            <w:r>
              <w:t>CUPSE</w:t>
            </w:r>
            <w:proofErr w:type="spellEnd"/>
            <w:r>
              <w:t xml:space="preserve"> &amp; </w:t>
            </w:r>
            <w:proofErr w:type="spellStart"/>
            <w:r>
              <w:t>PEMA</w:t>
            </w:r>
            <w:proofErr w:type="spellEnd"/>
            <w:r>
              <w:t xml:space="preserve"> surveys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spacing w:before="40"/>
              <w:ind w:right="309"/>
              <w:jc w:val="left"/>
            </w:pPr>
            <w:r>
              <w:t>Can compare depri</w:t>
            </w:r>
            <w:r w:rsidR="002357C7">
              <w:t>vation of vulnerable sub-groups</w:t>
            </w:r>
          </w:p>
          <w:p w:rsidR="00BA0A78" w:rsidRDefault="00BA0A78" w:rsidP="002357C7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spacing w:before="40"/>
              <w:jc w:val="left"/>
              <w:rPr>
                <w:i/>
              </w:rPr>
            </w:pPr>
            <w:r>
              <w:t xml:space="preserve">Partial indicator – uses cross sectional data </w:t>
            </w:r>
            <w:r w:rsidR="001E650D">
              <w:t xml:space="preserve">from ad hoc surveys </w:t>
            </w:r>
            <w:r>
              <w:t xml:space="preserve">– </w:t>
            </w:r>
            <w:r w:rsidR="002357C7">
              <w:t xml:space="preserve">does </w:t>
            </w:r>
            <w:r w:rsidR="001E650D">
              <w:t>not</w:t>
            </w:r>
            <w:r>
              <w:t xml:space="preserve"> monitor deprivation</w:t>
            </w:r>
            <w:r w:rsidR="001E650D">
              <w:t xml:space="preserve"> dynamics</w:t>
            </w:r>
          </w:p>
        </w:tc>
      </w:tr>
      <w:tr w:rsidR="00797D6A" w:rsidRPr="00751090" w:rsidTr="002357C7">
        <w:tc>
          <w:tcPr>
            <w:tcW w:w="653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jc w:val="left"/>
              <w:rPr>
                <w:b/>
                <w:i/>
              </w:rPr>
            </w:pPr>
            <w:r w:rsidRPr="00751090">
              <w:rPr>
                <w:b/>
                <w:i/>
              </w:rPr>
              <w:t>Social Exclusion</w:t>
            </w:r>
          </w:p>
        </w:tc>
        <w:tc>
          <w:tcPr>
            <w:tcW w:w="145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184"/>
              <w:jc w:val="left"/>
              <w:rPr>
                <w:rFonts w:cs="Arial"/>
                <w:b/>
                <w:i/>
              </w:rPr>
            </w:pPr>
          </w:p>
        </w:tc>
        <w:tc>
          <w:tcPr>
            <w:tcW w:w="71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365"/>
              <w:jc w:val="left"/>
              <w:rPr>
                <w:b/>
                <w:i/>
              </w:rPr>
            </w:pPr>
          </w:p>
        </w:tc>
        <w:tc>
          <w:tcPr>
            <w:tcW w:w="108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309"/>
              <w:jc w:val="left"/>
              <w:rPr>
                <w:b/>
                <w:i/>
              </w:rPr>
            </w:pPr>
          </w:p>
        </w:tc>
        <w:tc>
          <w:tcPr>
            <w:tcW w:w="1086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jc w:val="left"/>
              <w:rPr>
                <w:b/>
                <w:i/>
              </w:rPr>
            </w:pP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2259EF" w:rsidP="002357C7">
            <w:pPr>
              <w:pStyle w:val="TableBodyText"/>
              <w:spacing w:before="40"/>
              <w:jc w:val="left"/>
            </w:pPr>
            <w:r>
              <w:t>Social Exclusion Monitor (</w:t>
            </w:r>
            <w:proofErr w:type="spellStart"/>
            <w:r w:rsidR="00797D6A">
              <w:t>SEM</w:t>
            </w:r>
            <w:proofErr w:type="spellEnd"/>
            <w:r>
              <w:t>)</w:t>
            </w:r>
          </w:p>
        </w:tc>
        <w:tc>
          <w:tcPr>
            <w:tcW w:w="1457" w:type="pct"/>
          </w:tcPr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7 life domains (box 3.</w:t>
            </w:r>
            <w:r w:rsidR="002259EF">
              <w:t>2</w:t>
            </w:r>
            <w:r>
              <w:t>) – equally weighted</w:t>
            </w:r>
          </w:p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Sum score of 2 or more for deep exclusion; 3 or more for very deep exclusion – can be any combination of indicators</w:t>
            </w:r>
          </w:p>
        </w:tc>
        <w:tc>
          <w:tcPr>
            <w:tcW w:w="717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r>
              <w:t>HILDA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spacing w:before="40"/>
              <w:ind w:right="309"/>
              <w:jc w:val="left"/>
            </w:pPr>
            <w:r>
              <w:t>Can make comparisons of rates of deep exclusi</w:t>
            </w:r>
            <w:r w:rsidR="002357C7">
              <w:t>on between sub-groups over time</w:t>
            </w:r>
          </w:p>
          <w:p w:rsidR="00BA0A78" w:rsidRDefault="00BA0A78" w:rsidP="002357C7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259EF">
            <w:pPr>
              <w:pStyle w:val="TableBodyText"/>
              <w:spacing w:before="40"/>
              <w:jc w:val="left"/>
              <w:rPr>
                <w:i/>
              </w:rPr>
            </w:pPr>
            <w:r>
              <w:t xml:space="preserve">More comprehensive indicator – can monitor dynamics or transition between states over time </w:t>
            </w: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>Saunders (</w:t>
            </w:r>
            <w:proofErr w:type="spellStart"/>
            <w:r>
              <w:t>SPRC</w:t>
            </w:r>
            <w:proofErr w:type="spellEnd"/>
            <w:r>
              <w:t>)</w:t>
            </w:r>
          </w:p>
        </w:tc>
        <w:tc>
          <w:tcPr>
            <w:tcW w:w="1457" w:type="pct"/>
          </w:tcPr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3 domains – income poverty, deprivation and exclusion</w:t>
            </w:r>
          </w:p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7 indicators out of 27</w:t>
            </w:r>
          </w:p>
        </w:tc>
        <w:tc>
          <w:tcPr>
            <w:tcW w:w="717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proofErr w:type="spellStart"/>
            <w:r>
              <w:t>CUPSE</w:t>
            </w:r>
            <w:proofErr w:type="spellEnd"/>
            <w:r>
              <w:t xml:space="preserve"> &amp; </w:t>
            </w:r>
            <w:proofErr w:type="spellStart"/>
            <w:r>
              <w:t>PEMA</w:t>
            </w:r>
            <w:proofErr w:type="spellEnd"/>
            <w:r>
              <w:t xml:space="preserve"> surveys (ad hoc – 2006 &amp; 2010)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spacing w:before="40"/>
              <w:ind w:right="309"/>
              <w:jc w:val="left"/>
            </w:pPr>
            <w:r>
              <w:t xml:space="preserve">Can make comparisons of sub groups experiencing multiple exclusion in cross sectional surveys </w:t>
            </w:r>
          </w:p>
          <w:p w:rsidR="00BA0A78" w:rsidRDefault="00BA0A78" w:rsidP="002357C7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 xml:space="preserve">Cross sectional estimates – </w:t>
            </w:r>
            <w:r w:rsidR="002357C7">
              <w:t xml:space="preserve">does </w:t>
            </w:r>
            <w:r>
              <w:t xml:space="preserve">not track </w:t>
            </w:r>
            <w:r w:rsidR="000C6EE8">
              <w:t>dynamics of</w:t>
            </w:r>
            <w:r>
              <w:t xml:space="preserve"> spells of exclusion and non-exclusion</w:t>
            </w:r>
          </w:p>
        </w:tc>
      </w:tr>
    </w:tbl>
    <w:p w:rsidR="00797D6A" w:rsidRDefault="00797D6A" w:rsidP="00797D6A"/>
    <w:tbl>
      <w:tblPr>
        <w:tblW w:w="49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5"/>
        <w:gridCol w:w="4056"/>
        <w:gridCol w:w="1784"/>
        <w:gridCol w:w="2920"/>
        <w:gridCol w:w="2917"/>
      </w:tblGrid>
      <w:tr w:rsidR="00797D6A" w:rsidTr="002357C7">
        <w:tc>
          <w:tcPr>
            <w:tcW w:w="653" w:type="pct"/>
            <w:shd w:val="clear" w:color="auto" w:fill="auto"/>
          </w:tcPr>
          <w:p w:rsidR="00797D6A" w:rsidRDefault="002346F5" w:rsidP="002357C7">
            <w:pPr>
              <w:pStyle w:val="TableBodyText"/>
              <w:spacing w:before="40"/>
              <w:jc w:val="left"/>
            </w:pPr>
            <w:r>
              <w:lastRenderedPageBreak/>
              <w:t>Australian Social Inclusion Board</w:t>
            </w:r>
          </w:p>
        </w:tc>
        <w:tc>
          <w:tcPr>
            <w:tcW w:w="1510" w:type="pct"/>
          </w:tcPr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3 domains – economic, personal and social with two indicators for each</w:t>
            </w:r>
          </w:p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Need to have at least 3 indicators of the 6 to be classified as experiencing multiple disadvantage which is their proxy for social exclusion</w:t>
            </w:r>
          </w:p>
        </w:tc>
        <w:tc>
          <w:tcPr>
            <w:tcW w:w="664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r>
              <w:t xml:space="preserve">ABS </w:t>
            </w:r>
            <w:proofErr w:type="spellStart"/>
            <w:r>
              <w:t>GSS</w:t>
            </w:r>
            <w:proofErr w:type="spellEnd"/>
            <w:r>
              <w:t xml:space="preserve"> (every 4 years)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spacing w:before="40"/>
              <w:ind w:right="309"/>
              <w:jc w:val="left"/>
            </w:pPr>
            <w:r>
              <w:t>Information available on characteristics of those exp</w:t>
            </w:r>
            <w:r w:rsidR="00BA0A78">
              <w:t>eriencing multiple disadvantage</w:t>
            </w:r>
          </w:p>
          <w:p w:rsidR="00BA0A78" w:rsidRDefault="00BA0A78" w:rsidP="002357C7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 xml:space="preserve">Cross sectional estimates </w:t>
            </w:r>
            <w:r w:rsidR="002357C7">
              <w:t xml:space="preserve">— does </w:t>
            </w:r>
            <w:r>
              <w:t xml:space="preserve">not track </w:t>
            </w:r>
            <w:r w:rsidR="000C6EE8">
              <w:t>dynamics of</w:t>
            </w:r>
            <w:r>
              <w:t xml:space="preserve"> spells of exclusion and inclusion</w:t>
            </w:r>
          </w:p>
          <w:p w:rsidR="00797D6A" w:rsidRDefault="00797D6A" w:rsidP="002357C7">
            <w:pPr>
              <w:pStyle w:val="TableBodyText"/>
              <w:spacing w:before="40"/>
              <w:jc w:val="left"/>
            </w:pPr>
          </w:p>
        </w:tc>
      </w:tr>
      <w:tr w:rsidR="00797D6A" w:rsidRPr="00751090" w:rsidTr="002357C7">
        <w:tc>
          <w:tcPr>
            <w:tcW w:w="2163" w:type="pct"/>
            <w:gridSpan w:val="2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184"/>
              <w:jc w:val="left"/>
              <w:rPr>
                <w:rFonts w:cs="Arial"/>
                <w:b/>
                <w:i/>
              </w:rPr>
            </w:pPr>
            <w:r w:rsidRPr="00751090">
              <w:rPr>
                <w:b/>
                <w:i/>
              </w:rPr>
              <w:t xml:space="preserve">Overlap or intersection or multiple </w:t>
            </w:r>
            <w:r w:rsidR="002357C7">
              <w:rPr>
                <w:b/>
                <w:i/>
              </w:rPr>
              <w:t xml:space="preserve">or deeper </w:t>
            </w:r>
            <w:r w:rsidRPr="00751090">
              <w:rPr>
                <w:b/>
                <w:i/>
              </w:rPr>
              <w:t>disadvantage</w:t>
            </w:r>
          </w:p>
        </w:tc>
        <w:tc>
          <w:tcPr>
            <w:tcW w:w="664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365"/>
              <w:jc w:val="left"/>
              <w:rPr>
                <w:b/>
                <w:i/>
              </w:rPr>
            </w:pPr>
          </w:p>
        </w:tc>
        <w:tc>
          <w:tcPr>
            <w:tcW w:w="1087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ind w:right="309"/>
              <w:jc w:val="left"/>
              <w:rPr>
                <w:b/>
                <w:i/>
              </w:rPr>
            </w:pPr>
          </w:p>
        </w:tc>
        <w:tc>
          <w:tcPr>
            <w:tcW w:w="1086" w:type="pct"/>
            <w:shd w:val="clear" w:color="auto" w:fill="D9D9D9" w:themeFill="background1" w:themeFillShade="D9"/>
          </w:tcPr>
          <w:p w:rsidR="00797D6A" w:rsidRPr="00751090" w:rsidRDefault="00797D6A" w:rsidP="002357C7">
            <w:pPr>
              <w:pStyle w:val="TableBodyText"/>
              <w:spacing w:before="160"/>
              <w:jc w:val="left"/>
              <w:rPr>
                <w:b/>
                <w:i/>
              </w:rPr>
            </w:pP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proofErr w:type="spellStart"/>
            <w:r>
              <w:t>SEM</w:t>
            </w:r>
            <w:proofErr w:type="spellEnd"/>
          </w:p>
        </w:tc>
        <w:tc>
          <w:tcPr>
            <w:tcW w:w="1510" w:type="pct"/>
          </w:tcPr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>Deep exclusion (score &gt;=2) or very deep exclusion (score &gt;=3)</w:t>
            </w:r>
          </w:p>
          <w:p w:rsidR="00797D6A" w:rsidRDefault="00797D6A" w:rsidP="002357C7">
            <w:pPr>
              <w:pStyle w:val="TableBodyText"/>
              <w:spacing w:before="40"/>
              <w:ind w:right="184"/>
              <w:jc w:val="left"/>
            </w:pPr>
            <w:r>
              <w:t xml:space="preserve">Aggregation of exclusion indicators – </w:t>
            </w:r>
            <w:r w:rsidR="002357C7">
              <w:t>the greater the number of indicators</w:t>
            </w:r>
            <w:r w:rsidR="00BA0A78">
              <w:t>,</w:t>
            </w:r>
            <w:r w:rsidR="002357C7">
              <w:t xml:space="preserve"> or </w:t>
            </w:r>
            <w:r w:rsidR="00BA0A78">
              <w:t xml:space="preserve">the </w:t>
            </w:r>
            <w:r w:rsidR="002357C7">
              <w:t>higher the score</w:t>
            </w:r>
            <w:r w:rsidR="00BA0A78">
              <w:t>,</w:t>
            </w:r>
            <w:r w:rsidR="002357C7">
              <w:t xml:space="preserve"> the greater the level of </w:t>
            </w:r>
            <w:r w:rsidR="00BA0A78">
              <w:t xml:space="preserve">social </w:t>
            </w:r>
            <w:r w:rsidR="002357C7">
              <w:t xml:space="preserve">exclusion — </w:t>
            </w:r>
            <w:r>
              <w:t>can be any combination of indicators</w:t>
            </w:r>
          </w:p>
        </w:tc>
        <w:tc>
          <w:tcPr>
            <w:tcW w:w="664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r>
              <w:t>HILDA</w:t>
            </w:r>
          </w:p>
        </w:tc>
        <w:tc>
          <w:tcPr>
            <w:tcW w:w="1087" w:type="pct"/>
          </w:tcPr>
          <w:p w:rsidR="00797D6A" w:rsidRDefault="00797D6A" w:rsidP="00BA0A78">
            <w:pPr>
              <w:pStyle w:val="TableBodyText"/>
              <w:spacing w:before="40"/>
              <w:ind w:right="309"/>
              <w:jc w:val="left"/>
            </w:pPr>
            <w:r>
              <w:t>Can make comparisons of characteristics of those deeply excluded and rates of deep exclusion between sub-groups over time –</w:t>
            </w:r>
            <w:r w:rsidR="00BA0A78">
              <w:t xml:space="preserve"> transitional analysis possible</w:t>
            </w:r>
          </w:p>
          <w:p w:rsidR="00BA0A78" w:rsidRDefault="00BA0A78" w:rsidP="00BA0A78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spacing w:before="40"/>
              <w:jc w:val="left"/>
              <w:rPr>
                <w:i/>
              </w:rPr>
            </w:pPr>
            <w:r>
              <w:t xml:space="preserve">Sample size </w:t>
            </w:r>
            <w:r w:rsidR="0094261B">
              <w:t xml:space="preserve">is </w:t>
            </w:r>
            <w:r>
              <w:t>too small to make meaningful conclusions about average duration of exclusion for key sub-groups</w:t>
            </w:r>
            <w:r w:rsidR="002259EF">
              <w:t xml:space="preserve"> and factors which trigger movements between states of exclusion and non-exclusion</w:t>
            </w:r>
          </w:p>
        </w:tc>
      </w:tr>
      <w:tr w:rsidR="00797D6A" w:rsidTr="002357C7">
        <w:tc>
          <w:tcPr>
            <w:tcW w:w="653" w:type="pct"/>
            <w:shd w:val="clear" w:color="auto" w:fill="auto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>Saunders (</w:t>
            </w:r>
            <w:proofErr w:type="spellStart"/>
            <w:r>
              <w:t>SPRC</w:t>
            </w:r>
            <w:proofErr w:type="spellEnd"/>
            <w:r>
              <w:t>)</w:t>
            </w:r>
          </w:p>
        </w:tc>
        <w:tc>
          <w:tcPr>
            <w:tcW w:w="1510" w:type="pct"/>
          </w:tcPr>
          <w:p w:rsidR="00797D6A" w:rsidRDefault="002357C7" w:rsidP="002357C7">
            <w:pPr>
              <w:pStyle w:val="TableBodyText"/>
              <w:spacing w:before="40"/>
              <w:ind w:right="184"/>
              <w:jc w:val="left"/>
            </w:pPr>
            <w:r>
              <w:t>Overlap or i</w:t>
            </w:r>
            <w:r w:rsidR="00797D6A">
              <w:t xml:space="preserve">ntersection of poverty, deprivation and exclusion – </w:t>
            </w:r>
            <w:r>
              <w:t>“</w:t>
            </w:r>
            <w:r w:rsidR="00797D6A">
              <w:t>core disadvantaged</w:t>
            </w:r>
            <w:r>
              <w:t>”</w:t>
            </w:r>
          </w:p>
        </w:tc>
        <w:tc>
          <w:tcPr>
            <w:tcW w:w="664" w:type="pct"/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proofErr w:type="spellStart"/>
            <w:r>
              <w:t>CUPSE</w:t>
            </w:r>
            <w:proofErr w:type="spellEnd"/>
            <w:r>
              <w:t xml:space="preserve"> &amp; </w:t>
            </w:r>
            <w:proofErr w:type="spellStart"/>
            <w:r>
              <w:t>PEMA</w:t>
            </w:r>
            <w:proofErr w:type="spellEnd"/>
            <w:r>
              <w:t xml:space="preserve"> surveys (ad hoc – 2006 &amp; 2010)</w:t>
            </w:r>
          </w:p>
        </w:tc>
        <w:tc>
          <w:tcPr>
            <w:tcW w:w="1087" w:type="pct"/>
          </w:tcPr>
          <w:p w:rsidR="00797D6A" w:rsidRDefault="00797D6A" w:rsidP="002357C7">
            <w:pPr>
              <w:pStyle w:val="TableBodyText"/>
              <w:spacing w:before="40"/>
              <w:ind w:right="309"/>
              <w:jc w:val="left"/>
            </w:pPr>
            <w:r>
              <w:t>Can make comparisons of the percentage of the population that are core disadvantaged in cross sectional surveys – can also monitor the degree of overlap b</w:t>
            </w:r>
            <w:r w:rsidR="00BA0A78">
              <w:t>etween elements of disadvantage</w:t>
            </w:r>
          </w:p>
          <w:p w:rsidR="00BA0A78" w:rsidRDefault="00BA0A78" w:rsidP="002357C7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</w:tcPr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 xml:space="preserve">Sample size </w:t>
            </w:r>
            <w:r w:rsidR="0094261B">
              <w:t xml:space="preserve">is </w:t>
            </w:r>
            <w:r>
              <w:t>too small to provide information on characteristics of those who are core disadvantaged</w:t>
            </w:r>
          </w:p>
          <w:p w:rsidR="00797D6A" w:rsidRDefault="00797D6A" w:rsidP="002357C7">
            <w:pPr>
              <w:pStyle w:val="TableBodyText"/>
              <w:spacing w:before="40"/>
              <w:jc w:val="left"/>
            </w:pPr>
            <w:r>
              <w:t>No transitional analysis possible between states</w:t>
            </w:r>
          </w:p>
        </w:tc>
      </w:tr>
      <w:tr w:rsidR="00797D6A" w:rsidTr="002357C7"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:rsidR="00797D6A" w:rsidRDefault="002259EF" w:rsidP="002357C7">
            <w:pPr>
              <w:pStyle w:val="TableBodyText"/>
              <w:spacing w:before="40"/>
              <w:jc w:val="left"/>
            </w:pPr>
            <w:r>
              <w:t>Australian Social Inclusion Board</w:t>
            </w:r>
          </w:p>
        </w:tc>
        <w:tc>
          <w:tcPr>
            <w:tcW w:w="1510" w:type="pct"/>
            <w:tcBorders>
              <w:bottom w:val="single" w:sz="4" w:space="0" w:color="auto"/>
            </w:tcBorders>
          </w:tcPr>
          <w:p w:rsidR="00797D6A" w:rsidRDefault="002357C7" w:rsidP="002357C7">
            <w:pPr>
              <w:pStyle w:val="TableBodyText"/>
              <w:spacing w:before="40"/>
              <w:ind w:right="184"/>
              <w:jc w:val="left"/>
            </w:pPr>
            <w:r>
              <w:t>Multiple disadvantage — a</w:t>
            </w:r>
            <w:r w:rsidR="00797D6A">
              <w:t>t least 3 of 6 indicators of disadvantage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797D6A" w:rsidRDefault="00797D6A" w:rsidP="002357C7">
            <w:pPr>
              <w:pStyle w:val="TableBodyText"/>
              <w:spacing w:before="40"/>
              <w:ind w:right="365"/>
              <w:jc w:val="left"/>
            </w:pPr>
            <w:r>
              <w:t xml:space="preserve">ABS </w:t>
            </w:r>
            <w:proofErr w:type="spellStart"/>
            <w:r>
              <w:t>GSS</w:t>
            </w:r>
            <w:proofErr w:type="spellEnd"/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:rsidR="00797D6A" w:rsidRDefault="00797D6A" w:rsidP="00BA0A78">
            <w:pPr>
              <w:pStyle w:val="TableBodyText"/>
              <w:spacing w:before="40"/>
              <w:ind w:right="309"/>
              <w:jc w:val="left"/>
            </w:pPr>
            <w:r>
              <w:t xml:space="preserve">Can make comparisons of characteristics of multiple disadvantaged in cross sectional surveys </w:t>
            </w:r>
          </w:p>
          <w:p w:rsidR="00BA0A78" w:rsidRDefault="00BA0A78" w:rsidP="00BA0A78">
            <w:pPr>
              <w:pStyle w:val="TableBodyText"/>
              <w:spacing w:before="40"/>
              <w:ind w:right="309"/>
              <w:jc w:val="left"/>
            </w:pPr>
          </w:p>
        </w:tc>
        <w:tc>
          <w:tcPr>
            <w:tcW w:w="1086" w:type="pct"/>
            <w:tcBorders>
              <w:bottom w:val="single" w:sz="4" w:space="0" w:color="auto"/>
            </w:tcBorders>
          </w:tcPr>
          <w:p w:rsidR="00797D6A" w:rsidRDefault="002357C7" w:rsidP="002357C7">
            <w:pPr>
              <w:pStyle w:val="TableBodyText"/>
              <w:spacing w:before="40"/>
              <w:jc w:val="left"/>
              <w:rPr>
                <w:i/>
              </w:rPr>
            </w:pPr>
            <w:r>
              <w:t xml:space="preserve">Does </w:t>
            </w:r>
            <w:r w:rsidR="00797D6A">
              <w:t>not monitor dynamics or transitions between spells of exclusion and inclusion</w:t>
            </w:r>
          </w:p>
        </w:tc>
      </w:tr>
    </w:tbl>
    <w:p w:rsidR="00F056FC" w:rsidRDefault="00F056FC" w:rsidP="007376B4">
      <w:pPr>
        <w:pStyle w:val="BodyText"/>
      </w:pPr>
    </w:p>
    <w:sectPr w:rsidR="00F056FC" w:rsidSect="006F61DF">
      <w:headerReference w:type="even" r:id="rId13"/>
      <w:headerReference w:type="default" r:id="rId14"/>
      <w:footerReference w:type="even" r:id="rId15"/>
      <w:footerReference w:type="default" r:id="rId16"/>
      <w:pgSz w:w="16840" w:h="11907" w:orient="landscape" w:code="9"/>
      <w:pgMar w:top="1814" w:right="1985" w:bottom="1304" w:left="1418" w:header="1701" w:footer="567" w:gutter="0"/>
      <w:pgNumType w:chapStyle="1" w:chapSep="period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F5" w:rsidRDefault="002346F5">
      <w:r>
        <w:separator/>
      </w:r>
    </w:p>
  </w:endnote>
  <w:endnote w:type="continuationSeparator" w:id="0">
    <w:p w:rsidR="002346F5" w:rsidRDefault="0023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2346F5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2346F5" w:rsidRDefault="002346F5" w:rsidP="00141341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 \* MERGEFORMAT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220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 \* MERGEFORMAT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220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2346F5" w:rsidRDefault="00315CD7" w:rsidP="0019293B">
          <w:pPr>
            <w:pStyle w:val="Footer"/>
          </w:pPr>
          <w:r>
            <w:fldChar w:fldCharType="begin"/>
          </w:r>
          <w:r>
            <w:instrText xml:space="preserve"> SUBJECT  \* MERGEFORMAT </w:instrText>
          </w:r>
          <w:r>
            <w:fldChar w:fldCharType="separate"/>
          </w:r>
          <w:r w:rsidR="006F61DF">
            <w:t>Deep and Persistent Disadvantage</w:t>
          </w:r>
          <w:r>
            <w:fldChar w:fldCharType="end"/>
          </w:r>
        </w:p>
      </w:tc>
      <w:tc>
        <w:tcPr>
          <w:tcW w:w="6634" w:type="dxa"/>
        </w:tcPr>
        <w:p w:rsidR="002346F5" w:rsidRDefault="002346F5" w:rsidP="0019293B">
          <w:pPr>
            <w:pStyle w:val="Footer"/>
          </w:pPr>
        </w:p>
      </w:tc>
    </w:tr>
  </w:tbl>
  <w:p w:rsidR="002346F5" w:rsidRDefault="002346F5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2346F5" w:rsidTr="007B0140">
      <w:trPr>
        <w:trHeight w:hRule="exact" w:val="740"/>
      </w:trPr>
      <w:tc>
        <w:tcPr>
          <w:tcW w:w="6634" w:type="dxa"/>
        </w:tcPr>
        <w:p w:rsidR="002346F5" w:rsidRDefault="002346F5" w:rsidP="007B0140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2346F5" w:rsidRDefault="00315CD7" w:rsidP="007B0140">
          <w:pPr>
            <w:pStyle w:val="Footer"/>
          </w:pPr>
          <w:r>
            <w:fldChar w:fldCharType="begin"/>
          </w:r>
          <w:r>
            <w:instrText xml:space="preserve"> TITLE  \* MERGEFORMAT </w:instrText>
          </w:r>
          <w:r>
            <w:fldChar w:fldCharType="separate"/>
          </w:r>
          <w:r w:rsidR="006F61DF">
            <w:t>Strengths and weaknesses</w:t>
          </w:r>
          <w:r>
            <w:fldChar w:fldCharType="end"/>
          </w:r>
        </w:p>
      </w:tc>
      <w:tc>
        <w:tcPr>
          <w:tcW w:w="510" w:type="dxa"/>
          <w:tcBorders>
            <w:top w:val="single" w:sz="6" w:space="0" w:color="auto"/>
          </w:tcBorders>
        </w:tcPr>
        <w:p w:rsidR="002346F5" w:rsidRDefault="002346F5" w:rsidP="007B0140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315CD7">
            <w:rPr>
              <w:rStyle w:val="PageNumber"/>
              <w:noProof/>
            </w:rPr>
            <w:t>213</w:t>
          </w:r>
          <w:r>
            <w:rPr>
              <w:rStyle w:val="PageNumber"/>
            </w:rPr>
            <w:fldChar w:fldCharType="end"/>
          </w:r>
        </w:p>
      </w:tc>
    </w:tr>
  </w:tbl>
  <w:p w:rsidR="002346F5" w:rsidRDefault="002346F5" w:rsidP="00554FBA">
    <w:pPr>
      <w:pStyle w:val="FooterEn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6F5" w:rsidRDefault="002346F5" w:rsidP="0019293B">
    <w:pPr>
      <w:pStyle w:val="FooterEn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6F5" w:rsidRDefault="002346F5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F5" w:rsidRDefault="002346F5">
      <w:r>
        <w:separator/>
      </w:r>
    </w:p>
  </w:footnote>
  <w:footnote w:type="continuationSeparator" w:id="0">
    <w:p w:rsidR="002346F5" w:rsidRDefault="00234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2346F5">
      <w:tc>
        <w:tcPr>
          <w:tcW w:w="2155" w:type="dxa"/>
          <w:tcBorders>
            <w:top w:val="single" w:sz="24" w:space="0" w:color="auto"/>
          </w:tcBorders>
        </w:tcPr>
        <w:p w:rsidR="002346F5" w:rsidRDefault="002346F5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2346F5" w:rsidRDefault="002346F5" w:rsidP="0019293B">
          <w:pPr>
            <w:pStyle w:val="HeaderEven"/>
          </w:pPr>
        </w:p>
      </w:tc>
    </w:tr>
  </w:tbl>
  <w:p w:rsidR="002346F5" w:rsidRDefault="002346F5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2346F5">
      <w:tc>
        <w:tcPr>
          <w:tcW w:w="6634" w:type="dxa"/>
          <w:tcBorders>
            <w:top w:val="single" w:sz="6" w:space="0" w:color="auto"/>
          </w:tcBorders>
        </w:tcPr>
        <w:p w:rsidR="002346F5" w:rsidRDefault="002346F5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2346F5" w:rsidRDefault="002346F5" w:rsidP="00E669E2">
          <w:pPr>
            <w:pStyle w:val="HeaderOdd"/>
          </w:pPr>
        </w:p>
      </w:tc>
    </w:tr>
  </w:tbl>
  <w:p w:rsidR="002346F5" w:rsidRDefault="002346F5" w:rsidP="00E669E2">
    <w:pPr>
      <w:pStyle w:val="HeaderEn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6F5" w:rsidRDefault="002346F5" w:rsidP="0019293B">
    <w:pPr>
      <w:pStyle w:val="HeaderEn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6F5" w:rsidRDefault="002346F5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3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4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pendixNumber" w:val="B"/>
    <w:docVar w:name="FindingOptions" w:val="1"/>
    <w:docVar w:name="RecOptions" w:val="111"/>
    <w:docVar w:name="ShortChapterTitle" w:val="Strengths and weaknesses "/>
    <w:docVar w:name="ShortReportTitle" w:val="Deep and Persistent Disadvantage"/>
  </w:docVars>
  <w:rsids>
    <w:rsidRoot w:val="00797D6A"/>
    <w:rsid w:val="000227D5"/>
    <w:rsid w:val="000245AA"/>
    <w:rsid w:val="0003664B"/>
    <w:rsid w:val="0004111F"/>
    <w:rsid w:val="000565B3"/>
    <w:rsid w:val="0007150B"/>
    <w:rsid w:val="000938F5"/>
    <w:rsid w:val="00096E55"/>
    <w:rsid w:val="000B601B"/>
    <w:rsid w:val="000C207E"/>
    <w:rsid w:val="000C6EE8"/>
    <w:rsid w:val="000C6EFA"/>
    <w:rsid w:val="000F0035"/>
    <w:rsid w:val="000F420B"/>
    <w:rsid w:val="00110116"/>
    <w:rsid w:val="00120072"/>
    <w:rsid w:val="00126EB8"/>
    <w:rsid w:val="001274D4"/>
    <w:rsid w:val="001363AA"/>
    <w:rsid w:val="00141341"/>
    <w:rsid w:val="00183E82"/>
    <w:rsid w:val="001878BB"/>
    <w:rsid w:val="00191AE0"/>
    <w:rsid w:val="0019293B"/>
    <w:rsid w:val="0019426B"/>
    <w:rsid w:val="001B4A40"/>
    <w:rsid w:val="001C0865"/>
    <w:rsid w:val="001C3ABA"/>
    <w:rsid w:val="001E650D"/>
    <w:rsid w:val="001E7BE8"/>
    <w:rsid w:val="001F0248"/>
    <w:rsid w:val="001F3EB3"/>
    <w:rsid w:val="001F4F86"/>
    <w:rsid w:val="001F7FAF"/>
    <w:rsid w:val="00202C2C"/>
    <w:rsid w:val="002135AB"/>
    <w:rsid w:val="002144BE"/>
    <w:rsid w:val="002259EF"/>
    <w:rsid w:val="002346F5"/>
    <w:rsid w:val="002357C7"/>
    <w:rsid w:val="00242279"/>
    <w:rsid w:val="00245C82"/>
    <w:rsid w:val="002760F8"/>
    <w:rsid w:val="00291B40"/>
    <w:rsid w:val="002B4008"/>
    <w:rsid w:val="002D0E8E"/>
    <w:rsid w:val="002F1E07"/>
    <w:rsid w:val="00301189"/>
    <w:rsid w:val="00315CD7"/>
    <w:rsid w:val="00323E09"/>
    <w:rsid w:val="00333932"/>
    <w:rsid w:val="003518AA"/>
    <w:rsid w:val="00352165"/>
    <w:rsid w:val="00353182"/>
    <w:rsid w:val="003565D9"/>
    <w:rsid w:val="003602E1"/>
    <w:rsid w:val="0037026F"/>
    <w:rsid w:val="00371240"/>
    <w:rsid w:val="003727DF"/>
    <w:rsid w:val="00374731"/>
    <w:rsid w:val="00376E59"/>
    <w:rsid w:val="003919F9"/>
    <w:rsid w:val="003C38B5"/>
    <w:rsid w:val="003C5D99"/>
    <w:rsid w:val="003E2F59"/>
    <w:rsid w:val="003F0789"/>
    <w:rsid w:val="00401882"/>
    <w:rsid w:val="004100C8"/>
    <w:rsid w:val="00411DBD"/>
    <w:rsid w:val="00412ACE"/>
    <w:rsid w:val="00431249"/>
    <w:rsid w:val="00434C19"/>
    <w:rsid w:val="00450810"/>
    <w:rsid w:val="00477144"/>
    <w:rsid w:val="00491380"/>
    <w:rsid w:val="0049459F"/>
    <w:rsid w:val="004A38DD"/>
    <w:rsid w:val="004B43AE"/>
    <w:rsid w:val="004C30ED"/>
    <w:rsid w:val="004D5675"/>
    <w:rsid w:val="00523639"/>
    <w:rsid w:val="00531FE5"/>
    <w:rsid w:val="005402FA"/>
    <w:rsid w:val="00554FBA"/>
    <w:rsid w:val="00583C39"/>
    <w:rsid w:val="00587F28"/>
    <w:rsid w:val="005909CF"/>
    <w:rsid w:val="00591E71"/>
    <w:rsid w:val="005A0D41"/>
    <w:rsid w:val="005C259D"/>
    <w:rsid w:val="00607BF1"/>
    <w:rsid w:val="00630D4D"/>
    <w:rsid w:val="00632A74"/>
    <w:rsid w:val="006465FF"/>
    <w:rsid w:val="00667CEC"/>
    <w:rsid w:val="006A4655"/>
    <w:rsid w:val="006B2B3C"/>
    <w:rsid w:val="006C1D81"/>
    <w:rsid w:val="006C7038"/>
    <w:rsid w:val="006E73EF"/>
    <w:rsid w:val="006F61DF"/>
    <w:rsid w:val="00714D4D"/>
    <w:rsid w:val="007376B4"/>
    <w:rsid w:val="007604BB"/>
    <w:rsid w:val="00785232"/>
    <w:rsid w:val="00797D6A"/>
    <w:rsid w:val="007A21EB"/>
    <w:rsid w:val="007B0140"/>
    <w:rsid w:val="007B1A93"/>
    <w:rsid w:val="007C0C41"/>
    <w:rsid w:val="007C36C9"/>
    <w:rsid w:val="007D6401"/>
    <w:rsid w:val="007E01E4"/>
    <w:rsid w:val="007F7107"/>
    <w:rsid w:val="00800D4C"/>
    <w:rsid w:val="0081030F"/>
    <w:rsid w:val="0082087D"/>
    <w:rsid w:val="00835771"/>
    <w:rsid w:val="00842933"/>
    <w:rsid w:val="0086082C"/>
    <w:rsid w:val="00864ADC"/>
    <w:rsid w:val="00880153"/>
    <w:rsid w:val="00880F97"/>
    <w:rsid w:val="0088133A"/>
    <w:rsid w:val="0089285E"/>
    <w:rsid w:val="0089436C"/>
    <w:rsid w:val="008D365C"/>
    <w:rsid w:val="009030BF"/>
    <w:rsid w:val="0091032F"/>
    <w:rsid w:val="00914368"/>
    <w:rsid w:val="00931076"/>
    <w:rsid w:val="009345D9"/>
    <w:rsid w:val="00934B15"/>
    <w:rsid w:val="00940C87"/>
    <w:rsid w:val="00941AA5"/>
    <w:rsid w:val="0094261B"/>
    <w:rsid w:val="00942B62"/>
    <w:rsid w:val="0095323B"/>
    <w:rsid w:val="00956A0C"/>
    <w:rsid w:val="00956BD9"/>
    <w:rsid w:val="00962489"/>
    <w:rsid w:val="00990C2C"/>
    <w:rsid w:val="009E1844"/>
    <w:rsid w:val="009F0D1B"/>
    <w:rsid w:val="009F696D"/>
    <w:rsid w:val="009F6BC6"/>
    <w:rsid w:val="00A17328"/>
    <w:rsid w:val="00A23A20"/>
    <w:rsid w:val="00A268B9"/>
    <w:rsid w:val="00A2703A"/>
    <w:rsid w:val="00A33DFF"/>
    <w:rsid w:val="00A35115"/>
    <w:rsid w:val="00A36D9A"/>
    <w:rsid w:val="00A554AB"/>
    <w:rsid w:val="00A57062"/>
    <w:rsid w:val="00A92B53"/>
    <w:rsid w:val="00A94FA6"/>
    <w:rsid w:val="00AA49A0"/>
    <w:rsid w:val="00AA6710"/>
    <w:rsid w:val="00AB0681"/>
    <w:rsid w:val="00AD520B"/>
    <w:rsid w:val="00B425C3"/>
    <w:rsid w:val="00B440AD"/>
    <w:rsid w:val="00B479BB"/>
    <w:rsid w:val="00B53E7E"/>
    <w:rsid w:val="00B6342E"/>
    <w:rsid w:val="00B7113F"/>
    <w:rsid w:val="00BA0A78"/>
    <w:rsid w:val="00BA73B6"/>
    <w:rsid w:val="00BA7E27"/>
    <w:rsid w:val="00BB2603"/>
    <w:rsid w:val="00BB4FCD"/>
    <w:rsid w:val="00BC04E9"/>
    <w:rsid w:val="00BD13EA"/>
    <w:rsid w:val="00BE3808"/>
    <w:rsid w:val="00C062E9"/>
    <w:rsid w:val="00C07B64"/>
    <w:rsid w:val="00C13721"/>
    <w:rsid w:val="00C14FE4"/>
    <w:rsid w:val="00C3066D"/>
    <w:rsid w:val="00C52416"/>
    <w:rsid w:val="00C543F4"/>
    <w:rsid w:val="00C6291C"/>
    <w:rsid w:val="00C633CB"/>
    <w:rsid w:val="00C736B7"/>
    <w:rsid w:val="00C81D4A"/>
    <w:rsid w:val="00C8762C"/>
    <w:rsid w:val="00CA00F9"/>
    <w:rsid w:val="00CA2961"/>
    <w:rsid w:val="00CB50D7"/>
    <w:rsid w:val="00CB7177"/>
    <w:rsid w:val="00CC1998"/>
    <w:rsid w:val="00CC4946"/>
    <w:rsid w:val="00D252E9"/>
    <w:rsid w:val="00D270A4"/>
    <w:rsid w:val="00D31FE9"/>
    <w:rsid w:val="00D34E1B"/>
    <w:rsid w:val="00D376BA"/>
    <w:rsid w:val="00D45634"/>
    <w:rsid w:val="00D5568A"/>
    <w:rsid w:val="00D63D73"/>
    <w:rsid w:val="00D64452"/>
    <w:rsid w:val="00D66E1E"/>
    <w:rsid w:val="00D75722"/>
    <w:rsid w:val="00D80CF5"/>
    <w:rsid w:val="00DA5BBA"/>
    <w:rsid w:val="00DB26D2"/>
    <w:rsid w:val="00DB67C9"/>
    <w:rsid w:val="00DC0C95"/>
    <w:rsid w:val="00DD6580"/>
    <w:rsid w:val="00E17C72"/>
    <w:rsid w:val="00E21FC6"/>
    <w:rsid w:val="00E431A9"/>
    <w:rsid w:val="00E669E2"/>
    <w:rsid w:val="00E76135"/>
    <w:rsid w:val="00E82F4F"/>
    <w:rsid w:val="00EA502E"/>
    <w:rsid w:val="00EC2844"/>
    <w:rsid w:val="00EC5500"/>
    <w:rsid w:val="00ED18F8"/>
    <w:rsid w:val="00EF6C6C"/>
    <w:rsid w:val="00F056FC"/>
    <w:rsid w:val="00F10476"/>
    <w:rsid w:val="00F135D8"/>
    <w:rsid w:val="00F31299"/>
    <w:rsid w:val="00F3534A"/>
    <w:rsid w:val="00F51609"/>
    <w:rsid w:val="00F81006"/>
    <w:rsid w:val="00F85325"/>
    <w:rsid w:val="00FD22B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footer" w:uiPriority="99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797D6A"/>
    <w:rPr>
      <w:sz w:val="26"/>
      <w:szCs w:val="24"/>
    </w:rPr>
  </w:style>
  <w:style w:type="paragraph" w:styleId="Heading1">
    <w:name w:val="heading 1"/>
    <w:basedOn w:val="Normal"/>
    <w:next w:val="BodyText"/>
    <w:rsid w:val="00FD22B1"/>
    <w:pPr>
      <w:keepNext/>
      <w:spacing w:before="160" w:after="1360" w:line="600" w:lineRule="exact"/>
      <w:ind w:left="907" w:hanging="907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link w:val="FooterChar"/>
    <w:uiPriority w:val="99"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  <w:rPr>
      <w:szCs w:val="20"/>
    </w:r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basedOn w:val="DefaultParagraphFont"/>
    <w:link w:val="BodyText"/>
    <w:rsid w:val="00797D6A"/>
    <w:rPr>
      <w:sz w:val="26"/>
    </w:rPr>
  </w:style>
  <w:style w:type="character" w:customStyle="1" w:styleId="FooterChar">
    <w:name w:val="Footer Char"/>
    <w:basedOn w:val="DefaultParagraphFont"/>
    <w:link w:val="Footer"/>
    <w:uiPriority w:val="99"/>
    <w:rsid w:val="00797D6A"/>
    <w:rPr>
      <w:caps/>
      <w:spacing w:val="-4"/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797D6A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7D6A"/>
    <w:rPr>
      <w:szCs w:val="24"/>
    </w:rPr>
  </w:style>
  <w:style w:type="character" w:customStyle="1" w:styleId="CommentSubjectChar">
    <w:name w:val="Comment Subject Char"/>
    <w:basedOn w:val="CommentTextChar"/>
    <w:link w:val="CommentSubject"/>
    <w:rsid w:val="00797D6A"/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footer" w:uiPriority="99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797D6A"/>
    <w:rPr>
      <w:sz w:val="26"/>
      <w:szCs w:val="24"/>
    </w:rPr>
  </w:style>
  <w:style w:type="paragraph" w:styleId="Heading1">
    <w:name w:val="heading 1"/>
    <w:basedOn w:val="Normal"/>
    <w:next w:val="BodyText"/>
    <w:rsid w:val="00FD22B1"/>
    <w:pPr>
      <w:keepNext/>
      <w:spacing w:before="160" w:after="1360" w:line="600" w:lineRule="exact"/>
      <w:ind w:left="907" w:hanging="907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link w:val="FooterChar"/>
    <w:uiPriority w:val="99"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  <w:rPr>
      <w:szCs w:val="20"/>
    </w:r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basedOn w:val="DefaultParagraphFont"/>
    <w:link w:val="BodyText"/>
    <w:rsid w:val="00797D6A"/>
    <w:rPr>
      <w:sz w:val="26"/>
    </w:rPr>
  </w:style>
  <w:style w:type="character" w:customStyle="1" w:styleId="FooterChar">
    <w:name w:val="Footer Char"/>
    <w:basedOn w:val="DefaultParagraphFont"/>
    <w:link w:val="Footer"/>
    <w:uiPriority w:val="99"/>
    <w:rsid w:val="00797D6A"/>
    <w:rPr>
      <w:caps/>
      <w:spacing w:val="-4"/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797D6A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7D6A"/>
    <w:rPr>
      <w:szCs w:val="24"/>
    </w:rPr>
  </w:style>
  <w:style w:type="character" w:customStyle="1" w:styleId="CommentSubjectChar">
    <w:name w:val="Comment Subject Char"/>
    <w:basedOn w:val="CommentTextChar"/>
    <w:link w:val="CommentSubject"/>
    <w:rsid w:val="00797D6A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F1B11-435B-48D8-B0CD-362670AE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1</TotalTime>
  <Pages>3</Pages>
  <Words>561</Words>
  <Characters>3261</Characters>
  <Application>Microsoft Office Word</Application>
  <DocSecurity>0</DocSecurity>
  <Lines>189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Strengths and weaknesses</vt:lpstr>
    </vt:vector>
  </TitlesOfParts>
  <Company>Productivity Commission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Strengths and weaknesses</dc:title>
  <dc:subject>Deep and Persistent Disadvantage</dc:subject>
  <dc:creator>Productivity Commission</dc:creator>
  <dc:description>B.</dc:description>
  <cp:lastModifiedBy>Productivity Commission</cp:lastModifiedBy>
  <cp:revision>3</cp:revision>
  <cp:lastPrinted>2013-05-29T04:19:00Z</cp:lastPrinted>
  <dcterms:created xsi:type="dcterms:W3CDTF">2013-07-04T23:40:00Z</dcterms:created>
  <dcterms:modified xsi:type="dcterms:W3CDTF">2013-07-05T03:35:00Z</dcterms:modified>
</cp:coreProperties>
</file>