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FFFFFF" w:themeColor="background1"/>
          <w:sz w:val="42"/>
        </w:rPr>
        <w:id w:val="-228914026"/>
        <w:docPartObj>
          <w:docPartGallery w:val="Cover Pages"/>
          <w:docPartUnique/>
        </w:docPartObj>
      </w:sdtPr>
      <w:sdtContent>
        <w:p w14:paraId="4245078B" w14:textId="77777777" w:rsidR="001267E2" w:rsidRDefault="001267E2" w:rsidP="001267E2">
          <w:pPr>
            <w:pStyle w:val="CoverImage"/>
            <w:framePr w:wrap="around"/>
          </w:pPr>
          <w:r w:rsidRPr="00F33F8D">
            <w:rPr>
              <w:noProof/>
            </w:rPr>
            <w:drawing>
              <wp:inline distT="0" distB="0" distL="0" distR="0" wp14:anchorId="636D6995" wp14:editId="7778688B">
                <wp:extent cx="7558753" cy="2806996"/>
                <wp:effectExtent l="0" t="0" r="4445" b="0"/>
                <wp:docPr id="1634396365" name="Picture 1634396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96365" name="Picture 163439636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t="908" b="908"/>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6D3F44B9" w14:textId="090CD2AD" w:rsidR="001267E2" w:rsidRPr="00DC5DFF" w:rsidRDefault="001267E2" w:rsidP="001267E2">
          <w:pPr>
            <w:pStyle w:val="Coverdate"/>
            <w:framePr w:wrap="around"/>
          </w:pPr>
          <w:r>
            <w:t>April 2023</w:t>
          </w:r>
        </w:p>
        <w:p w14:paraId="2F3C5642" w14:textId="77777777" w:rsidR="001267E2" w:rsidRPr="00295330" w:rsidRDefault="001267E2" w:rsidP="001267E2">
          <w:pPr>
            <w:pStyle w:val="Title"/>
            <w:ind w:right="140"/>
          </w:pPr>
          <w:bookmarkStart w:id="0" w:name="_Toc130848504"/>
          <w:bookmarkStart w:id="1" w:name="_Toc131167379"/>
          <w:bookmarkStart w:id="2" w:name="_Toc131171338"/>
          <w:r>
            <w:t>Inquiry into promoting economic dynamism, competition and business formation</w:t>
          </w:r>
          <w:bookmarkEnd w:id="0"/>
          <w:bookmarkEnd w:id="1"/>
          <w:bookmarkEnd w:id="2"/>
        </w:p>
        <w:p w14:paraId="4919763D" w14:textId="77777777" w:rsidR="004267F1" w:rsidRDefault="00C502A7" w:rsidP="002E226C">
          <w:pPr>
            <w:pStyle w:val="Subtitle"/>
            <w:spacing w:after="480"/>
          </w:pPr>
          <w:r>
            <w:t>Productivity Commission submission</w:t>
          </w:r>
        </w:p>
        <w:p w14:paraId="38C5EEEE" w14:textId="1CE99C2F" w:rsidR="001267E2" w:rsidRPr="002E226C" w:rsidRDefault="006B5853" w:rsidP="001267E2">
          <w:pPr>
            <w:pStyle w:val="Subtitle"/>
            <w:rPr>
              <w:sz w:val="36"/>
              <w:szCs w:val="36"/>
            </w:rPr>
          </w:pPr>
          <w:r w:rsidRPr="002E226C">
            <w:rPr>
              <w:sz w:val="36"/>
              <w:szCs w:val="36"/>
            </w:rPr>
            <w:t>Matters arising from public hearing</w:t>
          </w:r>
          <w:r w:rsidR="00333A9D" w:rsidRPr="002E226C">
            <w:rPr>
              <w:sz w:val="36"/>
              <w:szCs w:val="36"/>
            </w:rPr>
            <w:t xml:space="preserve"> appearance</w:t>
          </w:r>
        </w:p>
        <w:p w14:paraId="1C6BE8D8" w14:textId="77777777" w:rsidR="001267E2" w:rsidRDefault="001267E2" w:rsidP="001267E2">
          <w:pPr>
            <w:spacing w:after="160" w:line="259" w:lineRule="auto"/>
          </w:pPr>
        </w:p>
        <w:p w14:paraId="72D06BC6" w14:textId="77777777" w:rsidR="001267E2" w:rsidRDefault="001267E2" w:rsidP="001267E2">
          <w:pPr>
            <w:spacing w:after="160" w:line="259" w:lineRule="auto"/>
            <w:sectPr w:rsidR="001267E2" w:rsidSect="002E3F19">
              <w:headerReference w:type="even" r:id="rId14"/>
              <w:headerReference w:type="default" r:id="rId15"/>
              <w:footerReference w:type="even" r:id="rId16"/>
              <w:footerReference w:type="default" r:id="rId17"/>
              <w:headerReference w:type="first" r:id="rId18"/>
              <w:footerReference w:type="first" r:id="rId19"/>
              <w:pgSz w:w="11906" w:h="16838" w:code="9"/>
              <w:pgMar w:top="2835" w:right="1134" w:bottom="1134" w:left="1134" w:header="624" w:footer="510" w:gutter="0"/>
              <w:pgNumType w:fmt="lowerRoman"/>
              <w:cols w:space="708"/>
              <w:titlePg/>
              <w:docGrid w:linePitch="360"/>
            </w:sectPr>
          </w:pPr>
        </w:p>
        <w:p w14:paraId="6F7FD926" w14:textId="5848EE60" w:rsidR="00CF1796" w:rsidRDefault="00CF1796" w:rsidP="00CF1796">
          <w:pPr>
            <w:pStyle w:val="Heading1-nonumber"/>
          </w:pPr>
          <w:r>
            <w:lastRenderedPageBreak/>
            <w:t>Matters arising from public hearing</w:t>
          </w:r>
        </w:p>
      </w:sdtContent>
    </w:sdt>
    <w:p w14:paraId="1674F3FA" w14:textId="085F9C25" w:rsidR="00E07F89" w:rsidRDefault="00E07F89" w:rsidP="00E07F89">
      <w:pPr>
        <w:pStyle w:val="Heading4"/>
      </w:pPr>
      <w:r>
        <w:t>Question 1</w:t>
      </w:r>
      <w:r w:rsidR="00A94B1A">
        <w:t>:</w:t>
      </w:r>
      <w:r>
        <w:t xml:space="preserve"> </w:t>
      </w:r>
      <w:r w:rsidR="00A87E2B">
        <w:t>I</w:t>
      </w:r>
      <w:r>
        <w:t>n which sectors is there a link between productivity and competition?</w:t>
      </w:r>
    </w:p>
    <w:p w14:paraId="6FD72C84" w14:textId="77777777" w:rsidR="002648FD" w:rsidRPr="00E07F89" w:rsidRDefault="002648FD" w:rsidP="002648FD">
      <w:pPr>
        <w:pStyle w:val="BodyText"/>
      </w:pPr>
      <w:r>
        <w:t>The main submission addresses this question.</w:t>
      </w:r>
    </w:p>
    <w:p w14:paraId="358219E0" w14:textId="3487EC9D" w:rsidR="00E07F89" w:rsidRDefault="00E07F89" w:rsidP="00E07F89">
      <w:pPr>
        <w:pStyle w:val="Heading4"/>
      </w:pPr>
      <w:r>
        <w:t>Question 2</w:t>
      </w:r>
      <w:r w:rsidR="00A94B1A">
        <w:t>:</w:t>
      </w:r>
      <w:r>
        <w:t xml:space="preserve"> </w:t>
      </w:r>
      <w:r w:rsidR="00A87E2B">
        <w:t>W</w:t>
      </w:r>
      <w:r>
        <w:t xml:space="preserve">hat </w:t>
      </w:r>
      <w:r w:rsidRPr="00E07F89">
        <w:t>areas are most prospective for seeking to increase competition in order to boost productivity</w:t>
      </w:r>
      <w:r>
        <w:t>?</w:t>
      </w:r>
    </w:p>
    <w:p w14:paraId="44E45C0B" w14:textId="77777777" w:rsidR="002648FD" w:rsidRPr="00E07F89" w:rsidRDefault="002648FD" w:rsidP="002648FD">
      <w:pPr>
        <w:pStyle w:val="BodyText"/>
      </w:pPr>
      <w:r>
        <w:t>The main submission addresses this question.</w:t>
      </w:r>
    </w:p>
    <w:p w14:paraId="15772F44" w14:textId="05AA7855" w:rsidR="00E07F89" w:rsidRDefault="00E07F89" w:rsidP="00E07F89">
      <w:pPr>
        <w:pStyle w:val="Heading4"/>
      </w:pPr>
      <w:r>
        <w:t>Question 3</w:t>
      </w:r>
      <w:r w:rsidR="00A94B1A">
        <w:t>:</w:t>
      </w:r>
      <w:r>
        <w:t xml:space="preserve"> </w:t>
      </w:r>
      <w:r w:rsidRPr="00E07F89">
        <w:t xml:space="preserve">Do you see </w:t>
      </w:r>
      <w:r>
        <w:t xml:space="preserve">the AUKUS deal </w:t>
      </w:r>
      <w:r w:rsidRPr="00E07F89">
        <w:t>as an economic and industrial policy as much as a defence one</w:t>
      </w:r>
      <w:r>
        <w:t>?</w:t>
      </w:r>
    </w:p>
    <w:p w14:paraId="185D10BB" w14:textId="77D610D2" w:rsidR="00E07F89" w:rsidRDefault="00F76CA5" w:rsidP="00E07F89">
      <w:pPr>
        <w:pStyle w:val="BodyText"/>
      </w:pPr>
      <w:r>
        <w:t>The Commission has not examined the AUKUS dea</w:t>
      </w:r>
      <w:r w:rsidR="00D92630">
        <w:t>l.</w:t>
      </w:r>
    </w:p>
    <w:p w14:paraId="4557A548" w14:textId="37DC5D70" w:rsidR="00E07F89" w:rsidRDefault="00E07F89" w:rsidP="00E07F89">
      <w:pPr>
        <w:pStyle w:val="Heading4"/>
      </w:pPr>
      <w:r>
        <w:t>Question 4</w:t>
      </w:r>
      <w:r w:rsidR="00A94B1A">
        <w:t>:</w:t>
      </w:r>
      <w:r>
        <w:t xml:space="preserve"> </w:t>
      </w:r>
      <w:r w:rsidR="00A87E2B">
        <w:t>A</w:t>
      </w:r>
      <w:r>
        <w:t xml:space="preserve">re there </w:t>
      </w:r>
      <w:r w:rsidRPr="00E07F89">
        <w:t>any constitutional barriers or restraints on competition, particularly in the section 51 powers or any other elements</w:t>
      </w:r>
      <w:r>
        <w:t>?</w:t>
      </w:r>
    </w:p>
    <w:p w14:paraId="4DB126E1" w14:textId="491CB82A" w:rsidR="00CC488B" w:rsidRDefault="00B82C58" w:rsidP="00E07F89">
      <w:pPr>
        <w:pStyle w:val="BodyText"/>
      </w:pPr>
      <w:r>
        <w:t>T</w:t>
      </w:r>
      <w:r w:rsidR="008B25BB">
        <w:t xml:space="preserve">he Constitution </w:t>
      </w:r>
      <w:r>
        <w:t xml:space="preserve">provides </w:t>
      </w:r>
      <w:r w:rsidR="00C52815">
        <w:t xml:space="preserve">various powers to the Australian Government or the </w:t>
      </w:r>
      <w:r w:rsidR="001C4EB0">
        <w:t>s</w:t>
      </w:r>
      <w:r w:rsidR="00C52815">
        <w:t xml:space="preserve">tates to </w:t>
      </w:r>
      <w:r w:rsidR="00B45C54">
        <w:t xml:space="preserve">address competition issues. The Competition Code signed by states gave the </w:t>
      </w:r>
      <w:r w:rsidR="00EA66FF">
        <w:t>Australian Government</w:t>
      </w:r>
      <w:r w:rsidR="00B45C54">
        <w:t xml:space="preserve"> the power to </w:t>
      </w:r>
      <w:r w:rsidR="00CC488B">
        <w:t>apply competition law to persons and not just corporations</w:t>
      </w:r>
      <w:r w:rsidR="00285C7B">
        <w:t xml:space="preserve">, </w:t>
      </w:r>
      <w:r w:rsidR="004C7F57">
        <w:t xml:space="preserve">so the Competition and Consumer Act </w:t>
      </w:r>
      <w:r w:rsidR="008A6B26">
        <w:t xml:space="preserve">(CCA) </w:t>
      </w:r>
      <w:r w:rsidR="004C7F57">
        <w:t>has general application</w:t>
      </w:r>
      <w:r w:rsidR="00564A5F">
        <w:t xml:space="preserve"> to businesses</w:t>
      </w:r>
      <w:r w:rsidR="00675C02">
        <w:t>, incorporated or otherwise</w:t>
      </w:r>
      <w:r w:rsidR="00713187">
        <w:t>.</w:t>
      </w:r>
    </w:p>
    <w:p w14:paraId="7F867D6D" w14:textId="1118B5CA" w:rsidR="004C0ECD" w:rsidRDefault="004341D7" w:rsidP="00E07F89">
      <w:pPr>
        <w:pStyle w:val="BodyText"/>
      </w:pPr>
      <w:r>
        <w:t xml:space="preserve">However, the CCA itself does not cover all instances where </w:t>
      </w:r>
      <w:r w:rsidR="009A11F1">
        <w:t>problems in competition may arise</w:t>
      </w:r>
      <w:r w:rsidR="00EF667B">
        <w:t>. In particular,</w:t>
      </w:r>
      <w:r w:rsidR="005F169F">
        <w:t xml:space="preserve"> </w:t>
      </w:r>
      <w:r w:rsidR="00E96FDC">
        <w:t>Australian</w:t>
      </w:r>
      <w:r w:rsidR="00065461">
        <w:t xml:space="preserve"> and</w:t>
      </w:r>
      <w:r w:rsidR="00E96FDC">
        <w:t xml:space="preserve"> state </w:t>
      </w:r>
      <w:r w:rsidR="00065461">
        <w:t xml:space="preserve">and territory government </w:t>
      </w:r>
      <w:r w:rsidR="00EF667B">
        <w:t xml:space="preserve">impose an array of </w:t>
      </w:r>
      <w:r w:rsidR="009A11F1">
        <w:t>regulation</w:t>
      </w:r>
      <w:r w:rsidR="00564A5F">
        <w:t xml:space="preserve">s that </w:t>
      </w:r>
      <w:r w:rsidR="00E96FDC">
        <w:t xml:space="preserve">limit </w:t>
      </w:r>
      <w:r w:rsidR="00713187">
        <w:t>competition</w:t>
      </w:r>
      <w:r w:rsidR="00EF667B">
        <w:t xml:space="preserve">. Governments also </w:t>
      </w:r>
      <w:r w:rsidR="005A630F">
        <w:t xml:space="preserve">may use models of service provision that reduce competition. </w:t>
      </w:r>
      <w:r w:rsidR="00815C94">
        <w:t xml:space="preserve">The Constitution </w:t>
      </w:r>
      <w:r w:rsidR="007E0CC8">
        <w:t xml:space="preserve">provides </w:t>
      </w:r>
      <w:r w:rsidR="00412DE9">
        <w:t>constrained</w:t>
      </w:r>
      <w:r w:rsidR="007E0CC8">
        <w:t xml:space="preserve"> scope for</w:t>
      </w:r>
      <w:r w:rsidR="00815C94">
        <w:t xml:space="preserve"> the Australian </w:t>
      </w:r>
      <w:r w:rsidR="002E73B2">
        <w:t>G</w:t>
      </w:r>
      <w:r w:rsidR="00815C94">
        <w:t xml:space="preserve">overnment to override </w:t>
      </w:r>
      <w:r w:rsidR="007E0CC8">
        <w:t xml:space="preserve">state and territory regulations </w:t>
      </w:r>
      <w:r w:rsidR="007F13E5">
        <w:t>that have an adverse impact on compe</w:t>
      </w:r>
      <w:r w:rsidR="00D830F4">
        <w:t>tition</w:t>
      </w:r>
      <w:r w:rsidR="00D10CBB">
        <w:t xml:space="preserve">. The </w:t>
      </w:r>
      <w:r w:rsidR="00815C94">
        <w:t xml:space="preserve">Australian </w:t>
      </w:r>
      <w:r w:rsidR="00386DC7">
        <w:t>G</w:t>
      </w:r>
      <w:r w:rsidR="00815C94">
        <w:t xml:space="preserve">overnment </w:t>
      </w:r>
      <w:r w:rsidR="00D10CBB">
        <w:t>itself has</w:t>
      </w:r>
      <w:r w:rsidR="00386DC7">
        <w:t xml:space="preserve"> </w:t>
      </w:r>
      <w:r w:rsidR="003118B3">
        <w:t xml:space="preserve">also </w:t>
      </w:r>
      <w:r w:rsidR="00386DC7">
        <w:t>implemented regulations that impede competition</w:t>
      </w:r>
      <w:r w:rsidR="00D94558">
        <w:t xml:space="preserve"> and </w:t>
      </w:r>
      <w:r w:rsidR="00412DE9">
        <w:t xml:space="preserve">that </w:t>
      </w:r>
      <w:r w:rsidR="00D94558">
        <w:t xml:space="preserve">are not open to constitutional challenge. </w:t>
      </w:r>
    </w:p>
    <w:p w14:paraId="2CFF1A45" w14:textId="2BD2A99C" w:rsidR="004C7F57" w:rsidRDefault="00713187" w:rsidP="00E07F89">
      <w:pPr>
        <w:pStyle w:val="BodyText"/>
      </w:pPr>
      <w:r>
        <w:t xml:space="preserve">The </w:t>
      </w:r>
      <w:r w:rsidR="00EF4B92">
        <w:t>Harper Review</w:t>
      </w:r>
      <w:r w:rsidR="00283605">
        <w:t xml:space="preserve"> </w:t>
      </w:r>
      <w:r w:rsidR="002F065C" w:rsidRPr="008D5F6A">
        <w:rPr>
          <w:rFonts w:ascii="Arial" w:hAnsi="Arial" w:cs="Arial"/>
          <w:szCs w:val="24"/>
        </w:rPr>
        <w:t>(Harper et al. 2015)</w:t>
      </w:r>
      <w:r w:rsidR="008D5F6A">
        <w:t xml:space="preserve"> </w:t>
      </w:r>
      <w:r w:rsidR="00283605">
        <w:t xml:space="preserve">provides comprehensive coverage of </w:t>
      </w:r>
      <w:r w:rsidR="00E00997">
        <w:t xml:space="preserve">Australian and state and territory government </w:t>
      </w:r>
      <w:r w:rsidR="00283605">
        <w:t>regulations</w:t>
      </w:r>
      <w:r w:rsidR="00942468">
        <w:t xml:space="preserve"> </w:t>
      </w:r>
      <w:r w:rsidR="00283605">
        <w:t xml:space="preserve">that </w:t>
      </w:r>
      <w:r w:rsidR="006D3048">
        <w:t xml:space="preserve">limit </w:t>
      </w:r>
      <w:r w:rsidR="00361A18">
        <w:t>competition</w:t>
      </w:r>
      <w:r w:rsidR="001E20A3">
        <w:t>. M</w:t>
      </w:r>
      <w:r w:rsidR="00340D23">
        <w:t>any</w:t>
      </w:r>
      <w:r w:rsidR="00283605">
        <w:t xml:space="preserve"> have also been identified in </w:t>
      </w:r>
      <w:r w:rsidR="005651C0">
        <w:t xml:space="preserve">the </w:t>
      </w:r>
      <w:r w:rsidR="00283605">
        <w:t xml:space="preserve">Productivity </w:t>
      </w:r>
      <w:r w:rsidR="00EF4B92">
        <w:t xml:space="preserve">Commission’s </w:t>
      </w:r>
      <w:r w:rsidR="00604A85">
        <w:t>first 5</w:t>
      </w:r>
      <w:r w:rsidR="00604A85">
        <w:noBreakHyphen/>
        <w:t xml:space="preserve">year Productivity Review, </w:t>
      </w:r>
      <w:r w:rsidR="00F77D9E" w:rsidRPr="00AC0F8A">
        <w:rPr>
          <w:i/>
          <w:iCs/>
        </w:rPr>
        <w:t>Shifting the Dial</w:t>
      </w:r>
      <w:r w:rsidR="00604A85">
        <w:t xml:space="preserve"> </w:t>
      </w:r>
      <w:r w:rsidR="00E7091C" w:rsidRPr="00E7091C">
        <w:rPr>
          <w:rFonts w:ascii="Arial" w:hAnsi="Arial" w:cs="Arial"/>
          <w:szCs w:val="24"/>
        </w:rPr>
        <w:t>(PC 2017b, particularly appendix B, chapter</w:t>
      </w:r>
      <w:r w:rsidR="00E74D24">
        <w:rPr>
          <w:rFonts w:ascii="Arial" w:hAnsi="Arial" w:cs="Arial"/>
          <w:szCs w:val="24"/>
        </w:rPr>
        <w:t> </w:t>
      </w:r>
      <w:r w:rsidR="00E7091C" w:rsidRPr="00E7091C">
        <w:rPr>
          <w:rFonts w:ascii="Arial" w:hAnsi="Arial" w:cs="Arial"/>
          <w:szCs w:val="24"/>
        </w:rPr>
        <w:t>4, and supporting papers 13 and 16)</w:t>
      </w:r>
      <w:r w:rsidR="00D5398E">
        <w:t xml:space="preserve"> and the </w:t>
      </w:r>
      <w:r w:rsidR="00AC0F8A">
        <w:t>recently released second</w:t>
      </w:r>
      <w:r w:rsidR="005613BE">
        <w:t xml:space="preserve"> </w:t>
      </w:r>
      <w:r w:rsidR="000921A0">
        <w:t>5</w:t>
      </w:r>
      <w:r w:rsidR="00AC0F8A">
        <w:noBreakHyphen/>
      </w:r>
      <w:r w:rsidR="000921A0">
        <w:t xml:space="preserve">year </w:t>
      </w:r>
      <w:r w:rsidR="00E20C94">
        <w:t>Productivity R</w:t>
      </w:r>
      <w:r w:rsidR="000921A0">
        <w:t>eview</w:t>
      </w:r>
      <w:r w:rsidR="001D382A">
        <w:t>,</w:t>
      </w:r>
      <w:r w:rsidR="00AC0F8A">
        <w:t xml:space="preserve"> </w:t>
      </w:r>
      <w:r w:rsidR="00376567" w:rsidRPr="00AC0F8A">
        <w:rPr>
          <w:i/>
          <w:iCs/>
        </w:rPr>
        <w:t>Advancing Prospe</w:t>
      </w:r>
      <w:r w:rsidR="005613BE" w:rsidRPr="00AC0F8A">
        <w:rPr>
          <w:i/>
          <w:iCs/>
        </w:rPr>
        <w:t>rity</w:t>
      </w:r>
      <w:r w:rsidR="00AC0F8A">
        <w:t xml:space="preserve"> </w:t>
      </w:r>
      <w:r w:rsidR="00C94C1C" w:rsidRPr="00C94C1C">
        <w:rPr>
          <w:rFonts w:ascii="Arial" w:hAnsi="Arial" w:cs="Arial"/>
          <w:szCs w:val="24"/>
        </w:rPr>
        <w:t>(PC 2023a, particularly volume 1 and 3)</w:t>
      </w:r>
      <w:r w:rsidR="00145426">
        <w:t>.</w:t>
      </w:r>
    </w:p>
    <w:p w14:paraId="3F0F5AEE" w14:textId="4C26F273" w:rsidR="00145426" w:rsidRDefault="00145426" w:rsidP="00E07F89">
      <w:pPr>
        <w:pStyle w:val="BodyText"/>
      </w:pPr>
      <w:r>
        <w:t>Am</w:t>
      </w:r>
      <w:r w:rsidR="00550B05">
        <w:t>o</w:t>
      </w:r>
      <w:r>
        <w:t xml:space="preserve">ng the issues </w:t>
      </w:r>
      <w:r w:rsidR="004E0AB3">
        <w:t xml:space="preserve">raised by these reports and various other recent </w:t>
      </w:r>
      <w:r w:rsidR="008A6B26">
        <w:t>Productivity Commission</w:t>
      </w:r>
      <w:r w:rsidR="004E0AB3">
        <w:t xml:space="preserve"> analysis are</w:t>
      </w:r>
      <w:r>
        <w:t>:</w:t>
      </w:r>
    </w:p>
    <w:p w14:paraId="554FA86B" w14:textId="779ABBA7" w:rsidR="00C35613" w:rsidRDefault="00604A85" w:rsidP="004A0A72">
      <w:pPr>
        <w:pStyle w:val="ListBullet"/>
      </w:pPr>
      <w:r>
        <w:t>r</w:t>
      </w:r>
      <w:r w:rsidR="004E0AB3">
        <w:t>eform of p</w:t>
      </w:r>
      <w:r w:rsidR="00145426">
        <w:t>lanning and zoning</w:t>
      </w:r>
      <w:r w:rsidR="00B04D6D">
        <w:t xml:space="preserve"> regulations</w:t>
      </w:r>
      <w:r w:rsidR="00EF61B2">
        <w:t xml:space="preserve"> (</w:t>
      </w:r>
      <w:r w:rsidR="00145426">
        <w:t xml:space="preserve">which </w:t>
      </w:r>
      <w:r w:rsidR="00B04D6D">
        <w:t>limit competition within given areas</w:t>
      </w:r>
      <w:r w:rsidR="00EF61B2">
        <w:t>)</w:t>
      </w:r>
    </w:p>
    <w:p w14:paraId="49303473" w14:textId="4D3499D9" w:rsidR="00FE2A49" w:rsidRDefault="00131FA8" w:rsidP="004A0A72">
      <w:pPr>
        <w:pStyle w:val="ListBullet"/>
      </w:pPr>
      <w:r>
        <w:t>reforming</w:t>
      </w:r>
      <w:r w:rsidR="004E0AB3">
        <w:t xml:space="preserve"> </w:t>
      </w:r>
      <w:r w:rsidR="00604A85">
        <w:t>o</w:t>
      </w:r>
      <w:r w:rsidR="00550B05">
        <w:t>ccupational licen</w:t>
      </w:r>
      <w:r w:rsidR="00FE2A49">
        <w:t>c</w:t>
      </w:r>
      <w:r>
        <w:t>ing</w:t>
      </w:r>
    </w:p>
    <w:p w14:paraId="40043DD5" w14:textId="46CF29A1" w:rsidR="00C10DF1" w:rsidRDefault="00604A85" w:rsidP="004A0A72">
      <w:pPr>
        <w:pStyle w:val="ListBullet"/>
      </w:pPr>
      <w:r>
        <w:t>r</w:t>
      </w:r>
      <w:r w:rsidR="004E0AB3">
        <w:t>elaxing l</w:t>
      </w:r>
      <w:r w:rsidR="00C10DF1">
        <w:t xml:space="preserve">imits on </w:t>
      </w:r>
      <w:r w:rsidR="000B772C">
        <w:t>health practitioners working to their full scope of practice</w:t>
      </w:r>
    </w:p>
    <w:p w14:paraId="4144F970" w14:textId="68A00A7D" w:rsidR="000B772C" w:rsidRDefault="00604A85" w:rsidP="004A0A72">
      <w:pPr>
        <w:pStyle w:val="ListBullet"/>
      </w:pPr>
      <w:r>
        <w:t>r</w:t>
      </w:r>
      <w:r w:rsidR="003813C7">
        <w:t xml:space="preserve">ecognition of qualifications from overseas and between </w:t>
      </w:r>
      <w:r w:rsidR="00EF61B2">
        <w:t>jurisdictions</w:t>
      </w:r>
      <w:r w:rsidR="003813C7">
        <w:t xml:space="preserve"> (though </w:t>
      </w:r>
      <w:r w:rsidR="00EF61B2">
        <w:t>a</w:t>
      </w:r>
      <w:r w:rsidR="003813C7">
        <w:t xml:space="preserve">utomatic </w:t>
      </w:r>
      <w:r w:rsidR="00EF61B2">
        <w:t>m</w:t>
      </w:r>
      <w:r w:rsidR="003813C7">
        <w:t xml:space="preserve">utual </w:t>
      </w:r>
      <w:r w:rsidR="00EF61B2">
        <w:t>recognition</w:t>
      </w:r>
      <w:r w:rsidR="003813C7">
        <w:t xml:space="preserve"> has addressed many of the latter)</w:t>
      </w:r>
    </w:p>
    <w:p w14:paraId="53675C42" w14:textId="27C589B0" w:rsidR="003813C7" w:rsidRDefault="004E0AB3" w:rsidP="004A0A72">
      <w:pPr>
        <w:pStyle w:val="ListBullet"/>
      </w:pPr>
      <w:r w:rsidRPr="004E0AB3">
        <w:lastRenderedPageBreak/>
        <w:t>repealing Part X of the Competition and Consumer Act</w:t>
      </w:r>
      <w:r>
        <w:t xml:space="preserve"> </w:t>
      </w:r>
      <w:r w:rsidR="000326E9">
        <w:t>relating</w:t>
      </w:r>
      <w:r>
        <w:t xml:space="preserve"> to coastal shipping</w:t>
      </w:r>
      <w:r w:rsidR="000326E9">
        <w:t xml:space="preserve"> </w:t>
      </w:r>
      <w:r w:rsidR="00341950" w:rsidRPr="00341950">
        <w:rPr>
          <w:rFonts w:ascii="Arial" w:hAnsi="Arial" w:cs="Arial"/>
          <w:szCs w:val="24"/>
        </w:rPr>
        <w:t>(PC 2022b)</w:t>
      </w:r>
    </w:p>
    <w:p w14:paraId="75CC6395" w14:textId="5C492F5A" w:rsidR="001724E0" w:rsidRDefault="00604A85" w:rsidP="004A0A72">
      <w:pPr>
        <w:pStyle w:val="ListBullet"/>
      </w:pPr>
      <w:r>
        <w:t>reform</w:t>
      </w:r>
      <w:r w:rsidR="001B54FD">
        <w:t>ing</w:t>
      </w:r>
      <w:r>
        <w:t xml:space="preserve"> regulations</w:t>
      </w:r>
      <w:r w:rsidR="001724E0">
        <w:t xml:space="preserve"> relating to </w:t>
      </w:r>
      <w:r w:rsidR="005E3736">
        <w:t>pharmacy</w:t>
      </w:r>
      <w:r w:rsidR="00775183">
        <w:t xml:space="preserve"> ownership and location, while also </w:t>
      </w:r>
      <w:r w:rsidR="004E6F22">
        <w:t>giving</w:t>
      </w:r>
      <w:r w:rsidR="00775183">
        <w:t xml:space="preserve"> </w:t>
      </w:r>
      <w:r w:rsidR="00C12A37">
        <w:t>pharmacists</w:t>
      </w:r>
      <w:r w:rsidR="00775183">
        <w:t xml:space="preserve"> greater clinical roles</w:t>
      </w:r>
    </w:p>
    <w:p w14:paraId="313FDBC5" w14:textId="048096BF" w:rsidR="00604A85" w:rsidRDefault="00615C24" w:rsidP="004A0A72">
      <w:pPr>
        <w:pStyle w:val="ListBullet"/>
      </w:pPr>
      <w:r>
        <w:t xml:space="preserve">opening up the capacity for </w:t>
      </w:r>
      <w:r w:rsidR="00C642F7">
        <w:t xml:space="preserve">private health insurers </w:t>
      </w:r>
      <w:r w:rsidR="005E3736">
        <w:t xml:space="preserve">and public hospitals </w:t>
      </w:r>
      <w:r w:rsidR="00C642F7">
        <w:t xml:space="preserve">to </w:t>
      </w:r>
      <w:r w:rsidR="005E3736">
        <w:t>manage chronic disease</w:t>
      </w:r>
      <w:r w:rsidR="00C642F7">
        <w:t xml:space="preserve"> </w:t>
      </w:r>
      <w:r w:rsidR="005E3736">
        <w:t>and its costs</w:t>
      </w:r>
      <w:r w:rsidR="00C642F7">
        <w:t xml:space="preserve"> </w:t>
      </w:r>
      <w:r w:rsidR="004A49BB">
        <w:t xml:space="preserve">by </w:t>
      </w:r>
      <w:r w:rsidR="00604A85">
        <w:t xml:space="preserve">altering legislative </w:t>
      </w:r>
      <w:r w:rsidR="002C6529">
        <w:t>restrictions</w:t>
      </w:r>
      <w:r w:rsidR="00604A85">
        <w:t xml:space="preserve"> on funding of primary health</w:t>
      </w:r>
    </w:p>
    <w:p w14:paraId="643ECAB3" w14:textId="3ACCD5AA" w:rsidR="00775183" w:rsidRDefault="002C6529" w:rsidP="004A0A72">
      <w:pPr>
        <w:pStyle w:val="ListBullet"/>
      </w:pPr>
      <w:r>
        <w:t xml:space="preserve">ensuring reinsurance models in </w:t>
      </w:r>
      <w:r w:rsidR="001664D4">
        <w:t>community</w:t>
      </w:r>
      <w:r w:rsidR="001664D4">
        <w:noBreakHyphen/>
        <w:t xml:space="preserve">rated </w:t>
      </w:r>
      <w:r>
        <w:t xml:space="preserve">private health insurance provide competitive pressures for insurers to </w:t>
      </w:r>
      <w:r w:rsidR="00027B9D">
        <w:t xml:space="preserve">prevent or slow the progress of </w:t>
      </w:r>
      <w:r w:rsidR="000A4665">
        <w:t>chronic</w:t>
      </w:r>
      <w:r w:rsidR="0062701B">
        <w:t xml:space="preserve"> diseases</w:t>
      </w:r>
    </w:p>
    <w:p w14:paraId="70D6BC42" w14:textId="1DFC8C9E" w:rsidR="00182F9E" w:rsidRDefault="00067950" w:rsidP="004A0A72">
      <w:pPr>
        <w:pStyle w:val="ListBullet"/>
      </w:pPr>
      <w:r>
        <w:t>remov</w:t>
      </w:r>
      <w:r w:rsidR="00313618">
        <w:t>ing</w:t>
      </w:r>
      <w:r>
        <w:t xml:space="preserve"> r</w:t>
      </w:r>
      <w:r w:rsidR="00182F9E">
        <w:t>emnant shopping hour restrictions</w:t>
      </w:r>
    </w:p>
    <w:p w14:paraId="1E6B94BF" w14:textId="677D0537" w:rsidR="00182F9E" w:rsidRDefault="00067950" w:rsidP="004A0A72">
      <w:pPr>
        <w:pStyle w:val="ListBullet"/>
      </w:pPr>
      <w:r>
        <w:t>remov</w:t>
      </w:r>
      <w:r w:rsidR="00313618">
        <w:t>ing</w:t>
      </w:r>
      <w:r>
        <w:t xml:space="preserve"> b</w:t>
      </w:r>
      <w:r w:rsidR="007A6233">
        <w:t xml:space="preserve">arriers to imports of </w:t>
      </w:r>
      <w:r>
        <w:t>second hand vehicles</w:t>
      </w:r>
    </w:p>
    <w:p w14:paraId="2D57CC28" w14:textId="23CEBF95" w:rsidR="007A6233" w:rsidRDefault="00067950" w:rsidP="004A0A72">
      <w:pPr>
        <w:pStyle w:val="ListBullet"/>
      </w:pPr>
      <w:r>
        <w:t>address</w:t>
      </w:r>
      <w:r w:rsidR="00313618">
        <w:t>ing</w:t>
      </w:r>
      <w:r>
        <w:t xml:space="preserve"> </w:t>
      </w:r>
      <w:r w:rsidR="002648FD">
        <w:t>insufficient</w:t>
      </w:r>
      <w:r w:rsidR="00447A44">
        <w:t xml:space="preserve"> recognition of international standards</w:t>
      </w:r>
    </w:p>
    <w:p w14:paraId="55543D77" w14:textId="203CE370" w:rsidR="00D353A4" w:rsidRDefault="00067950" w:rsidP="004A0A72">
      <w:pPr>
        <w:pStyle w:val="ListBullet"/>
      </w:pPr>
      <w:r>
        <w:t>r</w:t>
      </w:r>
      <w:r w:rsidR="00D353A4">
        <w:t>educ</w:t>
      </w:r>
      <w:r w:rsidR="00313618">
        <w:t>ing</w:t>
      </w:r>
      <w:r w:rsidR="00D353A4">
        <w:t xml:space="preserve"> barriers to </w:t>
      </w:r>
      <w:r w:rsidR="001D4B42">
        <w:t>foreign</w:t>
      </w:r>
      <w:r w:rsidR="00D353A4">
        <w:t xml:space="preserve"> direct investment</w:t>
      </w:r>
    </w:p>
    <w:p w14:paraId="15B1DF5A" w14:textId="5F68F1CF" w:rsidR="00D353A4" w:rsidRDefault="00067950" w:rsidP="004A0A72">
      <w:pPr>
        <w:pStyle w:val="ListBullet"/>
      </w:pPr>
      <w:r>
        <w:t>scal</w:t>
      </w:r>
      <w:r w:rsidR="00313618">
        <w:t>ing</w:t>
      </w:r>
      <w:r>
        <w:t xml:space="preserve"> back anti</w:t>
      </w:r>
      <w:r w:rsidR="008A6B26">
        <w:noBreakHyphen/>
      </w:r>
      <w:r>
        <w:t xml:space="preserve">dumping duties </w:t>
      </w:r>
      <w:r w:rsidR="004F39B3">
        <w:t>(which limit import competition in certain industries)</w:t>
      </w:r>
    </w:p>
    <w:p w14:paraId="48F457E6" w14:textId="5269F9AC" w:rsidR="00447A44" w:rsidRDefault="00C75266" w:rsidP="004A0A72">
      <w:pPr>
        <w:pStyle w:val="ListBullet"/>
      </w:pPr>
      <w:r>
        <w:t>a</w:t>
      </w:r>
      <w:r w:rsidR="005A01BC">
        <w:t>ddressing incomplete adherence</w:t>
      </w:r>
      <w:r w:rsidR="00016DDC">
        <w:t xml:space="preserve"> to competitive neutrality </w:t>
      </w:r>
      <w:r w:rsidR="005A01BC">
        <w:t>principles</w:t>
      </w:r>
      <w:r w:rsidR="00016DDC">
        <w:t xml:space="preserve"> in relation to government businesses</w:t>
      </w:r>
    </w:p>
    <w:p w14:paraId="57E0B4D1" w14:textId="69D0DC27" w:rsidR="00CF5235" w:rsidRPr="00613868" w:rsidRDefault="0038606F" w:rsidP="004A0A72">
      <w:pPr>
        <w:pStyle w:val="ListBullet"/>
        <w:rPr>
          <w:spacing w:val="2"/>
        </w:rPr>
      </w:pPr>
      <w:r w:rsidRPr="00613868">
        <w:rPr>
          <w:spacing w:val="2"/>
        </w:rPr>
        <w:t>implementing</w:t>
      </w:r>
      <w:r w:rsidR="00C35613" w:rsidRPr="00613868">
        <w:rPr>
          <w:spacing w:val="2"/>
        </w:rPr>
        <w:t xml:space="preserve"> a consumer</w:t>
      </w:r>
      <w:r w:rsidR="00C35613" w:rsidRPr="00613868">
        <w:rPr>
          <w:spacing w:val="2"/>
        </w:rPr>
        <w:noBreakHyphen/>
      </w:r>
      <w:r w:rsidR="00CF5235" w:rsidRPr="00613868">
        <w:rPr>
          <w:spacing w:val="2"/>
        </w:rPr>
        <w:t>centric</w:t>
      </w:r>
      <w:r w:rsidR="00C35613" w:rsidRPr="00613868">
        <w:rPr>
          <w:spacing w:val="2"/>
        </w:rPr>
        <w:t xml:space="preserve"> approach to human services including, where feasible, greater choice o</w:t>
      </w:r>
      <w:r w:rsidR="00D17B28" w:rsidRPr="00613868">
        <w:rPr>
          <w:spacing w:val="2"/>
        </w:rPr>
        <w:t>f</w:t>
      </w:r>
      <w:r w:rsidR="00C35613" w:rsidRPr="00613868">
        <w:rPr>
          <w:spacing w:val="2"/>
        </w:rPr>
        <w:t xml:space="preserve"> services and </w:t>
      </w:r>
      <w:r w:rsidR="00550B05" w:rsidRPr="00613868">
        <w:rPr>
          <w:spacing w:val="2"/>
        </w:rPr>
        <w:t>providers</w:t>
      </w:r>
      <w:r w:rsidR="001B3B27" w:rsidRPr="00613868">
        <w:rPr>
          <w:spacing w:val="2"/>
        </w:rPr>
        <w:t xml:space="preserve">. </w:t>
      </w:r>
      <w:r w:rsidR="00550B05" w:rsidRPr="00613868">
        <w:rPr>
          <w:spacing w:val="2"/>
        </w:rPr>
        <w:t xml:space="preserve">The Commission’s analysis of human services </w:t>
      </w:r>
      <w:r w:rsidR="004F4E45" w:rsidRPr="00613868">
        <w:rPr>
          <w:rFonts w:cs="Arial"/>
          <w:spacing w:val="2"/>
          <w:szCs w:val="24"/>
        </w:rPr>
        <w:t>(PC 2017a)</w:t>
      </w:r>
      <w:r w:rsidR="00550B05" w:rsidRPr="00613868">
        <w:rPr>
          <w:spacing w:val="2"/>
        </w:rPr>
        <w:t xml:space="preserve"> is also relevant to this issue</w:t>
      </w:r>
    </w:p>
    <w:p w14:paraId="2305CBCB" w14:textId="39F3CF9C" w:rsidR="00B04D6D" w:rsidRDefault="0038606F" w:rsidP="004A0A72">
      <w:pPr>
        <w:pStyle w:val="ListBullet"/>
      </w:pPr>
      <w:r>
        <w:t>i</w:t>
      </w:r>
      <w:r w:rsidR="00580618">
        <w:t>ncreasing incentives for universities to compete on the basis of teaching quality</w:t>
      </w:r>
      <w:r w:rsidR="004A0A72">
        <w:t>.</w:t>
      </w:r>
    </w:p>
    <w:p w14:paraId="0CAC7E15" w14:textId="45D8D472" w:rsidR="00E07F89" w:rsidRDefault="00E07F89" w:rsidP="00E07F89">
      <w:pPr>
        <w:pStyle w:val="Heading4"/>
      </w:pPr>
      <w:r>
        <w:t>Question 5: I</w:t>
      </w:r>
      <w:r w:rsidRPr="00E07F89">
        <w:t>n the current inflationary environment, do you think some businesses are incorrectly or even dishonestly attributing mark</w:t>
      </w:r>
      <w:r w:rsidR="008A6B26">
        <w:noBreakHyphen/>
      </w:r>
      <w:r w:rsidRPr="00E07F89">
        <w:t>ups?</w:t>
      </w:r>
    </w:p>
    <w:p w14:paraId="506DB1B0" w14:textId="5514B7A5" w:rsidR="00E07F89" w:rsidRPr="00E07F89" w:rsidRDefault="002648FD" w:rsidP="00E07F89">
      <w:pPr>
        <w:pStyle w:val="BodyText"/>
      </w:pPr>
      <w:r>
        <w:t>The main submission addresses this question</w:t>
      </w:r>
      <w:r w:rsidR="0060382C">
        <w:t>.</w:t>
      </w:r>
    </w:p>
    <w:p w14:paraId="1B468069" w14:textId="77777777" w:rsidR="00E07F89" w:rsidRDefault="00E07F89" w:rsidP="00E07F89">
      <w:pPr>
        <w:pStyle w:val="Heading4"/>
      </w:pPr>
      <w:r>
        <w:t xml:space="preserve">Question 6: Is there a link between </w:t>
      </w:r>
      <w:r w:rsidRPr="00E07F89">
        <w:t>access to capital</w:t>
      </w:r>
      <w:r>
        <w:t xml:space="preserve"> </w:t>
      </w:r>
      <w:r w:rsidRPr="00E07F89">
        <w:t>and productivity growth</w:t>
      </w:r>
      <w:r>
        <w:t>?</w:t>
      </w:r>
      <w:r w:rsidRPr="00E07F89">
        <w:t xml:space="preserve"> </w:t>
      </w:r>
      <w:r>
        <w:t xml:space="preserve">Particularly with reference to </w:t>
      </w:r>
      <w:r w:rsidRPr="00E07F89">
        <w:t>businesses</w:t>
      </w:r>
      <w:r>
        <w:t xml:space="preserve"> size?</w:t>
      </w:r>
    </w:p>
    <w:p w14:paraId="41119C63" w14:textId="69F06449" w:rsidR="00213E01" w:rsidRDefault="00CC2CB5" w:rsidP="002E3058">
      <w:pPr>
        <w:pStyle w:val="BodyText"/>
      </w:pPr>
      <w:r>
        <w:t xml:space="preserve">The Commission has previously considered the issue of </w:t>
      </w:r>
      <w:r w:rsidR="003F3988">
        <w:t xml:space="preserve">access to capital </w:t>
      </w:r>
      <w:r w:rsidR="00894E9D">
        <w:t>and produ</w:t>
      </w:r>
      <w:r w:rsidR="00A20616">
        <w:t>ctivity</w:t>
      </w:r>
      <w:r w:rsidR="001E5119">
        <w:t>, concentrating on small and medium businesses as these are those that face the greatest difficulties</w:t>
      </w:r>
      <w:r w:rsidR="00421F47">
        <w:t>.</w:t>
      </w:r>
      <w:r w:rsidR="001963B8" w:rsidRPr="001963B8">
        <w:t xml:space="preserve"> </w:t>
      </w:r>
      <w:r w:rsidR="00710A38">
        <w:t xml:space="preserve">As discussed in the main submission, the growth of small firms is a source of productivity growth and innovation across the economy (although larger firms are more likely to drive innovation in Australia). </w:t>
      </w:r>
    </w:p>
    <w:p w14:paraId="6764A3EB" w14:textId="4E6072D5" w:rsidR="007D2003" w:rsidRPr="00613868" w:rsidRDefault="00710A38" w:rsidP="00A54E86">
      <w:pPr>
        <w:pStyle w:val="BodyText"/>
        <w:rPr>
          <w:spacing w:val="-2"/>
        </w:rPr>
      </w:pPr>
      <w:r w:rsidRPr="00613868">
        <w:rPr>
          <w:spacing w:val="-2"/>
        </w:rPr>
        <w:t>Nonetheless, it is important for the performance of the Australian economy, and for productivity, that SMEs have access to finance to support their day</w:t>
      </w:r>
      <w:r w:rsidR="008A6B26" w:rsidRPr="00613868">
        <w:rPr>
          <w:spacing w:val="-2"/>
        </w:rPr>
        <w:noBreakHyphen/>
      </w:r>
      <w:r w:rsidRPr="00613868">
        <w:rPr>
          <w:spacing w:val="-2"/>
        </w:rPr>
        <w:t>to</w:t>
      </w:r>
      <w:r w:rsidR="008A6B26" w:rsidRPr="00613868">
        <w:rPr>
          <w:spacing w:val="-2"/>
        </w:rPr>
        <w:noBreakHyphen/>
      </w:r>
      <w:r w:rsidRPr="00613868">
        <w:rPr>
          <w:spacing w:val="-2"/>
        </w:rPr>
        <w:t>day operations and fund their growth</w:t>
      </w:r>
      <w:r w:rsidR="00A31297" w:rsidRPr="00613868">
        <w:rPr>
          <w:spacing w:val="-2"/>
        </w:rPr>
        <w:t xml:space="preserve"> and investments in innovation</w:t>
      </w:r>
      <w:r w:rsidR="007D2003" w:rsidRPr="00613868">
        <w:rPr>
          <w:spacing w:val="-2"/>
        </w:rPr>
        <w:t xml:space="preserve"> and tangible and intangible capital</w:t>
      </w:r>
      <w:r w:rsidRPr="00613868">
        <w:rPr>
          <w:spacing w:val="-2"/>
        </w:rPr>
        <w:t>.</w:t>
      </w:r>
      <w:r w:rsidR="00A54E86" w:rsidRPr="00613868">
        <w:rPr>
          <w:spacing w:val="-2"/>
        </w:rPr>
        <w:t xml:space="preserve"> This is particularly important given the </w:t>
      </w:r>
      <w:r w:rsidR="009B54E5" w:rsidRPr="00613868">
        <w:rPr>
          <w:spacing w:val="-2"/>
        </w:rPr>
        <w:t>scale</w:t>
      </w:r>
      <w:r w:rsidR="00A54E86" w:rsidRPr="00613868">
        <w:rPr>
          <w:spacing w:val="-2"/>
        </w:rPr>
        <w:t xml:space="preserve"> of this part of the economy. Outside of the finance, insurance and public services sectors, small and medium enterprises (SMEs) employ about two</w:t>
      </w:r>
      <w:r w:rsidR="00A54E86" w:rsidRPr="00613868">
        <w:rPr>
          <w:spacing w:val="-2"/>
        </w:rPr>
        <w:noBreakHyphen/>
        <w:t xml:space="preserve">thirds of workers and generate more than half of Australia’s value added </w:t>
      </w:r>
      <w:r w:rsidR="00A54E86" w:rsidRPr="00613868">
        <w:rPr>
          <w:rFonts w:cs="Arial"/>
          <w:spacing w:val="-2"/>
          <w:szCs w:val="24"/>
        </w:rPr>
        <w:t>(PC 2021)</w:t>
      </w:r>
      <w:r w:rsidR="00A54E86" w:rsidRPr="00613868">
        <w:rPr>
          <w:spacing w:val="-2"/>
        </w:rPr>
        <w:t xml:space="preserve">. </w:t>
      </w:r>
    </w:p>
    <w:p w14:paraId="1207A341" w14:textId="4DB2F00B" w:rsidR="002506FF" w:rsidRDefault="007D2003" w:rsidP="00A54E86">
      <w:pPr>
        <w:pStyle w:val="BodyText"/>
      </w:pPr>
      <w:r>
        <w:t>The nature and severity of the constraints on access to capital is discussed further below.</w:t>
      </w:r>
    </w:p>
    <w:p w14:paraId="761AE5CC" w14:textId="77777777" w:rsidR="00E07F89" w:rsidRDefault="002A589A" w:rsidP="002A589A">
      <w:pPr>
        <w:pStyle w:val="Heading4"/>
      </w:pPr>
      <w:r>
        <w:t xml:space="preserve">Question 7: </w:t>
      </w:r>
      <w:r w:rsidRPr="002A589A">
        <w:t>What impact on competition and</w:t>
      </w:r>
      <w:r>
        <w:t xml:space="preserve"> </w:t>
      </w:r>
      <w:r w:rsidRPr="002A589A">
        <w:t>productivity</w:t>
      </w:r>
      <w:r>
        <w:t xml:space="preserve"> is there of </w:t>
      </w:r>
      <w:r w:rsidRPr="002A589A">
        <w:t xml:space="preserve">businesses becoming larger </w:t>
      </w:r>
      <w:r>
        <w:t xml:space="preserve">(especially </w:t>
      </w:r>
      <w:r w:rsidRPr="002A589A">
        <w:t>through vertical integration</w:t>
      </w:r>
      <w:r>
        <w:t>)</w:t>
      </w:r>
      <w:r w:rsidRPr="002A589A">
        <w:t xml:space="preserve">? </w:t>
      </w:r>
    </w:p>
    <w:p w14:paraId="41FEC5C0" w14:textId="173C4C59" w:rsidR="00CE3B47" w:rsidRDefault="00A25E06" w:rsidP="002A589A">
      <w:pPr>
        <w:pStyle w:val="BodyText"/>
      </w:pPr>
      <w:r>
        <w:t xml:space="preserve">The </w:t>
      </w:r>
      <w:r w:rsidR="00C26EA8">
        <w:t xml:space="preserve">main submission </w:t>
      </w:r>
      <w:r w:rsidR="001C7963">
        <w:t>highlights</w:t>
      </w:r>
      <w:r w:rsidR="00C26EA8">
        <w:t xml:space="preserve"> pitfalls in </w:t>
      </w:r>
      <w:r w:rsidR="00697A59">
        <w:t>reaching</w:t>
      </w:r>
      <w:r w:rsidR="00C26EA8">
        <w:t xml:space="preserve"> </w:t>
      </w:r>
      <w:r w:rsidR="00697A59">
        <w:t>conclusions</w:t>
      </w:r>
      <w:r w:rsidR="00C26EA8">
        <w:t xml:space="preserve"> </w:t>
      </w:r>
      <w:r w:rsidR="00697A59">
        <w:t>about</w:t>
      </w:r>
      <w:r w:rsidR="00C26EA8">
        <w:t xml:space="preserve"> the effects of industry concentration </w:t>
      </w:r>
      <w:r w:rsidR="00324CBD">
        <w:t xml:space="preserve">and business size </w:t>
      </w:r>
      <w:r w:rsidR="00C26EA8">
        <w:t xml:space="preserve">on competition and productivity. </w:t>
      </w:r>
      <w:r w:rsidR="00697A59">
        <w:t>Accordingly, in considering this question, we have focused on vertical integration.</w:t>
      </w:r>
      <w:r w:rsidR="00481B3B">
        <w:t xml:space="preserve"> </w:t>
      </w:r>
    </w:p>
    <w:p w14:paraId="10E2CA7D" w14:textId="39F1501C" w:rsidR="00163997" w:rsidRDefault="00806CBF" w:rsidP="002A589A">
      <w:pPr>
        <w:pStyle w:val="BodyText"/>
      </w:pPr>
      <w:r>
        <w:t>T</w:t>
      </w:r>
      <w:r w:rsidR="00163997">
        <w:t xml:space="preserve">he competitive effects of vertical integration depend on the structure of upstream and downstream markets. Among the most important elements of market structure is the market power of firms in the relevant industries — evident in their ability to raise price above cost without the loss of market share or to exclude competitors — and is brought about by factors such as industry concentration, product differentiation </w:t>
      </w:r>
      <w:r w:rsidR="00D45DF9">
        <w:t>and</w:t>
      </w:r>
      <w:r w:rsidR="00163997">
        <w:t xml:space="preserve"> </w:t>
      </w:r>
      <w:r w:rsidR="00163997">
        <w:lastRenderedPageBreak/>
        <w:t>cost advantages. Vertical integration that increases market power (for example, by eliminating competitors or raising entry barriers) is more likely to have adverse consequences for consumers</w:t>
      </w:r>
      <w:r w:rsidR="006717B4">
        <w:t xml:space="preserve"> </w:t>
      </w:r>
      <w:r w:rsidR="006717B4" w:rsidRPr="006717B4">
        <w:rPr>
          <w:rFonts w:ascii="Arial" w:hAnsi="Arial" w:cs="Arial"/>
          <w:szCs w:val="24"/>
        </w:rPr>
        <w:t>(PC 2018)</w:t>
      </w:r>
      <w:r w:rsidR="00163997">
        <w:t xml:space="preserve">. </w:t>
      </w:r>
    </w:p>
    <w:p w14:paraId="5D93FC2D" w14:textId="0BB96690" w:rsidR="0098385E" w:rsidRDefault="0098385E" w:rsidP="002A589A">
      <w:pPr>
        <w:pStyle w:val="BodyText"/>
      </w:pPr>
      <w:r>
        <w:t>The Commission conside</w:t>
      </w:r>
      <w:r w:rsidR="00440CD3">
        <w:t xml:space="preserve">red vertical integration and competition as part of </w:t>
      </w:r>
      <w:r w:rsidR="00E755C2">
        <w:t>its Review of National Competition Policy.</w:t>
      </w:r>
      <w:r w:rsidR="0000441A">
        <w:t xml:space="preserve"> R</w:t>
      </w:r>
      <w:r w:rsidR="0017557F">
        <w:t xml:space="preserve">educing </w:t>
      </w:r>
      <w:r w:rsidR="00324CBD">
        <w:t>the incidence</w:t>
      </w:r>
      <w:r w:rsidR="0017557F">
        <w:t xml:space="preserve"> of vertical integration </w:t>
      </w:r>
      <w:r w:rsidR="0000441A">
        <w:t>for public monopolies (such as electricity, gas, road transport) was</w:t>
      </w:r>
      <w:r w:rsidR="002B7D21">
        <w:t xml:space="preserve"> important </w:t>
      </w:r>
      <w:r w:rsidR="005A6707">
        <w:t>in</w:t>
      </w:r>
      <w:r w:rsidR="002B7D21">
        <w:t xml:space="preserve"> improving competition </w:t>
      </w:r>
      <w:r w:rsidR="00B03E00" w:rsidRPr="00B03E00">
        <w:rPr>
          <w:rFonts w:ascii="Arial" w:hAnsi="Arial" w:cs="Arial"/>
          <w:szCs w:val="24"/>
        </w:rPr>
        <w:t>(PC 2005)</w:t>
      </w:r>
      <w:r w:rsidR="008437E9">
        <w:t>.</w:t>
      </w:r>
      <w:r w:rsidR="00A01032">
        <w:t xml:space="preserve"> </w:t>
      </w:r>
    </w:p>
    <w:p w14:paraId="4BC08575" w14:textId="22901666" w:rsidR="00007972" w:rsidRDefault="008437E9" w:rsidP="002A589A">
      <w:pPr>
        <w:pStyle w:val="BodyText"/>
      </w:pPr>
      <w:r>
        <w:t>In private markets, r</w:t>
      </w:r>
      <w:r w:rsidR="008F517B">
        <w:t xml:space="preserve">esearch </w:t>
      </w:r>
      <w:r w:rsidR="009A24EE">
        <w:t xml:space="preserve">has found </w:t>
      </w:r>
      <w:r w:rsidR="00DD35DF">
        <w:t xml:space="preserve">mixed </w:t>
      </w:r>
      <w:r w:rsidR="009A24EE">
        <w:t xml:space="preserve">evidence </w:t>
      </w:r>
      <w:r w:rsidR="00DD35DF">
        <w:t xml:space="preserve">about the effects of vertical integration. It </w:t>
      </w:r>
      <w:r w:rsidR="00F95247">
        <w:t xml:space="preserve">can have detrimental </w:t>
      </w:r>
      <w:r w:rsidR="007F575A">
        <w:t>e</w:t>
      </w:r>
      <w:r w:rsidR="00F95247">
        <w:t xml:space="preserve">ffects on productivity </w:t>
      </w:r>
      <w:r w:rsidR="005F1B46">
        <w:t xml:space="preserve">if </w:t>
      </w:r>
      <w:r w:rsidR="002D131D">
        <w:t xml:space="preserve">the business is able to extract economic rent as a result of the integration </w:t>
      </w:r>
      <w:r w:rsidR="00F95247" w:rsidRPr="00F95247">
        <w:rPr>
          <w:rFonts w:ascii="Arial" w:hAnsi="Arial" w:cs="Arial"/>
          <w:szCs w:val="24"/>
        </w:rPr>
        <w:t>(Li, Lu and Tao 2017)</w:t>
      </w:r>
      <w:r w:rsidR="0000441A">
        <w:t xml:space="preserve">. </w:t>
      </w:r>
      <w:r w:rsidR="006D3023">
        <w:t xml:space="preserve">On the other hand, </w:t>
      </w:r>
      <w:r w:rsidR="0049271B">
        <w:t>larger, more productive firms are more likely to vertically integrate and improve logistics and co</w:t>
      </w:r>
      <w:r w:rsidR="0049271B">
        <w:noBreakHyphen/>
        <w:t>ordination between suppliers,</w:t>
      </w:r>
      <w:r w:rsidR="000D2661">
        <w:t xml:space="preserve"> </w:t>
      </w:r>
      <w:r w:rsidR="00007972">
        <w:t>leading to a positive correlation between integration and productivity</w:t>
      </w:r>
      <w:r w:rsidR="002D131D">
        <w:t xml:space="preserve"> </w:t>
      </w:r>
      <w:r w:rsidR="00B9599A" w:rsidRPr="00B9599A">
        <w:rPr>
          <w:rFonts w:ascii="Arial" w:hAnsi="Arial" w:cs="Arial"/>
          <w:szCs w:val="24"/>
        </w:rPr>
        <w:t>(Forbes and Lederman 2010; Hortacsu and Syverson 2007)</w:t>
      </w:r>
      <w:r w:rsidR="0084018C">
        <w:t xml:space="preserve">. </w:t>
      </w:r>
    </w:p>
    <w:p w14:paraId="043486C1" w14:textId="12C075C7" w:rsidR="004A16F9" w:rsidRDefault="006B5FCB" w:rsidP="002A589A">
      <w:pPr>
        <w:pStyle w:val="BodyText"/>
      </w:pPr>
      <w:r>
        <w:t>The Commission</w:t>
      </w:r>
      <w:r w:rsidR="00007972">
        <w:t>’</w:t>
      </w:r>
      <w:r>
        <w:t>s main submission also notes the productivity</w:t>
      </w:r>
      <w:r>
        <w:noBreakHyphen/>
        <w:t xml:space="preserve">enhancing benefits </w:t>
      </w:r>
      <w:r w:rsidR="003F4AA3">
        <w:t>associated with e</w:t>
      </w:r>
      <w:r>
        <w:t>conomies of scale</w:t>
      </w:r>
      <w:r w:rsidR="003F4AA3">
        <w:t xml:space="preserve"> — which </w:t>
      </w:r>
      <w:r w:rsidR="00951758">
        <w:t xml:space="preserve">can be </w:t>
      </w:r>
      <w:r w:rsidR="003F4AA3">
        <w:t>easier to achieve with vertical integration.</w:t>
      </w:r>
    </w:p>
    <w:p w14:paraId="2B6A83DA" w14:textId="77777777" w:rsidR="00E07F89" w:rsidRDefault="002A589A" w:rsidP="002A589A">
      <w:pPr>
        <w:pStyle w:val="Heading4"/>
      </w:pPr>
      <w:r>
        <w:t>Question 8: Is there a link between the regulatory burden and productivity growth?</w:t>
      </w:r>
    </w:p>
    <w:p w14:paraId="577FF2D0" w14:textId="2024BE8A" w:rsidR="008325A3" w:rsidRDefault="00D6653F" w:rsidP="00A3758B">
      <w:pPr>
        <w:pStyle w:val="BodyText"/>
      </w:pPr>
      <w:r>
        <w:t xml:space="preserve">There is </w:t>
      </w:r>
      <w:r w:rsidR="002A078B">
        <w:t xml:space="preserve">limited research </w:t>
      </w:r>
      <w:r w:rsidR="001D6623">
        <w:t>m</w:t>
      </w:r>
      <w:r w:rsidR="00E72260" w:rsidRPr="00E72260">
        <w:t>easur</w:t>
      </w:r>
      <w:r w:rsidR="004A63D9">
        <w:t>ing</w:t>
      </w:r>
      <w:r w:rsidR="00E72260" w:rsidRPr="00E72260">
        <w:t xml:space="preserve"> the </w:t>
      </w:r>
      <w:r w:rsidR="002A078B">
        <w:t>economy</w:t>
      </w:r>
      <w:r w:rsidR="002A078B">
        <w:noBreakHyphen/>
        <w:t xml:space="preserve">wide </w:t>
      </w:r>
      <w:r w:rsidR="00E72260" w:rsidRPr="00E72260">
        <w:t>costs of regulation (as opposed to examining the impacts of specific pieces of regulation)</w:t>
      </w:r>
      <w:r w:rsidR="002A078B">
        <w:t>.</w:t>
      </w:r>
      <w:r w:rsidR="00E72260" w:rsidRPr="00E72260">
        <w:t xml:space="preserve"> </w:t>
      </w:r>
      <w:r w:rsidR="004A0C60">
        <w:t>T</w:t>
      </w:r>
      <w:r w:rsidR="00E63F68">
        <w:t xml:space="preserve">here is some evidence that suggests </w:t>
      </w:r>
      <w:r w:rsidR="00E63F68" w:rsidRPr="00E72260">
        <w:t>greater, or more burdensome, regulation can stifle economic activity and overall growth</w:t>
      </w:r>
      <w:r w:rsidR="00DB7957">
        <w:t>:</w:t>
      </w:r>
    </w:p>
    <w:p w14:paraId="36435A08" w14:textId="6B9C6647" w:rsidR="00E63F68" w:rsidRDefault="00CA5946" w:rsidP="004C5F6C">
      <w:pPr>
        <w:pStyle w:val="ListBullet"/>
      </w:pPr>
      <w:r>
        <w:t>The Commission</w:t>
      </w:r>
      <w:r w:rsidR="004A0C60">
        <w:t>’</w:t>
      </w:r>
      <w:r>
        <w:t xml:space="preserve">s Trade and Assistance Review </w:t>
      </w:r>
      <w:r w:rsidR="00A21AC1">
        <w:t>finds that</w:t>
      </w:r>
      <w:r w:rsidR="00710DBF">
        <w:t xml:space="preserve"> </w:t>
      </w:r>
      <w:r w:rsidR="004A0C60">
        <w:t>f</w:t>
      </w:r>
      <w:r w:rsidR="00A62C94">
        <w:t xml:space="preserve">oreign </w:t>
      </w:r>
      <w:r w:rsidR="004A0C60">
        <w:t>d</w:t>
      </w:r>
      <w:r w:rsidR="00A62C94">
        <w:t xml:space="preserve">irect </w:t>
      </w:r>
      <w:r w:rsidR="004A0C60">
        <w:t>i</w:t>
      </w:r>
      <w:r w:rsidR="00A62C94">
        <w:t xml:space="preserve">nvestment </w:t>
      </w:r>
      <w:r w:rsidR="00A21AC1">
        <w:t>is</w:t>
      </w:r>
      <w:r w:rsidR="00A62C94">
        <w:t xml:space="preserve"> a key source of productivity growth</w:t>
      </w:r>
      <w:r w:rsidR="00A21AC1">
        <w:t xml:space="preserve"> as it increases </w:t>
      </w:r>
      <w:r w:rsidR="004C5F6C">
        <w:t>the stock of capital beyond the level possible if only domestic savings were available to finance investment</w:t>
      </w:r>
      <w:r w:rsidR="00A62C94">
        <w:t xml:space="preserve"> </w:t>
      </w:r>
      <w:r w:rsidR="00341950" w:rsidRPr="00341950">
        <w:rPr>
          <w:rFonts w:ascii="Arial" w:hAnsi="Arial" w:cs="Arial"/>
          <w:szCs w:val="24"/>
        </w:rPr>
        <w:t>(PC 2022c, p. 86)</w:t>
      </w:r>
      <w:r w:rsidR="00F34E03">
        <w:t xml:space="preserve">. </w:t>
      </w:r>
      <w:r w:rsidR="00C31F6F">
        <w:t>It al</w:t>
      </w:r>
      <w:r w:rsidR="00453594">
        <w:t>so can spur innovation</w:t>
      </w:r>
      <w:r w:rsidR="009F257E">
        <w:t xml:space="preserve">. </w:t>
      </w:r>
      <w:r w:rsidR="001478B1">
        <w:t xml:space="preserve">Policy setting for </w:t>
      </w:r>
      <w:r w:rsidR="00534B93">
        <w:t xml:space="preserve">foreign investment policy (such as </w:t>
      </w:r>
      <w:r w:rsidR="001478B1">
        <w:t xml:space="preserve">investments having to pass the ‘national interest’ test, or </w:t>
      </w:r>
      <w:r w:rsidR="00570292">
        <w:t>the n</w:t>
      </w:r>
      <w:r w:rsidR="00570292" w:rsidRPr="00570292">
        <w:t>ew foreign investment screening framework</w:t>
      </w:r>
      <w:r w:rsidR="00570292">
        <w:t xml:space="preserve">) </w:t>
      </w:r>
      <w:r w:rsidR="00E326B5">
        <w:t>are likely to have limited the flow of foreign direct investment into Australia, limiting</w:t>
      </w:r>
      <w:r w:rsidR="009723A0">
        <w:t xml:space="preserve"> its benefits</w:t>
      </w:r>
      <w:r w:rsidR="009A357A">
        <w:t>.</w:t>
      </w:r>
    </w:p>
    <w:p w14:paraId="32A3EA4A" w14:textId="0CFFCA52" w:rsidR="00A87689" w:rsidRDefault="00DB7957" w:rsidP="00A87689">
      <w:pPr>
        <w:pStyle w:val="ListBullet"/>
      </w:pPr>
      <w:r>
        <w:t xml:space="preserve">There </w:t>
      </w:r>
      <w:r w:rsidR="00B71420">
        <w:t>are</w:t>
      </w:r>
      <w:r>
        <w:t xml:space="preserve"> no </w:t>
      </w:r>
      <w:r w:rsidR="00C370FC">
        <w:t>authoritative measu</w:t>
      </w:r>
      <w:r w:rsidR="00B41AD3">
        <w:t>re</w:t>
      </w:r>
      <w:r w:rsidR="005A064F">
        <w:t>s</w:t>
      </w:r>
      <w:r w:rsidR="00B41AD3">
        <w:t xml:space="preserve"> of </w:t>
      </w:r>
      <w:r w:rsidR="00951758">
        <w:t xml:space="preserve">the aggregate economy-wide </w:t>
      </w:r>
      <w:r w:rsidR="00B41AD3">
        <w:t>regulatory burden</w:t>
      </w:r>
      <w:r w:rsidR="005A064F">
        <w:t>. The usual approach is to develop a</w:t>
      </w:r>
      <w:r w:rsidR="00951758">
        <w:t xml:space="preserve"> comparative</w:t>
      </w:r>
      <w:r w:rsidR="005A064F">
        <w:t xml:space="preserve"> indicator based </w:t>
      </w:r>
      <w:r w:rsidR="003B3423">
        <w:t xml:space="preserve">on </w:t>
      </w:r>
      <w:r w:rsidR="00B71420">
        <w:t xml:space="preserve">combining </w:t>
      </w:r>
      <w:r w:rsidR="00F62556">
        <w:t xml:space="preserve">various factors </w:t>
      </w:r>
      <w:r w:rsidR="005B7497">
        <w:t>likely to be related to the general ease of doing business in a country</w:t>
      </w:r>
      <w:r w:rsidR="00B71420">
        <w:t xml:space="preserve"> (</w:t>
      </w:r>
      <w:r w:rsidR="005B7497">
        <w:t xml:space="preserve">like </w:t>
      </w:r>
      <w:r w:rsidR="00792504">
        <w:t xml:space="preserve">days to </w:t>
      </w:r>
      <w:r w:rsidR="00B71420">
        <w:t>obtain</w:t>
      </w:r>
      <w:r w:rsidR="00792504">
        <w:t xml:space="preserve"> construction</w:t>
      </w:r>
      <w:r w:rsidR="00792504">
        <w:noBreakHyphen/>
        <w:t>r</w:t>
      </w:r>
      <w:r w:rsidR="00B71420">
        <w:t>e</w:t>
      </w:r>
      <w:r w:rsidR="00792504">
        <w:t>lated permits</w:t>
      </w:r>
      <w:r w:rsidR="00B71420">
        <w:t>)</w:t>
      </w:r>
      <w:r w:rsidR="00792504">
        <w:t xml:space="preserve">. </w:t>
      </w:r>
      <w:r w:rsidR="003C380F">
        <w:t xml:space="preserve">The </w:t>
      </w:r>
      <w:r w:rsidR="0061501A">
        <w:t>World Bank</w:t>
      </w:r>
      <w:r w:rsidR="005266B1">
        <w:t>’s</w:t>
      </w:r>
      <w:r w:rsidR="00A31811">
        <w:t xml:space="preserve"> ‘Doing Business’ </w:t>
      </w:r>
      <w:r w:rsidR="00945838">
        <w:t xml:space="preserve">index </w:t>
      </w:r>
      <w:r w:rsidR="00721FC9">
        <w:t>attempt</w:t>
      </w:r>
      <w:r w:rsidR="00352561">
        <w:t>ed</w:t>
      </w:r>
      <w:r w:rsidR="00721FC9">
        <w:t xml:space="preserve"> to </w:t>
      </w:r>
      <w:r w:rsidR="00352561">
        <w:t>measure</w:t>
      </w:r>
      <w:r w:rsidR="00721FC9">
        <w:t xml:space="preserve"> t</w:t>
      </w:r>
      <w:r w:rsidR="0084511E">
        <w:t>he extent to which</w:t>
      </w:r>
      <w:r w:rsidR="00721FC9">
        <w:t xml:space="preserve"> regulat</w:t>
      </w:r>
      <w:r w:rsidR="0084511E">
        <w:t>ions affected the ease of doing business</w:t>
      </w:r>
      <w:r w:rsidR="00721FC9">
        <w:t xml:space="preserve"> </w:t>
      </w:r>
      <w:r w:rsidR="00547093">
        <w:t>across</w:t>
      </w:r>
      <w:r w:rsidR="001032EB">
        <w:t xml:space="preserve"> different countries</w:t>
      </w:r>
      <w:r w:rsidR="001E266D">
        <w:t>,</w:t>
      </w:r>
      <w:r w:rsidR="001032EB">
        <w:t xml:space="preserve"> </w:t>
      </w:r>
      <w:r w:rsidR="001E266D">
        <w:t>a</w:t>
      </w:r>
      <w:r w:rsidR="001C63BD">
        <w:t xml:space="preserve">lthough </w:t>
      </w:r>
      <w:r w:rsidR="00925FB8">
        <w:t>the index</w:t>
      </w:r>
      <w:r w:rsidR="001C63BD">
        <w:t xml:space="preserve"> </w:t>
      </w:r>
      <w:r w:rsidR="00232426">
        <w:t xml:space="preserve">was </w:t>
      </w:r>
      <w:r w:rsidR="00015981">
        <w:t xml:space="preserve">discontinued </w:t>
      </w:r>
      <w:r w:rsidR="00232426">
        <w:t xml:space="preserve">in 2020 </w:t>
      </w:r>
      <w:r w:rsidR="00015981">
        <w:t xml:space="preserve">due </w:t>
      </w:r>
      <w:r w:rsidR="00232426">
        <w:t xml:space="preserve">to </w:t>
      </w:r>
      <w:r w:rsidR="003221DD">
        <w:t xml:space="preserve">concerns about </w:t>
      </w:r>
      <w:r w:rsidR="00232426">
        <w:t xml:space="preserve">methodology </w:t>
      </w:r>
      <w:r w:rsidR="003221DD">
        <w:t>and data irregularities</w:t>
      </w:r>
      <w:r w:rsidR="001E266D">
        <w:t>.</w:t>
      </w:r>
      <w:r w:rsidR="00996537" w:rsidRPr="006B071F">
        <w:rPr>
          <w:rStyle w:val="FootnoteReference"/>
        </w:rPr>
        <w:footnoteReference w:id="2"/>
      </w:r>
      <w:r w:rsidR="00232426">
        <w:t xml:space="preserve"> </w:t>
      </w:r>
      <w:r w:rsidR="001E266D">
        <w:t>S</w:t>
      </w:r>
      <w:r w:rsidR="00A87689">
        <w:t xml:space="preserve">tudies using </w:t>
      </w:r>
      <w:r w:rsidR="00232426">
        <w:t xml:space="preserve">this index </w:t>
      </w:r>
      <w:r w:rsidR="00034480">
        <w:t xml:space="preserve">as a measure of regulatory burden </w:t>
      </w:r>
      <w:r w:rsidR="00A87689">
        <w:t xml:space="preserve">have found a negative relationship between the degree of regulation and overall economic growth </w:t>
      </w:r>
      <w:r w:rsidR="00787FBB" w:rsidRPr="00787FBB">
        <w:rPr>
          <w:rFonts w:ascii="Arial" w:hAnsi="Arial" w:cs="Arial"/>
          <w:szCs w:val="24"/>
        </w:rPr>
        <w:t>(Dawson and Seater 2013; Parker and Kirkpatrick 2012)</w:t>
      </w:r>
      <w:r w:rsidR="00A87689">
        <w:t xml:space="preserve">. </w:t>
      </w:r>
    </w:p>
    <w:p w14:paraId="555FF904" w14:textId="7AF20DD4" w:rsidR="00A87689" w:rsidRDefault="00B94CE2" w:rsidP="00007802">
      <w:pPr>
        <w:pStyle w:val="ListBullet2"/>
      </w:pPr>
      <w:r>
        <w:t>A study l</w:t>
      </w:r>
      <w:r w:rsidR="00A87689">
        <w:t xml:space="preserve">ooking at business regulation in 135 global economies over the </w:t>
      </w:r>
      <w:r w:rsidR="00F16056">
        <w:t>19</w:t>
      </w:r>
      <w:r w:rsidR="00A87689">
        <w:t>90s to early 2000s</w:t>
      </w:r>
      <w:r>
        <w:t xml:space="preserve"> </w:t>
      </w:r>
      <w:r w:rsidR="00A87689">
        <w:t xml:space="preserve">estimated that output growth was 2.3% higher for the </w:t>
      </w:r>
      <w:r w:rsidR="00450909">
        <w:t xml:space="preserve">countries in the lowest quartile of regulatory burden, relative to the countries in the highest quartile </w:t>
      </w:r>
      <w:r w:rsidR="00117B8A" w:rsidRPr="00117B8A">
        <w:rPr>
          <w:rFonts w:ascii="Arial" w:hAnsi="Arial" w:cs="Arial"/>
          <w:szCs w:val="24"/>
        </w:rPr>
        <w:t>(Djankov, McLeish and Ramalho 2006)</w:t>
      </w:r>
      <w:r w:rsidR="00A87689">
        <w:t>. A similar study estimated that, over the late 1990s, a one standard deviation increase in overall regulation was associated with a 0.4 percentage point decrease in annual per capita GDP growth</w:t>
      </w:r>
      <w:r w:rsidR="00E0674E">
        <w:t xml:space="preserve"> </w:t>
      </w:r>
      <w:r w:rsidR="00283615" w:rsidRPr="00283615">
        <w:rPr>
          <w:rFonts w:ascii="Arial" w:hAnsi="Arial" w:cs="Arial"/>
          <w:szCs w:val="24"/>
        </w:rPr>
        <w:t>(Loayza, Oviedo and Serven 2004)</w:t>
      </w:r>
      <w:r w:rsidR="00E0674E">
        <w:t>.</w:t>
      </w:r>
    </w:p>
    <w:p w14:paraId="4C6F255C" w14:textId="5253C670" w:rsidR="007413EA" w:rsidRDefault="00A87689" w:rsidP="00007802">
      <w:pPr>
        <w:pStyle w:val="ListBullet2"/>
      </w:pPr>
      <w:r>
        <w:t>More burdensome regulation has also been associated with lower labour productivity</w:t>
      </w:r>
      <w:r w:rsidR="00893EE9">
        <w:t>, with i</w:t>
      </w:r>
      <w:r w:rsidR="007413EA" w:rsidRPr="007413EA">
        <w:t xml:space="preserve">mprovements in the Doing Business indicators </w:t>
      </w:r>
      <w:r w:rsidR="00893EE9">
        <w:t xml:space="preserve">found to be </w:t>
      </w:r>
      <w:r w:rsidR="007413EA" w:rsidRPr="007413EA">
        <w:t>positively associated with increased labo</w:t>
      </w:r>
      <w:r w:rsidR="00C229A8">
        <w:t>u</w:t>
      </w:r>
      <w:r w:rsidR="007413EA" w:rsidRPr="007413EA">
        <w:t>r productivity in manufacturing and services</w:t>
      </w:r>
      <w:r w:rsidR="009B5682">
        <w:t xml:space="preserve"> across Europe</w:t>
      </w:r>
      <w:r w:rsidR="00BF4171">
        <w:t xml:space="preserve"> </w:t>
      </w:r>
      <w:r w:rsidR="009E3A91" w:rsidRPr="009E3A91">
        <w:rPr>
          <w:rFonts w:ascii="Arial" w:hAnsi="Arial" w:cs="Arial"/>
          <w:szCs w:val="24"/>
        </w:rPr>
        <w:t>(Dall’Olio et al. 2013)</w:t>
      </w:r>
      <w:r w:rsidR="00BF4171">
        <w:t>.</w:t>
      </w:r>
      <w:r w:rsidR="009B5682">
        <w:t xml:space="preserve"> </w:t>
      </w:r>
    </w:p>
    <w:p w14:paraId="2C9FD088" w14:textId="70899D74" w:rsidR="00E07F89" w:rsidRDefault="002A589A" w:rsidP="002A589A">
      <w:pPr>
        <w:pStyle w:val="Heading4"/>
      </w:pPr>
      <w:r>
        <w:lastRenderedPageBreak/>
        <w:t xml:space="preserve">Question 9: </w:t>
      </w:r>
      <w:r w:rsidRPr="002A589A">
        <w:t xml:space="preserve">What </w:t>
      </w:r>
      <w:r>
        <w:t xml:space="preserve">is </w:t>
      </w:r>
      <w:r w:rsidRPr="002A589A">
        <w:t>best practice</w:t>
      </w:r>
      <w:r>
        <w:t xml:space="preserve"> to manage something that is </w:t>
      </w:r>
      <w:r w:rsidRPr="002A589A">
        <w:t>new</w:t>
      </w:r>
      <w:r>
        <w:t xml:space="preserve">, </w:t>
      </w:r>
      <w:r w:rsidRPr="002A589A">
        <w:t>disrupti</w:t>
      </w:r>
      <w:r>
        <w:t>ve</w:t>
      </w:r>
      <w:r w:rsidRPr="002A589A">
        <w:t xml:space="preserve"> and </w:t>
      </w:r>
      <w:r>
        <w:t xml:space="preserve">creating </w:t>
      </w:r>
      <w:r w:rsidRPr="002A589A">
        <w:t>competitive tension</w:t>
      </w:r>
      <w:r>
        <w:t>, but may harm consumers or cause other issues? For example, what are your views on regulatory sandboxes?</w:t>
      </w:r>
    </w:p>
    <w:p w14:paraId="7EBB0B03" w14:textId="119BA8B9" w:rsidR="00C2404D" w:rsidRDefault="00337877" w:rsidP="002A589A">
      <w:pPr>
        <w:pStyle w:val="BodyText"/>
      </w:pPr>
      <w:r>
        <w:t xml:space="preserve">We are not aware of any single best practice approach to this issue other than to use a </w:t>
      </w:r>
      <w:r w:rsidR="003A0CF2">
        <w:t xml:space="preserve">framework that identifies the expected costs and benefits of </w:t>
      </w:r>
      <w:r w:rsidR="00005FBF">
        <w:t>disruptive</w:t>
      </w:r>
      <w:r w:rsidR="003A0CF2">
        <w:t xml:space="preserve"> technologies, including a careful assessment of risk</w:t>
      </w:r>
      <w:r w:rsidR="00601EE2">
        <w:t xml:space="preserve"> and uncertainty, and consideration of the longer</w:t>
      </w:r>
      <w:r w:rsidR="00601EE2">
        <w:noBreakHyphen/>
        <w:t xml:space="preserve">run impacts. The recent controversies about AI </w:t>
      </w:r>
      <w:r w:rsidR="00DC3323">
        <w:t xml:space="preserve">chatbots </w:t>
      </w:r>
      <w:r w:rsidR="00C2404D">
        <w:t xml:space="preserve">exemplifies the challenges when there are diverse views about </w:t>
      </w:r>
      <w:r w:rsidR="00C03B3E">
        <w:t xml:space="preserve">the magnitude </w:t>
      </w:r>
      <w:r w:rsidR="002A4045">
        <w:t>and timing of</w:t>
      </w:r>
      <w:r w:rsidR="00C03B3E">
        <w:t xml:space="preserve"> </w:t>
      </w:r>
      <w:r w:rsidR="00C2404D">
        <w:t>risks and the degree to which policymakers should adopt the precautionary principle.</w:t>
      </w:r>
    </w:p>
    <w:p w14:paraId="0A2378CC" w14:textId="657CA3DD" w:rsidR="000B413C" w:rsidRDefault="00005FBF" w:rsidP="002A589A">
      <w:pPr>
        <w:pStyle w:val="BodyText"/>
      </w:pPr>
      <w:r>
        <w:t>Nonetheless, t</w:t>
      </w:r>
      <w:r w:rsidR="00514CFC">
        <w:t xml:space="preserve">he </w:t>
      </w:r>
      <w:r w:rsidR="00D52AD1">
        <w:t xml:space="preserve">Commission, the </w:t>
      </w:r>
      <w:r w:rsidR="00514CFC">
        <w:t>OECD</w:t>
      </w:r>
      <w:r w:rsidR="008D1368">
        <w:t xml:space="preserve"> and other commentators identify a </w:t>
      </w:r>
      <w:r w:rsidR="00B75C39">
        <w:t>range of regulatory approaches, with case</w:t>
      </w:r>
      <w:r w:rsidR="00B75C39">
        <w:noBreakHyphen/>
        <w:t>studies supporting where different approaches are appropriate</w:t>
      </w:r>
      <w:r w:rsidR="001D06E3">
        <w:t xml:space="preserve"> </w:t>
      </w:r>
      <w:r w:rsidR="007944FC" w:rsidRPr="007944FC">
        <w:rPr>
          <w:rFonts w:ascii="Arial" w:hAnsi="Arial" w:cs="Arial"/>
          <w:szCs w:val="24"/>
        </w:rPr>
        <w:t>(Deloitte 2018; OECD 2021a; PC 2016)</w:t>
      </w:r>
      <w:r w:rsidR="00F11B06">
        <w:rPr>
          <w:rFonts w:ascii="Arial" w:hAnsi="Arial" w:cs="Arial"/>
          <w:szCs w:val="24"/>
        </w:rPr>
        <w:t>.</w:t>
      </w:r>
      <w:r w:rsidR="00B75C39">
        <w:t xml:space="preserve"> </w:t>
      </w:r>
    </w:p>
    <w:p w14:paraId="776EB9B2" w14:textId="4E125ED5" w:rsidR="000B413C" w:rsidRDefault="00780CB3" w:rsidP="002A589A">
      <w:pPr>
        <w:pStyle w:val="BodyText"/>
      </w:pPr>
      <w:r>
        <w:t xml:space="preserve">New </w:t>
      </w:r>
      <w:r w:rsidR="00440E5C">
        <w:t xml:space="preserve">technologies </w:t>
      </w:r>
      <w:r w:rsidR="00AF4D13">
        <w:t xml:space="preserve">can </w:t>
      </w:r>
      <w:r w:rsidR="00332168">
        <w:t>disrupt industries</w:t>
      </w:r>
      <w:r w:rsidR="00AF4D13">
        <w:t xml:space="preserve">, drive innovation and productivity but raise risks to consumers. </w:t>
      </w:r>
      <w:r w:rsidR="00FA7E72">
        <w:t>Although d</w:t>
      </w:r>
      <w:r w:rsidR="0020368E">
        <w:t xml:space="preserve">igitally enabled models often differ from </w:t>
      </w:r>
      <w:r w:rsidR="00890CF7">
        <w:t>traditional markets and do no</w:t>
      </w:r>
      <w:r w:rsidR="00D56343">
        <w:t>t</w:t>
      </w:r>
      <w:r w:rsidR="00890CF7">
        <w:t xml:space="preserve"> fit </w:t>
      </w:r>
      <w:r w:rsidR="00E663F4">
        <w:t xml:space="preserve">with existing </w:t>
      </w:r>
      <w:r w:rsidR="0019000C">
        <w:t xml:space="preserve">regulatory frameworks </w:t>
      </w:r>
      <w:r w:rsidR="00926350" w:rsidRPr="00926350">
        <w:rPr>
          <w:rFonts w:ascii="Arial" w:hAnsi="Arial" w:cs="Arial"/>
          <w:szCs w:val="24"/>
        </w:rPr>
        <w:t>(Attrey, Lesher and Lomax 2020)</w:t>
      </w:r>
      <w:r w:rsidR="00D56343">
        <w:t>, r</w:t>
      </w:r>
      <w:r w:rsidR="009E5251" w:rsidRPr="009E5251">
        <w:t>egulation is essential to mitigate the risks of technological transformation while promoting useful innovation, experimentation and entrepreneurship</w:t>
      </w:r>
      <w:r w:rsidR="00D56343">
        <w:t xml:space="preserve"> </w:t>
      </w:r>
      <w:r w:rsidR="00F46AF9" w:rsidRPr="00F46AF9">
        <w:rPr>
          <w:rFonts w:ascii="Arial" w:hAnsi="Arial" w:cs="Arial"/>
          <w:szCs w:val="24"/>
        </w:rPr>
        <w:t>(OECD 2021b)</w:t>
      </w:r>
      <w:r w:rsidR="00F11B06">
        <w:rPr>
          <w:rFonts w:ascii="Arial" w:hAnsi="Arial" w:cs="Arial"/>
          <w:szCs w:val="24"/>
        </w:rPr>
        <w:t>.</w:t>
      </w:r>
    </w:p>
    <w:p w14:paraId="41DD670E" w14:textId="7718F91D" w:rsidR="006D2DBD" w:rsidRDefault="008E7420" w:rsidP="002A589A">
      <w:pPr>
        <w:pStyle w:val="BodyText"/>
      </w:pPr>
      <w:r>
        <w:t xml:space="preserve">The Commission has </w:t>
      </w:r>
      <w:r w:rsidR="006D2DBD">
        <w:t>identified some of the risk</w:t>
      </w:r>
      <w:r w:rsidR="00573E06">
        <w:t>s</w:t>
      </w:r>
      <w:r w:rsidR="006D2DBD">
        <w:t xml:space="preserve"> posed by </w:t>
      </w:r>
      <w:r w:rsidR="008E2663">
        <w:t>disruptive technologies</w:t>
      </w:r>
      <w:r w:rsidR="007D4EEB">
        <w:t xml:space="preserve"> (</w:t>
      </w:r>
      <w:r w:rsidR="0058479C">
        <w:t xml:space="preserve">such as </w:t>
      </w:r>
      <w:r w:rsidR="00D74C2B">
        <w:t xml:space="preserve">privacy, </w:t>
      </w:r>
      <w:r w:rsidR="006D2DBD">
        <w:t>cybersecurity</w:t>
      </w:r>
      <w:r w:rsidR="00D74C2B">
        <w:t>,</w:t>
      </w:r>
      <w:r w:rsidR="008E2663">
        <w:t xml:space="preserve"> </w:t>
      </w:r>
      <w:r w:rsidR="000E426E">
        <w:t xml:space="preserve">public safety, </w:t>
      </w:r>
      <w:r w:rsidR="0058479C">
        <w:t xml:space="preserve">and </w:t>
      </w:r>
      <w:r w:rsidR="00CF2C2D">
        <w:t>discrimination</w:t>
      </w:r>
      <w:r w:rsidR="007D4EEB">
        <w:t xml:space="preserve">) and </w:t>
      </w:r>
      <w:r>
        <w:t xml:space="preserve">set out </w:t>
      </w:r>
      <w:r w:rsidR="008E2663">
        <w:t xml:space="preserve">some of the </w:t>
      </w:r>
      <w:r w:rsidR="006D2DBD">
        <w:t xml:space="preserve">policy </w:t>
      </w:r>
      <w:r w:rsidR="008E2663">
        <w:t xml:space="preserve">options </w:t>
      </w:r>
      <w:r w:rsidR="006D2DBD">
        <w:t>available to</w:t>
      </w:r>
      <w:r w:rsidR="008E2663">
        <w:t xml:space="preserve"> governments </w:t>
      </w:r>
      <w:r w:rsidR="007D4EEB">
        <w:t>to manage these</w:t>
      </w:r>
      <w:r w:rsidR="0058479C">
        <w:t xml:space="preserve"> </w:t>
      </w:r>
      <w:r w:rsidR="0058479C" w:rsidRPr="0058479C">
        <w:rPr>
          <w:rFonts w:ascii="Arial" w:hAnsi="Arial" w:cs="Arial"/>
          <w:szCs w:val="24"/>
        </w:rPr>
        <w:t>(PC 2016 chapter 4)</w:t>
      </w:r>
      <w:r w:rsidR="0058479C">
        <w:t xml:space="preserve">. </w:t>
      </w:r>
      <w:r w:rsidR="00CF098D">
        <w:t xml:space="preserve">Our recent productivity review </w:t>
      </w:r>
      <w:r w:rsidR="00475849">
        <w:t xml:space="preserve">also examines many of these issues in relation to digital technologies </w:t>
      </w:r>
      <w:r w:rsidR="00C94C1C" w:rsidRPr="00C94C1C">
        <w:rPr>
          <w:rFonts w:ascii="Arial" w:hAnsi="Arial" w:cs="Arial"/>
          <w:szCs w:val="24"/>
        </w:rPr>
        <w:t>(PC 2022a)</w:t>
      </w:r>
      <w:r w:rsidR="007C152C">
        <w:t>.</w:t>
      </w:r>
    </w:p>
    <w:p w14:paraId="36459072" w14:textId="39D865C7" w:rsidR="006A4588" w:rsidRDefault="007C152C" w:rsidP="002A589A">
      <w:pPr>
        <w:pStyle w:val="BodyText"/>
      </w:pPr>
      <w:r>
        <w:t>The OECD</w:t>
      </w:r>
      <w:r w:rsidR="006A4588">
        <w:t xml:space="preserve"> taxonomy of regulatory approaches is </w:t>
      </w:r>
      <w:r>
        <w:t>also a useful framework for consider</w:t>
      </w:r>
      <w:r w:rsidR="00772434">
        <w:t>ing policy options</w:t>
      </w:r>
      <w:r w:rsidR="000C70F0">
        <w:t xml:space="preserve">, with the OECD noting </w:t>
      </w:r>
      <w:r w:rsidR="0009618D">
        <w:t xml:space="preserve">that a combination of these approaches, depending on the environment and circumstance, </w:t>
      </w:r>
      <w:r w:rsidR="00772434">
        <w:t>would be</w:t>
      </w:r>
      <w:r w:rsidR="0009618D">
        <w:t xml:space="preserve"> required to harness the full potential of technological development</w:t>
      </w:r>
      <w:r w:rsidR="00D52AD1">
        <w:t>:</w:t>
      </w:r>
    </w:p>
    <w:p w14:paraId="0A86C4EE" w14:textId="62AAADD3" w:rsidR="006A4588" w:rsidRDefault="00480A08" w:rsidP="001A1C1E">
      <w:pPr>
        <w:pStyle w:val="ListBullet"/>
      </w:pPr>
      <w:r>
        <w:t>a</w:t>
      </w:r>
      <w:r w:rsidR="009C0933">
        <w:t>nticipatory governance</w:t>
      </w:r>
      <w:r w:rsidR="00F1281F">
        <w:t xml:space="preserve"> – </w:t>
      </w:r>
      <w:r w:rsidR="00772434">
        <w:t>t</w:t>
      </w:r>
      <w:r w:rsidR="001A1C1E" w:rsidRPr="001A1C1E">
        <w:t>he rapid pace of innovation means that governments need to develop anticipatory governance approaches to allow for an earlier identification of risks and opportunities brought by technological developments</w:t>
      </w:r>
    </w:p>
    <w:p w14:paraId="5724383C" w14:textId="645EB5F0" w:rsidR="009C0933" w:rsidRDefault="00480A08" w:rsidP="006A4588">
      <w:pPr>
        <w:pStyle w:val="ListBullet"/>
      </w:pPr>
      <w:r>
        <w:t>w</w:t>
      </w:r>
      <w:r w:rsidR="009C0933">
        <w:t>ait</w:t>
      </w:r>
      <w:r w:rsidR="008A6B26">
        <w:noBreakHyphen/>
      </w:r>
      <w:r w:rsidR="009C0933">
        <w:t>and</w:t>
      </w:r>
      <w:r w:rsidR="008A6B26">
        <w:noBreakHyphen/>
      </w:r>
      <w:r w:rsidR="009C0933">
        <w:t>see approaches</w:t>
      </w:r>
      <w:r w:rsidR="00A126B5">
        <w:t xml:space="preserve"> – </w:t>
      </w:r>
      <w:r w:rsidR="00AB4521">
        <w:t xml:space="preserve">this is a </w:t>
      </w:r>
      <w:r w:rsidR="00D302DE" w:rsidRPr="00D302DE">
        <w:t>common reaction at the beginning of the technological development</w:t>
      </w:r>
      <w:r w:rsidR="00AB4521">
        <w:t>, and</w:t>
      </w:r>
      <w:r w:rsidR="00D302DE" w:rsidRPr="00D302DE">
        <w:t xml:space="preserve"> consists </w:t>
      </w:r>
      <w:r w:rsidR="00AB4521">
        <w:t>of</w:t>
      </w:r>
      <w:r w:rsidR="00D302DE" w:rsidRPr="00D302DE">
        <w:t xml:space="preserve"> observing how the technology develops without taking any regulatory action</w:t>
      </w:r>
    </w:p>
    <w:p w14:paraId="6A7DF101" w14:textId="24C0B01F" w:rsidR="009C0933" w:rsidRDefault="00480A08" w:rsidP="006A4588">
      <w:pPr>
        <w:pStyle w:val="ListBullet"/>
      </w:pPr>
      <w:r>
        <w:t>i</w:t>
      </w:r>
      <w:r w:rsidR="009C0933">
        <w:t>ssuing guidance</w:t>
      </w:r>
      <w:r w:rsidR="00220B21">
        <w:t xml:space="preserve"> – </w:t>
      </w:r>
      <w:r w:rsidR="00A126B5">
        <w:t>g</w:t>
      </w:r>
      <w:r w:rsidR="00A126B5" w:rsidRPr="00A126B5">
        <w:t>overnments can rely on soft law mechanisms</w:t>
      </w:r>
      <w:r w:rsidR="00AB4521">
        <w:t>,</w:t>
      </w:r>
      <w:r w:rsidR="00A126B5" w:rsidRPr="00A126B5">
        <w:t xml:space="preserve"> such as regulatory guidance</w:t>
      </w:r>
      <w:r w:rsidR="00AB4521">
        <w:t>,</w:t>
      </w:r>
      <w:r w:rsidR="00A126B5" w:rsidRPr="00A126B5">
        <w:t xml:space="preserve"> to help innovators understand how the regulatory framework applies </w:t>
      </w:r>
      <w:r w:rsidR="00200FDA">
        <w:t>to</w:t>
      </w:r>
      <w:r w:rsidR="00A126B5" w:rsidRPr="00A126B5">
        <w:t xml:space="preserve"> a specific technological development</w:t>
      </w:r>
      <w:r w:rsidR="00F80F19">
        <w:t xml:space="preserve">, </w:t>
      </w:r>
      <w:r w:rsidR="00A126B5" w:rsidRPr="00A126B5">
        <w:t xml:space="preserve">and </w:t>
      </w:r>
      <w:r w:rsidR="00B12CAB">
        <w:t xml:space="preserve">to </w:t>
      </w:r>
      <w:r w:rsidR="00A126B5" w:rsidRPr="00A126B5">
        <w:t xml:space="preserve">reduce the potential regulatory uncertainty </w:t>
      </w:r>
      <w:r w:rsidR="00B12CAB">
        <w:t>about</w:t>
      </w:r>
      <w:r w:rsidR="00A126B5" w:rsidRPr="00A126B5">
        <w:t xml:space="preserve"> how to comply. It is important to note that guidance often occurs as a complement to wait</w:t>
      </w:r>
      <w:r w:rsidR="00DD3812">
        <w:noBreakHyphen/>
      </w:r>
      <w:r w:rsidR="00A126B5" w:rsidRPr="00A126B5">
        <w:t>and</w:t>
      </w:r>
      <w:r w:rsidR="00DD3812">
        <w:noBreakHyphen/>
      </w:r>
      <w:r w:rsidR="00A126B5" w:rsidRPr="00A126B5">
        <w:t>see approaches</w:t>
      </w:r>
    </w:p>
    <w:p w14:paraId="0F0D24D3" w14:textId="52C677E0" w:rsidR="009C0933" w:rsidRDefault="00480A08" w:rsidP="006A4588">
      <w:pPr>
        <w:pStyle w:val="ListBullet"/>
      </w:pPr>
      <w:r>
        <w:t>s</w:t>
      </w:r>
      <w:r w:rsidR="00C010F9">
        <w:t>elf</w:t>
      </w:r>
      <w:r w:rsidR="00C010F9">
        <w:noBreakHyphen/>
        <w:t>regulation</w:t>
      </w:r>
      <w:r w:rsidR="00220B21">
        <w:t xml:space="preserve"> – </w:t>
      </w:r>
      <w:r w:rsidR="00220B21" w:rsidRPr="00220B21">
        <w:t>self</w:t>
      </w:r>
      <w:r w:rsidR="008A6B26">
        <w:noBreakHyphen/>
      </w:r>
      <w:r w:rsidR="00220B21" w:rsidRPr="00220B21">
        <w:t>regulation involves a group of economic agents, such as firms in a particular industry or a professional group, voluntarily developing rules or codes of conduct that regulate or guide the behaviour, actions and standards of its member</w:t>
      </w:r>
      <w:r w:rsidR="00220B21">
        <w:t>s</w:t>
      </w:r>
    </w:p>
    <w:p w14:paraId="7FE553B2" w14:textId="776F7A51" w:rsidR="00C010F9" w:rsidRDefault="00480A08" w:rsidP="006A4588">
      <w:pPr>
        <w:pStyle w:val="ListBullet"/>
      </w:pPr>
      <w:r>
        <w:t>c</w:t>
      </w:r>
      <w:r w:rsidR="00A4289C">
        <w:t>o</w:t>
      </w:r>
      <w:r w:rsidR="008A6B26">
        <w:noBreakHyphen/>
      </w:r>
      <w:r w:rsidR="00A4289C">
        <w:t>regulation</w:t>
      </w:r>
      <w:r w:rsidR="009B7620">
        <w:t xml:space="preserve"> </w:t>
      </w:r>
    </w:p>
    <w:p w14:paraId="2592CF79" w14:textId="09C64EC3" w:rsidR="00A4289C" w:rsidRDefault="00480A08" w:rsidP="006A4588">
      <w:pPr>
        <w:pStyle w:val="ListBullet"/>
      </w:pPr>
      <w:r>
        <w:t>r</w:t>
      </w:r>
      <w:r w:rsidR="00A4289C">
        <w:t>egulat</w:t>
      </w:r>
      <w:r w:rsidR="008A2D43">
        <w:t>ory</w:t>
      </w:r>
      <w:r w:rsidR="00A4289C">
        <w:t xml:space="preserve"> experiments</w:t>
      </w:r>
      <w:r w:rsidR="00432332">
        <w:t xml:space="preserve"> – </w:t>
      </w:r>
      <w:r w:rsidR="00F11B06">
        <w:t>a</w:t>
      </w:r>
      <w:r w:rsidR="009B7620" w:rsidRPr="009B7620">
        <w:t xml:space="preserve"> number of jurisdictions are experimenting with innovative regulatory approaches</w:t>
      </w:r>
      <w:r w:rsidR="00F12C4C">
        <w:t>,</w:t>
      </w:r>
      <w:r w:rsidR="009B7620" w:rsidRPr="009B7620">
        <w:t xml:space="preserve"> such as regulatory sandboxes</w:t>
      </w:r>
      <w:r w:rsidR="00F12C4C">
        <w:t>,</w:t>
      </w:r>
      <w:r w:rsidR="009B7620" w:rsidRPr="009B7620">
        <w:t xml:space="preserve"> to support the testing of new technologies and foster policy learning on how the regulatory framework may need to adapt</w:t>
      </w:r>
    </w:p>
    <w:p w14:paraId="5E82DF96" w14:textId="27FD385D" w:rsidR="00A4289C" w:rsidRDefault="00480A08" w:rsidP="006A4588">
      <w:pPr>
        <w:pStyle w:val="ListBullet"/>
      </w:pPr>
      <w:r>
        <w:t>o</w:t>
      </w:r>
      <w:r w:rsidR="008A2D43">
        <w:t>utcomes</w:t>
      </w:r>
      <w:r w:rsidR="008A6B26">
        <w:noBreakHyphen/>
      </w:r>
      <w:r w:rsidR="008A2D43">
        <w:t>based regulation</w:t>
      </w:r>
      <w:r w:rsidR="00024E28">
        <w:t xml:space="preserve"> – </w:t>
      </w:r>
      <w:r w:rsidR="00823C7C">
        <w:t xml:space="preserve">this approach </w:t>
      </w:r>
      <w:r w:rsidR="00823C7C" w:rsidRPr="00823C7C">
        <w:t>defines measurable outcomes that regulated firms must achieve. In focusing on outcomes rather than on inputs, it offers flexibility to businesses on how to meet to objectives, as long as they can demonstrate that the desired outcome has been achieved</w:t>
      </w:r>
    </w:p>
    <w:p w14:paraId="4E81083E" w14:textId="4BBC421F" w:rsidR="008A2D43" w:rsidRDefault="00480A08" w:rsidP="006A4588">
      <w:pPr>
        <w:pStyle w:val="ListBullet"/>
      </w:pPr>
      <w:r>
        <w:t>m</w:t>
      </w:r>
      <w:r w:rsidR="00923B01">
        <w:t>eans</w:t>
      </w:r>
      <w:r w:rsidR="008A6B26">
        <w:noBreakHyphen/>
      </w:r>
      <w:r w:rsidR="00923B01">
        <w:t>based regulation</w:t>
      </w:r>
      <w:r w:rsidR="00D06C46">
        <w:t xml:space="preserve"> </w:t>
      </w:r>
      <w:r w:rsidR="00A20A71">
        <w:t>–</w:t>
      </w:r>
      <w:r w:rsidR="00D06C46">
        <w:t xml:space="preserve"> </w:t>
      </w:r>
      <w:r w:rsidR="00A20A71">
        <w:t>also known as command</w:t>
      </w:r>
      <w:r w:rsidR="008A6B26">
        <w:noBreakHyphen/>
      </w:r>
      <w:r w:rsidR="00A20A71">
        <w:t>and</w:t>
      </w:r>
      <w:r w:rsidR="008A6B26">
        <w:noBreakHyphen/>
      </w:r>
      <w:r w:rsidR="00A20A71">
        <w:t>control regulation</w:t>
      </w:r>
      <w:r w:rsidR="00E2097F">
        <w:t>. T</w:t>
      </w:r>
      <w:r w:rsidR="00233BFC">
        <w:t>h</w:t>
      </w:r>
      <w:r w:rsidR="00A20A71">
        <w:t xml:space="preserve">is </w:t>
      </w:r>
      <w:r w:rsidR="00A20A71" w:rsidRPr="00A20A71">
        <w:t>stands in contrast to outcome</w:t>
      </w:r>
      <w:r w:rsidR="008A6B26">
        <w:noBreakHyphen/>
      </w:r>
      <w:r w:rsidR="00A20A71" w:rsidRPr="00A20A71">
        <w:t>based regulation</w:t>
      </w:r>
      <w:r w:rsidR="00A20A71">
        <w:t xml:space="preserve"> </w:t>
      </w:r>
      <w:r w:rsidR="00024E28">
        <w:t xml:space="preserve">as </w:t>
      </w:r>
      <w:r w:rsidR="00A20A71" w:rsidRPr="00A20A71">
        <w:t>governments define how businesses must act</w:t>
      </w:r>
    </w:p>
    <w:p w14:paraId="36252771" w14:textId="641C1D36" w:rsidR="00923B01" w:rsidRDefault="00480A08" w:rsidP="006A4588">
      <w:pPr>
        <w:pStyle w:val="ListBullet"/>
      </w:pPr>
      <w:r>
        <w:lastRenderedPageBreak/>
        <w:t>o</w:t>
      </w:r>
      <w:r w:rsidR="00923B01">
        <w:t>utright ban</w:t>
      </w:r>
      <w:r w:rsidR="00D06C46">
        <w:t xml:space="preserve"> – a ban to pr</w:t>
      </w:r>
      <w:r w:rsidR="00D06C46" w:rsidRPr="00D06C46">
        <w:t>otect existing markets through regulation or to protect citizens against the potentially negative consequences of a technological development</w:t>
      </w:r>
      <w:r w:rsidR="00E2097F">
        <w:t>.</w:t>
      </w:r>
    </w:p>
    <w:p w14:paraId="58AF4279" w14:textId="46180CE9" w:rsidR="00CC3DC0" w:rsidRDefault="00D71327" w:rsidP="002A589A">
      <w:pPr>
        <w:pStyle w:val="BodyText"/>
      </w:pPr>
      <w:r>
        <w:t xml:space="preserve">Regulatory sandboxes </w:t>
      </w:r>
      <w:r w:rsidR="009209DE">
        <w:t xml:space="preserve">are </w:t>
      </w:r>
      <w:r w:rsidR="00314D84">
        <w:t>accordingly</w:t>
      </w:r>
      <w:r w:rsidR="009209DE">
        <w:t xml:space="preserve"> just one of the many tools available to manage disruptive technologies. Their value is that </w:t>
      </w:r>
      <w:r w:rsidR="00EC4A15">
        <w:t xml:space="preserve">market participants </w:t>
      </w:r>
      <w:r w:rsidR="00017260">
        <w:t>can</w:t>
      </w:r>
      <w:r w:rsidR="00A20235">
        <w:t xml:space="preserve"> </w:t>
      </w:r>
      <w:r w:rsidR="00967AB9">
        <w:t>supply</w:t>
      </w:r>
      <w:r w:rsidR="00A20235">
        <w:t xml:space="preserve"> </w:t>
      </w:r>
      <w:r w:rsidR="003D440C">
        <w:t>novel</w:t>
      </w:r>
      <w:r w:rsidR="00A20235">
        <w:t xml:space="preserve"> </w:t>
      </w:r>
      <w:r w:rsidR="00065675">
        <w:t xml:space="preserve">products and services </w:t>
      </w:r>
      <w:r w:rsidR="0002656A">
        <w:t>under relaxed regulatory requirements</w:t>
      </w:r>
      <w:r w:rsidR="009378A8">
        <w:t xml:space="preserve">, recognising that absent the sandbox, existing regulations would </w:t>
      </w:r>
      <w:r w:rsidR="002E1BA6">
        <w:t xml:space="preserve">often </w:t>
      </w:r>
      <w:r w:rsidR="009378A8">
        <w:t xml:space="preserve">preclude their supply </w:t>
      </w:r>
      <w:r w:rsidR="002E1BA6">
        <w:t>altogether</w:t>
      </w:r>
      <w:r w:rsidR="009378A8">
        <w:t xml:space="preserve">. Sandboxes are </w:t>
      </w:r>
      <w:r w:rsidR="005A6133">
        <w:t>usually permitted on a small</w:t>
      </w:r>
      <w:r w:rsidR="008A6B26">
        <w:noBreakHyphen/>
      </w:r>
      <w:r w:rsidR="005A6133">
        <w:t>scale</w:t>
      </w:r>
      <w:r w:rsidR="00381FB1">
        <w:t xml:space="preserve">, </w:t>
      </w:r>
      <w:r w:rsidR="005A6133">
        <w:t>for a given period</w:t>
      </w:r>
      <w:r w:rsidR="002E1BA6">
        <w:t>,</w:t>
      </w:r>
      <w:r w:rsidR="00381FB1">
        <w:t xml:space="preserve"> and </w:t>
      </w:r>
      <w:r w:rsidR="002E1BA6">
        <w:t xml:space="preserve">are </w:t>
      </w:r>
      <w:r w:rsidR="00381FB1">
        <w:t>closely monitored so as to reduce risks</w:t>
      </w:r>
      <w:r w:rsidR="00CC3DC0">
        <w:t xml:space="preserve"> for consumers and others.</w:t>
      </w:r>
    </w:p>
    <w:p w14:paraId="0B581318" w14:textId="6A7344FB" w:rsidR="00BE7067" w:rsidRPr="00BE7067" w:rsidRDefault="00BE7067" w:rsidP="002A589A">
      <w:pPr>
        <w:pStyle w:val="BodyText"/>
      </w:pPr>
      <w:r>
        <w:t xml:space="preserve">The Commission has undertaken </w:t>
      </w:r>
      <w:r w:rsidR="004A32DB">
        <w:t>detailed</w:t>
      </w:r>
      <w:r>
        <w:t xml:space="preserve"> work looking at regulatory sandboxes</w:t>
      </w:r>
      <w:r w:rsidR="00276E44">
        <w:t xml:space="preserve"> in relation to FinTech</w:t>
      </w:r>
      <w:r w:rsidR="00FD3B60">
        <w:t xml:space="preserve"> </w:t>
      </w:r>
      <w:r w:rsidR="004A32DB" w:rsidRPr="004A32DB">
        <w:rPr>
          <w:rFonts w:ascii="Arial" w:hAnsi="Arial" w:cs="Arial"/>
          <w:szCs w:val="24"/>
        </w:rPr>
        <w:t>(PC 2018)</w:t>
      </w:r>
      <w:r w:rsidR="00A43B34">
        <w:t xml:space="preserve">, though we also draw your attention to its application to </w:t>
      </w:r>
      <w:r w:rsidR="00B24497">
        <w:t xml:space="preserve">the </w:t>
      </w:r>
      <w:r w:rsidR="00A43B34">
        <w:t>consumer data right</w:t>
      </w:r>
      <w:r w:rsidR="002F283C">
        <w:t xml:space="preserve"> </w:t>
      </w:r>
      <w:r w:rsidR="00176D69" w:rsidRPr="00176D69">
        <w:rPr>
          <w:rFonts w:ascii="Arial" w:hAnsi="Arial" w:cs="Arial"/>
          <w:szCs w:val="24"/>
        </w:rPr>
        <w:t>(PC 2023b, p. 50)</w:t>
      </w:r>
      <w:r w:rsidR="003531A1">
        <w:t xml:space="preserve">. </w:t>
      </w:r>
      <w:r w:rsidR="00C95D5C">
        <w:t xml:space="preserve">The Commission notes </w:t>
      </w:r>
      <w:r w:rsidR="00443CED">
        <w:t xml:space="preserve">that </w:t>
      </w:r>
      <w:r w:rsidR="009E3940">
        <w:t xml:space="preserve">a regulatory pause </w:t>
      </w:r>
      <w:r w:rsidR="003B27F1">
        <w:t xml:space="preserve">offered by a sandbox </w:t>
      </w:r>
      <w:r w:rsidR="009E3940">
        <w:t>for new products and business models, where the risk is clearly not</w:t>
      </w:r>
      <w:r w:rsidR="003B27F1">
        <w:t xml:space="preserve"> </w:t>
      </w:r>
      <w:r w:rsidR="009E3940">
        <w:t>catastrophic, gives firms an incentive to ensure they manage their risks. And where</w:t>
      </w:r>
      <w:r w:rsidR="0022711C">
        <w:t xml:space="preserve"> </w:t>
      </w:r>
      <w:r w:rsidR="009E3940">
        <w:t xml:space="preserve">these </w:t>
      </w:r>
      <w:r w:rsidR="0022711C">
        <w:t xml:space="preserve">risks </w:t>
      </w:r>
      <w:r w:rsidR="009E3940">
        <w:t xml:space="preserve">are different from </w:t>
      </w:r>
      <w:r w:rsidR="00D70FC7">
        <w:t xml:space="preserve">those related to supply by </w:t>
      </w:r>
      <w:r w:rsidR="009E3940">
        <w:t>incumbents, this avoids burdening new business with the same</w:t>
      </w:r>
      <w:r w:rsidR="0022711C">
        <w:t xml:space="preserve"> </w:t>
      </w:r>
      <w:r w:rsidR="009E3940">
        <w:t>regulatory approach in an attempt at some sort of equality of treatment</w:t>
      </w:r>
      <w:r w:rsidR="00B36934">
        <w:t xml:space="preserve">, and as such, </w:t>
      </w:r>
      <w:r w:rsidR="00E25B63">
        <w:t>avoids quashing innovative new approaches</w:t>
      </w:r>
      <w:r w:rsidR="0022711C">
        <w:t xml:space="preserve"> </w:t>
      </w:r>
      <w:r w:rsidR="002764F1" w:rsidRPr="002764F1">
        <w:rPr>
          <w:rFonts w:ascii="Arial" w:hAnsi="Arial" w:cs="Arial"/>
          <w:szCs w:val="24"/>
        </w:rPr>
        <w:t>(PC 2016, p. 99)</w:t>
      </w:r>
      <w:r w:rsidR="00E25B63">
        <w:t>.</w:t>
      </w:r>
    </w:p>
    <w:p w14:paraId="01503124" w14:textId="0FBD6526" w:rsidR="002A589A" w:rsidRDefault="002A589A" w:rsidP="002A589A">
      <w:pPr>
        <w:pStyle w:val="Heading4"/>
      </w:pPr>
      <w:r>
        <w:t xml:space="preserve">Question 10: Is there </w:t>
      </w:r>
      <w:r w:rsidRPr="002A589A">
        <w:t>good access or barriers to finance by firm size</w:t>
      </w:r>
      <w:r>
        <w:t>? Do new firms face barriers to finance d</w:t>
      </w:r>
      <w:r w:rsidR="001758D3">
        <w:t>ue</w:t>
      </w:r>
      <w:r>
        <w:t xml:space="preserve"> to the risks they pose?</w:t>
      </w:r>
    </w:p>
    <w:p w14:paraId="668F1AE9" w14:textId="69177D49" w:rsidR="002506FF" w:rsidRDefault="002506FF" w:rsidP="002506FF">
      <w:pPr>
        <w:pStyle w:val="BodyText"/>
        <w:rPr>
          <w:rFonts w:ascii="Arial" w:hAnsi="Arial" w:cs="Arial"/>
          <w:szCs w:val="24"/>
        </w:rPr>
      </w:pPr>
      <w:r>
        <w:t xml:space="preserve">The most relevant Commission reports that consider borrowing constraints are the Commission’s research paper into </w:t>
      </w:r>
      <w:r w:rsidRPr="00C563FF">
        <w:rPr>
          <w:i/>
          <w:iCs/>
        </w:rPr>
        <w:t>Small</w:t>
      </w:r>
      <w:r w:rsidRPr="00C563FF">
        <w:rPr>
          <w:i/>
        </w:rPr>
        <w:t xml:space="preserve"> business access to finance</w:t>
      </w:r>
      <w:r>
        <w:t xml:space="preserve"> </w:t>
      </w:r>
      <w:r w:rsidRPr="008978C3">
        <w:rPr>
          <w:rFonts w:ascii="Arial" w:hAnsi="Arial" w:cs="Arial"/>
          <w:szCs w:val="24"/>
        </w:rPr>
        <w:t>(PC 2021)</w:t>
      </w:r>
      <w:r>
        <w:t xml:space="preserve">, the Inquiry into </w:t>
      </w:r>
      <w:r>
        <w:rPr>
          <w:i/>
          <w:iCs/>
        </w:rPr>
        <w:t>C</w:t>
      </w:r>
      <w:r w:rsidRPr="00C563FF">
        <w:rPr>
          <w:i/>
          <w:iCs/>
        </w:rPr>
        <w:t>ompetition</w:t>
      </w:r>
      <w:r w:rsidRPr="00C563FF">
        <w:rPr>
          <w:i/>
        </w:rPr>
        <w:t xml:space="preserve"> in the Australian financial system</w:t>
      </w:r>
      <w:r>
        <w:t xml:space="preserve"> </w:t>
      </w:r>
      <w:r w:rsidRPr="008410C4">
        <w:rPr>
          <w:rFonts w:ascii="Arial" w:hAnsi="Arial" w:cs="Arial"/>
          <w:szCs w:val="24"/>
        </w:rPr>
        <w:t>(PC 2018</w:t>
      </w:r>
      <w:r>
        <w:rPr>
          <w:rFonts w:ascii="Arial" w:hAnsi="Arial" w:cs="Arial"/>
          <w:szCs w:val="24"/>
        </w:rPr>
        <w:t xml:space="preserve">) and the Inquiry into </w:t>
      </w:r>
      <w:r w:rsidRPr="00C563FF">
        <w:rPr>
          <w:rFonts w:ascii="Arial" w:hAnsi="Arial" w:cs="Arial"/>
          <w:i/>
          <w:szCs w:val="24"/>
        </w:rPr>
        <w:t xml:space="preserve">Business </w:t>
      </w:r>
      <w:r w:rsidRPr="00C563FF">
        <w:rPr>
          <w:rFonts w:ascii="Arial" w:hAnsi="Arial" w:cs="Arial"/>
          <w:i/>
          <w:iCs/>
          <w:szCs w:val="24"/>
        </w:rPr>
        <w:t>set</w:t>
      </w:r>
      <w:r w:rsidR="008A6B26">
        <w:rPr>
          <w:rFonts w:ascii="Arial" w:hAnsi="Arial" w:cs="Arial"/>
          <w:i/>
          <w:szCs w:val="24"/>
        </w:rPr>
        <w:noBreakHyphen/>
      </w:r>
      <w:r w:rsidRPr="00C563FF">
        <w:rPr>
          <w:rFonts w:ascii="Arial" w:hAnsi="Arial" w:cs="Arial"/>
          <w:i/>
          <w:szCs w:val="24"/>
        </w:rPr>
        <w:t xml:space="preserve">up, </w:t>
      </w:r>
      <w:r w:rsidRPr="00C563FF">
        <w:rPr>
          <w:rFonts w:ascii="Arial" w:hAnsi="Arial" w:cs="Arial"/>
          <w:i/>
          <w:iCs/>
          <w:szCs w:val="24"/>
        </w:rPr>
        <w:t>transfer and closure</w:t>
      </w:r>
      <w:r>
        <w:rPr>
          <w:rFonts w:ascii="Arial" w:hAnsi="Arial" w:cs="Arial"/>
          <w:szCs w:val="24"/>
        </w:rPr>
        <w:t xml:space="preserve"> </w:t>
      </w:r>
      <w:r w:rsidRPr="000A484D">
        <w:rPr>
          <w:rFonts w:ascii="Arial" w:hAnsi="Arial" w:cs="Arial"/>
          <w:szCs w:val="24"/>
        </w:rPr>
        <w:t>(PC 2015)</w:t>
      </w:r>
      <w:r>
        <w:rPr>
          <w:rFonts w:ascii="Arial" w:hAnsi="Arial" w:cs="Arial"/>
          <w:szCs w:val="24"/>
        </w:rPr>
        <w:t xml:space="preserve">. The Commission also draws the attention of the Committee to analysis undertaken by the Reserve Bank of Australia </w:t>
      </w:r>
      <w:r w:rsidRPr="00F06B7D">
        <w:rPr>
          <w:rFonts w:ascii="Arial" w:hAnsi="Arial" w:cs="Arial"/>
          <w:szCs w:val="24"/>
        </w:rPr>
        <w:t>(Bank and Lewis 2021; Connolly and Bank 2018)</w:t>
      </w:r>
      <w:r>
        <w:rPr>
          <w:rFonts w:ascii="Arial" w:hAnsi="Arial" w:cs="Arial"/>
          <w:szCs w:val="24"/>
        </w:rPr>
        <w:t xml:space="preserve"> and the Australian Bureau of Statistics’ various data series in </w:t>
      </w:r>
      <w:r w:rsidRPr="00064D62">
        <w:rPr>
          <w:rFonts w:ascii="Arial" w:hAnsi="Arial" w:cs="Arial"/>
          <w:i/>
          <w:iCs/>
          <w:szCs w:val="24"/>
        </w:rPr>
        <w:t>Characteristics of Australian Businesses</w:t>
      </w:r>
      <w:r>
        <w:rPr>
          <w:rFonts w:ascii="Arial" w:hAnsi="Arial" w:cs="Arial"/>
          <w:szCs w:val="24"/>
        </w:rPr>
        <w:t>.</w:t>
      </w:r>
      <w:r w:rsidRPr="006B071F">
        <w:rPr>
          <w:rStyle w:val="FootnoteReference"/>
        </w:rPr>
        <w:footnoteReference w:id="3"/>
      </w:r>
    </w:p>
    <w:p w14:paraId="1B084C84" w14:textId="54326530" w:rsidR="002506FF" w:rsidRDefault="008A6B26" w:rsidP="002506FF">
      <w:pPr>
        <w:pStyle w:val="BodyText"/>
        <w:rPr>
          <w:rFonts w:ascii="Arial" w:hAnsi="Arial" w:cs="Arial"/>
          <w:szCs w:val="24"/>
        </w:rPr>
      </w:pPr>
      <w:r>
        <w:t>Small and medium enterprises (SMEs)</w:t>
      </w:r>
      <w:r w:rsidR="002506FF">
        <w:t xml:space="preserve"> prefer debt finance: </w:t>
      </w:r>
      <w:r w:rsidR="002506FF" w:rsidRPr="00D1765B">
        <w:t>they are three times more likely to apply for debt than equity finance.</w:t>
      </w:r>
      <w:r w:rsidR="002506FF">
        <w:t xml:space="preserve"> This is not surprising: equity holders must be even more cautious in providing finance as they have low priority as claimants where a business fails. And debt financing leaves the small business in control of their business. Banks have a preeminent role in providing finance for SMEs accounting for m</w:t>
      </w:r>
      <w:r w:rsidR="002506FF" w:rsidRPr="001C2FB7">
        <w:t>ore than 90</w:t>
      </w:r>
      <w:r w:rsidR="002506FF">
        <w:t xml:space="preserve">% </w:t>
      </w:r>
      <w:r w:rsidR="002506FF" w:rsidRPr="001C2FB7">
        <w:t>of the outstanding debt owed by SMEs</w:t>
      </w:r>
      <w:r w:rsidR="002506FF">
        <w:t>. Where banks provide finance to SMEs, they often require property</w:t>
      </w:r>
      <w:r w:rsidR="002506FF">
        <w:noBreakHyphen/>
        <w:t xml:space="preserve">secured loans. Banks have a limited appetite for unsecured lending to SMEs </w:t>
      </w:r>
      <w:r w:rsidR="002506FF" w:rsidRPr="00D80639">
        <w:rPr>
          <w:rFonts w:ascii="Arial" w:hAnsi="Arial" w:cs="Arial"/>
          <w:szCs w:val="24"/>
        </w:rPr>
        <w:t>(PC 2021, p. 2)</w:t>
      </w:r>
      <w:r w:rsidR="002506FF">
        <w:t>. An emerging issue is that as home ownership rates decline, especially for people most likely to start a business, the capacity to use housing as collateral is</w:t>
      </w:r>
      <w:r w:rsidR="00951758">
        <w:t xml:space="preserve"> likely to be</w:t>
      </w:r>
      <w:r w:rsidR="002506FF">
        <w:t xml:space="preserve"> declining.</w:t>
      </w:r>
    </w:p>
    <w:p w14:paraId="286C1EB3" w14:textId="632AD71A" w:rsidR="002506FF" w:rsidRDefault="002506FF" w:rsidP="002506FF">
      <w:pPr>
        <w:pStyle w:val="BodyText"/>
      </w:pPr>
      <w:r>
        <w:t xml:space="preserve">Research finds that about 16% of SME owners say that a lack of finance hampers their business </w:t>
      </w:r>
      <w:r w:rsidRPr="009E65F3">
        <w:rPr>
          <w:rFonts w:ascii="Arial" w:hAnsi="Arial" w:cs="Arial"/>
          <w:szCs w:val="24"/>
        </w:rPr>
        <w:t>(PC 2021, p. 20)</w:t>
      </w:r>
      <w:r>
        <w:t>.</w:t>
      </w:r>
      <w:r w:rsidRPr="006B071F">
        <w:rPr>
          <w:rStyle w:val="FootnoteReference"/>
        </w:rPr>
        <w:footnoteReference w:id="4"/>
      </w:r>
      <w:r>
        <w:t xml:space="preserve"> Moreover, 19% say that a lack of funds significantly hampered their ability to undertake innovation, which is a key source of productivity improvement. On face value, this suggests that credit constraints on SMEs may be a drag on the Australian economy </w:t>
      </w:r>
      <w:r w:rsidRPr="008978C3">
        <w:rPr>
          <w:rFonts w:ascii="Arial" w:hAnsi="Arial" w:cs="Arial"/>
          <w:szCs w:val="24"/>
        </w:rPr>
        <w:t>(PC 2021)</w:t>
      </w:r>
      <w:r>
        <w:t xml:space="preserve">. On the other hand, the perceptions of SMEs that they cannot get the finance they want does not necessarily mean that it would be prudent for a lender to provide it. A key problem is that an SME owner may have a good idea of their risks, but that a lender or equity provider cannot take the risk appraisals of a lender on face value (information asymmetries). This means that while perceptions of finance constraints are useful evidence, they need to be interpreted carefully. The difficulty in appraising default risk for any particular business is the predominant reason that lenders require some collateral for lending — it strengthens incentives for borrowers to only seek finance for </w:t>
      </w:r>
      <w:r>
        <w:lastRenderedPageBreak/>
        <w:t xml:space="preserve">likely successful investments. And to place things in perspective, most small businesses are successful in obtaining (debt) finance, though this depends on the business cycle </w:t>
      </w:r>
      <w:r w:rsidRPr="00C74E0B">
        <w:rPr>
          <w:rFonts w:ascii="Arial" w:hAnsi="Arial" w:cs="Arial"/>
          <w:szCs w:val="24"/>
        </w:rPr>
        <w:t>(PC 2018, p. 438)</w:t>
      </w:r>
      <w:r>
        <w:t>.</w:t>
      </w:r>
    </w:p>
    <w:p w14:paraId="56E27C16" w14:textId="22529C9C" w:rsidR="002506FF" w:rsidRPr="00622CF3" w:rsidRDefault="002506FF" w:rsidP="002506FF">
      <w:pPr>
        <w:pStyle w:val="BodyText"/>
        <w:rPr>
          <w:spacing w:val="-2"/>
        </w:rPr>
      </w:pPr>
      <w:r w:rsidRPr="00622CF3">
        <w:rPr>
          <w:spacing w:val="-2"/>
        </w:rPr>
        <w:t xml:space="preserve">An associated issue is that even if finance is available for SMEs, the costs are higher than for bigger businesses </w:t>
      </w:r>
      <w:r w:rsidRPr="00622CF3">
        <w:rPr>
          <w:rFonts w:cs="Arial"/>
          <w:spacing w:val="-2"/>
          <w:szCs w:val="24"/>
        </w:rPr>
        <w:t>(PC 2015, pp. 17, 119–136).</w:t>
      </w:r>
      <w:r w:rsidRPr="00622CF3">
        <w:rPr>
          <w:spacing w:val="-2"/>
        </w:rPr>
        <w:t xml:space="preserve"> Indeed, credit cards are often used as a source of funds for nascent businesses with interest rates that are multiples of usual collateral</w:t>
      </w:r>
      <w:r w:rsidRPr="00622CF3">
        <w:rPr>
          <w:spacing w:val="-2"/>
        </w:rPr>
        <w:noBreakHyphen/>
        <w:t xml:space="preserve">backed lending rates and with strict limits on borrowing amounts. At least in part, the higher rates paid by small business reflects their greater risk. Small businesses are about twice as likely to default on loans as large businesses </w:t>
      </w:r>
      <w:r w:rsidRPr="00622CF3">
        <w:rPr>
          <w:rFonts w:cs="Arial"/>
          <w:spacing w:val="-2"/>
          <w:szCs w:val="24"/>
        </w:rPr>
        <w:t>(Bank and Lewis 2021, p. 48)</w:t>
      </w:r>
      <w:r w:rsidRPr="00622CF3">
        <w:rPr>
          <w:spacing w:val="-2"/>
        </w:rPr>
        <w:t>.</w:t>
      </w:r>
    </w:p>
    <w:p w14:paraId="49BF47A3" w14:textId="766A2049" w:rsidR="002506FF" w:rsidRDefault="002506FF" w:rsidP="002506FF">
      <w:pPr>
        <w:pStyle w:val="BodyText"/>
      </w:pPr>
      <w:r>
        <w:t>Whether access to debt is adequate depends on whether there are regulations that impede lending, suboptimal lending practices, and the difficulty faced by lenders in gauging the default risk of the business. The low access to equity has long been noted and some researchers have suggested it to be a preferred source of funding over credit cards for start</w:t>
      </w:r>
      <w:r w:rsidR="008A6B26">
        <w:noBreakHyphen/>
      </w:r>
      <w:r>
        <w:t xml:space="preserve">ups </w:t>
      </w:r>
      <w:r w:rsidRPr="00DE4C0E">
        <w:rPr>
          <w:rFonts w:ascii="Arial" w:hAnsi="Arial" w:cs="Arial"/>
          <w:szCs w:val="24"/>
        </w:rPr>
        <w:t>(Connolly and Bank 2018, p. 3)</w:t>
      </w:r>
      <w:r>
        <w:t xml:space="preserve">. </w:t>
      </w:r>
    </w:p>
    <w:p w14:paraId="4A2C046B" w14:textId="47A3948E" w:rsidR="002506FF" w:rsidRDefault="002506FF" w:rsidP="002506FF">
      <w:pPr>
        <w:pStyle w:val="BodyText"/>
      </w:pPr>
      <w:r>
        <w:t xml:space="preserve">The Commission’s Inquiry into competition in the Australian financial system found that existing regulation increased the cost of lending to SMEs for small banks </w:t>
      </w:r>
      <w:r w:rsidRPr="00487065">
        <w:rPr>
          <w:rFonts w:ascii="Arial" w:hAnsi="Arial" w:cs="Arial"/>
          <w:szCs w:val="24"/>
        </w:rPr>
        <w:t>(PC 2018, pp. 32–35)</w:t>
      </w:r>
      <w:r>
        <w:t xml:space="preserve">. The main reason for this </w:t>
      </w:r>
      <w:r w:rsidR="00951758">
        <w:t>wa</w:t>
      </w:r>
      <w:r>
        <w:t xml:space="preserve">s prudential regulation </w:t>
      </w:r>
      <w:r w:rsidR="00951758">
        <w:t>affecting</w:t>
      </w:r>
      <w:r>
        <w:t xml:space="preserve"> the amount of capital a bank must hold to protect depositors. This, in combination with the greater risks associated with lending to SMEs, means SMEs pay more for their finance than larger businesses </w:t>
      </w:r>
      <w:r w:rsidRPr="00F612DF">
        <w:rPr>
          <w:rFonts w:ascii="Arial" w:hAnsi="Arial" w:cs="Arial"/>
          <w:szCs w:val="24"/>
        </w:rPr>
        <w:t>(PC 2018)</w:t>
      </w:r>
      <w:r>
        <w:t xml:space="preserve">. There has since been some shift in the risk weighting for unrated SME loans </w:t>
      </w:r>
      <w:r w:rsidRPr="00E97563">
        <w:rPr>
          <w:rFonts w:ascii="Arial" w:hAnsi="Arial" w:cs="Arial"/>
          <w:szCs w:val="24"/>
        </w:rPr>
        <w:t>(APRA 2023)</w:t>
      </w:r>
      <w:r>
        <w:t>, which may somewhat ease access to finance.</w:t>
      </w:r>
    </w:p>
    <w:p w14:paraId="15B24C4C" w14:textId="6969EDCC" w:rsidR="002506FF" w:rsidRDefault="002506FF" w:rsidP="002506FF">
      <w:pPr>
        <w:pStyle w:val="BodyText"/>
      </w:pPr>
      <w:r>
        <w:t>There has also been expansion in some novel debt financing options from non</w:t>
      </w:r>
      <w:r>
        <w:noBreakHyphen/>
        <w:t>banks, including borrowing against non</w:t>
      </w:r>
      <w:r w:rsidR="008A6B26">
        <w:noBreakHyphen/>
      </w:r>
      <w:r>
        <w:t xml:space="preserve">property collateral, such as vehicles, machinery and expected receipts </w:t>
      </w:r>
      <w:r w:rsidRPr="008978C3">
        <w:rPr>
          <w:rFonts w:ascii="Arial" w:hAnsi="Arial" w:cs="Arial"/>
          <w:szCs w:val="24"/>
        </w:rPr>
        <w:t>(PC 2021)</w:t>
      </w:r>
      <w:r>
        <w:t xml:space="preserve">. </w:t>
      </w:r>
    </w:p>
    <w:p w14:paraId="7425C7C3" w14:textId="77777777" w:rsidR="002506FF" w:rsidRDefault="002506FF" w:rsidP="002506FF">
      <w:pPr>
        <w:pStyle w:val="BodyText"/>
      </w:pPr>
      <w:r w:rsidRPr="00521EEC">
        <w:t xml:space="preserve">The advancements made by lenders in technology and data capabilities, along with government initiatives promoting information sharing, have </w:t>
      </w:r>
      <w:r>
        <w:t xml:space="preserve">also </w:t>
      </w:r>
      <w:r w:rsidRPr="00521EEC">
        <w:t xml:space="preserve">created new avenues for SMEs to obtain loans. Although these developments are relatively recent, many lenders are improving their digital processes and </w:t>
      </w:r>
      <w:r>
        <w:t>considering</w:t>
      </w:r>
      <w:r w:rsidRPr="00521EEC">
        <w:t xml:space="preserve"> </w:t>
      </w:r>
      <w:r>
        <w:t>new</w:t>
      </w:r>
      <w:r w:rsidRPr="00521EEC">
        <w:t xml:space="preserve"> ways to leverage data on prospective borrowers to evaluate credit risks. The potential for scalability and the growing number of lenders participating in the market indicates that technological and data advancements will continue to enhance SME access to finance.</w:t>
      </w:r>
    </w:p>
    <w:p w14:paraId="07744DD8" w14:textId="77777777" w:rsidR="002A589A" w:rsidRDefault="002A589A" w:rsidP="002A589A">
      <w:pPr>
        <w:pStyle w:val="Heading4"/>
      </w:pPr>
      <w:r>
        <w:t xml:space="preserve">Question 11: Are there </w:t>
      </w:r>
      <w:r w:rsidRPr="002A589A">
        <w:t>particular sectors where we might focus on</w:t>
      </w:r>
      <w:r>
        <w:t xml:space="preserve"> to improve productivity?</w:t>
      </w:r>
    </w:p>
    <w:p w14:paraId="195FC9F3" w14:textId="4CBD3B9B" w:rsidR="007B4A7A" w:rsidRDefault="0038267D" w:rsidP="00B515C6">
      <w:pPr>
        <w:pStyle w:val="BodyText"/>
      </w:pPr>
      <w:r>
        <w:t>The n</w:t>
      </w:r>
      <w:r w:rsidR="00BC3D7B">
        <w:t>on</w:t>
      </w:r>
      <w:r w:rsidR="008A6B26">
        <w:noBreakHyphen/>
      </w:r>
      <w:r w:rsidR="00BC3D7B">
        <w:t>market sector</w:t>
      </w:r>
      <w:r>
        <w:t xml:space="preserve"> is </w:t>
      </w:r>
      <w:r w:rsidR="009C605A">
        <w:t>ripe for improvements</w:t>
      </w:r>
      <w:r w:rsidR="00936366">
        <w:t xml:space="preserve"> in productivity</w:t>
      </w:r>
      <w:r w:rsidR="00BC3D7B">
        <w:t xml:space="preserve">. This </w:t>
      </w:r>
      <w:r w:rsidR="00936366">
        <w:t xml:space="preserve">sector </w:t>
      </w:r>
      <w:r w:rsidR="00BC3D7B">
        <w:t xml:space="preserve">tends to be ignored </w:t>
      </w:r>
      <w:r w:rsidR="000B457C">
        <w:t xml:space="preserve">as </w:t>
      </w:r>
      <w:r w:rsidR="00945559">
        <w:t xml:space="preserve">output </w:t>
      </w:r>
      <w:r w:rsidR="000B457C">
        <w:t xml:space="preserve">in this sector is </w:t>
      </w:r>
      <w:r w:rsidR="00822D85">
        <w:t>inadeq</w:t>
      </w:r>
      <w:r w:rsidR="00775242">
        <w:t>uately</w:t>
      </w:r>
      <w:r w:rsidR="000B457C">
        <w:t xml:space="preserve"> measured</w:t>
      </w:r>
      <w:r w:rsidR="00775242">
        <w:t xml:space="preserve">, and yet its </w:t>
      </w:r>
      <w:r w:rsidR="00D721D3">
        <w:t>efficient functioning is critical to many of the services Australians value (</w:t>
      </w:r>
      <w:r w:rsidR="002B7871">
        <w:t xml:space="preserve">care services, health, </w:t>
      </w:r>
      <w:r w:rsidR="00377B79">
        <w:t xml:space="preserve">education and </w:t>
      </w:r>
      <w:r w:rsidR="00840045">
        <w:t>defence)</w:t>
      </w:r>
      <w:r w:rsidR="00945559">
        <w:t xml:space="preserve">. </w:t>
      </w:r>
      <w:r w:rsidR="003D3D8D">
        <w:t xml:space="preserve">The </w:t>
      </w:r>
      <w:r w:rsidR="00AA1592">
        <w:t xml:space="preserve">usual market </w:t>
      </w:r>
      <w:r w:rsidR="00546297">
        <w:t>mechanisms</w:t>
      </w:r>
      <w:r w:rsidR="00AA1592">
        <w:t xml:space="preserve"> </w:t>
      </w:r>
      <w:r w:rsidR="00267872">
        <w:t xml:space="preserve">that encourage </w:t>
      </w:r>
      <w:r w:rsidR="00546297">
        <w:t>innovation</w:t>
      </w:r>
      <w:r w:rsidR="00267872">
        <w:t xml:space="preserve"> </w:t>
      </w:r>
      <w:r w:rsidR="0093100D">
        <w:t xml:space="preserve">and productivity are weaker as there is </w:t>
      </w:r>
      <w:r w:rsidR="00546297">
        <w:t>minimal</w:t>
      </w:r>
      <w:r w:rsidR="0093100D">
        <w:t xml:space="preserve"> competition</w:t>
      </w:r>
      <w:r w:rsidR="005723FE">
        <w:t xml:space="preserve">, little scope for the </w:t>
      </w:r>
      <w:r w:rsidR="00120EAE">
        <w:t>exit</w:t>
      </w:r>
      <w:r w:rsidR="005723FE">
        <w:t xml:space="preserve"> of poorly performing ‘businesses’ and few </w:t>
      </w:r>
      <w:r w:rsidR="00120EAE">
        <w:t>explicit</w:t>
      </w:r>
      <w:r w:rsidR="005723FE">
        <w:t xml:space="preserve"> diffusion mechanism</w:t>
      </w:r>
      <w:r w:rsidR="00120EAE">
        <w:t>s</w:t>
      </w:r>
      <w:r w:rsidR="005723FE">
        <w:t xml:space="preserve"> for best</w:t>
      </w:r>
      <w:r w:rsidR="008A6B26">
        <w:noBreakHyphen/>
      </w:r>
      <w:r w:rsidR="005723FE">
        <w:t xml:space="preserve">practice. </w:t>
      </w:r>
    </w:p>
    <w:p w14:paraId="05486D99" w14:textId="4AE69C5E" w:rsidR="007B4A7A" w:rsidRPr="00613868" w:rsidRDefault="00464720" w:rsidP="00B515C6">
      <w:pPr>
        <w:pStyle w:val="BodyText"/>
        <w:rPr>
          <w:spacing w:val="-4"/>
        </w:rPr>
      </w:pPr>
      <w:r w:rsidRPr="00613868">
        <w:rPr>
          <w:spacing w:val="-4"/>
        </w:rPr>
        <w:t>While it is possible to sometimes encourage the development of markets for some g</w:t>
      </w:r>
      <w:r w:rsidR="00AD2CE5" w:rsidRPr="00613868">
        <w:rPr>
          <w:spacing w:val="-4"/>
        </w:rPr>
        <w:t xml:space="preserve">overnment services (as was the case with the original Job </w:t>
      </w:r>
      <w:r w:rsidR="007B4A7A" w:rsidRPr="00613868">
        <w:rPr>
          <w:spacing w:val="-4"/>
        </w:rPr>
        <w:t>Network</w:t>
      </w:r>
      <w:r w:rsidR="00AD2CE5" w:rsidRPr="00613868">
        <w:rPr>
          <w:spacing w:val="-4"/>
        </w:rPr>
        <w:t xml:space="preserve"> </w:t>
      </w:r>
      <w:r w:rsidR="004E7843" w:rsidRPr="00613868">
        <w:rPr>
          <w:spacing w:val="-4"/>
        </w:rPr>
        <w:t>and now Workforce Australia</w:t>
      </w:r>
      <w:r w:rsidR="0078502F" w:rsidRPr="00613868">
        <w:rPr>
          <w:spacing w:val="-4"/>
        </w:rPr>
        <w:t>), thi</w:t>
      </w:r>
      <w:r w:rsidR="00686C4B" w:rsidRPr="00613868">
        <w:rPr>
          <w:spacing w:val="-4"/>
        </w:rPr>
        <w:t xml:space="preserve">s will not always be possible. </w:t>
      </w:r>
      <w:r w:rsidR="00114B4B" w:rsidRPr="00613868">
        <w:rPr>
          <w:spacing w:val="-4"/>
        </w:rPr>
        <w:t xml:space="preserve">Accordingly, new ways to </w:t>
      </w:r>
      <w:r w:rsidR="00A33309" w:rsidRPr="00613868">
        <w:rPr>
          <w:spacing w:val="-4"/>
        </w:rPr>
        <w:t>promote</w:t>
      </w:r>
      <w:r w:rsidR="00114B4B" w:rsidRPr="00613868">
        <w:rPr>
          <w:spacing w:val="-4"/>
        </w:rPr>
        <w:t xml:space="preserve"> productivity are required, such as creating explicit diffusion mechanisms, </w:t>
      </w:r>
      <w:r w:rsidR="00436F55" w:rsidRPr="00613868">
        <w:rPr>
          <w:spacing w:val="-4"/>
        </w:rPr>
        <w:t xml:space="preserve">development of new funding models </w:t>
      </w:r>
      <w:r w:rsidR="00A33309" w:rsidRPr="00613868">
        <w:rPr>
          <w:spacing w:val="-4"/>
        </w:rPr>
        <w:t xml:space="preserve">in healthcare and road provision, </w:t>
      </w:r>
      <w:r w:rsidR="00C05BCF" w:rsidRPr="00613868">
        <w:rPr>
          <w:spacing w:val="-4"/>
        </w:rPr>
        <w:t xml:space="preserve">and </w:t>
      </w:r>
      <w:r w:rsidR="00621586" w:rsidRPr="00613868">
        <w:rPr>
          <w:spacing w:val="-4"/>
        </w:rPr>
        <w:t>better use of evaluation</w:t>
      </w:r>
      <w:r w:rsidR="002E3DCE" w:rsidRPr="00613868">
        <w:rPr>
          <w:spacing w:val="-4"/>
        </w:rPr>
        <w:t>s</w:t>
      </w:r>
      <w:r w:rsidR="00621586" w:rsidRPr="00613868">
        <w:rPr>
          <w:spacing w:val="-4"/>
        </w:rPr>
        <w:t xml:space="preserve"> to test the merit of large public investments.</w:t>
      </w:r>
      <w:r w:rsidR="008A6B26" w:rsidRPr="00613868">
        <w:rPr>
          <w:spacing w:val="-4"/>
        </w:rPr>
        <w:t xml:space="preserve"> </w:t>
      </w:r>
      <w:r w:rsidR="00661FBB" w:rsidRPr="00613868">
        <w:rPr>
          <w:spacing w:val="-4"/>
        </w:rPr>
        <w:t xml:space="preserve">The Commission has </w:t>
      </w:r>
      <w:r w:rsidR="009F1521" w:rsidRPr="00613868">
        <w:rPr>
          <w:spacing w:val="-4"/>
        </w:rPr>
        <w:t>set</w:t>
      </w:r>
      <w:r w:rsidR="00661FBB" w:rsidRPr="00613868">
        <w:rPr>
          <w:spacing w:val="-4"/>
        </w:rPr>
        <w:t xml:space="preserve"> out a</w:t>
      </w:r>
      <w:r w:rsidR="008A3E35" w:rsidRPr="00613868">
        <w:rPr>
          <w:spacing w:val="-4"/>
        </w:rPr>
        <w:t>n agenda to improve innovation in government</w:t>
      </w:r>
      <w:r w:rsidR="008A3E35" w:rsidRPr="00613868">
        <w:rPr>
          <w:spacing w:val="-4"/>
        </w:rPr>
        <w:noBreakHyphen/>
        <w:t>provided or/and funded non</w:t>
      </w:r>
      <w:r w:rsidR="008A3E35" w:rsidRPr="00613868">
        <w:rPr>
          <w:spacing w:val="-4"/>
        </w:rPr>
        <w:noBreakHyphen/>
      </w:r>
      <w:r w:rsidR="006F0C3A" w:rsidRPr="00613868">
        <w:rPr>
          <w:spacing w:val="-4"/>
        </w:rPr>
        <w:t>market</w:t>
      </w:r>
      <w:r w:rsidR="008A3E35" w:rsidRPr="00613868">
        <w:rPr>
          <w:spacing w:val="-4"/>
        </w:rPr>
        <w:t xml:space="preserve"> services in its 5</w:t>
      </w:r>
      <w:r w:rsidR="008A3E35" w:rsidRPr="00613868">
        <w:rPr>
          <w:spacing w:val="-4"/>
        </w:rPr>
        <w:noBreakHyphen/>
        <w:t>year productivity review</w:t>
      </w:r>
      <w:r w:rsidR="002F283C" w:rsidRPr="00613868">
        <w:rPr>
          <w:rFonts w:cs="Arial"/>
          <w:spacing w:val="-4"/>
          <w:szCs w:val="24"/>
        </w:rPr>
        <w:t>(PC 2023c)</w:t>
      </w:r>
      <w:r w:rsidR="00E92DE6" w:rsidRPr="00613868">
        <w:rPr>
          <w:spacing w:val="-4"/>
        </w:rPr>
        <w:t>. The</w:t>
      </w:r>
      <w:r w:rsidR="006F0C3A" w:rsidRPr="00613868">
        <w:rPr>
          <w:spacing w:val="-4"/>
        </w:rPr>
        <w:t xml:space="preserve"> </w:t>
      </w:r>
      <w:r w:rsidR="00E92DE6" w:rsidRPr="00613868">
        <w:rPr>
          <w:spacing w:val="-4"/>
        </w:rPr>
        <w:t xml:space="preserve">broader </w:t>
      </w:r>
      <w:r w:rsidR="006F0C3A" w:rsidRPr="00613868">
        <w:rPr>
          <w:spacing w:val="-4"/>
        </w:rPr>
        <w:t xml:space="preserve">review canvases a wide range of other policies to improve productivity across the whole economy </w:t>
      </w:r>
      <w:r w:rsidR="00C94C1C" w:rsidRPr="00613868">
        <w:rPr>
          <w:rFonts w:cs="Arial"/>
          <w:spacing w:val="-4"/>
          <w:szCs w:val="24"/>
        </w:rPr>
        <w:t>(PC 2023a)</w:t>
      </w:r>
      <w:r w:rsidR="00341950" w:rsidRPr="00613868">
        <w:rPr>
          <w:spacing w:val="-4"/>
        </w:rPr>
        <w:t>.</w:t>
      </w:r>
    </w:p>
    <w:p w14:paraId="31AA527E" w14:textId="77777777" w:rsidR="00A91551" w:rsidRDefault="00A91551" w:rsidP="00E07F89">
      <w:pPr>
        <w:pStyle w:val="BodyText"/>
      </w:pPr>
      <w:r>
        <w:br w:type="page"/>
      </w:r>
    </w:p>
    <w:p w14:paraId="29CC366D" w14:textId="77777777" w:rsidR="00F22278" w:rsidRDefault="00A3212A" w:rsidP="00A91551">
      <w:pPr>
        <w:pStyle w:val="Heading1-nobackground"/>
        <w:sectPr w:rsidR="00F22278" w:rsidSect="002E3F19">
          <w:headerReference w:type="even" r:id="rId20"/>
          <w:headerReference w:type="default" r:id="rId21"/>
          <w:footerReference w:type="even" r:id="rId22"/>
          <w:footerReference w:type="default" r:id="rId23"/>
          <w:pgSz w:w="11906" w:h="16838" w:code="9"/>
          <w:pgMar w:top="1134" w:right="1134" w:bottom="1134" w:left="1134" w:header="794" w:footer="510" w:gutter="0"/>
          <w:cols w:space="708"/>
          <w:docGrid w:linePitch="360"/>
        </w:sectPr>
      </w:pPr>
      <w:r>
        <w:lastRenderedPageBreak/>
        <w:t>R</w:t>
      </w:r>
      <w:r w:rsidR="00A91551">
        <w:t>eference list</w:t>
      </w:r>
    </w:p>
    <w:p w14:paraId="245B71BE" w14:textId="7FEC4775" w:rsidR="00176D69" w:rsidRPr="00176D69" w:rsidRDefault="00176D69" w:rsidP="00613868">
      <w:pPr>
        <w:pStyle w:val="Reference"/>
      </w:pPr>
      <w:r w:rsidRPr="00176D69">
        <w:t xml:space="preserve">APRA (Australian Prudential Regulation Authority) 2023, </w:t>
      </w:r>
      <w:r w:rsidRPr="00176D69">
        <w:rPr>
          <w:i/>
          <w:iCs/>
        </w:rPr>
        <w:t>Prudential Standard APS 112: Capital Adequacy: Standardised Approach to Credit Risk</w:t>
      </w:r>
      <w:r w:rsidRPr="00176D69">
        <w:t>, January.</w:t>
      </w:r>
    </w:p>
    <w:p w14:paraId="63275260" w14:textId="77777777" w:rsidR="00176D69" w:rsidRPr="00176D69" w:rsidRDefault="00176D69" w:rsidP="00613868">
      <w:pPr>
        <w:pStyle w:val="Reference"/>
      </w:pPr>
      <w:r w:rsidRPr="00176D69">
        <w:t xml:space="preserve">Attrey, A., Lesher, M. and Lomax, C. 2020, </w:t>
      </w:r>
      <w:r w:rsidRPr="00176D69">
        <w:rPr>
          <w:i/>
          <w:iCs/>
        </w:rPr>
        <w:t>The role of sandboxes in promoting flexibility and innovation in the digital age</w:t>
      </w:r>
      <w:r w:rsidRPr="00176D69">
        <w:t>, OECD Going Digital Toolkit Notes, No. 2, OECD Publishing, Paris.</w:t>
      </w:r>
    </w:p>
    <w:p w14:paraId="76900A3C" w14:textId="77777777" w:rsidR="00176D69" w:rsidRPr="00176D69" w:rsidRDefault="00176D69" w:rsidP="00613868">
      <w:pPr>
        <w:pStyle w:val="Reference"/>
      </w:pPr>
      <w:r w:rsidRPr="00176D69">
        <w:t xml:space="preserve">Bank, J. and Lewis, M. 2021, ‘Australia’s economic recovery and access to small business finance’, </w:t>
      </w:r>
      <w:r w:rsidRPr="00176D69">
        <w:rPr>
          <w:i/>
          <w:iCs/>
        </w:rPr>
        <w:t>RBA Bulletin</w:t>
      </w:r>
      <w:r w:rsidRPr="00176D69">
        <w:t>, March, pp. 43–49.</w:t>
      </w:r>
    </w:p>
    <w:p w14:paraId="0EE58614" w14:textId="77777777" w:rsidR="00176D69" w:rsidRPr="00176D69" w:rsidRDefault="00176D69" w:rsidP="00613868">
      <w:pPr>
        <w:pStyle w:val="Reference"/>
      </w:pPr>
      <w:r w:rsidRPr="00176D69">
        <w:t xml:space="preserve">Connolly, E. and Bank, J. 2018, ‘Access to small business finance’, </w:t>
      </w:r>
      <w:r w:rsidRPr="00176D69">
        <w:rPr>
          <w:i/>
          <w:iCs/>
        </w:rPr>
        <w:t>RBA Bulletin</w:t>
      </w:r>
      <w:r w:rsidRPr="00176D69">
        <w:t>, September, pp. 1–14.</w:t>
      </w:r>
    </w:p>
    <w:p w14:paraId="16555E7F" w14:textId="77777777" w:rsidR="00176D69" w:rsidRPr="00176D69" w:rsidRDefault="00176D69" w:rsidP="00613868">
      <w:pPr>
        <w:pStyle w:val="Reference"/>
      </w:pPr>
      <w:r w:rsidRPr="00176D69">
        <w:t xml:space="preserve">Dall’Olio, A., Looty, M., Kanehira, N. and Saliola, F. 2013, </w:t>
      </w:r>
      <w:r w:rsidRPr="00176D69">
        <w:rPr>
          <w:i/>
          <w:iCs/>
        </w:rPr>
        <w:t>Productivity Growth in Europe</w:t>
      </w:r>
      <w:r w:rsidRPr="00176D69">
        <w:t>, Policy Research Working Paper No. 6425, The World Bank.</w:t>
      </w:r>
    </w:p>
    <w:p w14:paraId="6416EE93" w14:textId="77777777" w:rsidR="00176D69" w:rsidRPr="00176D69" w:rsidRDefault="00176D69" w:rsidP="00613868">
      <w:pPr>
        <w:pStyle w:val="Reference"/>
      </w:pPr>
      <w:r w:rsidRPr="00176D69">
        <w:t xml:space="preserve">Dawson, J. and Seater, J. 2013, ‘Federal Regulation and Aggregate Economic Growth’, </w:t>
      </w:r>
      <w:r w:rsidRPr="00176D69">
        <w:rPr>
          <w:i/>
          <w:iCs/>
        </w:rPr>
        <w:t>Journal of Economic Growth</w:t>
      </w:r>
      <w:r w:rsidRPr="00176D69">
        <w:t>.</w:t>
      </w:r>
    </w:p>
    <w:p w14:paraId="5ECB5F55" w14:textId="77777777" w:rsidR="00176D69" w:rsidRPr="00176D69" w:rsidRDefault="00176D69" w:rsidP="00613868">
      <w:pPr>
        <w:pStyle w:val="Reference"/>
      </w:pPr>
      <w:r w:rsidRPr="00176D69">
        <w:t xml:space="preserve">Deloitte 2018, </w:t>
      </w:r>
      <w:r w:rsidRPr="00176D69">
        <w:rPr>
          <w:i/>
          <w:iCs/>
        </w:rPr>
        <w:t>Future of regulation. Case studies</w:t>
      </w:r>
      <w:r w:rsidRPr="00176D69">
        <w:t>.</w:t>
      </w:r>
    </w:p>
    <w:p w14:paraId="3B15293B" w14:textId="77777777" w:rsidR="00176D69" w:rsidRPr="00176D69" w:rsidRDefault="00176D69" w:rsidP="00613868">
      <w:pPr>
        <w:pStyle w:val="Reference"/>
      </w:pPr>
      <w:r w:rsidRPr="00176D69">
        <w:t xml:space="preserve">Djankov, S., McLeish, C. and Ramalho, R. 2006, ‘Regulation and growth’, </w:t>
      </w:r>
      <w:r w:rsidRPr="00176D69">
        <w:rPr>
          <w:i/>
          <w:iCs/>
        </w:rPr>
        <w:t>Economics Letters</w:t>
      </w:r>
      <w:r w:rsidRPr="00176D69">
        <w:t>, vol. 92, no. 3.</w:t>
      </w:r>
    </w:p>
    <w:p w14:paraId="35DB7EBF" w14:textId="77777777" w:rsidR="00176D69" w:rsidRPr="00176D69" w:rsidRDefault="00176D69" w:rsidP="00613868">
      <w:pPr>
        <w:pStyle w:val="Reference"/>
      </w:pPr>
      <w:r w:rsidRPr="00176D69">
        <w:t xml:space="preserve">Forbes, S. and Lederman, M. 2010, ‘Does vertical integration affect firm performance? Evidence from the airline industry’, </w:t>
      </w:r>
      <w:r w:rsidRPr="00176D69">
        <w:rPr>
          <w:i/>
          <w:iCs/>
        </w:rPr>
        <w:t>RAND Journal of Economics</w:t>
      </w:r>
      <w:r w:rsidRPr="00176D69">
        <w:t>, vol. 41, no. 4.</w:t>
      </w:r>
    </w:p>
    <w:p w14:paraId="409A35B6" w14:textId="77777777" w:rsidR="00176D69" w:rsidRPr="00176D69" w:rsidRDefault="00176D69" w:rsidP="00613868">
      <w:pPr>
        <w:pStyle w:val="Reference"/>
      </w:pPr>
      <w:r w:rsidRPr="00176D69">
        <w:t xml:space="preserve">Harper, I., Anderson, P., McCluskey, S. and O’Bryan, M. 2015, </w:t>
      </w:r>
      <w:r w:rsidRPr="00176D69">
        <w:rPr>
          <w:i/>
          <w:iCs/>
        </w:rPr>
        <w:t>Competition Policy Review</w:t>
      </w:r>
      <w:r w:rsidRPr="00176D69">
        <w:t>, March, Australian Government.</w:t>
      </w:r>
    </w:p>
    <w:p w14:paraId="770B562A" w14:textId="77777777" w:rsidR="00176D69" w:rsidRPr="00176D69" w:rsidRDefault="00176D69" w:rsidP="00613868">
      <w:pPr>
        <w:pStyle w:val="Reference"/>
      </w:pPr>
      <w:r w:rsidRPr="00176D69">
        <w:t xml:space="preserve">Hortacsu, A. and Syverson, C. 2007, ‘Cementing Relationships: Vertical Integration, Foreclosure, Productivity, and Prices’, </w:t>
      </w:r>
      <w:r w:rsidRPr="00176D69">
        <w:rPr>
          <w:i/>
          <w:iCs/>
        </w:rPr>
        <w:t>Journal of Political Economy</w:t>
      </w:r>
      <w:r w:rsidRPr="00176D69">
        <w:t>, vol. 115, no. 21.</w:t>
      </w:r>
    </w:p>
    <w:p w14:paraId="08F57B4D" w14:textId="77777777" w:rsidR="00176D69" w:rsidRPr="00176D69" w:rsidRDefault="00176D69" w:rsidP="00613868">
      <w:pPr>
        <w:pStyle w:val="Reference"/>
      </w:pPr>
      <w:r w:rsidRPr="00176D69">
        <w:t xml:space="preserve">Li, H., Lu, Y. and Tao, Z. 2017, ‘Vertical Integration and Firm Productivity’, </w:t>
      </w:r>
      <w:r w:rsidRPr="00176D69">
        <w:rPr>
          <w:i/>
          <w:iCs/>
        </w:rPr>
        <w:t>Journal of economics and management strategy</w:t>
      </w:r>
      <w:r w:rsidRPr="00176D69">
        <w:t>, vol. 26, no. 2.</w:t>
      </w:r>
    </w:p>
    <w:p w14:paraId="4C87FE22" w14:textId="77777777" w:rsidR="00176D69" w:rsidRPr="00176D69" w:rsidRDefault="00176D69" w:rsidP="00613868">
      <w:pPr>
        <w:pStyle w:val="Reference"/>
      </w:pPr>
      <w:r w:rsidRPr="00176D69">
        <w:t xml:space="preserve">Loayza, N., Oviedo, A.M. and Serven, L. 2004, </w:t>
      </w:r>
      <w:r w:rsidRPr="00176D69">
        <w:rPr>
          <w:i/>
          <w:iCs/>
        </w:rPr>
        <w:t>Regulation and Macroeconomic Performance</w:t>
      </w:r>
      <w:r w:rsidRPr="00176D69">
        <w:t>, World Bank Policy Research Working Paper, The World Bank.</w:t>
      </w:r>
    </w:p>
    <w:p w14:paraId="182D2AEE" w14:textId="77777777" w:rsidR="00176D69" w:rsidRPr="00176D69" w:rsidRDefault="00176D69" w:rsidP="00613868">
      <w:pPr>
        <w:pStyle w:val="Reference"/>
      </w:pPr>
      <w:r w:rsidRPr="00176D69">
        <w:t xml:space="preserve">OECD 2021a, </w:t>
      </w:r>
      <w:r w:rsidRPr="00176D69">
        <w:rPr>
          <w:i/>
          <w:iCs/>
        </w:rPr>
        <w:t>Future of Regulation: case studies on the regulatory challenges raised by emerging technologies and the regulatory responses</w:t>
      </w:r>
      <w:r w:rsidRPr="00176D69">
        <w:t>, OECD Publishing, Paris.</w:t>
      </w:r>
    </w:p>
    <w:p w14:paraId="17D4B85E" w14:textId="4B5628DA" w:rsidR="00176D69" w:rsidRPr="00176D69" w:rsidRDefault="00176D69" w:rsidP="00613868">
      <w:pPr>
        <w:pStyle w:val="Reference"/>
      </w:pPr>
      <w:r w:rsidRPr="00176D69">
        <w:t>——</w:t>
      </w:r>
      <w:r w:rsidR="00622CF3">
        <w:t> </w:t>
      </w:r>
      <w:r w:rsidRPr="00176D69">
        <w:t xml:space="preserve">2021b, </w:t>
      </w:r>
      <w:r w:rsidRPr="00176D69">
        <w:rPr>
          <w:i/>
          <w:iCs/>
        </w:rPr>
        <w:t>OECD Regulatory Policy Outlook 2021</w:t>
      </w:r>
      <w:r w:rsidRPr="00176D69">
        <w:t>, OECD Publishing, Paris.</w:t>
      </w:r>
    </w:p>
    <w:p w14:paraId="56B1A1B3" w14:textId="77777777" w:rsidR="00176D69" w:rsidRPr="00176D69" w:rsidRDefault="00176D69" w:rsidP="00613868">
      <w:pPr>
        <w:pStyle w:val="Reference"/>
      </w:pPr>
      <w:r w:rsidRPr="00176D69">
        <w:t xml:space="preserve">Parker, D. and Kirkpatrick 2012, </w:t>
      </w:r>
      <w:r w:rsidRPr="00176D69">
        <w:rPr>
          <w:i/>
          <w:iCs/>
        </w:rPr>
        <w:t>The economic impact of regulatory policy: a literature review of quantitative evidence</w:t>
      </w:r>
      <w:r w:rsidRPr="00176D69">
        <w:t>, August, OECD Publishing.</w:t>
      </w:r>
    </w:p>
    <w:p w14:paraId="779528AA" w14:textId="77777777" w:rsidR="00176D69" w:rsidRPr="00176D69" w:rsidRDefault="00176D69" w:rsidP="00613868">
      <w:pPr>
        <w:pStyle w:val="Reference"/>
      </w:pPr>
      <w:r w:rsidRPr="00176D69">
        <w:t xml:space="preserve">PC (Productivity Commission) 2005, </w:t>
      </w:r>
      <w:r w:rsidRPr="00176D69">
        <w:rPr>
          <w:i/>
          <w:iCs/>
        </w:rPr>
        <w:t>Review of National Competition Policy Reforms</w:t>
      </w:r>
      <w:r w:rsidRPr="00176D69">
        <w:t>, Report no. 33, Canberra.</w:t>
      </w:r>
    </w:p>
    <w:p w14:paraId="3045FD64" w14:textId="5C85779B" w:rsidR="00176D69" w:rsidRPr="00176D69" w:rsidRDefault="00176D69" w:rsidP="00613868">
      <w:pPr>
        <w:pStyle w:val="Reference"/>
      </w:pPr>
      <w:r w:rsidRPr="00176D69">
        <w:t>——</w:t>
      </w:r>
      <w:r w:rsidR="00622CF3">
        <w:t> </w:t>
      </w:r>
      <w:r w:rsidRPr="00176D69">
        <w:t xml:space="preserve">2015, </w:t>
      </w:r>
      <w:r w:rsidRPr="00176D69">
        <w:rPr>
          <w:i/>
          <w:iCs/>
        </w:rPr>
        <w:t>Business Set-up, Transfer and Closure</w:t>
      </w:r>
      <w:r w:rsidRPr="00176D69">
        <w:t>, Report no.</w:t>
      </w:r>
      <w:r w:rsidR="00622CF3">
        <w:t> </w:t>
      </w:r>
      <w:r w:rsidRPr="00176D69">
        <w:t>75, Canberra.</w:t>
      </w:r>
    </w:p>
    <w:p w14:paraId="0816B415" w14:textId="411BAD02" w:rsidR="00176D69" w:rsidRPr="00176D69" w:rsidRDefault="00176D69" w:rsidP="00613868">
      <w:pPr>
        <w:pStyle w:val="Reference"/>
      </w:pPr>
      <w:r w:rsidRPr="00176D69">
        <w:t>——</w:t>
      </w:r>
      <w:r w:rsidR="00622CF3">
        <w:t> </w:t>
      </w:r>
      <w:r w:rsidRPr="00176D69">
        <w:t xml:space="preserve">2016, </w:t>
      </w:r>
      <w:r w:rsidRPr="00176D69">
        <w:rPr>
          <w:i/>
          <w:iCs/>
        </w:rPr>
        <w:t>Digital Disruption: What do governments need to do?</w:t>
      </w:r>
      <w:r w:rsidRPr="00176D69">
        <w:t>, Commission Research Paper, Canberra.</w:t>
      </w:r>
    </w:p>
    <w:p w14:paraId="6A07396E" w14:textId="6AD80920" w:rsidR="00176D69" w:rsidRPr="00176D69" w:rsidRDefault="00176D69" w:rsidP="00613868">
      <w:pPr>
        <w:pStyle w:val="Reference"/>
      </w:pPr>
      <w:r w:rsidRPr="00176D69">
        <w:t>——</w:t>
      </w:r>
      <w:r w:rsidR="00622CF3">
        <w:t> </w:t>
      </w:r>
      <w:r w:rsidRPr="00176D69">
        <w:t xml:space="preserve">2017a, </w:t>
      </w:r>
      <w:r w:rsidRPr="00176D69">
        <w:rPr>
          <w:i/>
          <w:iCs/>
        </w:rPr>
        <w:t>Introducing Competition and Informed User Choice into Human Services: Reforms to Human Services</w:t>
      </w:r>
      <w:r w:rsidRPr="00176D69">
        <w:t>, Report no. 85, Canberra.</w:t>
      </w:r>
    </w:p>
    <w:p w14:paraId="32332CD2" w14:textId="6704CBF8" w:rsidR="00176D69" w:rsidRPr="00176D69" w:rsidRDefault="00176D69" w:rsidP="00613868">
      <w:pPr>
        <w:pStyle w:val="Reference"/>
      </w:pPr>
      <w:r w:rsidRPr="00176D69">
        <w:t>——</w:t>
      </w:r>
      <w:r w:rsidR="00622CF3">
        <w:t> </w:t>
      </w:r>
      <w:r w:rsidRPr="00176D69">
        <w:t xml:space="preserve">2017b, </w:t>
      </w:r>
      <w:r w:rsidRPr="00176D69">
        <w:rPr>
          <w:i/>
          <w:iCs/>
        </w:rPr>
        <w:t>Shifting the Dial: 5 year productivity review</w:t>
      </w:r>
      <w:r w:rsidRPr="00176D69">
        <w:t>, Report no. 84.</w:t>
      </w:r>
    </w:p>
    <w:p w14:paraId="704B316E" w14:textId="3C9CBCDD" w:rsidR="00176D69" w:rsidRPr="00176D69" w:rsidRDefault="00176D69" w:rsidP="00613868">
      <w:pPr>
        <w:pStyle w:val="Reference"/>
      </w:pPr>
      <w:r w:rsidRPr="00176D69">
        <w:t>——</w:t>
      </w:r>
      <w:r w:rsidR="00622CF3">
        <w:t> </w:t>
      </w:r>
      <w:r w:rsidRPr="00176D69">
        <w:t xml:space="preserve">2018, </w:t>
      </w:r>
      <w:r w:rsidRPr="00176D69">
        <w:rPr>
          <w:i/>
          <w:iCs/>
        </w:rPr>
        <w:t>Competition in the Australian Financial System</w:t>
      </w:r>
      <w:r w:rsidRPr="00176D69">
        <w:t>, Report no. 89, Canberra.</w:t>
      </w:r>
    </w:p>
    <w:p w14:paraId="0FB42B32" w14:textId="28FB8FC7" w:rsidR="00176D69" w:rsidRPr="00176D69" w:rsidRDefault="00176D69" w:rsidP="00613868">
      <w:pPr>
        <w:pStyle w:val="Reference"/>
      </w:pPr>
      <w:r w:rsidRPr="00176D69">
        <w:t>——</w:t>
      </w:r>
      <w:r w:rsidR="00622CF3">
        <w:t> </w:t>
      </w:r>
      <w:r w:rsidRPr="00176D69">
        <w:t xml:space="preserve">2021, </w:t>
      </w:r>
      <w:r w:rsidRPr="00176D69">
        <w:rPr>
          <w:i/>
          <w:iCs/>
        </w:rPr>
        <w:t>Small business access to finance: The evolving lending market</w:t>
      </w:r>
      <w:r w:rsidRPr="00176D69">
        <w:t>, Research Paper, Canberra.</w:t>
      </w:r>
    </w:p>
    <w:p w14:paraId="0DE9D5BD" w14:textId="1A9D07F2" w:rsidR="00176D69" w:rsidRPr="00176D69" w:rsidRDefault="00176D69" w:rsidP="00613868">
      <w:pPr>
        <w:pStyle w:val="Reference"/>
      </w:pPr>
      <w:r w:rsidRPr="00176D69">
        <w:t>——</w:t>
      </w:r>
      <w:r w:rsidR="00622CF3">
        <w:t> </w:t>
      </w:r>
      <w:r w:rsidRPr="00176D69">
        <w:t xml:space="preserve">2022a, </w:t>
      </w:r>
      <w:r w:rsidRPr="00176D69">
        <w:rPr>
          <w:i/>
          <w:iCs/>
        </w:rPr>
        <w:t>5-year Productivity Inquiry: Australia’s data and digital dividend</w:t>
      </w:r>
      <w:r w:rsidRPr="00176D69">
        <w:t>, Interim Report 2, Canberra, August.</w:t>
      </w:r>
    </w:p>
    <w:p w14:paraId="5EB96C74" w14:textId="131C386B" w:rsidR="00176D69" w:rsidRPr="00176D69" w:rsidRDefault="00176D69" w:rsidP="00613868">
      <w:pPr>
        <w:pStyle w:val="Reference"/>
      </w:pPr>
      <w:r w:rsidRPr="00176D69">
        <w:t>——</w:t>
      </w:r>
      <w:r w:rsidR="00622CF3">
        <w:t> </w:t>
      </w:r>
      <w:r w:rsidRPr="00176D69">
        <w:t xml:space="preserve">2022b, </w:t>
      </w:r>
      <w:r w:rsidRPr="00176D69">
        <w:rPr>
          <w:i/>
          <w:iCs/>
        </w:rPr>
        <w:t>Lifting productivity at Australia’s container ports: between water, wharf and warehouse</w:t>
      </w:r>
      <w:r w:rsidRPr="00176D69">
        <w:t>, Report no. 99.</w:t>
      </w:r>
    </w:p>
    <w:p w14:paraId="0A829235" w14:textId="14CA5E44" w:rsidR="00176D69" w:rsidRPr="00176D69" w:rsidRDefault="00176D69" w:rsidP="00613868">
      <w:pPr>
        <w:pStyle w:val="Reference"/>
      </w:pPr>
      <w:r w:rsidRPr="00176D69">
        <w:t>——</w:t>
      </w:r>
      <w:r w:rsidR="00622CF3">
        <w:t> </w:t>
      </w:r>
      <w:r w:rsidRPr="00176D69">
        <w:t xml:space="preserve">2022c, </w:t>
      </w:r>
      <w:r w:rsidRPr="00176D69">
        <w:rPr>
          <w:i/>
          <w:iCs/>
        </w:rPr>
        <w:t>Trade and Assistance Review 2020-21</w:t>
      </w:r>
      <w:r w:rsidRPr="00176D69">
        <w:t>, Annual Report Series, Canberra.</w:t>
      </w:r>
    </w:p>
    <w:p w14:paraId="4E2FBC97" w14:textId="0330D7F6" w:rsidR="00176D69" w:rsidRPr="00176D69" w:rsidRDefault="00176D69" w:rsidP="00613868">
      <w:pPr>
        <w:pStyle w:val="Reference"/>
      </w:pPr>
      <w:r w:rsidRPr="00176D69">
        <w:t>——</w:t>
      </w:r>
      <w:r w:rsidR="00622CF3">
        <w:t> </w:t>
      </w:r>
      <w:r w:rsidRPr="00176D69">
        <w:t xml:space="preserve">2023a, </w:t>
      </w:r>
      <w:r w:rsidRPr="00176D69">
        <w:rPr>
          <w:i/>
          <w:iCs/>
        </w:rPr>
        <w:t>5-year Productivity Inquiry: Advancing Prosperity</w:t>
      </w:r>
      <w:r w:rsidRPr="00176D69">
        <w:t>, Inquiry Report no. 100, Vol. 1, Canberra.</w:t>
      </w:r>
    </w:p>
    <w:p w14:paraId="1862D5AF" w14:textId="216A2517" w:rsidR="00176D69" w:rsidRPr="00176D69" w:rsidRDefault="00176D69" w:rsidP="00613868">
      <w:pPr>
        <w:pStyle w:val="Reference"/>
      </w:pPr>
      <w:r w:rsidRPr="00176D69">
        <w:t>——</w:t>
      </w:r>
      <w:r w:rsidR="00622CF3">
        <w:t> </w:t>
      </w:r>
      <w:r w:rsidRPr="00176D69">
        <w:t xml:space="preserve">2023b, </w:t>
      </w:r>
      <w:r w:rsidRPr="00176D69">
        <w:rPr>
          <w:i/>
          <w:iCs/>
        </w:rPr>
        <w:t>5-year Productivity Inquiry: Australia’s data and digital dividend</w:t>
      </w:r>
      <w:r w:rsidRPr="00176D69">
        <w:t>, Inquiry Report no. 100, Vol. 4, Canberra.</w:t>
      </w:r>
    </w:p>
    <w:p w14:paraId="22AC5279" w14:textId="04F9FAC6" w:rsidR="00176D69" w:rsidRPr="00176D69" w:rsidRDefault="00176D69" w:rsidP="00613868">
      <w:pPr>
        <w:pStyle w:val="Reference"/>
      </w:pPr>
      <w:r w:rsidRPr="00176D69">
        <w:t>——</w:t>
      </w:r>
      <w:r w:rsidR="00622CF3">
        <w:t> </w:t>
      </w:r>
      <w:r w:rsidRPr="00176D69">
        <w:t xml:space="preserve">2023c, </w:t>
      </w:r>
      <w:r w:rsidRPr="00176D69">
        <w:rPr>
          <w:i/>
          <w:iCs/>
        </w:rPr>
        <w:t>5-year Productivity Inquiry: Innovation for the 98%</w:t>
      </w:r>
      <w:r w:rsidRPr="00176D69">
        <w:t>, Inquiry Report no. 100, Vol. 5, Canberra.</w:t>
      </w:r>
    </w:p>
    <w:p w14:paraId="6BFA800A" w14:textId="49F966DF" w:rsidR="00A91551" w:rsidRPr="00A91551" w:rsidRDefault="00A91551" w:rsidP="00613868">
      <w:pPr>
        <w:pStyle w:val="Reference"/>
      </w:pPr>
    </w:p>
    <w:sectPr w:rsidR="00A91551" w:rsidRPr="00A91551" w:rsidSect="00F22278">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ACD4" w14:textId="77777777" w:rsidR="00BE2CB4" w:rsidRDefault="00BE2CB4" w:rsidP="008017BC">
      <w:r>
        <w:separator/>
      </w:r>
    </w:p>
    <w:p w14:paraId="788DECFF" w14:textId="77777777" w:rsidR="00BE2CB4" w:rsidRDefault="00BE2CB4"/>
  </w:endnote>
  <w:endnote w:type="continuationSeparator" w:id="0">
    <w:p w14:paraId="174B43D1" w14:textId="77777777" w:rsidR="00BE2CB4" w:rsidRDefault="00BE2CB4" w:rsidP="008017BC">
      <w:r>
        <w:continuationSeparator/>
      </w:r>
    </w:p>
    <w:p w14:paraId="3D757607" w14:textId="77777777" w:rsidR="00BE2CB4" w:rsidRDefault="00BE2CB4"/>
  </w:endnote>
  <w:endnote w:type="continuationNotice" w:id="1">
    <w:p w14:paraId="021C9B5B" w14:textId="77777777" w:rsidR="00BE2CB4" w:rsidRDefault="00BE2C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36A" w14:textId="77777777" w:rsidR="001267E2" w:rsidRPr="00187F05" w:rsidRDefault="001267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7A9B" w14:textId="77777777" w:rsidR="001267E2" w:rsidRDefault="001267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BA67" w14:textId="77777777" w:rsidR="001267E2" w:rsidRDefault="001267E2">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60288" behindDoc="0" locked="1" layoutInCell="1" allowOverlap="1" wp14:anchorId="64C2806D" wp14:editId="14C5C71E">
              <wp:simplePos x="0" y="0"/>
              <wp:positionH relativeFrom="page">
                <wp:align>left</wp:align>
              </wp:positionH>
              <wp:positionV relativeFrom="page">
                <wp:align>bottom</wp:align>
              </wp:positionV>
              <wp:extent cx="7560000" cy="7200000"/>
              <wp:effectExtent l="0" t="0" r="3175" b="1270"/>
              <wp:wrapNone/>
              <wp:docPr id="1634396364" name="Rectangle 1634396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64FF37" id="Rectangle 1634396364" o:spid="_x0000_s1026" alt="&quot;&quot;" style="position:absolute;margin-left:0;margin-top:0;width:595.3pt;height:566.95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7F26"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0A9151A7"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9C01" w14:textId="77777777" w:rsidR="00BE2CB4" w:rsidRPr="00C238D1" w:rsidRDefault="00BE2CB4" w:rsidP="00273E86">
      <w:pPr>
        <w:spacing w:after="0" w:line="240" w:lineRule="auto"/>
        <w:rPr>
          <w:rStyle w:val="ColourDarkBlue"/>
        </w:rPr>
      </w:pPr>
      <w:r w:rsidRPr="00C238D1">
        <w:rPr>
          <w:rStyle w:val="ColourDarkBlue"/>
        </w:rPr>
        <w:continuationSeparator/>
      </w:r>
    </w:p>
  </w:footnote>
  <w:footnote w:type="continuationSeparator" w:id="0">
    <w:p w14:paraId="00F8A571" w14:textId="77777777" w:rsidR="00BE2CB4" w:rsidRPr="001D7D9B" w:rsidRDefault="00BE2CB4" w:rsidP="001D7D9B">
      <w:pPr>
        <w:spacing w:after="0" w:line="240" w:lineRule="auto"/>
        <w:rPr>
          <w:color w:val="265A9A" w:themeColor="background2"/>
        </w:rPr>
      </w:pPr>
      <w:r w:rsidRPr="00C238D1">
        <w:rPr>
          <w:rStyle w:val="ColourDarkBlue"/>
        </w:rPr>
        <w:continuationSeparator/>
      </w:r>
    </w:p>
  </w:footnote>
  <w:footnote w:type="continuationNotice" w:id="1">
    <w:p w14:paraId="4C7F8242" w14:textId="77777777" w:rsidR="00BE2CB4" w:rsidRDefault="00BE2CB4"/>
  </w:footnote>
  <w:footnote w:id="2">
    <w:p w14:paraId="23A491F1" w14:textId="692AB61C" w:rsidR="00996537" w:rsidRDefault="00996537">
      <w:pPr>
        <w:pStyle w:val="FootnoteText"/>
      </w:pPr>
      <w:r w:rsidRPr="006B071F">
        <w:rPr>
          <w:rStyle w:val="FootnoteReference"/>
        </w:rPr>
        <w:footnoteRef/>
      </w:r>
      <w:r>
        <w:t xml:space="preserve"> </w:t>
      </w:r>
      <w:r w:rsidR="008D06F1">
        <w:t>The World Bank released a statement on 16 September announcing the discontinuation of the Doing Business report</w:t>
      </w:r>
      <w:r w:rsidR="00CA426D">
        <w:t xml:space="preserve">: </w:t>
      </w:r>
      <w:hyperlink r:id="rId1" w:history="1">
        <w:r w:rsidR="001D0536" w:rsidRPr="005027D5">
          <w:rPr>
            <w:rStyle w:val="Hyperlink"/>
          </w:rPr>
          <w:t>https://www.worldbank.org/en/news/statement/2021/09/16/world-bank-group-to-discontinue-doing-business-report</w:t>
        </w:r>
      </w:hyperlink>
      <w:r w:rsidR="001D0536">
        <w:t xml:space="preserve">. </w:t>
      </w:r>
      <w:r w:rsidR="003221DD">
        <w:t xml:space="preserve">The World Bank is implementing a new metric B-READY. </w:t>
      </w:r>
    </w:p>
  </w:footnote>
  <w:footnote w:id="3">
    <w:p w14:paraId="686D80F8" w14:textId="77777777" w:rsidR="002506FF" w:rsidRDefault="002506FF" w:rsidP="002506FF">
      <w:pPr>
        <w:pStyle w:val="FootnoteText"/>
      </w:pPr>
      <w:r w:rsidRPr="006B071F">
        <w:rPr>
          <w:rStyle w:val="FootnoteReference"/>
        </w:rPr>
        <w:footnoteRef/>
      </w:r>
      <w:r>
        <w:t xml:space="preserve"> </w:t>
      </w:r>
      <w:hyperlink r:id="rId2" w:history="1">
        <w:r w:rsidRPr="00622CF3">
          <w:rPr>
            <w:rStyle w:val="Hyperlink"/>
            <w:u w:val="none"/>
          </w:rPr>
          <w:t>https://www.abs.gov.au/statistics/industry/technology-and-innovation/characteristics-australian-business/latest-release</w:t>
        </w:r>
      </w:hyperlink>
      <w:r>
        <w:t xml:space="preserve">. </w:t>
      </w:r>
    </w:p>
  </w:footnote>
  <w:footnote w:id="4">
    <w:p w14:paraId="4BF9911F" w14:textId="77777777" w:rsidR="002506FF" w:rsidRDefault="002506FF" w:rsidP="002506FF">
      <w:pPr>
        <w:pStyle w:val="FootnoteText"/>
      </w:pPr>
      <w:r w:rsidRPr="006B071F">
        <w:rPr>
          <w:rStyle w:val="FootnoteReference"/>
        </w:rPr>
        <w:footnoteRef/>
      </w:r>
      <w:r>
        <w:t xml:space="preserve"> This result is from a survey, which asks about the factors that businesses perceive to be hampering their activities, rather than whether businesses actually sought — and were denied — finance.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9494" w14:textId="77777777" w:rsidR="001267E2" w:rsidRPr="0097456E" w:rsidRDefault="001267E2">
    <w:pPr>
      <w:pStyle w:val="Header-Keyline"/>
      <w:rPr>
        <w:b/>
      </w:rPr>
    </w:pPr>
    <w:r w:rsidRPr="008E0279">
      <w:rPr>
        <w:rStyle w:val="Strong"/>
        <w:b w:val="0"/>
        <w:bCs w:val="0"/>
      </w:rP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CA0F" w14:textId="3D09BF65" w:rsidR="001267E2" w:rsidRDefault="001267E2">
    <w:pPr>
      <w:pStyle w:val="Header-KeylineRight"/>
    </w:pPr>
    <w:r>
      <w:fldChar w:fldCharType="begin"/>
    </w:r>
    <w:r>
      <w:instrText xml:space="preserve"> STYLEREF  "Heading 1"  \* MERGEFORMAT </w:instrText>
    </w:r>
    <w:r>
      <w:fldChar w:fldCharType="separate"/>
    </w:r>
    <w:r w:rsidR="00525F4D">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3768" w14:textId="77777777" w:rsidR="001267E2" w:rsidRPr="007215EF" w:rsidRDefault="001267E2" w:rsidP="007215EF">
    <w:r w:rsidRPr="007215EF">
      <w:rPr>
        <w:noProof/>
      </w:rPr>
      <w:drawing>
        <wp:anchor distT="0" distB="0" distL="114300" distR="114300" simplePos="0" relativeHeight="251659264" behindDoc="0" locked="1" layoutInCell="1" allowOverlap="1" wp14:anchorId="21795E2F" wp14:editId="481EE84C">
          <wp:simplePos x="0" y="0"/>
          <wp:positionH relativeFrom="margin">
            <wp:align>left</wp:align>
          </wp:positionH>
          <wp:positionV relativeFrom="page">
            <wp:align>top</wp:align>
          </wp:positionV>
          <wp:extent cx="2235600" cy="1058400"/>
          <wp:effectExtent l="0" t="0" r="0" b="8890"/>
          <wp:wrapNone/>
          <wp:docPr id="1634396367" name="Graphic 1634396367"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F879F" w14:textId="77777777" w:rsidR="001267E2" w:rsidRPr="005965BC" w:rsidRDefault="001267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8ADE" w14:textId="79927A76" w:rsidR="00F173EF" w:rsidRDefault="00AB2852" w:rsidP="00F173EF">
    <w:pPr>
      <w:pStyle w:val="Header-Keyline"/>
    </w:pPr>
    <w:r>
      <w:rPr>
        <w:rStyle w:val="Strong"/>
      </w:rPr>
      <w:t>Productivity Commission s</w:t>
    </w:r>
    <w:r w:rsidR="00CF4D33">
      <w:rPr>
        <w:rStyle w:val="Strong"/>
      </w:rPr>
      <w:t xml:space="preserve">ubmission </w:t>
    </w:r>
    <w:r>
      <w:rPr>
        <w:rStyle w:val="Strong"/>
      </w:rPr>
      <w:t xml:space="preserve">to Inquiry on economic dynamism, </w:t>
    </w:r>
    <w:r w:rsidR="00C1344E">
      <w:rPr>
        <w:rStyle w:val="Strong"/>
      </w:rPr>
      <w:t>competition and business 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117A" w14:textId="596A251A" w:rsidR="00F173EF" w:rsidRDefault="00E74D24" w:rsidP="00F173EF">
    <w:pPr>
      <w:pStyle w:val="Header-KeylineRight"/>
    </w:pPr>
    <w:fldSimple w:instr=" STYLEREF  &quot;Heading 1-no number&quot;  \* MERGEFORMAT ">
      <w:r w:rsidR="00A87E2B">
        <w:rPr>
          <w:noProof/>
        </w:rPr>
        <w:t>Matters arising from public hearing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A9633C"/>
    <w:multiLevelType w:val="hybridMultilevel"/>
    <w:tmpl w:val="6B2E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758865622">
    <w:abstractNumId w:val="6"/>
  </w:num>
  <w:num w:numId="2" w16cid:durableId="805590826">
    <w:abstractNumId w:val="2"/>
  </w:num>
  <w:num w:numId="3" w16cid:durableId="427698938">
    <w:abstractNumId w:val="9"/>
  </w:num>
  <w:num w:numId="4" w16cid:durableId="1881936092">
    <w:abstractNumId w:val="15"/>
  </w:num>
  <w:num w:numId="5" w16cid:durableId="2022125311">
    <w:abstractNumId w:val="16"/>
  </w:num>
  <w:num w:numId="6" w16cid:durableId="392588313">
    <w:abstractNumId w:val="13"/>
  </w:num>
  <w:num w:numId="7" w16cid:durableId="1065564057">
    <w:abstractNumId w:val="11"/>
  </w:num>
  <w:num w:numId="8" w16cid:durableId="391390039">
    <w:abstractNumId w:val="7"/>
  </w:num>
  <w:num w:numId="9" w16cid:durableId="1332176057">
    <w:abstractNumId w:val="10"/>
  </w:num>
  <w:num w:numId="10" w16cid:durableId="1416170067">
    <w:abstractNumId w:val="17"/>
  </w:num>
  <w:num w:numId="11" w16cid:durableId="961961228">
    <w:abstractNumId w:val="0"/>
  </w:num>
  <w:num w:numId="12" w16cid:durableId="1145389292">
    <w:abstractNumId w:val="3"/>
  </w:num>
  <w:num w:numId="13" w16cid:durableId="1925408649">
    <w:abstractNumId w:val="8"/>
  </w:num>
  <w:num w:numId="14" w16cid:durableId="1793789868">
    <w:abstractNumId w:val="5"/>
  </w:num>
  <w:num w:numId="15" w16cid:durableId="1879661662">
    <w:abstractNumId w:val="1"/>
  </w:num>
  <w:num w:numId="16" w16cid:durableId="1786150355">
    <w:abstractNumId w:val="12"/>
  </w:num>
  <w:num w:numId="17" w16cid:durableId="1229146959">
    <w:abstractNumId w:val="4"/>
  </w:num>
  <w:num w:numId="18" w16cid:durableId="204853011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89"/>
    <w:rsid w:val="00000075"/>
    <w:rsid w:val="00000F3C"/>
    <w:rsid w:val="00001D3B"/>
    <w:rsid w:val="000029C2"/>
    <w:rsid w:val="00002AA1"/>
    <w:rsid w:val="00002C5F"/>
    <w:rsid w:val="00004145"/>
    <w:rsid w:val="0000441A"/>
    <w:rsid w:val="00004489"/>
    <w:rsid w:val="0000529A"/>
    <w:rsid w:val="00005C79"/>
    <w:rsid w:val="00005FBF"/>
    <w:rsid w:val="00006DD1"/>
    <w:rsid w:val="00007575"/>
    <w:rsid w:val="00007802"/>
    <w:rsid w:val="00007972"/>
    <w:rsid w:val="0001157C"/>
    <w:rsid w:val="00011C3B"/>
    <w:rsid w:val="0001267A"/>
    <w:rsid w:val="00012D49"/>
    <w:rsid w:val="00015981"/>
    <w:rsid w:val="00016DDC"/>
    <w:rsid w:val="00017260"/>
    <w:rsid w:val="00017339"/>
    <w:rsid w:val="00021FBB"/>
    <w:rsid w:val="0002427D"/>
    <w:rsid w:val="00024E28"/>
    <w:rsid w:val="000250FF"/>
    <w:rsid w:val="000260D3"/>
    <w:rsid w:val="0002656A"/>
    <w:rsid w:val="00026C04"/>
    <w:rsid w:val="000277D5"/>
    <w:rsid w:val="00027B9D"/>
    <w:rsid w:val="000300AF"/>
    <w:rsid w:val="000326E9"/>
    <w:rsid w:val="000331E4"/>
    <w:rsid w:val="0003338D"/>
    <w:rsid w:val="00033619"/>
    <w:rsid w:val="00034480"/>
    <w:rsid w:val="00034CC2"/>
    <w:rsid w:val="0003576D"/>
    <w:rsid w:val="0003623F"/>
    <w:rsid w:val="00036547"/>
    <w:rsid w:val="00037EA2"/>
    <w:rsid w:val="00041035"/>
    <w:rsid w:val="00041EFB"/>
    <w:rsid w:val="00041F29"/>
    <w:rsid w:val="0004207E"/>
    <w:rsid w:val="00042F59"/>
    <w:rsid w:val="00046139"/>
    <w:rsid w:val="0004700A"/>
    <w:rsid w:val="00047894"/>
    <w:rsid w:val="0005080F"/>
    <w:rsid w:val="0005151B"/>
    <w:rsid w:val="00051A64"/>
    <w:rsid w:val="000525E5"/>
    <w:rsid w:val="00052631"/>
    <w:rsid w:val="0005416D"/>
    <w:rsid w:val="000548EC"/>
    <w:rsid w:val="00054C95"/>
    <w:rsid w:val="000561CF"/>
    <w:rsid w:val="00056CF6"/>
    <w:rsid w:val="00056EAF"/>
    <w:rsid w:val="0005774F"/>
    <w:rsid w:val="000624A0"/>
    <w:rsid w:val="00062A44"/>
    <w:rsid w:val="000643F9"/>
    <w:rsid w:val="00064D62"/>
    <w:rsid w:val="000651FA"/>
    <w:rsid w:val="0006526B"/>
    <w:rsid w:val="00065461"/>
    <w:rsid w:val="00065675"/>
    <w:rsid w:val="00066135"/>
    <w:rsid w:val="00067950"/>
    <w:rsid w:val="00067A1D"/>
    <w:rsid w:val="000700E9"/>
    <w:rsid w:val="00070445"/>
    <w:rsid w:val="00070F9B"/>
    <w:rsid w:val="000712BC"/>
    <w:rsid w:val="000714C1"/>
    <w:rsid w:val="000724AE"/>
    <w:rsid w:val="00072E07"/>
    <w:rsid w:val="000730D1"/>
    <w:rsid w:val="0007658C"/>
    <w:rsid w:val="000767A0"/>
    <w:rsid w:val="000774E4"/>
    <w:rsid w:val="0007776A"/>
    <w:rsid w:val="00077A76"/>
    <w:rsid w:val="0008037D"/>
    <w:rsid w:val="00081E5A"/>
    <w:rsid w:val="00082179"/>
    <w:rsid w:val="00082233"/>
    <w:rsid w:val="00082B5D"/>
    <w:rsid w:val="00083B04"/>
    <w:rsid w:val="0008414F"/>
    <w:rsid w:val="00084479"/>
    <w:rsid w:val="00084660"/>
    <w:rsid w:val="00084787"/>
    <w:rsid w:val="00085FB9"/>
    <w:rsid w:val="00091286"/>
    <w:rsid w:val="000921A0"/>
    <w:rsid w:val="0009254C"/>
    <w:rsid w:val="000934E8"/>
    <w:rsid w:val="0009450E"/>
    <w:rsid w:val="00094ED0"/>
    <w:rsid w:val="0009618D"/>
    <w:rsid w:val="0009689C"/>
    <w:rsid w:val="000A0995"/>
    <w:rsid w:val="000A0F08"/>
    <w:rsid w:val="000A1EB9"/>
    <w:rsid w:val="000A21B8"/>
    <w:rsid w:val="000A38AA"/>
    <w:rsid w:val="000A4665"/>
    <w:rsid w:val="000A484D"/>
    <w:rsid w:val="000A5A04"/>
    <w:rsid w:val="000A6BE9"/>
    <w:rsid w:val="000B03B2"/>
    <w:rsid w:val="000B0A6B"/>
    <w:rsid w:val="000B1BCA"/>
    <w:rsid w:val="000B220D"/>
    <w:rsid w:val="000B2F14"/>
    <w:rsid w:val="000B3C69"/>
    <w:rsid w:val="000B413C"/>
    <w:rsid w:val="000B457C"/>
    <w:rsid w:val="000B497F"/>
    <w:rsid w:val="000B4A24"/>
    <w:rsid w:val="000B4A72"/>
    <w:rsid w:val="000B5105"/>
    <w:rsid w:val="000B52F1"/>
    <w:rsid w:val="000B5DE3"/>
    <w:rsid w:val="000B7046"/>
    <w:rsid w:val="000B772C"/>
    <w:rsid w:val="000C11D2"/>
    <w:rsid w:val="000C16E0"/>
    <w:rsid w:val="000C27B5"/>
    <w:rsid w:val="000C2BB2"/>
    <w:rsid w:val="000C2FE6"/>
    <w:rsid w:val="000C35D5"/>
    <w:rsid w:val="000C3934"/>
    <w:rsid w:val="000C41ED"/>
    <w:rsid w:val="000C4B25"/>
    <w:rsid w:val="000C4C90"/>
    <w:rsid w:val="000C5BF8"/>
    <w:rsid w:val="000C6B77"/>
    <w:rsid w:val="000C70F0"/>
    <w:rsid w:val="000C762B"/>
    <w:rsid w:val="000C7EF2"/>
    <w:rsid w:val="000D0602"/>
    <w:rsid w:val="000D0BC0"/>
    <w:rsid w:val="000D1CB0"/>
    <w:rsid w:val="000D22ED"/>
    <w:rsid w:val="000D2661"/>
    <w:rsid w:val="000D3012"/>
    <w:rsid w:val="000D309B"/>
    <w:rsid w:val="000D3BF2"/>
    <w:rsid w:val="000D469F"/>
    <w:rsid w:val="000D4A60"/>
    <w:rsid w:val="000D565C"/>
    <w:rsid w:val="000D73C3"/>
    <w:rsid w:val="000E22D2"/>
    <w:rsid w:val="000E3570"/>
    <w:rsid w:val="000E426E"/>
    <w:rsid w:val="000E43B0"/>
    <w:rsid w:val="000E58BA"/>
    <w:rsid w:val="000E5CC2"/>
    <w:rsid w:val="000E5D76"/>
    <w:rsid w:val="000E6369"/>
    <w:rsid w:val="000E734F"/>
    <w:rsid w:val="000E784B"/>
    <w:rsid w:val="000F00C3"/>
    <w:rsid w:val="000F04A3"/>
    <w:rsid w:val="000F2A58"/>
    <w:rsid w:val="000F377D"/>
    <w:rsid w:val="000F4488"/>
    <w:rsid w:val="000F4828"/>
    <w:rsid w:val="000F4C5F"/>
    <w:rsid w:val="000F5647"/>
    <w:rsid w:val="000F5D40"/>
    <w:rsid w:val="000F6504"/>
    <w:rsid w:val="000F65A5"/>
    <w:rsid w:val="000F69BA"/>
    <w:rsid w:val="000F6EF8"/>
    <w:rsid w:val="000F7142"/>
    <w:rsid w:val="000F7B22"/>
    <w:rsid w:val="00100A1D"/>
    <w:rsid w:val="00100AB6"/>
    <w:rsid w:val="00100CE4"/>
    <w:rsid w:val="00100FAB"/>
    <w:rsid w:val="00102930"/>
    <w:rsid w:val="001032EB"/>
    <w:rsid w:val="001035DF"/>
    <w:rsid w:val="001046BD"/>
    <w:rsid w:val="001051E2"/>
    <w:rsid w:val="00106671"/>
    <w:rsid w:val="00107043"/>
    <w:rsid w:val="0011072A"/>
    <w:rsid w:val="00111E33"/>
    <w:rsid w:val="00111EEE"/>
    <w:rsid w:val="0011217E"/>
    <w:rsid w:val="00112E8F"/>
    <w:rsid w:val="00114B4B"/>
    <w:rsid w:val="00115D7D"/>
    <w:rsid w:val="00115EE4"/>
    <w:rsid w:val="001172B2"/>
    <w:rsid w:val="00117B8A"/>
    <w:rsid w:val="00120792"/>
    <w:rsid w:val="00120EAE"/>
    <w:rsid w:val="001228B3"/>
    <w:rsid w:val="00122CDB"/>
    <w:rsid w:val="00124C0D"/>
    <w:rsid w:val="00125115"/>
    <w:rsid w:val="00125268"/>
    <w:rsid w:val="0012532B"/>
    <w:rsid w:val="00125DBD"/>
    <w:rsid w:val="00126690"/>
    <w:rsid w:val="001267E2"/>
    <w:rsid w:val="001268BC"/>
    <w:rsid w:val="00127373"/>
    <w:rsid w:val="00127595"/>
    <w:rsid w:val="00130544"/>
    <w:rsid w:val="00130BF1"/>
    <w:rsid w:val="00130E16"/>
    <w:rsid w:val="00131BC6"/>
    <w:rsid w:val="00131C3E"/>
    <w:rsid w:val="00131FA8"/>
    <w:rsid w:val="00133BD0"/>
    <w:rsid w:val="0013467A"/>
    <w:rsid w:val="001354DE"/>
    <w:rsid w:val="001357BB"/>
    <w:rsid w:val="001369FE"/>
    <w:rsid w:val="0013722E"/>
    <w:rsid w:val="00137EB0"/>
    <w:rsid w:val="00137FAB"/>
    <w:rsid w:val="00140682"/>
    <w:rsid w:val="0014277F"/>
    <w:rsid w:val="00143F10"/>
    <w:rsid w:val="00144203"/>
    <w:rsid w:val="00145332"/>
    <w:rsid w:val="00145426"/>
    <w:rsid w:val="0014590C"/>
    <w:rsid w:val="0014597C"/>
    <w:rsid w:val="00145E26"/>
    <w:rsid w:val="00146B7B"/>
    <w:rsid w:val="001478B1"/>
    <w:rsid w:val="00150540"/>
    <w:rsid w:val="00150C4D"/>
    <w:rsid w:val="00150E27"/>
    <w:rsid w:val="00151383"/>
    <w:rsid w:val="001521C7"/>
    <w:rsid w:val="0015301A"/>
    <w:rsid w:val="00153FFC"/>
    <w:rsid w:val="00154380"/>
    <w:rsid w:val="00154A29"/>
    <w:rsid w:val="00154E0D"/>
    <w:rsid w:val="001558C9"/>
    <w:rsid w:val="00155BCD"/>
    <w:rsid w:val="0015603A"/>
    <w:rsid w:val="00156475"/>
    <w:rsid w:val="00156658"/>
    <w:rsid w:val="00157739"/>
    <w:rsid w:val="001600E9"/>
    <w:rsid w:val="001605E8"/>
    <w:rsid w:val="00160FEC"/>
    <w:rsid w:val="001610E5"/>
    <w:rsid w:val="00161905"/>
    <w:rsid w:val="00161BC8"/>
    <w:rsid w:val="00162621"/>
    <w:rsid w:val="00162BB2"/>
    <w:rsid w:val="001633AF"/>
    <w:rsid w:val="00163906"/>
    <w:rsid w:val="00163997"/>
    <w:rsid w:val="00164E15"/>
    <w:rsid w:val="001664D4"/>
    <w:rsid w:val="001676F8"/>
    <w:rsid w:val="001679C9"/>
    <w:rsid w:val="001714F3"/>
    <w:rsid w:val="00171AEA"/>
    <w:rsid w:val="00172268"/>
    <w:rsid w:val="001724E0"/>
    <w:rsid w:val="00173487"/>
    <w:rsid w:val="00174FCE"/>
    <w:rsid w:val="0017557F"/>
    <w:rsid w:val="00175698"/>
    <w:rsid w:val="001758D3"/>
    <w:rsid w:val="00176D69"/>
    <w:rsid w:val="00180579"/>
    <w:rsid w:val="00180DED"/>
    <w:rsid w:val="00181091"/>
    <w:rsid w:val="0018211F"/>
    <w:rsid w:val="00182A32"/>
    <w:rsid w:val="00182F9E"/>
    <w:rsid w:val="00183099"/>
    <w:rsid w:val="00183A21"/>
    <w:rsid w:val="00183F7E"/>
    <w:rsid w:val="0018494D"/>
    <w:rsid w:val="00184B12"/>
    <w:rsid w:val="00185400"/>
    <w:rsid w:val="00187116"/>
    <w:rsid w:val="00187ED3"/>
    <w:rsid w:val="00187F05"/>
    <w:rsid w:val="0019000C"/>
    <w:rsid w:val="00190C30"/>
    <w:rsid w:val="00190CC4"/>
    <w:rsid w:val="0019174F"/>
    <w:rsid w:val="00193069"/>
    <w:rsid w:val="00195595"/>
    <w:rsid w:val="00195772"/>
    <w:rsid w:val="001957BF"/>
    <w:rsid w:val="001963B8"/>
    <w:rsid w:val="001A0357"/>
    <w:rsid w:val="001A0D77"/>
    <w:rsid w:val="001A196A"/>
    <w:rsid w:val="001A1AE9"/>
    <w:rsid w:val="001A1C1E"/>
    <w:rsid w:val="001A1D95"/>
    <w:rsid w:val="001A2565"/>
    <w:rsid w:val="001A2D5A"/>
    <w:rsid w:val="001A2DDA"/>
    <w:rsid w:val="001A3794"/>
    <w:rsid w:val="001A37A2"/>
    <w:rsid w:val="001A471F"/>
    <w:rsid w:val="001A4BDE"/>
    <w:rsid w:val="001A5266"/>
    <w:rsid w:val="001A54B0"/>
    <w:rsid w:val="001A5A5F"/>
    <w:rsid w:val="001A7087"/>
    <w:rsid w:val="001A7115"/>
    <w:rsid w:val="001A7CE7"/>
    <w:rsid w:val="001A7E83"/>
    <w:rsid w:val="001B1762"/>
    <w:rsid w:val="001B17AC"/>
    <w:rsid w:val="001B28B4"/>
    <w:rsid w:val="001B2A02"/>
    <w:rsid w:val="001B3259"/>
    <w:rsid w:val="001B35CF"/>
    <w:rsid w:val="001B3B27"/>
    <w:rsid w:val="001B51D0"/>
    <w:rsid w:val="001B5356"/>
    <w:rsid w:val="001B54FD"/>
    <w:rsid w:val="001B588D"/>
    <w:rsid w:val="001B5E38"/>
    <w:rsid w:val="001B7910"/>
    <w:rsid w:val="001C06E1"/>
    <w:rsid w:val="001C0D65"/>
    <w:rsid w:val="001C0FED"/>
    <w:rsid w:val="001C1768"/>
    <w:rsid w:val="001C2127"/>
    <w:rsid w:val="001C247D"/>
    <w:rsid w:val="001C2CF7"/>
    <w:rsid w:val="001C2FB7"/>
    <w:rsid w:val="001C3632"/>
    <w:rsid w:val="001C45B2"/>
    <w:rsid w:val="001C4EB0"/>
    <w:rsid w:val="001C63BD"/>
    <w:rsid w:val="001C66FB"/>
    <w:rsid w:val="001C6A74"/>
    <w:rsid w:val="001C7835"/>
    <w:rsid w:val="001C7963"/>
    <w:rsid w:val="001D022B"/>
    <w:rsid w:val="001D0536"/>
    <w:rsid w:val="001D06E3"/>
    <w:rsid w:val="001D382A"/>
    <w:rsid w:val="001D4050"/>
    <w:rsid w:val="001D45DE"/>
    <w:rsid w:val="001D4B42"/>
    <w:rsid w:val="001D5DB7"/>
    <w:rsid w:val="001D625C"/>
    <w:rsid w:val="001D6623"/>
    <w:rsid w:val="001D6769"/>
    <w:rsid w:val="001D6786"/>
    <w:rsid w:val="001D6816"/>
    <w:rsid w:val="001D6EF3"/>
    <w:rsid w:val="001D7330"/>
    <w:rsid w:val="001D758A"/>
    <w:rsid w:val="001D7B16"/>
    <w:rsid w:val="001D7D9B"/>
    <w:rsid w:val="001E0A1D"/>
    <w:rsid w:val="001E0D67"/>
    <w:rsid w:val="001E10A9"/>
    <w:rsid w:val="001E20A3"/>
    <w:rsid w:val="001E21EE"/>
    <w:rsid w:val="001E22D1"/>
    <w:rsid w:val="001E2316"/>
    <w:rsid w:val="001E266D"/>
    <w:rsid w:val="001E2803"/>
    <w:rsid w:val="001E3CC9"/>
    <w:rsid w:val="001E4603"/>
    <w:rsid w:val="001E46E5"/>
    <w:rsid w:val="001E5119"/>
    <w:rsid w:val="001E7266"/>
    <w:rsid w:val="001E7F02"/>
    <w:rsid w:val="001F0A2F"/>
    <w:rsid w:val="001F10F2"/>
    <w:rsid w:val="001F13C1"/>
    <w:rsid w:val="001F15E0"/>
    <w:rsid w:val="001F1E9A"/>
    <w:rsid w:val="001F3699"/>
    <w:rsid w:val="001F3D77"/>
    <w:rsid w:val="001F446D"/>
    <w:rsid w:val="001F4648"/>
    <w:rsid w:val="001F4D17"/>
    <w:rsid w:val="001F5EAA"/>
    <w:rsid w:val="001F672B"/>
    <w:rsid w:val="001F6B0A"/>
    <w:rsid w:val="001F78BF"/>
    <w:rsid w:val="001F7ED7"/>
    <w:rsid w:val="001F7F6F"/>
    <w:rsid w:val="00200FDA"/>
    <w:rsid w:val="00201320"/>
    <w:rsid w:val="00201FC9"/>
    <w:rsid w:val="0020204A"/>
    <w:rsid w:val="0020368E"/>
    <w:rsid w:val="00203AB9"/>
    <w:rsid w:val="00203C0A"/>
    <w:rsid w:val="00205408"/>
    <w:rsid w:val="002055BD"/>
    <w:rsid w:val="00207B08"/>
    <w:rsid w:val="00210138"/>
    <w:rsid w:val="002112BE"/>
    <w:rsid w:val="002112EC"/>
    <w:rsid w:val="002114F4"/>
    <w:rsid w:val="002125FB"/>
    <w:rsid w:val="00212AB4"/>
    <w:rsid w:val="00213B70"/>
    <w:rsid w:val="00213C14"/>
    <w:rsid w:val="00213E01"/>
    <w:rsid w:val="00215463"/>
    <w:rsid w:val="00215481"/>
    <w:rsid w:val="00215AD7"/>
    <w:rsid w:val="00215AFC"/>
    <w:rsid w:val="00215EF4"/>
    <w:rsid w:val="00216B62"/>
    <w:rsid w:val="00220B21"/>
    <w:rsid w:val="00221800"/>
    <w:rsid w:val="00221AB7"/>
    <w:rsid w:val="002222BA"/>
    <w:rsid w:val="00222630"/>
    <w:rsid w:val="00223F48"/>
    <w:rsid w:val="002244B8"/>
    <w:rsid w:val="00225A85"/>
    <w:rsid w:val="00225EA9"/>
    <w:rsid w:val="0022711C"/>
    <w:rsid w:val="00227712"/>
    <w:rsid w:val="00227905"/>
    <w:rsid w:val="00227D93"/>
    <w:rsid w:val="00230818"/>
    <w:rsid w:val="00232426"/>
    <w:rsid w:val="00233BFC"/>
    <w:rsid w:val="00237EEA"/>
    <w:rsid w:val="00240D3A"/>
    <w:rsid w:val="00241A81"/>
    <w:rsid w:val="00242B5E"/>
    <w:rsid w:val="00242D55"/>
    <w:rsid w:val="002457DE"/>
    <w:rsid w:val="002463BE"/>
    <w:rsid w:val="00246435"/>
    <w:rsid w:val="0024658E"/>
    <w:rsid w:val="00246BCF"/>
    <w:rsid w:val="00246D4F"/>
    <w:rsid w:val="002472FE"/>
    <w:rsid w:val="00247D82"/>
    <w:rsid w:val="0025030E"/>
    <w:rsid w:val="002506FF"/>
    <w:rsid w:val="00250FAA"/>
    <w:rsid w:val="00251245"/>
    <w:rsid w:val="002517B3"/>
    <w:rsid w:val="00251CA2"/>
    <w:rsid w:val="002520F6"/>
    <w:rsid w:val="00252BD6"/>
    <w:rsid w:val="00254D4A"/>
    <w:rsid w:val="00254E4B"/>
    <w:rsid w:val="00255E51"/>
    <w:rsid w:val="00255EC0"/>
    <w:rsid w:val="00255ED9"/>
    <w:rsid w:val="00256809"/>
    <w:rsid w:val="00257AEA"/>
    <w:rsid w:val="002601BB"/>
    <w:rsid w:val="00260429"/>
    <w:rsid w:val="00262721"/>
    <w:rsid w:val="00262AF7"/>
    <w:rsid w:val="00262C1D"/>
    <w:rsid w:val="00262D53"/>
    <w:rsid w:val="00263C69"/>
    <w:rsid w:val="0026468A"/>
    <w:rsid w:val="002648FD"/>
    <w:rsid w:val="00265487"/>
    <w:rsid w:val="00265608"/>
    <w:rsid w:val="00265918"/>
    <w:rsid w:val="00266D13"/>
    <w:rsid w:val="00267872"/>
    <w:rsid w:val="0027041F"/>
    <w:rsid w:val="00270834"/>
    <w:rsid w:val="00271AB3"/>
    <w:rsid w:val="00271E64"/>
    <w:rsid w:val="00272BA8"/>
    <w:rsid w:val="00272E5D"/>
    <w:rsid w:val="00273E86"/>
    <w:rsid w:val="00276371"/>
    <w:rsid w:val="002764F1"/>
    <w:rsid w:val="00276907"/>
    <w:rsid w:val="00276E44"/>
    <w:rsid w:val="00277A4E"/>
    <w:rsid w:val="00280C13"/>
    <w:rsid w:val="002814E6"/>
    <w:rsid w:val="00281A54"/>
    <w:rsid w:val="00281A6A"/>
    <w:rsid w:val="00282229"/>
    <w:rsid w:val="002828BC"/>
    <w:rsid w:val="00282AE5"/>
    <w:rsid w:val="00282FA6"/>
    <w:rsid w:val="00283587"/>
    <w:rsid w:val="00283605"/>
    <w:rsid w:val="00283615"/>
    <w:rsid w:val="00284038"/>
    <w:rsid w:val="00284590"/>
    <w:rsid w:val="0028495D"/>
    <w:rsid w:val="0028498A"/>
    <w:rsid w:val="00284C58"/>
    <w:rsid w:val="00285110"/>
    <w:rsid w:val="002857BE"/>
    <w:rsid w:val="00285C7B"/>
    <w:rsid w:val="00286126"/>
    <w:rsid w:val="00287114"/>
    <w:rsid w:val="00290C40"/>
    <w:rsid w:val="00291B90"/>
    <w:rsid w:val="002921E9"/>
    <w:rsid w:val="00292BF7"/>
    <w:rsid w:val="00293177"/>
    <w:rsid w:val="002936B4"/>
    <w:rsid w:val="002939B2"/>
    <w:rsid w:val="00294C8F"/>
    <w:rsid w:val="002951E6"/>
    <w:rsid w:val="00295330"/>
    <w:rsid w:val="00297DE7"/>
    <w:rsid w:val="002A0431"/>
    <w:rsid w:val="002A078B"/>
    <w:rsid w:val="002A09FE"/>
    <w:rsid w:val="002A1BD2"/>
    <w:rsid w:val="002A2DF4"/>
    <w:rsid w:val="002A3C78"/>
    <w:rsid w:val="002A4045"/>
    <w:rsid w:val="002A589A"/>
    <w:rsid w:val="002A6983"/>
    <w:rsid w:val="002A792D"/>
    <w:rsid w:val="002B0577"/>
    <w:rsid w:val="002B14AC"/>
    <w:rsid w:val="002B157D"/>
    <w:rsid w:val="002B1818"/>
    <w:rsid w:val="002B44B2"/>
    <w:rsid w:val="002B4C82"/>
    <w:rsid w:val="002B5425"/>
    <w:rsid w:val="002B7871"/>
    <w:rsid w:val="002B7A5F"/>
    <w:rsid w:val="002B7D21"/>
    <w:rsid w:val="002C0037"/>
    <w:rsid w:val="002C0D0C"/>
    <w:rsid w:val="002C13F8"/>
    <w:rsid w:val="002C140E"/>
    <w:rsid w:val="002C1B26"/>
    <w:rsid w:val="002C3625"/>
    <w:rsid w:val="002C59B7"/>
    <w:rsid w:val="002C5D76"/>
    <w:rsid w:val="002C6529"/>
    <w:rsid w:val="002C6D00"/>
    <w:rsid w:val="002C706A"/>
    <w:rsid w:val="002C78B3"/>
    <w:rsid w:val="002C797E"/>
    <w:rsid w:val="002C7AB8"/>
    <w:rsid w:val="002D0E27"/>
    <w:rsid w:val="002D131D"/>
    <w:rsid w:val="002D50CB"/>
    <w:rsid w:val="002E01B1"/>
    <w:rsid w:val="002E1383"/>
    <w:rsid w:val="002E17FE"/>
    <w:rsid w:val="002E1AED"/>
    <w:rsid w:val="002E1BA6"/>
    <w:rsid w:val="002E226C"/>
    <w:rsid w:val="002E3058"/>
    <w:rsid w:val="002E3DB5"/>
    <w:rsid w:val="002E3DCE"/>
    <w:rsid w:val="002E3F19"/>
    <w:rsid w:val="002E471E"/>
    <w:rsid w:val="002E51D2"/>
    <w:rsid w:val="002E6DEB"/>
    <w:rsid w:val="002E73B2"/>
    <w:rsid w:val="002E7A0E"/>
    <w:rsid w:val="002E7AB0"/>
    <w:rsid w:val="002E7EFA"/>
    <w:rsid w:val="002F001D"/>
    <w:rsid w:val="002F065C"/>
    <w:rsid w:val="002F06FF"/>
    <w:rsid w:val="002F07DD"/>
    <w:rsid w:val="002F1272"/>
    <w:rsid w:val="002F24E5"/>
    <w:rsid w:val="002F283C"/>
    <w:rsid w:val="002F3842"/>
    <w:rsid w:val="002F5694"/>
    <w:rsid w:val="002F5D47"/>
    <w:rsid w:val="002F6386"/>
    <w:rsid w:val="002F7FDB"/>
    <w:rsid w:val="00302507"/>
    <w:rsid w:val="003029DD"/>
    <w:rsid w:val="00303704"/>
    <w:rsid w:val="00304C07"/>
    <w:rsid w:val="00305171"/>
    <w:rsid w:val="003066FA"/>
    <w:rsid w:val="00307412"/>
    <w:rsid w:val="00307588"/>
    <w:rsid w:val="0031011D"/>
    <w:rsid w:val="003118B3"/>
    <w:rsid w:val="00312779"/>
    <w:rsid w:val="00312CE9"/>
    <w:rsid w:val="00313618"/>
    <w:rsid w:val="00314D84"/>
    <w:rsid w:val="0032012D"/>
    <w:rsid w:val="00320785"/>
    <w:rsid w:val="003221DD"/>
    <w:rsid w:val="00323400"/>
    <w:rsid w:val="00324AB5"/>
    <w:rsid w:val="00324CBD"/>
    <w:rsid w:val="00326A36"/>
    <w:rsid w:val="00330A30"/>
    <w:rsid w:val="00330C75"/>
    <w:rsid w:val="003316E1"/>
    <w:rsid w:val="00332168"/>
    <w:rsid w:val="0033278D"/>
    <w:rsid w:val="00332901"/>
    <w:rsid w:val="00333A9D"/>
    <w:rsid w:val="00335ECE"/>
    <w:rsid w:val="00336ECB"/>
    <w:rsid w:val="00337331"/>
    <w:rsid w:val="00337877"/>
    <w:rsid w:val="00340D23"/>
    <w:rsid w:val="00341950"/>
    <w:rsid w:val="0034199E"/>
    <w:rsid w:val="003426F5"/>
    <w:rsid w:val="00344708"/>
    <w:rsid w:val="00345C53"/>
    <w:rsid w:val="0034680A"/>
    <w:rsid w:val="003503AD"/>
    <w:rsid w:val="00350757"/>
    <w:rsid w:val="003520C1"/>
    <w:rsid w:val="003521CC"/>
    <w:rsid w:val="003524EF"/>
    <w:rsid w:val="00352561"/>
    <w:rsid w:val="00352B2E"/>
    <w:rsid w:val="003531A1"/>
    <w:rsid w:val="00353FE3"/>
    <w:rsid w:val="00354696"/>
    <w:rsid w:val="0035519A"/>
    <w:rsid w:val="00356692"/>
    <w:rsid w:val="00356909"/>
    <w:rsid w:val="00356B31"/>
    <w:rsid w:val="00357C2A"/>
    <w:rsid w:val="0036059A"/>
    <w:rsid w:val="0036137C"/>
    <w:rsid w:val="00361A18"/>
    <w:rsid w:val="00361AF9"/>
    <w:rsid w:val="00363FF8"/>
    <w:rsid w:val="003640E1"/>
    <w:rsid w:val="00370FED"/>
    <w:rsid w:val="00371960"/>
    <w:rsid w:val="00373020"/>
    <w:rsid w:val="003746F6"/>
    <w:rsid w:val="003748E2"/>
    <w:rsid w:val="00376491"/>
    <w:rsid w:val="00376567"/>
    <w:rsid w:val="0037721D"/>
    <w:rsid w:val="00377540"/>
    <w:rsid w:val="00377B79"/>
    <w:rsid w:val="0038102A"/>
    <w:rsid w:val="003810D3"/>
    <w:rsid w:val="003813C7"/>
    <w:rsid w:val="00381EC5"/>
    <w:rsid w:val="00381FB1"/>
    <w:rsid w:val="00382407"/>
    <w:rsid w:val="0038267D"/>
    <w:rsid w:val="003833B4"/>
    <w:rsid w:val="0038470D"/>
    <w:rsid w:val="00384EBB"/>
    <w:rsid w:val="0038520A"/>
    <w:rsid w:val="00385466"/>
    <w:rsid w:val="00385580"/>
    <w:rsid w:val="00385B94"/>
    <w:rsid w:val="00386014"/>
    <w:rsid w:val="00386021"/>
    <w:rsid w:val="0038606F"/>
    <w:rsid w:val="00386DC7"/>
    <w:rsid w:val="00390DFD"/>
    <w:rsid w:val="00390E67"/>
    <w:rsid w:val="003910E1"/>
    <w:rsid w:val="0039129A"/>
    <w:rsid w:val="00393B5E"/>
    <w:rsid w:val="00397858"/>
    <w:rsid w:val="003A0CF2"/>
    <w:rsid w:val="003A1E42"/>
    <w:rsid w:val="003A3318"/>
    <w:rsid w:val="003A34C7"/>
    <w:rsid w:val="003A380A"/>
    <w:rsid w:val="003A5E1B"/>
    <w:rsid w:val="003A634D"/>
    <w:rsid w:val="003A6371"/>
    <w:rsid w:val="003A6ABF"/>
    <w:rsid w:val="003A73D2"/>
    <w:rsid w:val="003A743E"/>
    <w:rsid w:val="003A7ADE"/>
    <w:rsid w:val="003A7D5E"/>
    <w:rsid w:val="003B0B53"/>
    <w:rsid w:val="003B0D20"/>
    <w:rsid w:val="003B207B"/>
    <w:rsid w:val="003B27F1"/>
    <w:rsid w:val="003B2A34"/>
    <w:rsid w:val="003B32BF"/>
    <w:rsid w:val="003B3423"/>
    <w:rsid w:val="003B3903"/>
    <w:rsid w:val="003B3F7A"/>
    <w:rsid w:val="003B4D10"/>
    <w:rsid w:val="003B5AB8"/>
    <w:rsid w:val="003B6343"/>
    <w:rsid w:val="003B66D1"/>
    <w:rsid w:val="003B6E2C"/>
    <w:rsid w:val="003B7DB1"/>
    <w:rsid w:val="003C01D4"/>
    <w:rsid w:val="003C14B7"/>
    <w:rsid w:val="003C23B4"/>
    <w:rsid w:val="003C29C5"/>
    <w:rsid w:val="003C2CC3"/>
    <w:rsid w:val="003C36AE"/>
    <w:rsid w:val="003C380F"/>
    <w:rsid w:val="003C3B7E"/>
    <w:rsid w:val="003C3D45"/>
    <w:rsid w:val="003C4DD1"/>
    <w:rsid w:val="003C69BF"/>
    <w:rsid w:val="003D09EE"/>
    <w:rsid w:val="003D23A3"/>
    <w:rsid w:val="003D30EE"/>
    <w:rsid w:val="003D3D8D"/>
    <w:rsid w:val="003D411D"/>
    <w:rsid w:val="003D440C"/>
    <w:rsid w:val="003D5856"/>
    <w:rsid w:val="003D5F16"/>
    <w:rsid w:val="003D5FED"/>
    <w:rsid w:val="003D6830"/>
    <w:rsid w:val="003D6A5E"/>
    <w:rsid w:val="003D7544"/>
    <w:rsid w:val="003D7E00"/>
    <w:rsid w:val="003E467D"/>
    <w:rsid w:val="003E506D"/>
    <w:rsid w:val="003E54DD"/>
    <w:rsid w:val="003E5642"/>
    <w:rsid w:val="003E56DC"/>
    <w:rsid w:val="003E5BC3"/>
    <w:rsid w:val="003E6055"/>
    <w:rsid w:val="003E6B57"/>
    <w:rsid w:val="003E6FA6"/>
    <w:rsid w:val="003E75F3"/>
    <w:rsid w:val="003E7D8B"/>
    <w:rsid w:val="003F0649"/>
    <w:rsid w:val="003F3988"/>
    <w:rsid w:val="003F3A80"/>
    <w:rsid w:val="003F4AA3"/>
    <w:rsid w:val="003F5C3B"/>
    <w:rsid w:val="003F6057"/>
    <w:rsid w:val="003F6C46"/>
    <w:rsid w:val="003F6F1A"/>
    <w:rsid w:val="0040060F"/>
    <w:rsid w:val="004006BD"/>
    <w:rsid w:val="00401189"/>
    <w:rsid w:val="00401385"/>
    <w:rsid w:val="00401DFA"/>
    <w:rsid w:val="00402426"/>
    <w:rsid w:val="0040371A"/>
    <w:rsid w:val="00404D5B"/>
    <w:rsid w:val="00404E4F"/>
    <w:rsid w:val="00405716"/>
    <w:rsid w:val="004064F7"/>
    <w:rsid w:val="00407D3A"/>
    <w:rsid w:val="0041053F"/>
    <w:rsid w:val="0041059C"/>
    <w:rsid w:val="00411083"/>
    <w:rsid w:val="004119FC"/>
    <w:rsid w:val="004126DF"/>
    <w:rsid w:val="00412DE9"/>
    <w:rsid w:val="004137C6"/>
    <w:rsid w:val="0041550C"/>
    <w:rsid w:val="00415621"/>
    <w:rsid w:val="00415A0E"/>
    <w:rsid w:val="00415C6D"/>
    <w:rsid w:val="00415EEB"/>
    <w:rsid w:val="004204BE"/>
    <w:rsid w:val="00420997"/>
    <w:rsid w:val="00420F0E"/>
    <w:rsid w:val="00421384"/>
    <w:rsid w:val="00421F47"/>
    <w:rsid w:val="0042339A"/>
    <w:rsid w:val="00423B15"/>
    <w:rsid w:val="00424CB8"/>
    <w:rsid w:val="0042508F"/>
    <w:rsid w:val="004251E6"/>
    <w:rsid w:val="00425B7A"/>
    <w:rsid w:val="00426046"/>
    <w:rsid w:val="004267F1"/>
    <w:rsid w:val="00426919"/>
    <w:rsid w:val="00427408"/>
    <w:rsid w:val="0042748F"/>
    <w:rsid w:val="00430B54"/>
    <w:rsid w:val="00431A02"/>
    <w:rsid w:val="00432332"/>
    <w:rsid w:val="0043326D"/>
    <w:rsid w:val="004338AB"/>
    <w:rsid w:val="004341D7"/>
    <w:rsid w:val="00435D4F"/>
    <w:rsid w:val="00436049"/>
    <w:rsid w:val="00436F55"/>
    <w:rsid w:val="004379C2"/>
    <w:rsid w:val="004400E8"/>
    <w:rsid w:val="00440545"/>
    <w:rsid w:val="00440CD3"/>
    <w:rsid w:val="00440E5C"/>
    <w:rsid w:val="00441CFF"/>
    <w:rsid w:val="00441D35"/>
    <w:rsid w:val="00442E71"/>
    <w:rsid w:val="00443CED"/>
    <w:rsid w:val="00444E56"/>
    <w:rsid w:val="0044578A"/>
    <w:rsid w:val="00445968"/>
    <w:rsid w:val="004461BE"/>
    <w:rsid w:val="00447A44"/>
    <w:rsid w:val="00450909"/>
    <w:rsid w:val="0045097A"/>
    <w:rsid w:val="00450C80"/>
    <w:rsid w:val="00450D4D"/>
    <w:rsid w:val="004510E8"/>
    <w:rsid w:val="0045255B"/>
    <w:rsid w:val="00453594"/>
    <w:rsid w:val="00453B20"/>
    <w:rsid w:val="004542E8"/>
    <w:rsid w:val="004544D6"/>
    <w:rsid w:val="00456C63"/>
    <w:rsid w:val="00457D75"/>
    <w:rsid w:val="00461CE9"/>
    <w:rsid w:val="00462407"/>
    <w:rsid w:val="0046295F"/>
    <w:rsid w:val="004631DD"/>
    <w:rsid w:val="004635FD"/>
    <w:rsid w:val="00463900"/>
    <w:rsid w:val="00463D60"/>
    <w:rsid w:val="00464720"/>
    <w:rsid w:val="00465859"/>
    <w:rsid w:val="00465F67"/>
    <w:rsid w:val="0046796E"/>
    <w:rsid w:val="00470129"/>
    <w:rsid w:val="004706C4"/>
    <w:rsid w:val="0047082E"/>
    <w:rsid w:val="004719A0"/>
    <w:rsid w:val="00471EEF"/>
    <w:rsid w:val="004728A0"/>
    <w:rsid w:val="00473534"/>
    <w:rsid w:val="004738B0"/>
    <w:rsid w:val="004742DD"/>
    <w:rsid w:val="00475231"/>
    <w:rsid w:val="00475849"/>
    <w:rsid w:val="004763E7"/>
    <w:rsid w:val="00480051"/>
    <w:rsid w:val="00480A08"/>
    <w:rsid w:val="004817A8"/>
    <w:rsid w:val="00481B3B"/>
    <w:rsid w:val="00484110"/>
    <w:rsid w:val="00484E96"/>
    <w:rsid w:val="00485303"/>
    <w:rsid w:val="0048589B"/>
    <w:rsid w:val="00486831"/>
    <w:rsid w:val="00487065"/>
    <w:rsid w:val="00487666"/>
    <w:rsid w:val="00487E13"/>
    <w:rsid w:val="004908C1"/>
    <w:rsid w:val="0049271B"/>
    <w:rsid w:val="004927A1"/>
    <w:rsid w:val="004959FB"/>
    <w:rsid w:val="00495AE1"/>
    <w:rsid w:val="00496700"/>
    <w:rsid w:val="004974FA"/>
    <w:rsid w:val="00497588"/>
    <w:rsid w:val="00497B0F"/>
    <w:rsid w:val="004A056C"/>
    <w:rsid w:val="004A0A72"/>
    <w:rsid w:val="004A0C60"/>
    <w:rsid w:val="004A16F9"/>
    <w:rsid w:val="004A1878"/>
    <w:rsid w:val="004A2CE1"/>
    <w:rsid w:val="004A2FB8"/>
    <w:rsid w:val="004A32DB"/>
    <w:rsid w:val="004A39D4"/>
    <w:rsid w:val="004A49BB"/>
    <w:rsid w:val="004A4EFB"/>
    <w:rsid w:val="004A5586"/>
    <w:rsid w:val="004A5739"/>
    <w:rsid w:val="004A63D9"/>
    <w:rsid w:val="004A76CB"/>
    <w:rsid w:val="004B009A"/>
    <w:rsid w:val="004B09B1"/>
    <w:rsid w:val="004B1531"/>
    <w:rsid w:val="004B24B3"/>
    <w:rsid w:val="004B27C5"/>
    <w:rsid w:val="004B27F0"/>
    <w:rsid w:val="004B2B88"/>
    <w:rsid w:val="004B3298"/>
    <w:rsid w:val="004B36B6"/>
    <w:rsid w:val="004B38C7"/>
    <w:rsid w:val="004B3CE5"/>
    <w:rsid w:val="004B4099"/>
    <w:rsid w:val="004B4F0B"/>
    <w:rsid w:val="004B5E40"/>
    <w:rsid w:val="004B609E"/>
    <w:rsid w:val="004C0A7B"/>
    <w:rsid w:val="004C0ECD"/>
    <w:rsid w:val="004C1580"/>
    <w:rsid w:val="004C2618"/>
    <w:rsid w:val="004C30B7"/>
    <w:rsid w:val="004C34D2"/>
    <w:rsid w:val="004C4823"/>
    <w:rsid w:val="004C4844"/>
    <w:rsid w:val="004C490D"/>
    <w:rsid w:val="004C5F6C"/>
    <w:rsid w:val="004C65E1"/>
    <w:rsid w:val="004C7F57"/>
    <w:rsid w:val="004D0080"/>
    <w:rsid w:val="004D0879"/>
    <w:rsid w:val="004D1879"/>
    <w:rsid w:val="004D2869"/>
    <w:rsid w:val="004D2D0F"/>
    <w:rsid w:val="004D4052"/>
    <w:rsid w:val="004D53AD"/>
    <w:rsid w:val="004E044A"/>
    <w:rsid w:val="004E0AB3"/>
    <w:rsid w:val="004E1233"/>
    <w:rsid w:val="004E28C6"/>
    <w:rsid w:val="004E2AD9"/>
    <w:rsid w:val="004E62BC"/>
    <w:rsid w:val="004E6DE1"/>
    <w:rsid w:val="004E6F22"/>
    <w:rsid w:val="004E6FD5"/>
    <w:rsid w:val="004E7843"/>
    <w:rsid w:val="004F040E"/>
    <w:rsid w:val="004F0762"/>
    <w:rsid w:val="004F10E0"/>
    <w:rsid w:val="004F138F"/>
    <w:rsid w:val="004F1586"/>
    <w:rsid w:val="004F19A9"/>
    <w:rsid w:val="004F1B14"/>
    <w:rsid w:val="004F29C3"/>
    <w:rsid w:val="004F2D0A"/>
    <w:rsid w:val="004F39A4"/>
    <w:rsid w:val="004F39B3"/>
    <w:rsid w:val="004F3F56"/>
    <w:rsid w:val="004F420C"/>
    <w:rsid w:val="004F4E45"/>
    <w:rsid w:val="004F5839"/>
    <w:rsid w:val="00500123"/>
    <w:rsid w:val="00501D23"/>
    <w:rsid w:val="00502E0D"/>
    <w:rsid w:val="00504688"/>
    <w:rsid w:val="005062F9"/>
    <w:rsid w:val="0050670B"/>
    <w:rsid w:val="005071F8"/>
    <w:rsid w:val="0051016D"/>
    <w:rsid w:val="00511B29"/>
    <w:rsid w:val="005124ED"/>
    <w:rsid w:val="00512B03"/>
    <w:rsid w:val="0051347E"/>
    <w:rsid w:val="005141E8"/>
    <w:rsid w:val="00514CFC"/>
    <w:rsid w:val="005159D2"/>
    <w:rsid w:val="00515FB9"/>
    <w:rsid w:val="00516A89"/>
    <w:rsid w:val="00517257"/>
    <w:rsid w:val="00517587"/>
    <w:rsid w:val="00520AAA"/>
    <w:rsid w:val="00520C98"/>
    <w:rsid w:val="00521EEC"/>
    <w:rsid w:val="00524085"/>
    <w:rsid w:val="0052456B"/>
    <w:rsid w:val="00525B00"/>
    <w:rsid w:val="00525F4D"/>
    <w:rsid w:val="005266B1"/>
    <w:rsid w:val="00527502"/>
    <w:rsid w:val="00527A18"/>
    <w:rsid w:val="00527ABA"/>
    <w:rsid w:val="0053107A"/>
    <w:rsid w:val="005321F8"/>
    <w:rsid w:val="005348EF"/>
    <w:rsid w:val="00534B93"/>
    <w:rsid w:val="00534C0E"/>
    <w:rsid w:val="00534F74"/>
    <w:rsid w:val="0053543D"/>
    <w:rsid w:val="005361C0"/>
    <w:rsid w:val="00536740"/>
    <w:rsid w:val="00537306"/>
    <w:rsid w:val="005376B1"/>
    <w:rsid w:val="00537B36"/>
    <w:rsid w:val="005402BE"/>
    <w:rsid w:val="00540B70"/>
    <w:rsid w:val="00540EAB"/>
    <w:rsid w:val="00541665"/>
    <w:rsid w:val="00541CB3"/>
    <w:rsid w:val="005434A5"/>
    <w:rsid w:val="00543C10"/>
    <w:rsid w:val="005455D9"/>
    <w:rsid w:val="00546297"/>
    <w:rsid w:val="00546BA3"/>
    <w:rsid w:val="00547093"/>
    <w:rsid w:val="005475CE"/>
    <w:rsid w:val="00550351"/>
    <w:rsid w:val="00550B05"/>
    <w:rsid w:val="00550B13"/>
    <w:rsid w:val="00550C99"/>
    <w:rsid w:val="00551C14"/>
    <w:rsid w:val="00552510"/>
    <w:rsid w:val="00553413"/>
    <w:rsid w:val="00555AB2"/>
    <w:rsid w:val="00555D78"/>
    <w:rsid w:val="00555E42"/>
    <w:rsid w:val="00556117"/>
    <w:rsid w:val="0055724C"/>
    <w:rsid w:val="0055752F"/>
    <w:rsid w:val="00557734"/>
    <w:rsid w:val="00560105"/>
    <w:rsid w:val="00561129"/>
    <w:rsid w:val="005613BE"/>
    <w:rsid w:val="00562410"/>
    <w:rsid w:val="00562FC9"/>
    <w:rsid w:val="00564A5F"/>
    <w:rsid w:val="00564AA7"/>
    <w:rsid w:val="005651C0"/>
    <w:rsid w:val="00565EEB"/>
    <w:rsid w:val="00566751"/>
    <w:rsid w:val="005677AD"/>
    <w:rsid w:val="00570292"/>
    <w:rsid w:val="00571371"/>
    <w:rsid w:val="005715A4"/>
    <w:rsid w:val="00571C54"/>
    <w:rsid w:val="005722FF"/>
    <w:rsid w:val="005723FE"/>
    <w:rsid w:val="00572AED"/>
    <w:rsid w:val="00572BD7"/>
    <w:rsid w:val="00572C8B"/>
    <w:rsid w:val="00573752"/>
    <w:rsid w:val="00573966"/>
    <w:rsid w:val="00573CC7"/>
    <w:rsid w:val="00573E06"/>
    <w:rsid w:val="005754AB"/>
    <w:rsid w:val="00576014"/>
    <w:rsid w:val="005761F5"/>
    <w:rsid w:val="0058054F"/>
    <w:rsid w:val="00580618"/>
    <w:rsid w:val="00581E5F"/>
    <w:rsid w:val="005826F4"/>
    <w:rsid w:val="0058369E"/>
    <w:rsid w:val="00584363"/>
    <w:rsid w:val="0058479C"/>
    <w:rsid w:val="00585395"/>
    <w:rsid w:val="00585A3D"/>
    <w:rsid w:val="00585BB4"/>
    <w:rsid w:val="00585E94"/>
    <w:rsid w:val="0058794C"/>
    <w:rsid w:val="00587FA4"/>
    <w:rsid w:val="00590D09"/>
    <w:rsid w:val="0059156A"/>
    <w:rsid w:val="005918F0"/>
    <w:rsid w:val="00593314"/>
    <w:rsid w:val="0059368E"/>
    <w:rsid w:val="00593BF5"/>
    <w:rsid w:val="005942C8"/>
    <w:rsid w:val="00594496"/>
    <w:rsid w:val="00595050"/>
    <w:rsid w:val="00595454"/>
    <w:rsid w:val="005956D3"/>
    <w:rsid w:val="00595DB4"/>
    <w:rsid w:val="00596365"/>
    <w:rsid w:val="005965BC"/>
    <w:rsid w:val="00596FBF"/>
    <w:rsid w:val="005A0154"/>
    <w:rsid w:val="005A01BC"/>
    <w:rsid w:val="005A064F"/>
    <w:rsid w:val="005A33D6"/>
    <w:rsid w:val="005A35F6"/>
    <w:rsid w:val="005A384F"/>
    <w:rsid w:val="005A40DB"/>
    <w:rsid w:val="005A6133"/>
    <w:rsid w:val="005A630F"/>
    <w:rsid w:val="005A6707"/>
    <w:rsid w:val="005A6AAD"/>
    <w:rsid w:val="005A71D4"/>
    <w:rsid w:val="005A7E78"/>
    <w:rsid w:val="005B03ED"/>
    <w:rsid w:val="005B0522"/>
    <w:rsid w:val="005B1776"/>
    <w:rsid w:val="005B186D"/>
    <w:rsid w:val="005B1BA3"/>
    <w:rsid w:val="005B32FB"/>
    <w:rsid w:val="005B5484"/>
    <w:rsid w:val="005B5B8D"/>
    <w:rsid w:val="005B6184"/>
    <w:rsid w:val="005B7497"/>
    <w:rsid w:val="005B7D16"/>
    <w:rsid w:val="005B7FE4"/>
    <w:rsid w:val="005C05E0"/>
    <w:rsid w:val="005C170D"/>
    <w:rsid w:val="005C1FB9"/>
    <w:rsid w:val="005C3643"/>
    <w:rsid w:val="005C37E0"/>
    <w:rsid w:val="005C5235"/>
    <w:rsid w:val="005C5462"/>
    <w:rsid w:val="005C54B9"/>
    <w:rsid w:val="005C5A1C"/>
    <w:rsid w:val="005C6618"/>
    <w:rsid w:val="005C6678"/>
    <w:rsid w:val="005D0189"/>
    <w:rsid w:val="005D15EE"/>
    <w:rsid w:val="005D308A"/>
    <w:rsid w:val="005D419C"/>
    <w:rsid w:val="005D5771"/>
    <w:rsid w:val="005D60BC"/>
    <w:rsid w:val="005D7644"/>
    <w:rsid w:val="005E01E9"/>
    <w:rsid w:val="005E096E"/>
    <w:rsid w:val="005E0C01"/>
    <w:rsid w:val="005E1CF3"/>
    <w:rsid w:val="005E3736"/>
    <w:rsid w:val="005E38C4"/>
    <w:rsid w:val="005E41C7"/>
    <w:rsid w:val="005E4470"/>
    <w:rsid w:val="005E5794"/>
    <w:rsid w:val="005E6438"/>
    <w:rsid w:val="005E6F71"/>
    <w:rsid w:val="005F08A1"/>
    <w:rsid w:val="005F11F2"/>
    <w:rsid w:val="005F169F"/>
    <w:rsid w:val="005F1AF0"/>
    <w:rsid w:val="005F1B46"/>
    <w:rsid w:val="005F2384"/>
    <w:rsid w:val="005F3EE2"/>
    <w:rsid w:val="005F4D2B"/>
    <w:rsid w:val="00601985"/>
    <w:rsid w:val="00601EE2"/>
    <w:rsid w:val="00602D91"/>
    <w:rsid w:val="0060382C"/>
    <w:rsid w:val="00603FD5"/>
    <w:rsid w:val="00604A85"/>
    <w:rsid w:val="00604B77"/>
    <w:rsid w:val="00605320"/>
    <w:rsid w:val="00607F03"/>
    <w:rsid w:val="00610627"/>
    <w:rsid w:val="00610A0E"/>
    <w:rsid w:val="00610D84"/>
    <w:rsid w:val="00610E4B"/>
    <w:rsid w:val="00610F6C"/>
    <w:rsid w:val="0061151A"/>
    <w:rsid w:val="00613868"/>
    <w:rsid w:val="00614646"/>
    <w:rsid w:val="00614D28"/>
    <w:rsid w:val="0061501A"/>
    <w:rsid w:val="006152B6"/>
    <w:rsid w:val="00615544"/>
    <w:rsid w:val="00615C24"/>
    <w:rsid w:val="00616A08"/>
    <w:rsid w:val="00616C5E"/>
    <w:rsid w:val="00616DC8"/>
    <w:rsid w:val="006173F7"/>
    <w:rsid w:val="006201FE"/>
    <w:rsid w:val="00620548"/>
    <w:rsid w:val="00621586"/>
    <w:rsid w:val="00621EB8"/>
    <w:rsid w:val="00622534"/>
    <w:rsid w:val="0062295B"/>
    <w:rsid w:val="00622CF3"/>
    <w:rsid w:val="00624B90"/>
    <w:rsid w:val="00624C51"/>
    <w:rsid w:val="006251D2"/>
    <w:rsid w:val="0062701B"/>
    <w:rsid w:val="0063012F"/>
    <w:rsid w:val="00630F02"/>
    <w:rsid w:val="006312F6"/>
    <w:rsid w:val="0063168A"/>
    <w:rsid w:val="0063352C"/>
    <w:rsid w:val="0063401E"/>
    <w:rsid w:val="0063471B"/>
    <w:rsid w:val="00635557"/>
    <w:rsid w:val="00636107"/>
    <w:rsid w:val="00641B2D"/>
    <w:rsid w:val="00641B4C"/>
    <w:rsid w:val="00644613"/>
    <w:rsid w:val="00644F2E"/>
    <w:rsid w:val="00645046"/>
    <w:rsid w:val="0064599D"/>
    <w:rsid w:val="00645A0D"/>
    <w:rsid w:val="006462A4"/>
    <w:rsid w:val="006463A4"/>
    <w:rsid w:val="00646B50"/>
    <w:rsid w:val="00646D03"/>
    <w:rsid w:val="00646FB0"/>
    <w:rsid w:val="0064707E"/>
    <w:rsid w:val="006475BD"/>
    <w:rsid w:val="006507D9"/>
    <w:rsid w:val="00650E3E"/>
    <w:rsid w:val="0065108E"/>
    <w:rsid w:val="00651237"/>
    <w:rsid w:val="00652714"/>
    <w:rsid w:val="006527FF"/>
    <w:rsid w:val="00653CB6"/>
    <w:rsid w:val="00654974"/>
    <w:rsid w:val="00654AFE"/>
    <w:rsid w:val="0065669C"/>
    <w:rsid w:val="00656A8A"/>
    <w:rsid w:val="00657D93"/>
    <w:rsid w:val="00657FD6"/>
    <w:rsid w:val="00660009"/>
    <w:rsid w:val="006618CB"/>
    <w:rsid w:val="00661FBB"/>
    <w:rsid w:val="00662209"/>
    <w:rsid w:val="00662529"/>
    <w:rsid w:val="006630C1"/>
    <w:rsid w:val="00665957"/>
    <w:rsid w:val="00667059"/>
    <w:rsid w:val="0067038B"/>
    <w:rsid w:val="00670E96"/>
    <w:rsid w:val="00670F18"/>
    <w:rsid w:val="006717B4"/>
    <w:rsid w:val="00671F10"/>
    <w:rsid w:val="00673004"/>
    <w:rsid w:val="006750C4"/>
    <w:rsid w:val="00675310"/>
    <w:rsid w:val="00675C02"/>
    <w:rsid w:val="00677622"/>
    <w:rsid w:val="00677C12"/>
    <w:rsid w:val="006800DA"/>
    <w:rsid w:val="00681434"/>
    <w:rsid w:val="00681440"/>
    <w:rsid w:val="0068162A"/>
    <w:rsid w:val="006816F5"/>
    <w:rsid w:val="00681B4B"/>
    <w:rsid w:val="00681CE1"/>
    <w:rsid w:val="006825F6"/>
    <w:rsid w:val="00684C96"/>
    <w:rsid w:val="00685637"/>
    <w:rsid w:val="00686063"/>
    <w:rsid w:val="006868FC"/>
    <w:rsid w:val="00686C4B"/>
    <w:rsid w:val="0068724F"/>
    <w:rsid w:val="0069128A"/>
    <w:rsid w:val="00693083"/>
    <w:rsid w:val="00693FA4"/>
    <w:rsid w:val="00694185"/>
    <w:rsid w:val="006964D5"/>
    <w:rsid w:val="00697A59"/>
    <w:rsid w:val="006A1195"/>
    <w:rsid w:val="006A1783"/>
    <w:rsid w:val="006A1DEF"/>
    <w:rsid w:val="006A2A58"/>
    <w:rsid w:val="006A2D08"/>
    <w:rsid w:val="006A2DBC"/>
    <w:rsid w:val="006A4588"/>
    <w:rsid w:val="006A5AFD"/>
    <w:rsid w:val="006A6DB4"/>
    <w:rsid w:val="006A7069"/>
    <w:rsid w:val="006B02F8"/>
    <w:rsid w:val="006B071F"/>
    <w:rsid w:val="006B2790"/>
    <w:rsid w:val="006B27ED"/>
    <w:rsid w:val="006B3582"/>
    <w:rsid w:val="006B36EE"/>
    <w:rsid w:val="006B3E90"/>
    <w:rsid w:val="006B4682"/>
    <w:rsid w:val="006B5853"/>
    <w:rsid w:val="006B5FCB"/>
    <w:rsid w:val="006B670B"/>
    <w:rsid w:val="006B6F26"/>
    <w:rsid w:val="006B700D"/>
    <w:rsid w:val="006B74DB"/>
    <w:rsid w:val="006B7827"/>
    <w:rsid w:val="006B78EC"/>
    <w:rsid w:val="006B7963"/>
    <w:rsid w:val="006C071C"/>
    <w:rsid w:val="006C12B5"/>
    <w:rsid w:val="006C12D6"/>
    <w:rsid w:val="006C2E10"/>
    <w:rsid w:val="006C3305"/>
    <w:rsid w:val="006C36D5"/>
    <w:rsid w:val="006C3BCD"/>
    <w:rsid w:val="006C4AF4"/>
    <w:rsid w:val="006C4C82"/>
    <w:rsid w:val="006C55EC"/>
    <w:rsid w:val="006C7926"/>
    <w:rsid w:val="006C7BA0"/>
    <w:rsid w:val="006D095B"/>
    <w:rsid w:val="006D2DAC"/>
    <w:rsid w:val="006D2DBD"/>
    <w:rsid w:val="006D3023"/>
    <w:rsid w:val="006D3048"/>
    <w:rsid w:val="006D3F2F"/>
    <w:rsid w:val="006D41C1"/>
    <w:rsid w:val="006D47C6"/>
    <w:rsid w:val="006D4F09"/>
    <w:rsid w:val="006D5F4F"/>
    <w:rsid w:val="006D7009"/>
    <w:rsid w:val="006D7A1F"/>
    <w:rsid w:val="006D7B7D"/>
    <w:rsid w:val="006E0AF3"/>
    <w:rsid w:val="006E3224"/>
    <w:rsid w:val="006E3536"/>
    <w:rsid w:val="006E4C73"/>
    <w:rsid w:val="006E551A"/>
    <w:rsid w:val="006E5F52"/>
    <w:rsid w:val="006E7876"/>
    <w:rsid w:val="006F0B2E"/>
    <w:rsid w:val="006F0C3A"/>
    <w:rsid w:val="006F1169"/>
    <w:rsid w:val="006F26FB"/>
    <w:rsid w:val="006F2B9F"/>
    <w:rsid w:val="006F3D5E"/>
    <w:rsid w:val="006F6348"/>
    <w:rsid w:val="006F7B33"/>
    <w:rsid w:val="00701100"/>
    <w:rsid w:val="00701FE6"/>
    <w:rsid w:val="00702176"/>
    <w:rsid w:val="00702D11"/>
    <w:rsid w:val="00705DCD"/>
    <w:rsid w:val="00706737"/>
    <w:rsid w:val="007076E0"/>
    <w:rsid w:val="00710A38"/>
    <w:rsid w:val="00710DBF"/>
    <w:rsid w:val="007129FF"/>
    <w:rsid w:val="00713187"/>
    <w:rsid w:val="00714257"/>
    <w:rsid w:val="007143F6"/>
    <w:rsid w:val="00714488"/>
    <w:rsid w:val="00714762"/>
    <w:rsid w:val="007158C6"/>
    <w:rsid w:val="00715931"/>
    <w:rsid w:val="00716D83"/>
    <w:rsid w:val="00720507"/>
    <w:rsid w:val="00721412"/>
    <w:rsid w:val="007215EF"/>
    <w:rsid w:val="0072174B"/>
    <w:rsid w:val="00721FC9"/>
    <w:rsid w:val="007231B5"/>
    <w:rsid w:val="007233B4"/>
    <w:rsid w:val="007236F4"/>
    <w:rsid w:val="00725927"/>
    <w:rsid w:val="00725E41"/>
    <w:rsid w:val="007265E5"/>
    <w:rsid w:val="0072721A"/>
    <w:rsid w:val="00727348"/>
    <w:rsid w:val="007275AF"/>
    <w:rsid w:val="00727C97"/>
    <w:rsid w:val="00730006"/>
    <w:rsid w:val="007301C9"/>
    <w:rsid w:val="00731847"/>
    <w:rsid w:val="00731DEE"/>
    <w:rsid w:val="00733E3A"/>
    <w:rsid w:val="00734798"/>
    <w:rsid w:val="00735598"/>
    <w:rsid w:val="007362D2"/>
    <w:rsid w:val="00736D52"/>
    <w:rsid w:val="007373F6"/>
    <w:rsid w:val="00737563"/>
    <w:rsid w:val="007378E6"/>
    <w:rsid w:val="0074030B"/>
    <w:rsid w:val="007413EA"/>
    <w:rsid w:val="00741AD5"/>
    <w:rsid w:val="00742F0D"/>
    <w:rsid w:val="00743548"/>
    <w:rsid w:val="00743F4A"/>
    <w:rsid w:val="00744120"/>
    <w:rsid w:val="00744F3F"/>
    <w:rsid w:val="00745FAD"/>
    <w:rsid w:val="00746F54"/>
    <w:rsid w:val="00750E22"/>
    <w:rsid w:val="00752E3C"/>
    <w:rsid w:val="0075386F"/>
    <w:rsid w:val="00753EE0"/>
    <w:rsid w:val="00754729"/>
    <w:rsid w:val="007547CA"/>
    <w:rsid w:val="007562B1"/>
    <w:rsid w:val="00760005"/>
    <w:rsid w:val="00760304"/>
    <w:rsid w:val="00760E1B"/>
    <w:rsid w:val="00762E51"/>
    <w:rsid w:val="00762F69"/>
    <w:rsid w:val="00764FE1"/>
    <w:rsid w:val="007669DE"/>
    <w:rsid w:val="007675F4"/>
    <w:rsid w:val="00767697"/>
    <w:rsid w:val="00767EAE"/>
    <w:rsid w:val="00770655"/>
    <w:rsid w:val="00770DB0"/>
    <w:rsid w:val="00772434"/>
    <w:rsid w:val="007728A7"/>
    <w:rsid w:val="00774AF8"/>
    <w:rsid w:val="00775165"/>
    <w:rsid w:val="00775183"/>
    <w:rsid w:val="00775242"/>
    <w:rsid w:val="0077533A"/>
    <w:rsid w:val="0077542D"/>
    <w:rsid w:val="00775CA3"/>
    <w:rsid w:val="0077644A"/>
    <w:rsid w:val="007769E7"/>
    <w:rsid w:val="00780040"/>
    <w:rsid w:val="00780CB3"/>
    <w:rsid w:val="00780D56"/>
    <w:rsid w:val="00780DE7"/>
    <w:rsid w:val="00782618"/>
    <w:rsid w:val="007829B3"/>
    <w:rsid w:val="00782ED6"/>
    <w:rsid w:val="007833A4"/>
    <w:rsid w:val="007840AA"/>
    <w:rsid w:val="0078502F"/>
    <w:rsid w:val="0078533C"/>
    <w:rsid w:val="00787D67"/>
    <w:rsid w:val="00787E4D"/>
    <w:rsid w:val="00787E64"/>
    <w:rsid w:val="00787FBB"/>
    <w:rsid w:val="0079028F"/>
    <w:rsid w:val="00791146"/>
    <w:rsid w:val="00792504"/>
    <w:rsid w:val="007932FA"/>
    <w:rsid w:val="007944FC"/>
    <w:rsid w:val="007946B2"/>
    <w:rsid w:val="007949BF"/>
    <w:rsid w:val="00795530"/>
    <w:rsid w:val="00796DC5"/>
    <w:rsid w:val="007A0363"/>
    <w:rsid w:val="007A11BA"/>
    <w:rsid w:val="007A20D8"/>
    <w:rsid w:val="007A2198"/>
    <w:rsid w:val="007A48A0"/>
    <w:rsid w:val="007A52B6"/>
    <w:rsid w:val="007A5498"/>
    <w:rsid w:val="007A5D42"/>
    <w:rsid w:val="007A6233"/>
    <w:rsid w:val="007B0B9E"/>
    <w:rsid w:val="007B17C6"/>
    <w:rsid w:val="007B3383"/>
    <w:rsid w:val="007B341B"/>
    <w:rsid w:val="007B3D0C"/>
    <w:rsid w:val="007B4A7A"/>
    <w:rsid w:val="007B4FD1"/>
    <w:rsid w:val="007B5898"/>
    <w:rsid w:val="007B78FE"/>
    <w:rsid w:val="007C14E8"/>
    <w:rsid w:val="007C152C"/>
    <w:rsid w:val="007C19B8"/>
    <w:rsid w:val="007C216A"/>
    <w:rsid w:val="007C3475"/>
    <w:rsid w:val="007C3CBE"/>
    <w:rsid w:val="007C4023"/>
    <w:rsid w:val="007C4370"/>
    <w:rsid w:val="007C452B"/>
    <w:rsid w:val="007C475F"/>
    <w:rsid w:val="007C6500"/>
    <w:rsid w:val="007C6659"/>
    <w:rsid w:val="007C7088"/>
    <w:rsid w:val="007D0E90"/>
    <w:rsid w:val="007D1569"/>
    <w:rsid w:val="007D2003"/>
    <w:rsid w:val="007D25E7"/>
    <w:rsid w:val="007D25EB"/>
    <w:rsid w:val="007D2DA0"/>
    <w:rsid w:val="007D4209"/>
    <w:rsid w:val="007D493F"/>
    <w:rsid w:val="007D4EEB"/>
    <w:rsid w:val="007D691E"/>
    <w:rsid w:val="007D6A14"/>
    <w:rsid w:val="007D7614"/>
    <w:rsid w:val="007D7FA1"/>
    <w:rsid w:val="007E0B56"/>
    <w:rsid w:val="007E0C72"/>
    <w:rsid w:val="007E0CC8"/>
    <w:rsid w:val="007E1454"/>
    <w:rsid w:val="007E1A38"/>
    <w:rsid w:val="007E1F29"/>
    <w:rsid w:val="007E39CA"/>
    <w:rsid w:val="007E474E"/>
    <w:rsid w:val="007F0EC9"/>
    <w:rsid w:val="007F13E5"/>
    <w:rsid w:val="007F1A55"/>
    <w:rsid w:val="007F1F17"/>
    <w:rsid w:val="007F3905"/>
    <w:rsid w:val="007F3E29"/>
    <w:rsid w:val="007F443E"/>
    <w:rsid w:val="007F4EC1"/>
    <w:rsid w:val="007F4F0A"/>
    <w:rsid w:val="007F575A"/>
    <w:rsid w:val="007F5D0F"/>
    <w:rsid w:val="007F6495"/>
    <w:rsid w:val="00800536"/>
    <w:rsid w:val="008017BC"/>
    <w:rsid w:val="008019DE"/>
    <w:rsid w:val="00803212"/>
    <w:rsid w:val="0080322B"/>
    <w:rsid w:val="00803295"/>
    <w:rsid w:val="008035C3"/>
    <w:rsid w:val="008038CF"/>
    <w:rsid w:val="00803F26"/>
    <w:rsid w:val="0080454A"/>
    <w:rsid w:val="0080480F"/>
    <w:rsid w:val="00804B8B"/>
    <w:rsid w:val="008053AA"/>
    <w:rsid w:val="00805BF9"/>
    <w:rsid w:val="008064B3"/>
    <w:rsid w:val="00806CBF"/>
    <w:rsid w:val="00806F63"/>
    <w:rsid w:val="00807C56"/>
    <w:rsid w:val="00807F06"/>
    <w:rsid w:val="00811196"/>
    <w:rsid w:val="00813701"/>
    <w:rsid w:val="00814452"/>
    <w:rsid w:val="00814583"/>
    <w:rsid w:val="00815003"/>
    <w:rsid w:val="008150D8"/>
    <w:rsid w:val="0081533C"/>
    <w:rsid w:val="00815831"/>
    <w:rsid w:val="00815C94"/>
    <w:rsid w:val="008161D7"/>
    <w:rsid w:val="008178A5"/>
    <w:rsid w:val="00820456"/>
    <w:rsid w:val="00820661"/>
    <w:rsid w:val="00820FAD"/>
    <w:rsid w:val="008226D4"/>
    <w:rsid w:val="0082295C"/>
    <w:rsid w:val="00822D85"/>
    <w:rsid w:val="00823C7C"/>
    <w:rsid w:val="0082437F"/>
    <w:rsid w:val="00827528"/>
    <w:rsid w:val="00827C86"/>
    <w:rsid w:val="00827D30"/>
    <w:rsid w:val="00830648"/>
    <w:rsid w:val="008319DA"/>
    <w:rsid w:val="00832364"/>
    <w:rsid w:val="008325A3"/>
    <w:rsid w:val="0083428E"/>
    <w:rsid w:val="00836262"/>
    <w:rsid w:val="00836A60"/>
    <w:rsid w:val="00836E3A"/>
    <w:rsid w:val="00836EB4"/>
    <w:rsid w:val="00837210"/>
    <w:rsid w:val="00840045"/>
    <w:rsid w:val="0084018C"/>
    <w:rsid w:val="008410C4"/>
    <w:rsid w:val="00842267"/>
    <w:rsid w:val="0084229A"/>
    <w:rsid w:val="0084238D"/>
    <w:rsid w:val="008423EB"/>
    <w:rsid w:val="008437E9"/>
    <w:rsid w:val="00844E0C"/>
    <w:rsid w:val="0084511E"/>
    <w:rsid w:val="008452A6"/>
    <w:rsid w:val="00845A25"/>
    <w:rsid w:val="00845AD1"/>
    <w:rsid w:val="00845DBF"/>
    <w:rsid w:val="008464AF"/>
    <w:rsid w:val="00847237"/>
    <w:rsid w:val="008472B8"/>
    <w:rsid w:val="008474F6"/>
    <w:rsid w:val="00847B16"/>
    <w:rsid w:val="00851A31"/>
    <w:rsid w:val="00851FFF"/>
    <w:rsid w:val="008529A2"/>
    <w:rsid w:val="00852C90"/>
    <w:rsid w:val="0085439B"/>
    <w:rsid w:val="0085511F"/>
    <w:rsid w:val="008579B4"/>
    <w:rsid w:val="00860261"/>
    <w:rsid w:val="00861268"/>
    <w:rsid w:val="008622B4"/>
    <w:rsid w:val="008639A0"/>
    <w:rsid w:val="00864730"/>
    <w:rsid w:val="00867487"/>
    <w:rsid w:val="00871014"/>
    <w:rsid w:val="00871A6C"/>
    <w:rsid w:val="008721AD"/>
    <w:rsid w:val="00872A6F"/>
    <w:rsid w:val="00874CE2"/>
    <w:rsid w:val="00875CCB"/>
    <w:rsid w:val="00877B43"/>
    <w:rsid w:val="00877DA0"/>
    <w:rsid w:val="008805FD"/>
    <w:rsid w:val="00880636"/>
    <w:rsid w:val="008807B1"/>
    <w:rsid w:val="00880C54"/>
    <w:rsid w:val="00880C8A"/>
    <w:rsid w:val="00880E83"/>
    <w:rsid w:val="008812E4"/>
    <w:rsid w:val="008833F3"/>
    <w:rsid w:val="008849DC"/>
    <w:rsid w:val="00884D84"/>
    <w:rsid w:val="0088620A"/>
    <w:rsid w:val="0088681F"/>
    <w:rsid w:val="00886859"/>
    <w:rsid w:val="008875DC"/>
    <w:rsid w:val="00890CF7"/>
    <w:rsid w:val="00890EEE"/>
    <w:rsid w:val="00892973"/>
    <w:rsid w:val="00892FB9"/>
    <w:rsid w:val="00893A30"/>
    <w:rsid w:val="00893EE9"/>
    <w:rsid w:val="008949C4"/>
    <w:rsid w:val="00894E9D"/>
    <w:rsid w:val="008953D4"/>
    <w:rsid w:val="00895B89"/>
    <w:rsid w:val="008960E6"/>
    <w:rsid w:val="00897793"/>
    <w:rsid w:val="008977AE"/>
    <w:rsid w:val="008978C3"/>
    <w:rsid w:val="008A115B"/>
    <w:rsid w:val="008A1632"/>
    <w:rsid w:val="008A2183"/>
    <w:rsid w:val="008A27EB"/>
    <w:rsid w:val="008A2D43"/>
    <w:rsid w:val="008A390A"/>
    <w:rsid w:val="008A3E35"/>
    <w:rsid w:val="008A5423"/>
    <w:rsid w:val="008A67C4"/>
    <w:rsid w:val="008A6B26"/>
    <w:rsid w:val="008A6F83"/>
    <w:rsid w:val="008B0016"/>
    <w:rsid w:val="008B0509"/>
    <w:rsid w:val="008B05C3"/>
    <w:rsid w:val="008B2558"/>
    <w:rsid w:val="008B25BB"/>
    <w:rsid w:val="008B2D88"/>
    <w:rsid w:val="008B4965"/>
    <w:rsid w:val="008B4EA3"/>
    <w:rsid w:val="008B5B40"/>
    <w:rsid w:val="008B78B1"/>
    <w:rsid w:val="008C096A"/>
    <w:rsid w:val="008C1CCF"/>
    <w:rsid w:val="008C2484"/>
    <w:rsid w:val="008C3780"/>
    <w:rsid w:val="008C7195"/>
    <w:rsid w:val="008C778D"/>
    <w:rsid w:val="008D06F1"/>
    <w:rsid w:val="008D091B"/>
    <w:rsid w:val="008D1368"/>
    <w:rsid w:val="008D19FD"/>
    <w:rsid w:val="008D1ABD"/>
    <w:rsid w:val="008D3A0D"/>
    <w:rsid w:val="008D5F6A"/>
    <w:rsid w:val="008D7447"/>
    <w:rsid w:val="008D7773"/>
    <w:rsid w:val="008D7D89"/>
    <w:rsid w:val="008E01F6"/>
    <w:rsid w:val="008E22EC"/>
    <w:rsid w:val="008E25D6"/>
    <w:rsid w:val="008E2663"/>
    <w:rsid w:val="008E364D"/>
    <w:rsid w:val="008E5B74"/>
    <w:rsid w:val="008E62DB"/>
    <w:rsid w:val="008E7420"/>
    <w:rsid w:val="008E7804"/>
    <w:rsid w:val="008E7BD4"/>
    <w:rsid w:val="008F061C"/>
    <w:rsid w:val="008F0A95"/>
    <w:rsid w:val="008F1B4C"/>
    <w:rsid w:val="008F2F08"/>
    <w:rsid w:val="008F3B95"/>
    <w:rsid w:val="008F4A41"/>
    <w:rsid w:val="008F517B"/>
    <w:rsid w:val="008F5450"/>
    <w:rsid w:val="008F567D"/>
    <w:rsid w:val="008F5B47"/>
    <w:rsid w:val="008F63DA"/>
    <w:rsid w:val="008F6884"/>
    <w:rsid w:val="008F6F1A"/>
    <w:rsid w:val="008F736F"/>
    <w:rsid w:val="008F76C9"/>
    <w:rsid w:val="008F7897"/>
    <w:rsid w:val="0090088A"/>
    <w:rsid w:val="0090137A"/>
    <w:rsid w:val="00901B11"/>
    <w:rsid w:val="00901FBF"/>
    <w:rsid w:val="00902A32"/>
    <w:rsid w:val="00903103"/>
    <w:rsid w:val="00903370"/>
    <w:rsid w:val="00903AF2"/>
    <w:rsid w:val="009063C6"/>
    <w:rsid w:val="00907206"/>
    <w:rsid w:val="0090761B"/>
    <w:rsid w:val="0090762C"/>
    <w:rsid w:val="00910F3F"/>
    <w:rsid w:val="0091259E"/>
    <w:rsid w:val="0091349A"/>
    <w:rsid w:val="009140B2"/>
    <w:rsid w:val="00914399"/>
    <w:rsid w:val="00914E61"/>
    <w:rsid w:val="0091530C"/>
    <w:rsid w:val="009158BF"/>
    <w:rsid w:val="00915F69"/>
    <w:rsid w:val="00917153"/>
    <w:rsid w:val="00917F42"/>
    <w:rsid w:val="00920962"/>
    <w:rsid w:val="009209DE"/>
    <w:rsid w:val="009217E6"/>
    <w:rsid w:val="00921981"/>
    <w:rsid w:val="00921DA9"/>
    <w:rsid w:val="00921F01"/>
    <w:rsid w:val="00922227"/>
    <w:rsid w:val="00923A50"/>
    <w:rsid w:val="00923B01"/>
    <w:rsid w:val="00925089"/>
    <w:rsid w:val="009256F9"/>
    <w:rsid w:val="00925BF3"/>
    <w:rsid w:val="00925FB8"/>
    <w:rsid w:val="00926350"/>
    <w:rsid w:val="00926848"/>
    <w:rsid w:val="00926DFF"/>
    <w:rsid w:val="0093076A"/>
    <w:rsid w:val="0093100D"/>
    <w:rsid w:val="00932C0B"/>
    <w:rsid w:val="00933B02"/>
    <w:rsid w:val="00933E08"/>
    <w:rsid w:val="009342FC"/>
    <w:rsid w:val="00934CD1"/>
    <w:rsid w:val="00936068"/>
    <w:rsid w:val="00936366"/>
    <w:rsid w:val="0093668C"/>
    <w:rsid w:val="0093671C"/>
    <w:rsid w:val="00936F67"/>
    <w:rsid w:val="009374EA"/>
    <w:rsid w:val="009378A8"/>
    <w:rsid w:val="009404A2"/>
    <w:rsid w:val="00942468"/>
    <w:rsid w:val="009424B4"/>
    <w:rsid w:val="00942660"/>
    <w:rsid w:val="00942B85"/>
    <w:rsid w:val="00943806"/>
    <w:rsid w:val="00945559"/>
    <w:rsid w:val="00945838"/>
    <w:rsid w:val="00946351"/>
    <w:rsid w:val="00946E96"/>
    <w:rsid w:val="00947303"/>
    <w:rsid w:val="0095029B"/>
    <w:rsid w:val="00950CA1"/>
    <w:rsid w:val="00951115"/>
    <w:rsid w:val="00951514"/>
    <w:rsid w:val="00951758"/>
    <w:rsid w:val="009517CC"/>
    <w:rsid w:val="00952E15"/>
    <w:rsid w:val="00953921"/>
    <w:rsid w:val="00955392"/>
    <w:rsid w:val="009608BE"/>
    <w:rsid w:val="009615D4"/>
    <w:rsid w:val="00961667"/>
    <w:rsid w:val="00961840"/>
    <w:rsid w:val="0096202C"/>
    <w:rsid w:val="00962905"/>
    <w:rsid w:val="0096351E"/>
    <w:rsid w:val="009652A3"/>
    <w:rsid w:val="00965841"/>
    <w:rsid w:val="00965F98"/>
    <w:rsid w:val="00967191"/>
    <w:rsid w:val="00967886"/>
    <w:rsid w:val="00967AB9"/>
    <w:rsid w:val="009708FB"/>
    <w:rsid w:val="00970A20"/>
    <w:rsid w:val="0097109B"/>
    <w:rsid w:val="009715EB"/>
    <w:rsid w:val="0097163D"/>
    <w:rsid w:val="00971ECD"/>
    <w:rsid w:val="009721F8"/>
    <w:rsid w:val="009723A0"/>
    <w:rsid w:val="00974677"/>
    <w:rsid w:val="00976023"/>
    <w:rsid w:val="009765D4"/>
    <w:rsid w:val="009774FC"/>
    <w:rsid w:val="009801B1"/>
    <w:rsid w:val="00980461"/>
    <w:rsid w:val="0098385E"/>
    <w:rsid w:val="00983F5F"/>
    <w:rsid w:val="00983F74"/>
    <w:rsid w:val="009843D8"/>
    <w:rsid w:val="00985A14"/>
    <w:rsid w:val="009864AF"/>
    <w:rsid w:val="00986F9E"/>
    <w:rsid w:val="009901F4"/>
    <w:rsid w:val="00990E0C"/>
    <w:rsid w:val="009926FF"/>
    <w:rsid w:val="0099387D"/>
    <w:rsid w:val="00994A58"/>
    <w:rsid w:val="00996537"/>
    <w:rsid w:val="00996945"/>
    <w:rsid w:val="009969C3"/>
    <w:rsid w:val="0099710E"/>
    <w:rsid w:val="00997770"/>
    <w:rsid w:val="009A11F1"/>
    <w:rsid w:val="009A1CC2"/>
    <w:rsid w:val="009A24EE"/>
    <w:rsid w:val="009A2841"/>
    <w:rsid w:val="009A2878"/>
    <w:rsid w:val="009A2B6E"/>
    <w:rsid w:val="009A2F17"/>
    <w:rsid w:val="009A2F7C"/>
    <w:rsid w:val="009A357A"/>
    <w:rsid w:val="009A3C2B"/>
    <w:rsid w:val="009A4D12"/>
    <w:rsid w:val="009A65CE"/>
    <w:rsid w:val="009A6C1F"/>
    <w:rsid w:val="009B2A06"/>
    <w:rsid w:val="009B2B12"/>
    <w:rsid w:val="009B3133"/>
    <w:rsid w:val="009B54E5"/>
    <w:rsid w:val="009B5682"/>
    <w:rsid w:val="009B7620"/>
    <w:rsid w:val="009B7C5E"/>
    <w:rsid w:val="009B7CC4"/>
    <w:rsid w:val="009C04B5"/>
    <w:rsid w:val="009C0857"/>
    <w:rsid w:val="009C0933"/>
    <w:rsid w:val="009C2D03"/>
    <w:rsid w:val="009C3171"/>
    <w:rsid w:val="009C3D29"/>
    <w:rsid w:val="009C4972"/>
    <w:rsid w:val="009C605A"/>
    <w:rsid w:val="009C6075"/>
    <w:rsid w:val="009C6249"/>
    <w:rsid w:val="009C775F"/>
    <w:rsid w:val="009D1324"/>
    <w:rsid w:val="009D24F5"/>
    <w:rsid w:val="009D2D46"/>
    <w:rsid w:val="009D2F84"/>
    <w:rsid w:val="009D39AD"/>
    <w:rsid w:val="009D3EE2"/>
    <w:rsid w:val="009D4F7E"/>
    <w:rsid w:val="009D65F7"/>
    <w:rsid w:val="009D72A0"/>
    <w:rsid w:val="009D7530"/>
    <w:rsid w:val="009D7641"/>
    <w:rsid w:val="009E108B"/>
    <w:rsid w:val="009E137D"/>
    <w:rsid w:val="009E195F"/>
    <w:rsid w:val="009E19A3"/>
    <w:rsid w:val="009E290B"/>
    <w:rsid w:val="009E2BF5"/>
    <w:rsid w:val="009E368A"/>
    <w:rsid w:val="009E36CA"/>
    <w:rsid w:val="009E3940"/>
    <w:rsid w:val="009E3A91"/>
    <w:rsid w:val="009E3AC7"/>
    <w:rsid w:val="009E442F"/>
    <w:rsid w:val="009E4DC0"/>
    <w:rsid w:val="009E5251"/>
    <w:rsid w:val="009E5850"/>
    <w:rsid w:val="009E5FB3"/>
    <w:rsid w:val="009E61A8"/>
    <w:rsid w:val="009E65F3"/>
    <w:rsid w:val="009E6C17"/>
    <w:rsid w:val="009F1521"/>
    <w:rsid w:val="009F1C76"/>
    <w:rsid w:val="009F257E"/>
    <w:rsid w:val="009F2DB6"/>
    <w:rsid w:val="009F3730"/>
    <w:rsid w:val="009F4675"/>
    <w:rsid w:val="009F5143"/>
    <w:rsid w:val="009F53A8"/>
    <w:rsid w:val="009F5EEE"/>
    <w:rsid w:val="009F7984"/>
    <w:rsid w:val="009F7DDA"/>
    <w:rsid w:val="00A01032"/>
    <w:rsid w:val="00A02FEC"/>
    <w:rsid w:val="00A0367A"/>
    <w:rsid w:val="00A03EC6"/>
    <w:rsid w:val="00A0568B"/>
    <w:rsid w:val="00A05B3F"/>
    <w:rsid w:val="00A0757A"/>
    <w:rsid w:val="00A07D73"/>
    <w:rsid w:val="00A126B5"/>
    <w:rsid w:val="00A128B7"/>
    <w:rsid w:val="00A13177"/>
    <w:rsid w:val="00A1332E"/>
    <w:rsid w:val="00A13664"/>
    <w:rsid w:val="00A14196"/>
    <w:rsid w:val="00A145C9"/>
    <w:rsid w:val="00A162E7"/>
    <w:rsid w:val="00A2010F"/>
    <w:rsid w:val="00A20235"/>
    <w:rsid w:val="00A20616"/>
    <w:rsid w:val="00A20A71"/>
    <w:rsid w:val="00A21AC1"/>
    <w:rsid w:val="00A21DA9"/>
    <w:rsid w:val="00A221F6"/>
    <w:rsid w:val="00A233D3"/>
    <w:rsid w:val="00A23658"/>
    <w:rsid w:val="00A25856"/>
    <w:rsid w:val="00A25BBC"/>
    <w:rsid w:val="00A25E06"/>
    <w:rsid w:val="00A25FC2"/>
    <w:rsid w:val="00A25FC6"/>
    <w:rsid w:val="00A26E4F"/>
    <w:rsid w:val="00A27280"/>
    <w:rsid w:val="00A27549"/>
    <w:rsid w:val="00A27ED2"/>
    <w:rsid w:val="00A31297"/>
    <w:rsid w:val="00A314FE"/>
    <w:rsid w:val="00A31811"/>
    <w:rsid w:val="00A31D17"/>
    <w:rsid w:val="00A3212A"/>
    <w:rsid w:val="00A32837"/>
    <w:rsid w:val="00A32EDD"/>
    <w:rsid w:val="00A3305D"/>
    <w:rsid w:val="00A33309"/>
    <w:rsid w:val="00A334A5"/>
    <w:rsid w:val="00A33CC1"/>
    <w:rsid w:val="00A3758B"/>
    <w:rsid w:val="00A37C6A"/>
    <w:rsid w:val="00A40085"/>
    <w:rsid w:val="00A41349"/>
    <w:rsid w:val="00A41484"/>
    <w:rsid w:val="00A416AD"/>
    <w:rsid w:val="00A41993"/>
    <w:rsid w:val="00A4289C"/>
    <w:rsid w:val="00A429D4"/>
    <w:rsid w:val="00A43B34"/>
    <w:rsid w:val="00A43D70"/>
    <w:rsid w:val="00A44369"/>
    <w:rsid w:val="00A44FF7"/>
    <w:rsid w:val="00A45A26"/>
    <w:rsid w:val="00A45C96"/>
    <w:rsid w:val="00A45F0B"/>
    <w:rsid w:val="00A464FF"/>
    <w:rsid w:val="00A468D6"/>
    <w:rsid w:val="00A46A02"/>
    <w:rsid w:val="00A471AE"/>
    <w:rsid w:val="00A47711"/>
    <w:rsid w:val="00A47D83"/>
    <w:rsid w:val="00A50319"/>
    <w:rsid w:val="00A50CD9"/>
    <w:rsid w:val="00A50EDB"/>
    <w:rsid w:val="00A51374"/>
    <w:rsid w:val="00A516A9"/>
    <w:rsid w:val="00A51756"/>
    <w:rsid w:val="00A51B98"/>
    <w:rsid w:val="00A528C9"/>
    <w:rsid w:val="00A53628"/>
    <w:rsid w:val="00A53FE8"/>
    <w:rsid w:val="00A54E12"/>
    <w:rsid w:val="00A54E86"/>
    <w:rsid w:val="00A5529A"/>
    <w:rsid w:val="00A5703F"/>
    <w:rsid w:val="00A6009F"/>
    <w:rsid w:val="00A626AF"/>
    <w:rsid w:val="00A626FF"/>
    <w:rsid w:val="00A62C94"/>
    <w:rsid w:val="00A64C09"/>
    <w:rsid w:val="00A65D43"/>
    <w:rsid w:val="00A65DCB"/>
    <w:rsid w:val="00A668D5"/>
    <w:rsid w:val="00A66C9C"/>
    <w:rsid w:val="00A67B00"/>
    <w:rsid w:val="00A703FD"/>
    <w:rsid w:val="00A7154C"/>
    <w:rsid w:val="00A715ED"/>
    <w:rsid w:val="00A71F2D"/>
    <w:rsid w:val="00A73751"/>
    <w:rsid w:val="00A73FA1"/>
    <w:rsid w:val="00A74902"/>
    <w:rsid w:val="00A74F45"/>
    <w:rsid w:val="00A7512B"/>
    <w:rsid w:val="00A75DCB"/>
    <w:rsid w:val="00A8183A"/>
    <w:rsid w:val="00A8246D"/>
    <w:rsid w:val="00A83056"/>
    <w:rsid w:val="00A83473"/>
    <w:rsid w:val="00A83490"/>
    <w:rsid w:val="00A8407A"/>
    <w:rsid w:val="00A85048"/>
    <w:rsid w:val="00A85B88"/>
    <w:rsid w:val="00A86051"/>
    <w:rsid w:val="00A8625F"/>
    <w:rsid w:val="00A862BE"/>
    <w:rsid w:val="00A87689"/>
    <w:rsid w:val="00A87AB4"/>
    <w:rsid w:val="00A87E2B"/>
    <w:rsid w:val="00A90151"/>
    <w:rsid w:val="00A90256"/>
    <w:rsid w:val="00A909BA"/>
    <w:rsid w:val="00A91551"/>
    <w:rsid w:val="00A9316D"/>
    <w:rsid w:val="00A932E3"/>
    <w:rsid w:val="00A9359B"/>
    <w:rsid w:val="00A94B1A"/>
    <w:rsid w:val="00A9545C"/>
    <w:rsid w:val="00A95818"/>
    <w:rsid w:val="00A963C7"/>
    <w:rsid w:val="00A970A6"/>
    <w:rsid w:val="00A97952"/>
    <w:rsid w:val="00A97D34"/>
    <w:rsid w:val="00AA02A1"/>
    <w:rsid w:val="00AA0AF4"/>
    <w:rsid w:val="00AA1592"/>
    <w:rsid w:val="00AA163B"/>
    <w:rsid w:val="00AA1BE2"/>
    <w:rsid w:val="00AA328C"/>
    <w:rsid w:val="00AA3569"/>
    <w:rsid w:val="00AA416A"/>
    <w:rsid w:val="00AA66D3"/>
    <w:rsid w:val="00AA6F44"/>
    <w:rsid w:val="00AB0BA4"/>
    <w:rsid w:val="00AB0D2D"/>
    <w:rsid w:val="00AB0ED4"/>
    <w:rsid w:val="00AB10F4"/>
    <w:rsid w:val="00AB12B9"/>
    <w:rsid w:val="00AB1719"/>
    <w:rsid w:val="00AB19A7"/>
    <w:rsid w:val="00AB1AF6"/>
    <w:rsid w:val="00AB2852"/>
    <w:rsid w:val="00AB2D17"/>
    <w:rsid w:val="00AB3221"/>
    <w:rsid w:val="00AB34AD"/>
    <w:rsid w:val="00AB4521"/>
    <w:rsid w:val="00AB46E2"/>
    <w:rsid w:val="00AB5747"/>
    <w:rsid w:val="00AB6C96"/>
    <w:rsid w:val="00AB7056"/>
    <w:rsid w:val="00AC075C"/>
    <w:rsid w:val="00AC0F8A"/>
    <w:rsid w:val="00AC129E"/>
    <w:rsid w:val="00AC22EC"/>
    <w:rsid w:val="00AC31F3"/>
    <w:rsid w:val="00AC4F7C"/>
    <w:rsid w:val="00AC587D"/>
    <w:rsid w:val="00AC7441"/>
    <w:rsid w:val="00AC761E"/>
    <w:rsid w:val="00AD152A"/>
    <w:rsid w:val="00AD1AA2"/>
    <w:rsid w:val="00AD225D"/>
    <w:rsid w:val="00AD2CE5"/>
    <w:rsid w:val="00AD3914"/>
    <w:rsid w:val="00AD76C2"/>
    <w:rsid w:val="00AD7858"/>
    <w:rsid w:val="00AD7A30"/>
    <w:rsid w:val="00AE27C4"/>
    <w:rsid w:val="00AE2DC9"/>
    <w:rsid w:val="00AE2E50"/>
    <w:rsid w:val="00AE30BF"/>
    <w:rsid w:val="00AE4369"/>
    <w:rsid w:val="00AE528A"/>
    <w:rsid w:val="00AE5DA9"/>
    <w:rsid w:val="00AF118A"/>
    <w:rsid w:val="00AF1697"/>
    <w:rsid w:val="00AF18E2"/>
    <w:rsid w:val="00AF200B"/>
    <w:rsid w:val="00AF28A2"/>
    <w:rsid w:val="00AF3BD9"/>
    <w:rsid w:val="00AF439B"/>
    <w:rsid w:val="00AF479F"/>
    <w:rsid w:val="00AF4D13"/>
    <w:rsid w:val="00AF5C8C"/>
    <w:rsid w:val="00AF5D48"/>
    <w:rsid w:val="00AF67C4"/>
    <w:rsid w:val="00AF7203"/>
    <w:rsid w:val="00B00097"/>
    <w:rsid w:val="00B01721"/>
    <w:rsid w:val="00B0202D"/>
    <w:rsid w:val="00B03CEA"/>
    <w:rsid w:val="00B03E00"/>
    <w:rsid w:val="00B044BC"/>
    <w:rsid w:val="00B04D6D"/>
    <w:rsid w:val="00B061DF"/>
    <w:rsid w:val="00B06250"/>
    <w:rsid w:val="00B0667C"/>
    <w:rsid w:val="00B07592"/>
    <w:rsid w:val="00B075A2"/>
    <w:rsid w:val="00B075D0"/>
    <w:rsid w:val="00B105E5"/>
    <w:rsid w:val="00B11F80"/>
    <w:rsid w:val="00B12CAB"/>
    <w:rsid w:val="00B1334D"/>
    <w:rsid w:val="00B14013"/>
    <w:rsid w:val="00B15414"/>
    <w:rsid w:val="00B1596B"/>
    <w:rsid w:val="00B172E0"/>
    <w:rsid w:val="00B17FCC"/>
    <w:rsid w:val="00B21B0C"/>
    <w:rsid w:val="00B225F9"/>
    <w:rsid w:val="00B2311F"/>
    <w:rsid w:val="00B23258"/>
    <w:rsid w:val="00B23603"/>
    <w:rsid w:val="00B23BD8"/>
    <w:rsid w:val="00B24497"/>
    <w:rsid w:val="00B25221"/>
    <w:rsid w:val="00B2556D"/>
    <w:rsid w:val="00B277E6"/>
    <w:rsid w:val="00B302B7"/>
    <w:rsid w:val="00B302FA"/>
    <w:rsid w:val="00B3057A"/>
    <w:rsid w:val="00B30664"/>
    <w:rsid w:val="00B328AB"/>
    <w:rsid w:val="00B32D6C"/>
    <w:rsid w:val="00B33140"/>
    <w:rsid w:val="00B33C55"/>
    <w:rsid w:val="00B34048"/>
    <w:rsid w:val="00B340D0"/>
    <w:rsid w:val="00B34203"/>
    <w:rsid w:val="00B36471"/>
    <w:rsid w:val="00B36934"/>
    <w:rsid w:val="00B36DEF"/>
    <w:rsid w:val="00B3749D"/>
    <w:rsid w:val="00B37A7F"/>
    <w:rsid w:val="00B4085A"/>
    <w:rsid w:val="00B41AA2"/>
    <w:rsid w:val="00B41AD3"/>
    <w:rsid w:val="00B43378"/>
    <w:rsid w:val="00B4350A"/>
    <w:rsid w:val="00B443CC"/>
    <w:rsid w:val="00B44B69"/>
    <w:rsid w:val="00B45438"/>
    <w:rsid w:val="00B45A23"/>
    <w:rsid w:val="00B45B66"/>
    <w:rsid w:val="00B45C54"/>
    <w:rsid w:val="00B45CDD"/>
    <w:rsid w:val="00B4755C"/>
    <w:rsid w:val="00B515C6"/>
    <w:rsid w:val="00B51BE4"/>
    <w:rsid w:val="00B529A7"/>
    <w:rsid w:val="00B547CE"/>
    <w:rsid w:val="00B54CC0"/>
    <w:rsid w:val="00B5622B"/>
    <w:rsid w:val="00B56F47"/>
    <w:rsid w:val="00B5700C"/>
    <w:rsid w:val="00B615C4"/>
    <w:rsid w:val="00B6271A"/>
    <w:rsid w:val="00B62D66"/>
    <w:rsid w:val="00B64B05"/>
    <w:rsid w:val="00B65DAA"/>
    <w:rsid w:val="00B66B2F"/>
    <w:rsid w:val="00B66B58"/>
    <w:rsid w:val="00B710D5"/>
    <w:rsid w:val="00B71420"/>
    <w:rsid w:val="00B71C85"/>
    <w:rsid w:val="00B720EC"/>
    <w:rsid w:val="00B73BA7"/>
    <w:rsid w:val="00B74207"/>
    <w:rsid w:val="00B743D3"/>
    <w:rsid w:val="00B74F7F"/>
    <w:rsid w:val="00B7556F"/>
    <w:rsid w:val="00B75B08"/>
    <w:rsid w:val="00B75C39"/>
    <w:rsid w:val="00B763AA"/>
    <w:rsid w:val="00B7663C"/>
    <w:rsid w:val="00B76D61"/>
    <w:rsid w:val="00B77481"/>
    <w:rsid w:val="00B77EA8"/>
    <w:rsid w:val="00B803BE"/>
    <w:rsid w:val="00B809DC"/>
    <w:rsid w:val="00B82C58"/>
    <w:rsid w:val="00B841F8"/>
    <w:rsid w:val="00B84869"/>
    <w:rsid w:val="00B86607"/>
    <w:rsid w:val="00B87859"/>
    <w:rsid w:val="00B87E82"/>
    <w:rsid w:val="00B90663"/>
    <w:rsid w:val="00B91304"/>
    <w:rsid w:val="00B91445"/>
    <w:rsid w:val="00B91D47"/>
    <w:rsid w:val="00B92684"/>
    <w:rsid w:val="00B9366D"/>
    <w:rsid w:val="00B9472F"/>
    <w:rsid w:val="00B94CE2"/>
    <w:rsid w:val="00B953E2"/>
    <w:rsid w:val="00B9599A"/>
    <w:rsid w:val="00B95B3C"/>
    <w:rsid w:val="00BA0F11"/>
    <w:rsid w:val="00BA3B29"/>
    <w:rsid w:val="00BA3CB8"/>
    <w:rsid w:val="00BA71C0"/>
    <w:rsid w:val="00BA7623"/>
    <w:rsid w:val="00BB0EB8"/>
    <w:rsid w:val="00BB13F9"/>
    <w:rsid w:val="00BB3214"/>
    <w:rsid w:val="00BB3597"/>
    <w:rsid w:val="00BB3CF9"/>
    <w:rsid w:val="00BB4076"/>
    <w:rsid w:val="00BB42F3"/>
    <w:rsid w:val="00BB465D"/>
    <w:rsid w:val="00BB49C9"/>
    <w:rsid w:val="00BB5D0B"/>
    <w:rsid w:val="00BB6119"/>
    <w:rsid w:val="00BB6750"/>
    <w:rsid w:val="00BC0DCE"/>
    <w:rsid w:val="00BC0DD0"/>
    <w:rsid w:val="00BC127C"/>
    <w:rsid w:val="00BC3D7B"/>
    <w:rsid w:val="00BC42DF"/>
    <w:rsid w:val="00BC468F"/>
    <w:rsid w:val="00BC4DE1"/>
    <w:rsid w:val="00BC50BC"/>
    <w:rsid w:val="00BC6606"/>
    <w:rsid w:val="00BC683D"/>
    <w:rsid w:val="00BC7180"/>
    <w:rsid w:val="00BC71FA"/>
    <w:rsid w:val="00BC7C1B"/>
    <w:rsid w:val="00BD0175"/>
    <w:rsid w:val="00BD01BC"/>
    <w:rsid w:val="00BD0A4F"/>
    <w:rsid w:val="00BD0C5F"/>
    <w:rsid w:val="00BD0DCB"/>
    <w:rsid w:val="00BD190D"/>
    <w:rsid w:val="00BD4FFE"/>
    <w:rsid w:val="00BD52B3"/>
    <w:rsid w:val="00BD5545"/>
    <w:rsid w:val="00BD5FB3"/>
    <w:rsid w:val="00BD7C9A"/>
    <w:rsid w:val="00BE1593"/>
    <w:rsid w:val="00BE2260"/>
    <w:rsid w:val="00BE293B"/>
    <w:rsid w:val="00BE2CB4"/>
    <w:rsid w:val="00BE2EE0"/>
    <w:rsid w:val="00BE389F"/>
    <w:rsid w:val="00BE51CB"/>
    <w:rsid w:val="00BE58CA"/>
    <w:rsid w:val="00BE65C6"/>
    <w:rsid w:val="00BE7067"/>
    <w:rsid w:val="00BF0EF2"/>
    <w:rsid w:val="00BF0F53"/>
    <w:rsid w:val="00BF11A0"/>
    <w:rsid w:val="00BF223E"/>
    <w:rsid w:val="00BF2B6B"/>
    <w:rsid w:val="00BF33A0"/>
    <w:rsid w:val="00BF4171"/>
    <w:rsid w:val="00BF6159"/>
    <w:rsid w:val="00BF68C8"/>
    <w:rsid w:val="00C010F9"/>
    <w:rsid w:val="00C016A3"/>
    <w:rsid w:val="00C01740"/>
    <w:rsid w:val="00C01E68"/>
    <w:rsid w:val="00C03B3E"/>
    <w:rsid w:val="00C047D1"/>
    <w:rsid w:val="00C04920"/>
    <w:rsid w:val="00C05BCF"/>
    <w:rsid w:val="00C05C12"/>
    <w:rsid w:val="00C05DA0"/>
    <w:rsid w:val="00C06257"/>
    <w:rsid w:val="00C0777C"/>
    <w:rsid w:val="00C10D4C"/>
    <w:rsid w:val="00C10DF1"/>
    <w:rsid w:val="00C11263"/>
    <w:rsid w:val="00C11924"/>
    <w:rsid w:val="00C12A37"/>
    <w:rsid w:val="00C12F14"/>
    <w:rsid w:val="00C1301C"/>
    <w:rsid w:val="00C1344E"/>
    <w:rsid w:val="00C134FC"/>
    <w:rsid w:val="00C14016"/>
    <w:rsid w:val="00C1402B"/>
    <w:rsid w:val="00C1637F"/>
    <w:rsid w:val="00C17687"/>
    <w:rsid w:val="00C17B40"/>
    <w:rsid w:val="00C2080C"/>
    <w:rsid w:val="00C20C22"/>
    <w:rsid w:val="00C221A0"/>
    <w:rsid w:val="00C22252"/>
    <w:rsid w:val="00C229A8"/>
    <w:rsid w:val="00C231B1"/>
    <w:rsid w:val="00C238D1"/>
    <w:rsid w:val="00C23EFC"/>
    <w:rsid w:val="00C2404D"/>
    <w:rsid w:val="00C25C46"/>
    <w:rsid w:val="00C26EA8"/>
    <w:rsid w:val="00C31E23"/>
    <w:rsid w:val="00C31F6F"/>
    <w:rsid w:val="00C326F9"/>
    <w:rsid w:val="00C32B98"/>
    <w:rsid w:val="00C3436D"/>
    <w:rsid w:val="00C3500C"/>
    <w:rsid w:val="00C3556B"/>
    <w:rsid w:val="00C35613"/>
    <w:rsid w:val="00C35FDD"/>
    <w:rsid w:val="00C36FFC"/>
    <w:rsid w:val="00C370FC"/>
    <w:rsid w:val="00C3729A"/>
    <w:rsid w:val="00C37A29"/>
    <w:rsid w:val="00C4027E"/>
    <w:rsid w:val="00C42434"/>
    <w:rsid w:val="00C42B9B"/>
    <w:rsid w:val="00C439C9"/>
    <w:rsid w:val="00C44D0D"/>
    <w:rsid w:val="00C452E2"/>
    <w:rsid w:val="00C45FE5"/>
    <w:rsid w:val="00C502A7"/>
    <w:rsid w:val="00C51D99"/>
    <w:rsid w:val="00C52815"/>
    <w:rsid w:val="00C539A9"/>
    <w:rsid w:val="00C54274"/>
    <w:rsid w:val="00C55489"/>
    <w:rsid w:val="00C55BB7"/>
    <w:rsid w:val="00C563FF"/>
    <w:rsid w:val="00C6088B"/>
    <w:rsid w:val="00C60CF3"/>
    <w:rsid w:val="00C615FB"/>
    <w:rsid w:val="00C6333E"/>
    <w:rsid w:val="00C642F7"/>
    <w:rsid w:val="00C65070"/>
    <w:rsid w:val="00C70014"/>
    <w:rsid w:val="00C70D80"/>
    <w:rsid w:val="00C70EFC"/>
    <w:rsid w:val="00C712FD"/>
    <w:rsid w:val="00C71688"/>
    <w:rsid w:val="00C72844"/>
    <w:rsid w:val="00C7284E"/>
    <w:rsid w:val="00C72D89"/>
    <w:rsid w:val="00C745BB"/>
    <w:rsid w:val="00C7484E"/>
    <w:rsid w:val="00C74E0B"/>
    <w:rsid w:val="00C75266"/>
    <w:rsid w:val="00C755AA"/>
    <w:rsid w:val="00C75C56"/>
    <w:rsid w:val="00C75CE2"/>
    <w:rsid w:val="00C75FD9"/>
    <w:rsid w:val="00C76F81"/>
    <w:rsid w:val="00C80B12"/>
    <w:rsid w:val="00C849B9"/>
    <w:rsid w:val="00C86B36"/>
    <w:rsid w:val="00C86FDE"/>
    <w:rsid w:val="00C87A7A"/>
    <w:rsid w:val="00C9216E"/>
    <w:rsid w:val="00C92A84"/>
    <w:rsid w:val="00C932F3"/>
    <w:rsid w:val="00C94613"/>
    <w:rsid w:val="00C94C1C"/>
    <w:rsid w:val="00C9592B"/>
    <w:rsid w:val="00C95A60"/>
    <w:rsid w:val="00C95D5C"/>
    <w:rsid w:val="00C967C0"/>
    <w:rsid w:val="00C96D39"/>
    <w:rsid w:val="00C97129"/>
    <w:rsid w:val="00C97582"/>
    <w:rsid w:val="00C97DA8"/>
    <w:rsid w:val="00CA0385"/>
    <w:rsid w:val="00CA0A7E"/>
    <w:rsid w:val="00CA0B3F"/>
    <w:rsid w:val="00CA1F2E"/>
    <w:rsid w:val="00CA21DC"/>
    <w:rsid w:val="00CA21F8"/>
    <w:rsid w:val="00CA3604"/>
    <w:rsid w:val="00CA3A88"/>
    <w:rsid w:val="00CA3F85"/>
    <w:rsid w:val="00CA426D"/>
    <w:rsid w:val="00CA4C43"/>
    <w:rsid w:val="00CA564F"/>
    <w:rsid w:val="00CA5679"/>
    <w:rsid w:val="00CA593D"/>
    <w:rsid w:val="00CA5946"/>
    <w:rsid w:val="00CA66A0"/>
    <w:rsid w:val="00CA6AAB"/>
    <w:rsid w:val="00CA75A6"/>
    <w:rsid w:val="00CB14B7"/>
    <w:rsid w:val="00CB1906"/>
    <w:rsid w:val="00CB19A9"/>
    <w:rsid w:val="00CB1E53"/>
    <w:rsid w:val="00CB2E58"/>
    <w:rsid w:val="00CB31B9"/>
    <w:rsid w:val="00CB3399"/>
    <w:rsid w:val="00CB38C7"/>
    <w:rsid w:val="00CB3FA4"/>
    <w:rsid w:val="00CB4995"/>
    <w:rsid w:val="00CB4ADB"/>
    <w:rsid w:val="00CB5E24"/>
    <w:rsid w:val="00CB7294"/>
    <w:rsid w:val="00CC10D5"/>
    <w:rsid w:val="00CC1975"/>
    <w:rsid w:val="00CC2164"/>
    <w:rsid w:val="00CC23C8"/>
    <w:rsid w:val="00CC290B"/>
    <w:rsid w:val="00CC2CA7"/>
    <w:rsid w:val="00CC2CB5"/>
    <w:rsid w:val="00CC3DC0"/>
    <w:rsid w:val="00CC3DE4"/>
    <w:rsid w:val="00CC459B"/>
    <w:rsid w:val="00CC488B"/>
    <w:rsid w:val="00CC4B7D"/>
    <w:rsid w:val="00CC577B"/>
    <w:rsid w:val="00CC5F5B"/>
    <w:rsid w:val="00CD054F"/>
    <w:rsid w:val="00CD0ECA"/>
    <w:rsid w:val="00CD1445"/>
    <w:rsid w:val="00CD1494"/>
    <w:rsid w:val="00CD16AE"/>
    <w:rsid w:val="00CD2681"/>
    <w:rsid w:val="00CD3FBA"/>
    <w:rsid w:val="00CD43D3"/>
    <w:rsid w:val="00CD61EB"/>
    <w:rsid w:val="00CD620B"/>
    <w:rsid w:val="00CD6555"/>
    <w:rsid w:val="00CD6F22"/>
    <w:rsid w:val="00CD75C2"/>
    <w:rsid w:val="00CD7F44"/>
    <w:rsid w:val="00CE1C55"/>
    <w:rsid w:val="00CE2997"/>
    <w:rsid w:val="00CE3507"/>
    <w:rsid w:val="00CE3B47"/>
    <w:rsid w:val="00CE3F6C"/>
    <w:rsid w:val="00CE43AF"/>
    <w:rsid w:val="00CE4C53"/>
    <w:rsid w:val="00CE4D3A"/>
    <w:rsid w:val="00CE4DCD"/>
    <w:rsid w:val="00CE550A"/>
    <w:rsid w:val="00CE64FD"/>
    <w:rsid w:val="00CE67C9"/>
    <w:rsid w:val="00CE6AF7"/>
    <w:rsid w:val="00CE7236"/>
    <w:rsid w:val="00CE7975"/>
    <w:rsid w:val="00CF02F0"/>
    <w:rsid w:val="00CF098D"/>
    <w:rsid w:val="00CF1468"/>
    <w:rsid w:val="00CF1796"/>
    <w:rsid w:val="00CF20BE"/>
    <w:rsid w:val="00CF2C2D"/>
    <w:rsid w:val="00CF4BC6"/>
    <w:rsid w:val="00CF4D33"/>
    <w:rsid w:val="00CF5235"/>
    <w:rsid w:val="00CF6AF2"/>
    <w:rsid w:val="00CF7F06"/>
    <w:rsid w:val="00D0096E"/>
    <w:rsid w:val="00D015F7"/>
    <w:rsid w:val="00D01615"/>
    <w:rsid w:val="00D02433"/>
    <w:rsid w:val="00D0266D"/>
    <w:rsid w:val="00D033AA"/>
    <w:rsid w:val="00D0352E"/>
    <w:rsid w:val="00D03EDF"/>
    <w:rsid w:val="00D06C46"/>
    <w:rsid w:val="00D06E29"/>
    <w:rsid w:val="00D06F06"/>
    <w:rsid w:val="00D076D4"/>
    <w:rsid w:val="00D10975"/>
    <w:rsid w:val="00D109C4"/>
    <w:rsid w:val="00D109C5"/>
    <w:rsid w:val="00D10CBB"/>
    <w:rsid w:val="00D10F14"/>
    <w:rsid w:val="00D11E1C"/>
    <w:rsid w:val="00D128D6"/>
    <w:rsid w:val="00D15113"/>
    <w:rsid w:val="00D15919"/>
    <w:rsid w:val="00D15972"/>
    <w:rsid w:val="00D15B7C"/>
    <w:rsid w:val="00D15B7D"/>
    <w:rsid w:val="00D15B90"/>
    <w:rsid w:val="00D16F74"/>
    <w:rsid w:val="00D17478"/>
    <w:rsid w:val="00D1765B"/>
    <w:rsid w:val="00D17B28"/>
    <w:rsid w:val="00D200A5"/>
    <w:rsid w:val="00D21809"/>
    <w:rsid w:val="00D23225"/>
    <w:rsid w:val="00D23A6F"/>
    <w:rsid w:val="00D23E87"/>
    <w:rsid w:val="00D2405E"/>
    <w:rsid w:val="00D24619"/>
    <w:rsid w:val="00D25E82"/>
    <w:rsid w:val="00D263BF"/>
    <w:rsid w:val="00D270F0"/>
    <w:rsid w:val="00D2712C"/>
    <w:rsid w:val="00D302DE"/>
    <w:rsid w:val="00D30791"/>
    <w:rsid w:val="00D30BB5"/>
    <w:rsid w:val="00D31E3E"/>
    <w:rsid w:val="00D330CA"/>
    <w:rsid w:val="00D3316D"/>
    <w:rsid w:val="00D332B2"/>
    <w:rsid w:val="00D33D00"/>
    <w:rsid w:val="00D34175"/>
    <w:rsid w:val="00D34C7C"/>
    <w:rsid w:val="00D353A4"/>
    <w:rsid w:val="00D35BB2"/>
    <w:rsid w:val="00D37882"/>
    <w:rsid w:val="00D41351"/>
    <w:rsid w:val="00D41B81"/>
    <w:rsid w:val="00D43BCD"/>
    <w:rsid w:val="00D44423"/>
    <w:rsid w:val="00D45014"/>
    <w:rsid w:val="00D4588D"/>
    <w:rsid w:val="00D45DF9"/>
    <w:rsid w:val="00D461BB"/>
    <w:rsid w:val="00D461CE"/>
    <w:rsid w:val="00D46FD9"/>
    <w:rsid w:val="00D50873"/>
    <w:rsid w:val="00D52301"/>
    <w:rsid w:val="00D528E2"/>
    <w:rsid w:val="00D52AD1"/>
    <w:rsid w:val="00D5363F"/>
    <w:rsid w:val="00D5398E"/>
    <w:rsid w:val="00D53D63"/>
    <w:rsid w:val="00D53DEB"/>
    <w:rsid w:val="00D55011"/>
    <w:rsid w:val="00D55552"/>
    <w:rsid w:val="00D56343"/>
    <w:rsid w:val="00D60649"/>
    <w:rsid w:val="00D6144F"/>
    <w:rsid w:val="00D6181D"/>
    <w:rsid w:val="00D61E88"/>
    <w:rsid w:val="00D62520"/>
    <w:rsid w:val="00D62C2A"/>
    <w:rsid w:val="00D64053"/>
    <w:rsid w:val="00D64FA9"/>
    <w:rsid w:val="00D6605B"/>
    <w:rsid w:val="00D6650A"/>
    <w:rsid w:val="00D6653F"/>
    <w:rsid w:val="00D66740"/>
    <w:rsid w:val="00D700D1"/>
    <w:rsid w:val="00D70F3F"/>
    <w:rsid w:val="00D70FC7"/>
    <w:rsid w:val="00D71327"/>
    <w:rsid w:val="00D721D3"/>
    <w:rsid w:val="00D73087"/>
    <w:rsid w:val="00D73C1A"/>
    <w:rsid w:val="00D73E02"/>
    <w:rsid w:val="00D74C2B"/>
    <w:rsid w:val="00D75503"/>
    <w:rsid w:val="00D759C3"/>
    <w:rsid w:val="00D760D0"/>
    <w:rsid w:val="00D76B9C"/>
    <w:rsid w:val="00D76DF8"/>
    <w:rsid w:val="00D80639"/>
    <w:rsid w:val="00D80ACA"/>
    <w:rsid w:val="00D8130C"/>
    <w:rsid w:val="00D81693"/>
    <w:rsid w:val="00D8191E"/>
    <w:rsid w:val="00D81CDA"/>
    <w:rsid w:val="00D830F4"/>
    <w:rsid w:val="00D837C6"/>
    <w:rsid w:val="00D83923"/>
    <w:rsid w:val="00D848DC"/>
    <w:rsid w:val="00D84EA6"/>
    <w:rsid w:val="00D90291"/>
    <w:rsid w:val="00D90988"/>
    <w:rsid w:val="00D91CF0"/>
    <w:rsid w:val="00D92630"/>
    <w:rsid w:val="00D9279F"/>
    <w:rsid w:val="00D9419D"/>
    <w:rsid w:val="00D94558"/>
    <w:rsid w:val="00D94EC3"/>
    <w:rsid w:val="00D95796"/>
    <w:rsid w:val="00D95D5E"/>
    <w:rsid w:val="00D96445"/>
    <w:rsid w:val="00D96F65"/>
    <w:rsid w:val="00DA0E5C"/>
    <w:rsid w:val="00DA136C"/>
    <w:rsid w:val="00DA245C"/>
    <w:rsid w:val="00DA2A93"/>
    <w:rsid w:val="00DA2FD8"/>
    <w:rsid w:val="00DA3017"/>
    <w:rsid w:val="00DA482B"/>
    <w:rsid w:val="00DA4B32"/>
    <w:rsid w:val="00DA4DD2"/>
    <w:rsid w:val="00DA5484"/>
    <w:rsid w:val="00DA6D13"/>
    <w:rsid w:val="00DA71D7"/>
    <w:rsid w:val="00DB166F"/>
    <w:rsid w:val="00DB342F"/>
    <w:rsid w:val="00DB412E"/>
    <w:rsid w:val="00DB56C3"/>
    <w:rsid w:val="00DB7634"/>
    <w:rsid w:val="00DB7957"/>
    <w:rsid w:val="00DB7B05"/>
    <w:rsid w:val="00DB7CFF"/>
    <w:rsid w:val="00DB7E8D"/>
    <w:rsid w:val="00DC1012"/>
    <w:rsid w:val="00DC18D8"/>
    <w:rsid w:val="00DC1942"/>
    <w:rsid w:val="00DC1B37"/>
    <w:rsid w:val="00DC24FF"/>
    <w:rsid w:val="00DC2EDD"/>
    <w:rsid w:val="00DC3323"/>
    <w:rsid w:val="00DC512B"/>
    <w:rsid w:val="00DC59E0"/>
    <w:rsid w:val="00DC5DFF"/>
    <w:rsid w:val="00DC74CB"/>
    <w:rsid w:val="00DD102A"/>
    <w:rsid w:val="00DD134A"/>
    <w:rsid w:val="00DD270F"/>
    <w:rsid w:val="00DD35DF"/>
    <w:rsid w:val="00DD3812"/>
    <w:rsid w:val="00DD3EBD"/>
    <w:rsid w:val="00DD43B9"/>
    <w:rsid w:val="00DD525D"/>
    <w:rsid w:val="00DD6473"/>
    <w:rsid w:val="00DD7432"/>
    <w:rsid w:val="00DD7527"/>
    <w:rsid w:val="00DD7F20"/>
    <w:rsid w:val="00DE0597"/>
    <w:rsid w:val="00DE26E6"/>
    <w:rsid w:val="00DE3B2B"/>
    <w:rsid w:val="00DE3C9A"/>
    <w:rsid w:val="00DE3E08"/>
    <w:rsid w:val="00DE3F85"/>
    <w:rsid w:val="00DE4C0E"/>
    <w:rsid w:val="00DE5A22"/>
    <w:rsid w:val="00DE5A29"/>
    <w:rsid w:val="00DE5F13"/>
    <w:rsid w:val="00DE67E4"/>
    <w:rsid w:val="00DE7183"/>
    <w:rsid w:val="00DE7CB3"/>
    <w:rsid w:val="00DF062A"/>
    <w:rsid w:val="00DF0C89"/>
    <w:rsid w:val="00DF0F22"/>
    <w:rsid w:val="00DF1116"/>
    <w:rsid w:val="00DF12F7"/>
    <w:rsid w:val="00DF157D"/>
    <w:rsid w:val="00DF16CD"/>
    <w:rsid w:val="00DF17A4"/>
    <w:rsid w:val="00DF2DE8"/>
    <w:rsid w:val="00DF4B7A"/>
    <w:rsid w:val="00DF4E3E"/>
    <w:rsid w:val="00DF4ED3"/>
    <w:rsid w:val="00DF57D9"/>
    <w:rsid w:val="00DF5E38"/>
    <w:rsid w:val="00DF60B9"/>
    <w:rsid w:val="00DF6359"/>
    <w:rsid w:val="00DF63B7"/>
    <w:rsid w:val="00DF6529"/>
    <w:rsid w:val="00DF6E92"/>
    <w:rsid w:val="00E00350"/>
    <w:rsid w:val="00E00997"/>
    <w:rsid w:val="00E00EF5"/>
    <w:rsid w:val="00E010CD"/>
    <w:rsid w:val="00E01148"/>
    <w:rsid w:val="00E01F7B"/>
    <w:rsid w:val="00E0453D"/>
    <w:rsid w:val="00E049B7"/>
    <w:rsid w:val="00E05FA6"/>
    <w:rsid w:val="00E0674E"/>
    <w:rsid w:val="00E067AF"/>
    <w:rsid w:val="00E068A6"/>
    <w:rsid w:val="00E07046"/>
    <w:rsid w:val="00E07876"/>
    <w:rsid w:val="00E079E6"/>
    <w:rsid w:val="00E07F89"/>
    <w:rsid w:val="00E11C42"/>
    <w:rsid w:val="00E122AD"/>
    <w:rsid w:val="00E12F02"/>
    <w:rsid w:val="00E155DC"/>
    <w:rsid w:val="00E15A2F"/>
    <w:rsid w:val="00E15AF7"/>
    <w:rsid w:val="00E16D87"/>
    <w:rsid w:val="00E16DF1"/>
    <w:rsid w:val="00E17AF3"/>
    <w:rsid w:val="00E17BA6"/>
    <w:rsid w:val="00E204EC"/>
    <w:rsid w:val="00E2059B"/>
    <w:rsid w:val="00E208C8"/>
    <w:rsid w:val="00E2097F"/>
    <w:rsid w:val="00E20C94"/>
    <w:rsid w:val="00E22927"/>
    <w:rsid w:val="00E22AE9"/>
    <w:rsid w:val="00E23383"/>
    <w:rsid w:val="00E234D3"/>
    <w:rsid w:val="00E23A69"/>
    <w:rsid w:val="00E25474"/>
    <w:rsid w:val="00E25B27"/>
    <w:rsid w:val="00E25B63"/>
    <w:rsid w:val="00E273E6"/>
    <w:rsid w:val="00E326B5"/>
    <w:rsid w:val="00E32EE5"/>
    <w:rsid w:val="00E32F93"/>
    <w:rsid w:val="00E3585F"/>
    <w:rsid w:val="00E35A7D"/>
    <w:rsid w:val="00E360BC"/>
    <w:rsid w:val="00E366C0"/>
    <w:rsid w:val="00E379F7"/>
    <w:rsid w:val="00E37BFD"/>
    <w:rsid w:val="00E437B5"/>
    <w:rsid w:val="00E44C07"/>
    <w:rsid w:val="00E45C5E"/>
    <w:rsid w:val="00E45CE0"/>
    <w:rsid w:val="00E46064"/>
    <w:rsid w:val="00E467BC"/>
    <w:rsid w:val="00E47107"/>
    <w:rsid w:val="00E503EC"/>
    <w:rsid w:val="00E52A7A"/>
    <w:rsid w:val="00E54ACD"/>
    <w:rsid w:val="00E54B2B"/>
    <w:rsid w:val="00E55A69"/>
    <w:rsid w:val="00E55D93"/>
    <w:rsid w:val="00E56F43"/>
    <w:rsid w:val="00E577DF"/>
    <w:rsid w:val="00E60E99"/>
    <w:rsid w:val="00E61632"/>
    <w:rsid w:val="00E61D0B"/>
    <w:rsid w:val="00E632E6"/>
    <w:rsid w:val="00E63F68"/>
    <w:rsid w:val="00E64069"/>
    <w:rsid w:val="00E659D9"/>
    <w:rsid w:val="00E65CEE"/>
    <w:rsid w:val="00E663F4"/>
    <w:rsid w:val="00E70466"/>
    <w:rsid w:val="00E707EA"/>
    <w:rsid w:val="00E7091C"/>
    <w:rsid w:val="00E70DD7"/>
    <w:rsid w:val="00E7121F"/>
    <w:rsid w:val="00E71892"/>
    <w:rsid w:val="00E718A9"/>
    <w:rsid w:val="00E72260"/>
    <w:rsid w:val="00E72852"/>
    <w:rsid w:val="00E72EE0"/>
    <w:rsid w:val="00E7412F"/>
    <w:rsid w:val="00E741FB"/>
    <w:rsid w:val="00E7478D"/>
    <w:rsid w:val="00E74D24"/>
    <w:rsid w:val="00E755C2"/>
    <w:rsid w:val="00E7590B"/>
    <w:rsid w:val="00E77546"/>
    <w:rsid w:val="00E80616"/>
    <w:rsid w:val="00E812F6"/>
    <w:rsid w:val="00E82991"/>
    <w:rsid w:val="00E83BF2"/>
    <w:rsid w:val="00E8539F"/>
    <w:rsid w:val="00E87231"/>
    <w:rsid w:val="00E90B40"/>
    <w:rsid w:val="00E91A7E"/>
    <w:rsid w:val="00E91FED"/>
    <w:rsid w:val="00E920A4"/>
    <w:rsid w:val="00E925E7"/>
    <w:rsid w:val="00E92DE6"/>
    <w:rsid w:val="00E93F29"/>
    <w:rsid w:val="00E95C9E"/>
    <w:rsid w:val="00E96EAD"/>
    <w:rsid w:val="00E96FDC"/>
    <w:rsid w:val="00E97563"/>
    <w:rsid w:val="00EA1943"/>
    <w:rsid w:val="00EA4169"/>
    <w:rsid w:val="00EA4D98"/>
    <w:rsid w:val="00EA52D4"/>
    <w:rsid w:val="00EA5450"/>
    <w:rsid w:val="00EA55A1"/>
    <w:rsid w:val="00EA609B"/>
    <w:rsid w:val="00EA66FF"/>
    <w:rsid w:val="00EA7C0E"/>
    <w:rsid w:val="00EB0275"/>
    <w:rsid w:val="00EB0FC4"/>
    <w:rsid w:val="00EB19FA"/>
    <w:rsid w:val="00EB1D7E"/>
    <w:rsid w:val="00EB1EEA"/>
    <w:rsid w:val="00EB214C"/>
    <w:rsid w:val="00EB34A8"/>
    <w:rsid w:val="00EB3F9D"/>
    <w:rsid w:val="00EB451D"/>
    <w:rsid w:val="00EB4AC0"/>
    <w:rsid w:val="00EB4ADB"/>
    <w:rsid w:val="00EB55B9"/>
    <w:rsid w:val="00EB5DC6"/>
    <w:rsid w:val="00EB7429"/>
    <w:rsid w:val="00EB7455"/>
    <w:rsid w:val="00EC24AF"/>
    <w:rsid w:val="00EC310C"/>
    <w:rsid w:val="00EC332A"/>
    <w:rsid w:val="00EC4A15"/>
    <w:rsid w:val="00EC5626"/>
    <w:rsid w:val="00EC658F"/>
    <w:rsid w:val="00EC65B8"/>
    <w:rsid w:val="00EC667C"/>
    <w:rsid w:val="00ED0E0D"/>
    <w:rsid w:val="00ED2904"/>
    <w:rsid w:val="00ED2A52"/>
    <w:rsid w:val="00ED4983"/>
    <w:rsid w:val="00ED731A"/>
    <w:rsid w:val="00ED7A52"/>
    <w:rsid w:val="00EE07FE"/>
    <w:rsid w:val="00EE199B"/>
    <w:rsid w:val="00EE4BDA"/>
    <w:rsid w:val="00EE6F14"/>
    <w:rsid w:val="00EF2CAF"/>
    <w:rsid w:val="00EF3F23"/>
    <w:rsid w:val="00EF4B92"/>
    <w:rsid w:val="00EF5C50"/>
    <w:rsid w:val="00EF61B2"/>
    <w:rsid w:val="00EF6323"/>
    <w:rsid w:val="00EF667B"/>
    <w:rsid w:val="00EF6C20"/>
    <w:rsid w:val="00EF791C"/>
    <w:rsid w:val="00F01DEB"/>
    <w:rsid w:val="00F02399"/>
    <w:rsid w:val="00F04EA7"/>
    <w:rsid w:val="00F06B7D"/>
    <w:rsid w:val="00F07201"/>
    <w:rsid w:val="00F104C4"/>
    <w:rsid w:val="00F1095B"/>
    <w:rsid w:val="00F11389"/>
    <w:rsid w:val="00F11B06"/>
    <w:rsid w:val="00F123C9"/>
    <w:rsid w:val="00F1281F"/>
    <w:rsid w:val="00F12930"/>
    <w:rsid w:val="00F12C4C"/>
    <w:rsid w:val="00F1482E"/>
    <w:rsid w:val="00F151DF"/>
    <w:rsid w:val="00F15DD2"/>
    <w:rsid w:val="00F15F66"/>
    <w:rsid w:val="00F16056"/>
    <w:rsid w:val="00F162D4"/>
    <w:rsid w:val="00F16C5B"/>
    <w:rsid w:val="00F173EF"/>
    <w:rsid w:val="00F2058B"/>
    <w:rsid w:val="00F20971"/>
    <w:rsid w:val="00F21058"/>
    <w:rsid w:val="00F216A6"/>
    <w:rsid w:val="00F21FC9"/>
    <w:rsid w:val="00F22278"/>
    <w:rsid w:val="00F24D6D"/>
    <w:rsid w:val="00F25AE6"/>
    <w:rsid w:val="00F3209B"/>
    <w:rsid w:val="00F3214C"/>
    <w:rsid w:val="00F32265"/>
    <w:rsid w:val="00F324FF"/>
    <w:rsid w:val="00F32A0B"/>
    <w:rsid w:val="00F32A11"/>
    <w:rsid w:val="00F33033"/>
    <w:rsid w:val="00F33F8D"/>
    <w:rsid w:val="00F34AE3"/>
    <w:rsid w:val="00F34E03"/>
    <w:rsid w:val="00F37CB6"/>
    <w:rsid w:val="00F37F65"/>
    <w:rsid w:val="00F4010B"/>
    <w:rsid w:val="00F407B5"/>
    <w:rsid w:val="00F40F54"/>
    <w:rsid w:val="00F446BA"/>
    <w:rsid w:val="00F464FD"/>
    <w:rsid w:val="00F46AF9"/>
    <w:rsid w:val="00F46E42"/>
    <w:rsid w:val="00F4702C"/>
    <w:rsid w:val="00F470A9"/>
    <w:rsid w:val="00F4743D"/>
    <w:rsid w:val="00F47490"/>
    <w:rsid w:val="00F47F2A"/>
    <w:rsid w:val="00F503DB"/>
    <w:rsid w:val="00F505B8"/>
    <w:rsid w:val="00F51452"/>
    <w:rsid w:val="00F523EC"/>
    <w:rsid w:val="00F52960"/>
    <w:rsid w:val="00F53434"/>
    <w:rsid w:val="00F53EFE"/>
    <w:rsid w:val="00F556B6"/>
    <w:rsid w:val="00F55FF6"/>
    <w:rsid w:val="00F56B5B"/>
    <w:rsid w:val="00F57283"/>
    <w:rsid w:val="00F60444"/>
    <w:rsid w:val="00F60BA2"/>
    <w:rsid w:val="00F612DF"/>
    <w:rsid w:val="00F62409"/>
    <w:rsid w:val="00F62556"/>
    <w:rsid w:val="00F628AB"/>
    <w:rsid w:val="00F634F6"/>
    <w:rsid w:val="00F6395B"/>
    <w:rsid w:val="00F641AA"/>
    <w:rsid w:val="00F655B3"/>
    <w:rsid w:val="00F65C42"/>
    <w:rsid w:val="00F65CB5"/>
    <w:rsid w:val="00F6762E"/>
    <w:rsid w:val="00F71047"/>
    <w:rsid w:val="00F718FE"/>
    <w:rsid w:val="00F725A2"/>
    <w:rsid w:val="00F735F4"/>
    <w:rsid w:val="00F73EC0"/>
    <w:rsid w:val="00F76CA5"/>
    <w:rsid w:val="00F77B4D"/>
    <w:rsid w:val="00F77D9E"/>
    <w:rsid w:val="00F80F19"/>
    <w:rsid w:val="00F811DC"/>
    <w:rsid w:val="00F827F8"/>
    <w:rsid w:val="00F8353E"/>
    <w:rsid w:val="00F83C5C"/>
    <w:rsid w:val="00F845BC"/>
    <w:rsid w:val="00F84EFD"/>
    <w:rsid w:val="00F84F4D"/>
    <w:rsid w:val="00F851EC"/>
    <w:rsid w:val="00F85CD2"/>
    <w:rsid w:val="00F86257"/>
    <w:rsid w:val="00F8639A"/>
    <w:rsid w:val="00F8650F"/>
    <w:rsid w:val="00F87B07"/>
    <w:rsid w:val="00F90CAE"/>
    <w:rsid w:val="00F90E7F"/>
    <w:rsid w:val="00F93145"/>
    <w:rsid w:val="00F934AF"/>
    <w:rsid w:val="00F94662"/>
    <w:rsid w:val="00F94880"/>
    <w:rsid w:val="00F95247"/>
    <w:rsid w:val="00F952F2"/>
    <w:rsid w:val="00F954C4"/>
    <w:rsid w:val="00F9661C"/>
    <w:rsid w:val="00F97076"/>
    <w:rsid w:val="00FA0F97"/>
    <w:rsid w:val="00FA1B61"/>
    <w:rsid w:val="00FA331B"/>
    <w:rsid w:val="00FA33D2"/>
    <w:rsid w:val="00FA3D8E"/>
    <w:rsid w:val="00FA4C28"/>
    <w:rsid w:val="00FA4C9F"/>
    <w:rsid w:val="00FA5894"/>
    <w:rsid w:val="00FA6FE7"/>
    <w:rsid w:val="00FA7E72"/>
    <w:rsid w:val="00FB016C"/>
    <w:rsid w:val="00FB2618"/>
    <w:rsid w:val="00FB2D8A"/>
    <w:rsid w:val="00FB393C"/>
    <w:rsid w:val="00FB3BFB"/>
    <w:rsid w:val="00FB4CEC"/>
    <w:rsid w:val="00FB4E93"/>
    <w:rsid w:val="00FB62C5"/>
    <w:rsid w:val="00FC0EFF"/>
    <w:rsid w:val="00FC1CAF"/>
    <w:rsid w:val="00FC2D8B"/>
    <w:rsid w:val="00FC4193"/>
    <w:rsid w:val="00FC5CD8"/>
    <w:rsid w:val="00FC6183"/>
    <w:rsid w:val="00FC65E7"/>
    <w:rsid w:val="00FC71C1"/>
    <w:rsid w:val="00FC7E35"/>
    <w:rsid w:val="00FD0776"/>
    <w:rsid w:val="00FD153E"/>
    <w:rsid w:val="00FD20AC"/>
    <w:rsid w:val="00FD3306"/>
    <w:rsid w:val="00FD363C"/>
    <w:rsid w:val="00FD36B1"/>
    <w:rsid w:val="00FD36E3"/>
    <w:rsid w:val="00FD3B60"/>
    <w:rsid w:val="00FD3FE4"/>
    <w:rsid w:val="00FD4CA7"/>
    <w:rsid w:val="00FD5647"/>
    <w:rsid w:val="00FE2316"/>
    <w:rsid w:val="00FE259B"/>
    <w:rsid w:val="00FE2A49"/>
    <w:rsid w:val="00FE59FD"/>
    <w:rsid w:val="00FE6842"/>
    <w:rsid w:val="00FE6BF6"/>
    <w:rsid w:val="00FE7330"/>
    <w:rsid w:val="00FE792C"/>
    <w:rsid w:val="00FE7F7A"/>
    <w:rsid w:val="00FE7F98"/>
    <w:rsid w:val="00FF0561"/>
    <w:rsid w:val="00FF07E7"/>
    <w:rsid w:val="00FF1224"/>
    <w:rsid w:val="00FF251F"/>
    <w:rsid w:val="00FF2E7F"/>
    <w:rsid w:val="00FF306D"/>
    <w:rsid w:val="00FF38AA"/>
    <w:rsid w:val="00FF4A46"/>
    <w:rsid w:val="00FF52F9"/>
    <w:rsid w:val="00FF55E4"/>
    <w:rsid w:val="00FF6AE4"/>
    <w:rsid w:val="00FF764B"/>
    <w:rsid w:val="00FF79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675C"/>
  <w15:chartTrackingRefBased/>
  <w15:docId w15:val="{74E3A939-733F-4E33-82E7-1F3E327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E07F89"/>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DE3B2B"/>
    <w:pPr>
      <w:spacing w:after="240" w:line="240" w:lineRule="atLeast"/>
      <w:ind w:left="720" w:hanging="720"/>
    </w:pPr>
  </w:style>
  <w:style w:type="character" w:styleId="EndnoteReference">
    <w:name w:val="endnote reference"/>
    <w:basedOn w:val="DefaultParagraphFont"/>
    <w:uiPriority w:val="99"/>
    <w:semiHidden/>
    <w:unhideWhenUsed/>
    <w:rsid w:val="00921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industry/technology-and-innovation/characteristics-australian-business/latest-release" TargetMode="External"/><Relationship Id="rId1" Type="http://schemas.openxmlformats.org/officeDocument/2006/relationships/hyperlink" Target="https://www.worldbank.org/en/news/statement/2021/09/16/world-bank-group-to-discontinue-doing-business-repor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mil\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6605f459-67f6-4101-9215-f99c0818910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6605f459-67f6-4101-9215-f99c08189108">
      <Value>1</Value>
    </TaxCatchAll>
  </documentManagement>
</p:properties>
</file>

<file path=customXml/item4.xml><?xml version="1.0" encoding="utf-8"?>
<TemplafyTemplateConfiguration><![CDATA[{"elementsMetadata":[],"transformationConfigurations":[],"templateName":"chapter","templateDescription":"","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2C846A83A377FF40B3DBE32FECBEC11A" ma:contentTypeVersion="7" ma:contentTypeDescription="Create a new document." ma:contentTypeScope="" ma:versionID="2765e8dc8782a1b681f96e009f75ca0b">
  <xsd:schema xmlns:xsd="http://www.w3.org/2001/XMLSchema" xmlns:xs="http://www.w3.org/2001/XMLSchema" xmlns:p="http://schemas.microsoft.com/office/2006/metadata/properties" xmlns:ns2="da2f5615-53d9-4ffa-800c-063e32b72d92" xmlns:ns3="6605f459-67f6-4101-9215-f99c08189108" targetNamespace="http://schemas.microsoft.com/office/2006/metadata/properties" ma:root="true" ma:fieldsID="9e9388437375cad630b40df824e455e6" ns2:_="" ns3:_="">
    <xsd:import namespace="da2f5615-53d9-4ffa-800c-063e32b72d92"/>
    <xsd:import namespace="6605f459-67f6-4101-9215-f99c08189108"/>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f5615-53d9-4ffa-800c-063e32b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5f459-67f6-4101-9215-f99c08189108"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0726539-bf21-485c-9840-25523794587c}" ma:internalName="TaxCatchAll" ma:showField="CatchAllData" ma:web="6605f459-67f6-4101-9215-f99c08189108">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92A2EE86-8306-4199-AF18-E693EF814638}">
  <ds:schemaRefs>
    <ds:schemaRef ds:uri="http://schemas.microsoft.com/office/2006/metadata/properties"/>
    <ds:schemaRef ds:uri="http://schemas.microsoft.com/office/infopath/2007/PartnerControls"/>
    <ds:schemaRef ds:uri="6605f459-67f6-4101-9215-f99c08189108"/>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7DF4F8A7-CDCB-4C38-8AF1-DC65CF00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f5615-53d9-4ffa-800c-063e32b72d92"/>
    <ds:schemaRef ds:uri="6605f459-67f6-4101-9215-f99c0818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24F9B7-BC7E-4269-815C-AF402561D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59</TotalTime>
  <Pages>8</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Matters arising from public hearing appearance - Inquiry into promoting economic dynamism, competition and business formation</vt:lpstr>
    </vt:vector>
  </TitlesOfParts>
  <Company>Productivity Commission</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arising from public hearing appearance - Inquiry into promoting economic dynamism, competition and business formation</dc:title>
  <dc:subject/>
  <dc:creator>Productivity Commission</dc:creator>
  <cp:keywords/>
  <dc:description/>
  <cp:lastModifiedBy>Chris Alston</cp:lastModifiedBy>
  <cp:revision>25</cp:revision>
  <cp:lastPrinted>2023-06-05T04:47:00Z</cp:lastPrinted>
  <dcterms:created xsi:type="dcterms:W3CDTF">2023-05-30T23:07:00Z</dcterms:created>
  <dcterms:modified xsi:type="dcterms:W3CDTF">2023-06-05T05:09:00Z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637803902465008559</vt:lpwstr>
  </property>
  <property fmtid="{D5CDD505-2E9C-101B-9397-08002B2CF9AE}" pid="5" name="TemplafyFromBlank">
    <vt:bool>false</vt:bool>
  </property>
  <property fmtid="{D5CDD505-2E9C-101B-9397-08002B2CF9AE}" pid="6" name="ContentTypeId">
    <vt:lpwstr>0x0101002C846A83A377FF40B3DBE32FECBEC11A</vt:lpwstr>
  </property>
  <property fmtid="{D5CDD505-2E9C-101B-9397-08002B2CF9AE}" pid="7" name="RevIMBCS">
    <vt:lpwstr>1;#Unclassified|3955eeb1-2d18-4582-aeb2-00144ec3aaf5</vt:lpwstr>
  </property>
  <property fmtid="{D5CDD505-2E9C-101B-9397-08002B2CF9AE}" pid="8" name="ZOTERO_PREF_1">
    <vt:lpwstr>&lt;data data-version="3" zotero-version="6.0.9"&gt;&lt;session id="wCasAn3w"/&gt;&lt;style id="http://www.zotero.org/styles/Productivity-Commission" hasBibliography="1" bibliographyStyleHasBeenSet="1"/&gt;&lt;prefs&gt;&lt;pref name="fieldType" value="Field"/&gt;&lt;/prefs&gt;&lt;/data&gt;</vt:lpwstr>
  </property>
</Properties>
</file>