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E53262" w:rsidP="00694690">
      <w:pPr>
        <w:pStyle w:val="Chapter"/>
        <w:ind w:left="907" w:hanging="907"/>
      </w:pPr>
      <w:r>
        <w:t xml:space="preserve">Effective marginal tax rates </w:t>
      </w:r>
      <w:r w:rsidR="00823A73">
        <w:t>on</w:t>
      </w:r>
      <w:r>
        <w:t xml:space="preserve"> savings</w:t>
      </w:r>
      <w:r w:rsidR="009F0E8E" w:rsidRPr="009F0E8E">
        <w:rPr>
          <w:rStyle w:val="FootnoteReference"/>
          <w:position w:val="20"/>
        </w:rPr>
        <w:footnoteReference w:id="1"/>
      </w:r>
      <w:bookmarkStart w:id="0" w:name="_GoBack"/>
      <w:bookmarkEnd w:id="0"/>
    </w:p>
    <w:p w:rsidR="00DF5DA1" w:rsidRDefault="00DF5DA1" w:rsidP="00DF5DA1">
      <w:pPr>
        <w:pStyle w:val="BoxSpaceAbove"/>
      </w:pPr>
      <w:bookmarkStart w:id="1" w:name="begin"/>
      <w:bookmarkEnd w:id="1"/>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F5DA1" w:rsidTr="008B5D4F">
        <w:tc>
          <w:tcPr>
            <w:tcW w:w="8771" w:type="dxa"/>
            <w:tcBorders>
              <w:top w:val="single" w:sz="6" w:space="0" w:color="78A22F"/>
              <w:left w:val="nil"/>
              <w:bottom w:val="nil"/>
              <w:right w:val="nil"/>
            </w:tcBorders>
            <w:shd w:val="clear" w:color="auto" w:fill="E5F1D0"/>
          </w:tcPr>
          <w:p w:rsidR="00DF5DA1" w:rsidRPr="008B5D4F" w:rsidRDefault="001849F6" w:rsidP="00261C0F">
            <w:pPr>
              <w:pStyle w:val="Box"/>
            </w:pPr>
            <w:r w:rsidRPr="008B5D4F">
              <w:t xml:space="preserve">This working document outlines some preliminary research undertaken as part of the </w:t>
            </w:r>
            <w:r w:rsidRPr="008B5D4F">
              <w:rPr>
                <w:i/>
              </w:rPr>
              <w:t>Tax and Transfer Incidence in Australia</w:t>
            </w:r>
            <w:r w:rsidRPr="008B5D4F">
              <w:t xml:space="preserve"> project completed in October 2015. </w:t>
            </w:r>
            <w:r w:rsidR="00CF33D4" w:rsidRPr="008B5D4F">
              <w:t xml:space="preserve">This </w:t>
            </w:r>
            <w:r w:rsidR="00261C0F">
              <w:t>document</w:t>
            </w:r>
            <w:r w:rsidR="00CF33D4" w:rsidRPr="008B5D4F">
              <w:t xml:space="preserve"> is made available </w:t>
            </w:r>
            <w:r w:rsidR="009F0E8E" w:rsidRPr="008B5D4F">
              <w:t>in the interest</w:t>
            </w:r>
            <w:r w:rsidR="00F46C56">
              <w:t>s</w:t>
            </w:r>
            <w:r w:rsidR="009F0E8E" w:rsidRPr="008B5D4F">
              <w:t xml:space="preserve"> of furthering research conversations</w:t>
            </w:r>
            <w:r w:rsidR="00CF33D4" w:rsidRPr="008B5D4F">
              <w:t xml:space="preserve">. </w:t>
            </w:r>
            <w:r w:rsidR="00CF33D4" w:rsidRPr="008B5D4F">
              <w:rPr>
                <w:b/>
              </w:rPr>
              <w:t>The views expressed in this document are exploratory and cannot be attributed to the Productivity Commission.</w:t>
            </w:r>
          </w:p>
        </w:tc>
      </w:tr>
      <w:tr w:rsidR="00DF5DA1" w:rsidTr="008B5D4F">
        <w:tc>
          <w:tcPr>
            <w:tcW w:w="8771" w:type="dxa"/>
            <w:tcBorders>
              <w:top w:val="nil"/>
              <w:left w:val="nil"/>
              <w:bottom w:val="single" w:sz="6" w:space="0" w:color="78A22F"/>
              <w:right w:val="nil"/>
            </w:tcBorders>
            <w:shd w:val="clear" w:color="auto" w:fill="E5F1D0"/>
          </w:tcPr>
          <w:p w:rsidR="00DF5DA1" w:rsidRDefault="00DF5DA1" w:rsidP="007B100F">
            <w:pPr>
              <w:pStyle w:val="Figurespace"/>
            </w:pPr>
          </w:p>
        </w:tc>
      </w:tr>
      <w:tr w:rsidR="00DF5DA1" w:rsidRPr="000863A5" w:rsidTr="007B100F">
        <w:tc>
          <w:tcPr>
            <w:tcW w:w="8771" w:type="dxa"/>
            <w:tcBorders>
              <w:top w:val="single" w:sz="6" w:space="0" w:color="78A22F"/>
              <w:left w:val="nil"/>
              <w:bottom w:val="nil"/>
              <w:right w:val="nil"/>
            </w:tcBorders>
          </w:tcPr>
          <w:p w:rsidR="00DF5DA1" w:rsidRPr="00626D32" w:rsidRDefault="00DF5DA1" w:rsidP="007B100F">
            <w:pPr>
              <w:pStyle w:val="BoxSpaceBelow"/>
            </w:pPr>
          </w:p>
        </w:tc>
      </w:tr>
    </w:tbl>
    <w:p w:rsidR="002B0BD5" w:rsidRDefault="00907CB0" w:rsidP="00CB3241">
      <w:pPr>
        <w:pStyle w:val="BodyText"/>
      </w:pPr>
      <w:r>
        <w:t>E</w:t>
      </w:r>
      <w:r w:rsidR="002B0BD5">
        <w:t>ffective marginal tax rates</w:t>
      </w:r>
      <w:r>
        <w:t xml:space="preserve"> (</w:t>
      </w:r>
      <w:proofErr w:type="spellStart"/>
      <w:r>
        <w:t>EMTR</w:t>
      </w:r>
      <w:r w:rsidR="00721AA2">
        <w:t>s</w:t>
      </w:r>
      <w:proofErr w:type="spellEnd"/>
      <w:r>
        <w:t>)</w:t>
      </w:r>
      <w:r w:rsidR="002B0BD5">
        <w:t xml:space="preserve"> </w:t>
      </w:r>
      <w:r>
        <w:t xml:space="preserve">are </w:t>
      </w:r>
      <w:r w:rsidR="003453F6">
        <w:t xml:space="preserve">commonplace in debates about the incentive structures of tax and transfer systems, but their usage tends to be quite narrow. Usually, </w:t>
      </w:r>
      <w:proofErr w:type="spellStart"/>
      <w:r w:rsidR="00721AA2">
        <w:t>EMTR</w:t>
      </w:r>
      <w:r w:rsidR="003453F6">
        <w:t>s</w:t>
      </w:r>
      <w:proofErr w:type="spellEnd"/>
      <w:r w:rsidR="003453F6">
        <w:t xml:space="preserve"> are </w:t>
      </w:r>
      <w:r w:rsidR="00721AA2">
        <w:t xml:space="preserve">calculated on labour income and </w:t>
      </w:r>
      <w:r w:rsidR="0057608D">
        <w:t xml:space="preserve">are </w:t>
      </w:r>
      <w:r w:rsidR="00721AA2">
        <w:t>used</w:t>
      </w:r>
      <w:r w:rsidR="003453F6">
        <w:t xml:space="preserve"> to</w:t>
      </w:r>
      <w:r w:rsidR="002B0BD5">
        <w:t xml:space="preserve"> provide an indication of the direct effects of </w:t>
      </w:r>
      <w:r w:rsidR="00721AA2">
        <w:t xml:space="preserve">a </w:t>
      </w:r>
      <w:r w:rsidR="002B0BD5">
        <w:t>tax and transfer system o</w:t>
      </w:r>
      <w:r w:rsidR="00020558">
        <w:t xml:space="preserve">n the incentives of </w:t>
      </w:r>
      <w:r w:rsidR="00616280">
        <w:t>individual</w:t>
      </w:r>
      <w:r w:rsidR="00721AA2">
        <w:t>s</w:t>
      </w:r>
      <w:r w:rsidR="002B0BD5">
        <w:t xml:space="preserve"> to undertake paid work.</w:t>
      </w:r>
      <w:r w:rsidR="0031324A">
        <w:t xml:space="preserve"> </w:t>
      </w:r>
      <w:r w:rsidR="003453F6">
        <w:t>R</w:t>
      </w:r>
      <w:r>
        <w:t>elatively little</w:t>
      </w:r>
      <w:r w:rsidR="002B0BD5">
        <w:t xml:space="preserve"> attention has been </w:t>
      </w:r>
      <w:r>
        <w:t xml:space="preserve">paid to </w:t>
      </w:r>
      <w:r w:rsidR="003453F6">
        <w:t>using</w:t>
      </w:r>
      <w:r>
        <w:t xml:space="preserve"> </w:t>
      </w:r>
      <w:proofErr w:type="spellStart"/>
      <w:r w:rsidR="003453F6">
        <w:t>EMTRs</w:t>
      </w:r>
      <w:proofErr w:type="spellEnd"/>
      <w:r>
        <w:t xml:space="preserve"> </w:t>
      </w:r>
      <w:r w:rsidR="00721AA2">
        <w:t xml:space="preserve">as </w:t>
      </w:r>
      <w:r w:rsidR="003453F6">
        <w:t xml:space="preserve">an indicator of the effects </w:t>
      </w:r>
      <w:r w:rsidR="00721AA2">
        <w:t>of a tax and transfer system on</w:t>
      </w:r>
      <w:r w:rsidR="003453F6">
        <w:t xml:space="preserve"> </w:t>
      </w:r>
      <w:r w:rsidR="00616280">
        <w:t>individual</w:t>
      </w:r>
      <w:r w:rsidR="0074144D">
        <w:t xml:space="preserve"> </w:t>
      </w:r>
      <w:r w:rsidR="00721AA2">
        <w:t xml:space="preserve">incentives to undertake </w:t>
      </w:r>
      <w:r>
        <w:t>other activities.</w:t>
      </w:r>
    </w:p>
    <w:p w:rsidR="008A695A" w:rsidRDefault="00CD1872" w:rsidP="000C5D4A">
      <w:pPr>
        <w:pStyle w:val="BodyText"/>
      </w:pPr>
      <w:r>
        <w:t>One activity of particular economic importance is saving</w:t>
      </w:r>
      <w:r w:rsidR="0074144D">
        <w:t>.</w:t>
      </w:r>
      <w:r>
        <w:t xml:space="preserve"> </w:t>
      </w:r>
      <w:r w:rsidR="008A695A">
        <w:t>At an individual level, providing the right incentive</w:t>
      </w:r>
      <w:r w:rsidR="008006B5">
        <w:t>s</w:t>
      </w:r>
      <w:r w:rsidR="008A695A">
        <w:t xml:space="preserve"> to save </w:t>
      </w:r>
      <w:r w:rsidR="008006B5">
        <w:t>is important so that people</w:t>
      </w:r>
      <w:r w:rsidR="008A695A">
        <w:t xml:space="preserve"> </w:t>
      </w:r>
      <w:r w:rsidR="008006B5">
        <w:t xml:space="preserve">have sufficient funds to provide for retirement, plan for risks to their income and health, and purchase housing and other durable goods. At an economy wide level, providing the right incentives to save is important </w:t>
      </w:r>
      <w:r w:rsidR="002871E1">
        <w:t xml:space="preserve">to provide </w:t>
      </w:r>
      <w:r w:rsidR="0057608D">
        <w:t>funds to invest in capital and, therefore, drive economic growth.</w:t>
      </w:r>
    </w:p>
    <w:p w:rsidR="000C4BF3" w:rsidRDefault="00F46C56" w:rsidP="000C4BF3">
      <w:pPr>
        <w:pStyle w:val="BodyText"/>
      </w:pPr>
      <w:r>
        <w:softHyphen/>
      </w:r>
      <w:r w:rsidR="000C4BF3">
        <w:t xml:space="preserve">Extending the concept of </w:t>
      </w:r>
      <w:proofErr w:type="spellStart"/>
      <w:r w:rsidR="000C4BF3">
        <w:t>EMTRs</w:t>
      </w:r>
      <w:proofErr w:type="spellEnd"/>
      <w:r w:rsidR="000C4BF3">
        <w:t xml:space="preserve"> to savings </w:t>
      </w:r>
      <w:r w:rsidR="00A05A3D">
        <w:t>i</w:t>
      </w:r>
      <w:r w:rsidR="000C4BF3">
        <w:t xml:space="preserve">s a first step in better understanding how the tax and transfer system affects incentives to save. While </w:t>
      </w:r>
      <w:r w:rsidR="003E55C7">
        <w:t xml:space="preserve">an </w:t>
      </w:r>
      <w:proofErr w:type="spellStart"/>
      <w:r w:rsidR="000C4BF3">
        <w:t>EMTR</w:t>
      </w:r>
      <w:proofErr w:type="spellEnd"/>
      <w:r w:rsidR="000C4BF3">
        <w:t xml:space="preserve"> </w:t>
      </w:r>
      <w:r w:rsidR="003E55C7">
        <w:t>is</w:t>
      </w:r>
      <w:r w:rsidR="000C4BF3">
        <w:t xml:space="preserve"> not a direct measure of the incentive to save, </w:t>
      </w:r>
      <w:r w:rsidR="003E55C7">
        <w:t>it</w:t>
      </w:r>
      <w:r w:rsidR="000C4BF3">
        <w:t xml:space="preserve"> can be used to </w:t>
      </w:r>
      <w:r w:rsidR="00456A18">
        <w:t>measure</w:t>
      </w:r>
      <w:r w:rsidR="000C4BF3">
        <w:t xml:space="preserve"> </w:t>
      </w:r>
      <w:r w:rsidR="00456A18">
        <w:t>the effect of the tax and transfer system on the return to savings</w:t>
      </w:r>
      <w:r w:rsidR="003E55C7">
        <w:t>.</w:t>
      </w:r>
      <w:r w:rsidR="000C4BF3">
        <w:t xml:space="preserve"> </w:t>
      </w:r>
      <w:proofErr w:type="spellStart"/>
      <w:r w:rsidR="000C4BF3">
        <w:t>EMTR</w:t>
      </w:r>
      <w:r w:rsidR="00C11574">
        <w:t>s</w:t>
      </w:r>
      <w:proofErr w:type="spellEnd"/>
      <w:r w:rsidR="00C11574">
        <w:t xml:space="preserve"> can </w:t>
      </w:r>
      <w:r w:rsidR="00A05A3D">
        <w:t xml:space="preserve">also </w:t>
      </w:r>
      <w:r w:rsidR="00C11574">
        <w:t>be used to</w:t>
      </w:r>
      <w:r w:rsidR="000C4BF3">
        <w:t xml:space="preserve"> </w:t>
      </w:r>
      <w:r w:rsidR="00A05A3D">
        <w:t>examine the</w:t>
      </w:r>
      <w:r w:rsidR="000C4BF3">
        <w:t xml:space="preserve"> </w:t>
      </w:r>
      <w:r w:rsidR="0074144D">
        <w:t xml:space="preserve">consistency of </w:t>
      </w:r>
      <w:r w:rsidR="000C4BF3">
        <w:t xml:space="preserve">tax treatments </w:t>
      </w:r>
      <w:r w:rsidR="0074144D">
        <w:t>for</w:t>
      </w:r>
      <w:r w:rsidR="000C4BF3">
        <w:t xml:space="preserve"> different savings instruments</w:t>
      </w:r>
      <w:r w:rsidR="002871E1">
        <w:t xml:space="preserve"> </w:t>
      </w:r>
      <w:r w:rsidR="00B07E8D">
        <w:t xml:space="preserve">and </w:t>
      </w:r>
      <w:r w:rsidR="00A05A3D">
        <w:t xml:space="preserve">therefore </w:t>
      </w:r>
      <w:r w:rsidR="00B07E8D">
        <w:t xml:space="preserve">provide an indication of </w:t>
      </w:r>
      <w:r w:rsidR="00381B2D">
        <w:t>the extent to which inconsistent</w:t>
      </w:r>
      <w:r w:rsidR="00B07E8D">
        <w:t xml:space="preserve"> tax treatments </w:t>
      </w:r>
      <w:r w:rsidR="00381B2D">
        <w:t>distort</w:t>
      </w:r>
      <w:r w:rsidR="00172FF9">
        <w:t xml:space="preserve"> </w:t>
      </w:r>
      <w:r w:rsidR="00381B2D">
        <w:t>choices between savings instruments</w:t>
      </w:r>
      <w:r w:rsidR="000C4BF3">
        <w:t>.</w:t>
      </w:r>
    </w:p>
    <w:p w:rsidR="003A12CB" w:rsidRDefault="00CF3F01" w:rsidP="00020558">
      <w:pPr>
        <w:pStyle w:val="BodyText"/>
      </w:pPr>
      <w:r w:rsidRPr="00C7571C">
        <w:t xml:space="preserve">This </w:t>
      </w:r>
      <w:r w:rsidR="00EB7BC6">
        <w:t>working document</w:t>
      </w:r>
      <w:r w:rsidR="00020558">
        <w:t xml:space="preserve"> provides an introduction to the concept of </w:t>
      </w:r>
      <w:proofErr w:type="spellStart"/>
      <w:r w:rsidR="00020558">
        <w:t>EMTRs</w:t>
      </w:r>
      <w:proofErr w:type="spellEnd"/>
      <w:r w:rsidR="00020558">
        <w:t xml:space="preserve"> on the return to savings. It </w:t>
      </w:r>
      <w:r w:rsidRPr="00C7571C">
        <w:t>explain</w:t>
      </w:r>
      <w:r w:rsidR="000C4BF3">
        <w:t>s</w:t>
      </w:r>
      <w:r w:rsidRPr="00C7571C">
        <w:t xml:space="preserve"> how </w:t>
      </w:r>
      <w:proofErr w:type="spellStart"/>
      <w:r w:rsidRPr="00C7571C">
        <w:t>EMTRs</w:t>
      </w:r>
      <w:proofErr w:type="spellEnd"/>
      <w:r w:rsidRPr="00C7571C">
        <w:t xml:space="preserve"> on the return to savings can be calculated</w:t>
      </w:r>
      <w:r w:rsidR="00020558">
        <w:t xml:space="preserve">, </w:t>
      </w:r>
      <w:r w:rsidRPr="0004781D">
        <w:t>explores</w:t>
      </w:r>
      <w:r w:rsidRPr="00C7571C">
        <w:t xml:space="preserve"> the effects of varying key assumptions</w:t>
      </w:r>
      <w:r w:rsidR="00020558">
        <w:t xml:space="preserve"> </w:t>
      </w:r>
      <w:r w:rsidR="00104BFD">
        <w:t xml:space="preserve">in </w:t>
      </w:r>
      <w:proofErr w:type="spellStart"/>
      <w:r w:rsidR="00104BFD">
        <w:t>EMTR</w:t>
      </w:r>
      <w:proofErr w:type="spellEnd"/>
      <w:r w:rsidR="00104BFD">
        <w:t xml:space="preserve"> calculations, </w:t>
      </w:r>
      <w:r w:rsidR="00020558">
        <w:t xml:space="preserve">and </w:t>
      </w:r>
      <w:r w:rsidRPr="00C7571C">
        <w:t xml:space="preserve">provides some illustrative estimates of </w:t>
      </w:r>
      <w:proofErr w:type="spellStart"/>
      <w:r w:rsidRPr="00C7571C">
        <w:t>EMTRs</w:t>
      </w:r>
      <w:proofErr w:type="spellEnd"/>
      <w:r w:rsidRPr="00C7571C">
        <w:t xml:space="preserve"> for different savings instruments in Australia</w:t>
      </w:r>
      <w:r w:rsidR="00020558">
        <w:t>.</w:t>
      </w:r>
    </w:p>
    <w:p w:rsidR="00AA063D" w:rsidRDefault="00AA063D">
      <w:pPr>
        <w:rPr>
          <w:rFonts w:ascii="Arial" w:hAnsi="Arial"/>
          <w:b/>
          <w:sz w:val="32"/>
          <w:szCs w:val="20"/>
        </w:rPr>
      </w:pPr>
      <w:r>
        <w:br w:type="page"/>
      </w:r>
    </w:p>
    <w:p w:rsidR="00E53262" w:rsidRDefault="00E53262" w:rsidP="00E53262">
      <w:pPr>
        <w:pStyle w:val="Heading2"/>
      </w:pPr>
      <w:r>
        <w:lastRenderedPageBreak/>
        <w:t xml:space="preserve">Calculating </w:t>
      </w:r>
      <w:proofErr w:type="spellStart"/>
      <w:r w:rsidR="00FB4DF3">
        <w:t>EMTRs</w:t>
      </w:r>
      <w:proofErr w:type="spellEnd"/>
      <w:r>
        <w:t xml:space="preserve"> on </w:t>
      </w:r>
      <w:r w:rsidR="00FB4DF3">
        <w:t xml:space="preserve">the return </w:t>
      </w:r>
      <w:r w:rsidR="00D4599D">
        <w:t xml:space="preserve">to </w:t>
      </w:r>
      <w:r>
        <w:t>savings</w:t>
      </w:r>
    </w:p>
    <w:p w:rsidR="00C862D9" w:rsidRPr="005B072F" w:rsidRDefault="00704669" w:rsidP="00C862D9">
      <w:pPr>
        <w:pStyle w:val="BodyText"/>
      </w:pPr>
      <w:r>
        <w:t>T</w:t>
      </w:r>
      <w:r w:rsidR="00C862D9" w:rsidRPr="005B072F">
        <w:t xml:space="preserve">he </w:t>
      </w:r>
      <w:proofErr w:type="spellStart"/>
      <w:r w:rsidR="00C862D9">
        <w:t>EMTR</w:t>
      </w:r>
      <w:proofErr w:type="spellEnd"/>
      <w:r w:rsidR="00C862D9" w:rsidRPr="005B072F">
        <w:t xml:space="preserve"> </w:t>
      </w:r>
      <w:r w:rsidR="00C862D9">
        <w:t xml:space="preserve">on the return to savings </w:t>
      </w:r>
      <w:r w:rsidR="00D06D8C">
        <w:t xml:space="preserve">measures </w:t>
      </w:r>
      <w:r w:rsidR="005A2E3D">
        <w:t>the extent to which the tax and transfer system</w:t>
      </w:r>
      <w:r w:rsidR="00D06D8C">
        <w:t xml:space="preserve"> affects the rate of return on an additional </w:t>
      </w:r>
      <w:r w:rsidR="00AA063D">
        <w:t>increment of income</w:t>
      </w:r>
      <w:r w:rsidR="00AA1969">
        <w:t xml:space="preserve"> saved</w:t>
      </w:r>
      <w:r w:rsidR="005D5AB6">
        <w:t xml:space="preserve">. </w:t>
      </w:r>
      <w:r w:rsidR="002F41FD">
        <w:t>F</w:t>
      </w:r>
      <w:r w:rsidR="002F41FD" w:rsidRPr="005B072F">
        <w:t>or a marginal increase in savings</w:t>
      </w:r>
      <w:r w:rsidR="002F41FD">
        <w:t>,</w:t>
      </w:r>
      <w:r w:rsidR="002F41FD" w:rsidDel="00AA063D">
        <w:t xml:space="preserve"> </w:t>
      </w:r>
      <w:r w:rsidR="002F41FD">
        <w:t>i</w:t>
      </w:r>
      <w:r w:rsidR="00D06D8C">
        <w:t>t can be calculated as</w:t>
      </w:r>
      <w:r w:rsidR="00C862D9">
        <w:t xml:space="preserve"> </w:t>
      </w:r>
      <w:r w:rsidR="00C862D9" w:rsidRPr="005B072F">
        <w:t xml:space="preserve">the percentage difference between the </w:t>
      </w:r>
      <w:r w:rsidR="00C16D70">
        <w:t xml:space="preserve">annualised </w:t>
      </w:r>
      <w:r w:rsidR="00C862D9" w:rsidRPr="005B072F">
        <w:t>real pre</w:t>
      </w:r>
      <w:r w:rsidR="009C67DD">
        <w:noBreakHyphen/>
      </w:r>
      <w:r w:rsidR="00C862D9" w:rsidRPr="005B072F">
        <w:t>tax rate of return (</w:t>
      </w:r>
      <m:oMath>
        <m:r>
          <w:rPr>
            <w:rFonts w:ascii="Cambria Math" w:hAnsi="Cambria Math"/>
          </w:rPr>
          <m:t>p</m:t>
        </m:r>
      </m:oMath>
      <w:r w:rsidR="00C862D9" w:rsidRPr="005B072F">
        <w:t xml:space="preserve">) and the </w:t>
      </w:r>
      <w:r w:rsidR="00C16D70">
        <w:t xml:space="preserve">annualised </w:t>
      </w:r>
      <w:r w:rsidR="00C862D9" w:rsidRPr="005B072F">
        <w:t>real post</w:t>
      </w:r>
      <w:r w:rsidR="009C67DD">
        <w:noBreakHyphen/>
      </w:r>
      <w:r w:rsidR="00C862D9" w:rsidRPr="005B072F">
        <w:t>tax rate of return (</w:t>
      </w:r>
      <m:oMath>
        <m:r>
          <w:rPr>
            <w:rFonts w:ascii="Cambria Math" w:hAnsi="Cambria Math"/>
          </w:rPr>
          <m:t>r</m:t>
        </m:r>
      </m:oMath>
      <w:r w:rsidR="00C862D9" w:rsidRPr="005B072F">
        <w:t xml:space="preserve">) </w:t>
      </w:r>
      <w:r w:rsidR="00C862D9" w:rsidRPr="00866E02">
        <w:rPr>
          <w:szCs w:val="24"/>
        </w:rPr>
        <w:t>(Wakefield 2009)</w:t>
      </w:r>
      <w:r w:rsidR="00C862D9" w:rsidRPr="005B072F">
        <w:t>.</w:t>
      </w:r>
      <w:r w:rsidR="0044515B">
        <w:rPr>
          <w:rStyle w:val="FootnoteReference"/>
        </w:rPr>
        <w:footnoteReference w:id="2"/>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1"/>
        <w:gridCol w:w="504"/>
      </w:tblGrid>
      <w:tr w:rsidR="00C862D9" w:rsidTr="00B367CB">
        <w:trPr>
          <w:jc w:val="center"/>
        </w:trPr>
        <w:tc>
          <w:tcPr>
            <w:tcW w:w="4720" w:type="pct"/>
          </w:tcPr>
          <w:p w:rsidR="00C862D9" w:rsidRDefault="00C862D9" w:rsidP="00EA4079">
            <w:pPr>
              <w:pStyle w:val="BodyText"/>
              <w:spacing w:after="100" w:afterAutospacing="1"/>
            </w:pPr>
            <m:oMathPara>
              <m:oMath>
                <m:r>
                  <w:rPr>
                    <w:rFonts w:ascii="Cambria Math" w:hAnsi="Cambria Math"/>
                  </w:rPr>
                  <m:t>EMTR</m:t>
                </m:r>
                <m:r>
                  <m:rPr>
                    <m:sty m:val="p"/>
                  </m:rPr>
                  <w:rPr>
                    <w:rFonts w:ascii="Cambria Math" w:hAnsi="Cambria Math"/>
                  </w:rPr>
                  <m:t xml:space="preserve">= </m:t>
                </m:r>
                <m:f>
                  <m:fPr>
                    <m:ctrlPr>
                      <w:rPr>
                        <w:rFonts w:ascii="Cambria Math" w:hAnsi="Cambria Math"/>
                      </w:rPr>
                    </m:ctrlPr>
                  </m:fPr>
                  <m:num>
                    <m:r>
                      <w:rPr>
                        <w:rFonts w:ascii="Cambria Math" w:hAnsi="Cambria Math"/>
                      </w:rPr>
                      <m:t>p</m:t>
                    </m:r>
                    <m:r>
                      <m:rPr>
                        <m:sty m:val="p"/>
                      </m:rPr>
                      <w:rPr>
                        <w:rFonts w:ascii="Cambria Math" w:hAnsi="Cambria Math"/>
                      </w:rPr>
                      <m:t>-</m:t>
                    </m:r>
                    <m:r>
                      <w:rPr>
                        <w:rFonts w:ascii="Cambria Math" w:hAnsi="Cambria Math"/>
                      </w:rPr>
                      <m:t>r</m:t>
                    </m:r>
                  </m:num>
                  <m:den>
                    <m:r>
                      <w:rPr>
                        <w:rFonts w:ascii="Cambria Math" w:hAnsi="Cambria Math"/>
                      </w:rPr>
                      <m:t>p</m:t>
                    </m:r>
                  </m:den>
                </m:f>
                <m:r>
                  <m:rPr>
                    <m:sty m:val="p"/>
                  </m:rPr>
                  <w:rPr>
                    <w:rFonts w:ascii="Cambria Math" w:hAnsi="Cambria Math"/>
                  </w:rPr>
                  <m:t xml:space="preserve"> </m:t>
                </m:r>
              </m:oMath>
            </m:oMathPara>
          </w:p>
        </w:tc>
        <w:tc>
          <w:tcPr>
            <w:tcW w:w="280" w:type="pct"/>
            <w:vAlign w:val="center"/>
          </w:tcPr>
          <w:p w:rsidR="00C862D9" w:rsidRDefault="00C862D9" w:rsidP="003F6F02">
            <w:pPr>
              <w:pStyle w:val="BodyText"/>
              <w:spacing w:after="100" w:afterAutospacing="1"/>
              <w:jc w:val="right"/>
            </w:pPr>
            <w:r>
              <w:t>(1)</w:t>
            </w:r>
          </w:p>
        </w:tc>
      </w:tr>
    </w:tbl>
    <w:p w:rsidR="00AA1969" w:rsidRDefault="00AA1969" w:rsidP="00E25EC3">
      <w:pPr>
        <w:pStyle w:val="Heading3"/>
      </w:pPr>
      <w:r>
        <w:t>Calculating the pre-tax rate of return</w:t>
      </w:r>
    </w:p>
    <w:p w:rsidR="001A6026" w:rsidRDefault="003765EB" w:rsidP="001A6026">
      <w:pPr>
        <w:pStyle w:val="BodyText"/>
      </w:pPr>
      <w:r>
        <w:t>T</w:t>
      </w:r>
      <w:r w:rsidR="00782BED">
        <w:t xml:space="preserve">he </w:t>
      </w:r>
      <w:r w:rsidR="00AA1969">
        <w:t xml:space="preserve">annualised </w:t>
      </w:r>
      <w:r w:rsidR="00782BED">
        <w:t xml:space="preserve">real </w:t>
      </w:r>
      <w:r w:rsidR="00782BED" w:rsidRPr="005B072F">
        <w:t>pre</w:t>
      </w:r>
      <w:r w:rsidR="00782BED">
        <w:noBreakHyphen/>
      </w:r>
      <w:r w:rsidR="00782BED" w:rsidRPr="005B072F">
        <w:t>tax rate of return on savings (</w:t>
      </w:r>
      <m:oMath>
        <m:r>
          <w:rPr>
            <w:rFonts w:ascii="Cambria Math" w:hAnsi="Cambria Math"/>
          </w:rPr>
          <m:t>p</m:t>
        </m:r>
      </m:oMath>
      <w:r w:rsidR="00782BED" w:rsidRPr="005B072F">
        <w:t>)</w:t>
      </w:r>
      <w:r w:rsidR="00782BED">
        <w:t xml:space="preserve"> is </w:t>
      </w:r>
      <w:r w:rsidR="001A6026">
        <w:t>the rate of return that would be earned if no taxes were levied on the return to savings. This can be calculated using the general formula for the future value of an investment with continuous compounding. In this case, the real future value is the real pre</w:t>
      </w:r>
      <w:r w:rsidR="001A6026">
        <w:noBreakHyphen/>
        <w:t>tax value of withdrawal (</w:t>
      </w:r>
      <m:oMath>
        <m:sSup>
          <m:sSupPr>
            <m:ctrlPr>
              <w:rPr>
                <w:rFonts w:ascii="Cambria Math" w:hAnsi="Cambria Math"/>
                <w:i/>
              </w:rPr>
            </m:ctrlPr>
          </m:sSupPr>
          <m:e>
            <m:r>
              <w:rPr>
                <w:rFonts w:ascii="Cambria Math" w:hAnsi="Cambria Math"/>
              </w:rPr>
              <m:t>w</m:t>
            </m:r>
          </m:e>
          <m:sup>
            <m:r>
              <w:rPr>
                <w:rFonts w:ascii="Cambria Math" w:hAnsi="Cambria Math"/>
              </w:rPr>
              <m:t>'</m:t>
            </m:r>
          </m:sup>
        </m:sSup>
      </m:oMath>
      <w:r w:rsidR="001A6026">
        <w:t>) and the present value is the initial contribution from taxed labour income (</w:t>
      </w:r>
      <m:oMath>
        <m:r>
          <w:rPr>
            <w:rFonts w:ascii="Cambria Math" w:hAnsi="Cambria Math"/>
          </w:rPr>
          <m:t>c</m:t>
        </m:r>
      </m:oMath>
      <w:r w:rsidR="001A6026">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8"/>
        <w:gridCol w:w="537"/>
      </w:tblGrid>
      <w:tr w:rsidR="001A6026" w:rsidTr="00B367CB">
        <w:tc>
          <w:tcPr>
            <w:tcW w:w="4702" w:type="pct"/>
          </w:tcPr>
          <w:p w:rsidR="001A6026" w:rsidRDefault="008066FA" w:rsidP="00757C98">
            <w:pPr>
              <w:pStyle w:val="BodyText"/>
            </w:pPr>
            <m:oMathPara>
              <m:oMath>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=c×</m:t>
                </m:r>
                <m:sSup>
                  <m:sSupPr>
                    <m:ctrlPr>
                      <w:rPr>
                        <w:rFonts w:ascii="Cambria Math" w:hAnsi="Cambria Math"/>
                        <w:i/>
                      </w:rPr>
                    </m:ctrlPr>
                  </m:sSupPr>
                  <m:e>
                    <m:d>
                      <m:dPr>
                        <m:ctrlPr>
                          <w:rPr>
                            <w:rFonts w:ascii="Cambria Math" w:hAnsi="Cambria Math"/>
                            <w:i/>
                          </w:rPr>
                        </m:ctrlPr>
                      </m:dPr>
                      <m:e>
                        <m:r>
                          <w:rPr>
                            <w:rFonts w:ascii="Cambria Math" w:hAnsi="Cambria Math"/>
                          </w:rPr>
                          <m:t>1+p</m:t>
                        </m:r>
                      </m:e>
                    </m:d>
                  </m:e>
                  <m:sup>
                    <m:r>
                      <w:rPr>
                        <w:rFonts w:ascii="Cambria Math" w:hAnsi="Cambria Math"/>
                      </w:rPr>
                      <m:t>n</m:t>
                    </m:r>
                  </m:sup>
                </m:sSup>
              </m:oMath>
            </m:oMathPara>
          </w:p>
        </w:tc>
        <w:tc>
          <w:tcPr>
            <w:tcW w:w="298" w:type="pct"/>
            <w:vAlign w:val="center"/>
          </w:tcPr>
          <w:p w:rsidR="001A6026" w:rsidRDefault="001A6026" w:rsidP="00B367CB">
            <w:pPr>
              <w:pStyle w:val="BodyText"/>
              <w:jc w:val="right"/>
            </w:pPr>
            <w:r>
              <w:t>(2)</w:t>
            </w:r>
          </w:p>
        </w:tc>
      </w:tr>
    </w:tbl>
    <w:p w:rsidR="00645133" w:rsidRDefault="00645133" w:rsidP="00EC6BEC">
      <w:pPr>
        <w:pStyle w:val="BodyText"/>
      </w:pPr>
      <w:r>
        <w:t xml:space="preserve">This formula can be rearranged in terms of </w:t>
      </w:r>
      <m:oMath>
        <m:r>
          <w:rPr>
            <w:rFonts w:ascii="Cambria Math" w:hAnsi="Cambria Math"/>
          </w:rPr>
          <m:t>p</m:t>
        </m:r>
      </m:oMath>
      <w:r>
        <w:t xml:space="preserve"> to obtain</w:t>
      </w:r>
      <w:r w:rsidR="00EC6BEC">
        <w:t xml:space="preserve"> the annualised real pre</w:t>
      </w:r>
      <w:r>
        <w:noBreakHyphen/>
      </w:r>
      <w:r w:rsidRPr="005B072F">
        <w:t>tax rate of return on savings</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1"/>
        <w:gridCol w:w="564"/>
      </w:tblGrid>
      <w:tr w:rsidR="00645133" w:rsidTr="00B367CB">
        <w:tc>
          <w:tcPr>
            <w:tcW w:w="4687" w:type="pct"/>
          </w:tcPr>
          <w:p w:rsidR="00645133" w:rsidRDefault="00EC6BEC" w:rsidP="00EC6BEC">
            <w:pPr>
              <w:pStyle w:val="BodyText"/>
            </w:pPr>
            <m:oMathPara>
              <m:oMath>
                <m:r>
                  <w:rPr>
                    <w:rFonts w:ascii="Cambria Math" w:hAnsi="Cambria Math"/>
                  </w:rPr>
                  <m:t>p</m:t>
                </m:r>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p>
                              <m:sSupPr>
                                <m:ctrlPr>
                                  <w:rPr>
                                    <w:rFonts w:ascii="Cambria Math" w:hAnsi="Cambria Math"/>
                                    <w:i/>
                                  </w:rPr>
                                </m:ctrlPr>
                              </m:sSupPr>
                              <m:e>
                                <m:r>
                                  <w:rPr>
                                    <w:rFonts w:ascii="Cambria Math" w:hAnsi="Cambria Math"/>
                                  </w:rPr>
                                  <m:t>w</m:t>
                                </m:r>
                              </m:e>
                              <m:sup>
                                <m:r>
                                  <w:rPr>
                                    <w:rFonts w:ascii="Cambria Math" w:hAnsi="Cambria Math"/>
                                  </w:rPr>
                                  <m:t>'</m:t>
                                </m:r>
                              </m:sup>
                            </m:sSup>
                          </m:num>
                          <m:den>
                            <m:r>
                              <w:rPr>
                                <w:rFonts w:ascii="Cambria Math" w:hAnsi="Cambria Math"/>
                              </w:rPr>
                              <m:t>c</m:t>
                            </m:r>
                          </m:den>
                        </m:f>
                      </m:e>
                    </m:d>
                  </m:e>
                  <m:sup>
                    <m:f>
                      <m:fPr>
                        <m:ctrlPr>
                          <w:rPr>
                            <w:rFonts w:ascii="Cambria Math" w:hAnsi="Cambria Math"/>
                            <w:i/>
                          </w:rPr>
                        </m:ctrlPr>
                      </m:fPr>
                      <m:num>
                        <m:r>
                          <w:rPr>
                            <w:rFonts w:ascii="Cambria Math" w:hAnsi="Cambria Math"/>
                          </w:rPr>
                          <m:t>1</m:t>
                        </m:r>
                      </m:num>
                      <m:den>
                        <m:r>
                          <w:rPr>
                            <w:rFonts w:ascii="Cambria Math" w:hAnsi="Cambria Math"/>
                          </w:rPr>
                          <m:t>n</m:t>
                        </m:r>
                      </m:den>
                    </m:f>
                  </m:sup>
                </m:sSup>
                <m:r>
                  <m:rPr>
                    <m:sty m:val="p"/>
                  </m:rPr>
                  <w:rPr>
                    <w:rFonts w:ascii="Cambria Math" w:hAnsi="Cambria Math"/>
                  </w:rPr>
                  <m:t>-1</m:t>
                </m:r>
              </m:oMath>
            </m:oMathPara>
          </w:p>
        </w:tc>
        <w:tc>
          <w:tcPr>
            <w:tcW w:w="313" w:type="pct"/>
            <w:vAlign w:val="center"/>
          </w:tcPr>
          <w:p w:rsidR="00645133" w:rsidRDefault="00645133" w:rsidP="00B367CB">
            <w:pPr>
              <w:pStyle w:val="BodyText"/>
              <w:jc w:val="right"/>
            </w:pPr>
            <w:r>
              <w:t>(</w:t>
            </w:r>
            <w:r w:rsidR="00EC6BEC">
              <w:t>3</w:t>
            </w:r>
            <w:r>
              <w:t>)</w:t>
            </w:r>
          </w:p>
        </w:tc>
      </w:tr>
    </w:tbl>
    <w:p w:rsidR="00782BED" w:rsidRDefault="00EC6BEC" w:rsidP="00711C74">
      <w:pPr>
        <w:pStyle w:val="BodyText"/>
      </w:pPr>
      <w:r>
        <w:t>The real pre-tax value of withdrawal</w:t>
      </w:r>
      <w:r w:rsidR="004068EF">
        <w:t xml:space="preserve"> </w:t>
      </w:r>
      <w:r>
        <w:t>(</w:t>
      </w:r>
      <m:oMath>
        <m:r>
          <w:rPr>
            <w:rFonts w:ascii="Cambria Math" w:hAnsi="Cambria Math"/>
          </w:rPr>
          <m:t>w’</m:t>
        </m:r>
      </m:oMath>
      <w:r>
        <w:t>)</w:t>
      </w:r>
      <w:r w:rsidR="004068EF">
        <w:t xml:space="preserve"> is a function of the incremental contribution to savings (</w:t>
      </w:r>
      <m:oMath>
        <m:r>
          <w:rPr>
            <w:rFonts w:ascii="Cambria Math" w:hAnsi="Cambria Math"/>
          </w:rPr>
          <m:t>c</m:t>
        </m:r>
      </m:oMath>
      <w:r w:rsidR="004068EF">
        <w:t>)</w:t>
      </w:r>
      <w:r w:rsidR="00033C1C">
        <w:t>,</w:t>
      </w:r>
      <w:r w:rsidR="00AA1969">
        <w:t xml:space="preserve"> </w:t>
      </w:r>
      <w:r w:rsidR="00782BED">
        <w:t xml:space="preserve">the nominal </w:t>
      </w:r>
      <w:r w:rsidR="003F3C62">
        <w:t xml:space="preserve">annual </w:t>
      </w:r>
      <w:r w:rsidR="00782BED">
        <w:t>rate of return on savings</w:t>
      </w:r>
      <w:r w:rsidR="003F3C62">
        <w:t xml:space="preserve"> (</w:t>
      </w:r>
      <m:oMath>
        <m:r>
          <w:rPr>
            <w:rFonts w:ascii="Cambria Math" w:hAnsi="Cambria Math"/>
          </w:rPr>
          <m:t>i</m:t>
        </m:r>
      </m:oMath>
      <w:r w:rsidR="003F3C62">
        <w:t>)</w:t>
      </w:r>
      <w:r w:rsidR="00782BED">
        <w:t xml:space="preserve"> and the </w:t>
      </w:r>
      <w:r w:rsidR="003F3C62">
        <w:t xml:space="preserve">annual </w:t>
      </w:r>
      <w:r w:rsidR="00782BED">
        <w:t>inflation rate</w:t>
      </w:r>
      <w:r w:rsidR="00376015">
        <w:t xml:space="preserve"> (</w:t>
      </w:r>
      <m:oMath>
        <m:r>
          <w:rPr>
            <w:rFonts w:ascii="Cambria Math" w:hAnsi="Cambria Math"/>
          </w:rPr>
          <m:t>π)</m:t>
        </m:r>
      </m:oMath>
      <w:r w:rsidR="00AA1969">
        <w:t>.</w:t>
      </w:r>
    </w:p>
    <w:tbl>
      <w:tblPr>
        <w:tblStyle w:val="TableGrid"/>
        <w:tblW w:w="5000" w:type="pct"/>
        <w:tblLook w:val="04A0" w:firstRow="1" w:lastRow="0" w:firstColumn="1" w:lastColumn="0" w:noHBand="0" w:noVBand="1"/>
      </w:tblPr>
      <w:tblGrid>
        <w:gridCol w:w="8501"/>
        <w:gridCol w:w="504"/>
      </w:tblGrid>
      <w:tr w:rsidR="00B42A18" w:rsidTr="00B367CB">
        <w:trPr>
          <w:trHeight w:val="1042"/>
        </w:trPr>
        <w:tc>
          <w:tcPr>
            <w:tcW w:w="4720" w:type="pct"/>
            <w:tcBorders>
              <w:top w:val="nil"/>
              <w:left w:val="nil"/>
              <w:bottom w:val="nil"/>
              <w:right w:val="nil"/>
            </w:tcBorders>
          </w:tcPr>
          <w:p w:rsidR="00B42A18" w:rsidRPr="009A0797" w:rsidRDefault="008066FA" w:rsidP="00B367CB">
            <w:pPr>
              <w:pStyle w:val="BodyText"/>
              <w:rPr>
                <w:szCs w:val="24"/>
              </w:rPr>
            </w:pPr>
            <m:oMathPara>
              <m:oMathParaPr>
                <m:jc m:val="center"/>
              </m:oMathParaPr>
              <m:oMath>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=c×</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1+i</m:t>
                            </m:r>
                          </m:num>
                          <m:den>
                            <m:r>
                              <w:rPr>
                                <w:rFonts w:ascii="Cambria Math" w:hAnsi="Cambria Math"/>
                              </w:rPr>
                              <m:t>1+π</m:t>
                            </m:r>
                          </m:den>
                        </m:f>
                      </m:e>
                    </m:d>
                  </m:e>
                  <m:sup>
                    <m:r>
                      <w:rPr>
                        <w:rFonts w:ascii="Cambria Math" w:hAnsi="Cambria Math"/>
                      </w:rPr>
                      <m:t>n</m:t>
                    </m:r>
                  </m:sup>
                </m:sSup>
              </m:oMath>
            </m:oMathPara>
          </w:p>
        </w:tc>
        <w:tc>
          <w:tcPr>
            <w:tcW w:w="280" w:type="pct"/>
            <w:tcBorders>
              <w:top w:val="nil"/>
              <w:left w:val="nil"/>
              <w:bottom w:val="nil"/>
              <w:right w:val="nil"/>
            </w:tcBorders>
            <w:vAlign w:val="center"/>
          </w:tcPr>
          <w:p w:rsidR="00B42A18" w:rsidRDefault="00B42A18" w:rsidP="003F6F02">
            <w:pPr>
              <w:pStyle w:val="BodyText"/>
              <w:spacing w:after="100" w:afterAutospacing="1"/>
              <w:jc w:val="right"/>
            </w:pPr>
            <w:r>
              <w:t>(</w:t>
            </w:r>
            <w:r w:rsidR="00EC6BEC">
              <w:t>4</w:t>
            </w:r>
            <w:r>
              <w:t>)</w:t>
            </w:r>
          </w:p>
        </w:tc>
      </w:tr>
    </w:tbl>
    <w:p w:rsidR="000D7AA4" w:rsidRDefault="00EE2541" w:rsidP="00B367CB">
      <w:pPr>
        <w:pStyle w:val="BodyText"/>
        <w:spacing w:after="100" w:afterAutospacing="1"/>
      </w:pPr>
      <w:r>
        <w:t>Substituting (4) into (3)</w:t>
      </w:r>
      <w:r w:rsidR="000D7AA4">
        <w:t xml:space="preserve"> </w:t>
      </w:r>
      <w:r>
        <w:t>results in</w:t>
      </w:r>
      <w:r w:rsidR="000D7AA4">
        <w:t xml:space="preserve"> a simplified equation </w:t>
      </w:r>
      <w:r w:rsidR="002C7A4E">
        <w:t xml:space="preserve">(5) </w:t>
      </w:r>
      <w:r w:rsidR="000D7AA4">
        <w:t xml:space="preserve">for the annualised real </w:t>
      </w:r>
      <w:r>
        <w:t>pre</w:t>
      </w:r>
      <w:r w:rsidR="000D7AA4">
        <w:noBreakHyphen/>
      </w:r>
      <w:r w:rsidR="000D7AA4" w:rsidRPr="005B072F">
        <w:t>tax rate of return on savings</w:t>
      </w:r>
      <w:r w:rsidR="000D7AA4">
        <w:t xml:space="preserve"> (</w:t>
      </w:r>
      <m:oMath>
        <m:r>
          <w:rPr>
            <w:rFonts w:ascii="Cambria Math" w:hAnsi="Cambria Math"/>
          </w:rPr>
          <m:t>p)</m:t>
        </m:r>
      </m:oMath>
      <w:r w:rsidR="000D7AA4">
        <w:t>, which can then be inserted into the EMTR equation (1).</w:t>
      </w:r>
    </w:p>
    <w:tbl>
      <w:tblPr>
        <w:tblStyle w:val="TableGrid"/>
        <w:tblW w:w="5000" w:type="pct"/>
        <w:tblLook w:val="04A0" w:firstRow="1" w:lastRow="0" w:firstColumn="1" w:lastColumn="0" w:noHBand="0" w:noVBand="1"/>
      </w:tblPr>
      <w:tblGrid>
        <w:gridCol w:w="8472"/>
        <w:gridCol w:w="533"/>
      </w:tblGrid>
      <w:tr w:rsidR="003F6F02" w:rsidTr="00B367CB">
        <w:trPr>
          <w:trHeight w:val="1042"/>
        </w:trPr>
        <w:tc>
          <w:tcPr>
            <w:tcW w:w="4704" w:type="pct"/>
            <w:tcBorders>
              <w:top w:val="nil"/>
              <w:left w:val="nil"/>
              <w:bottom w:val="nil"/>
              <w:right w:val="nil"/>
            </w:tcBorders>
          </w:tcPr>
          <w:p w:rsidR="000D7AA4" w:rsidRPr="00E25EC3" w:rsidRDefault="000D7AA4" w:rsidP="00B367CB">
            <w:pPr>
              <w:pStyle w:val="BodyText"/>
              <w:rPr>
                <w:szCs w:val="24"/>
              </w:rPr>
            </w:pPr>
            <m:oMathPara>
              <m:oMath>
                <m:r>
                  <w:rPr>
                    <w:rFonts w:ascii="Cambria Math" w:hAnsi="Cambria Math"/>
                  </w:rPr>
                  <w:lastRenderedPageBreak/>
                  <m:t>p=</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1+i</m:t>
                                        </m:r>
                                      </m:num>
                                      <m:den>
                                        <m:r>
                                          <w:rPr>
                                            <w:rFonts w:ascii="Cambria Math" w:hAnsi="Cambria Math"/>
                                          </w:rPr>
                                          <m:t>1+π</m:t>
                                        </m:r>
                                      </m:den>
                                    </m:f>
                                  </m:e>
                                </m:d>
                              </m:e>
                              <m:sup>
                                <m:r>
                                  <w:rPr>
                                    <w:rFonts w:ascii="Cambria Math" w:hAnsi="Cambria Math"/>
                                  </w:rPr>
                                  <m:t>n</m:t>
                                </m:r>
                              </m:sup>
                            </m:sSup>
                          </m:num>
                          <m:den>
                            <m:r>
                              <w:rPr>
                                <w:rFonts w:ascii="Cambria Math" w:hAnsi="Cambria Math"/>
                              </w:rPr>
                              <m:t>c</m:t>
                            </m:r>
                          </m:den>
                        </m:f>
                      </m:e>
                    </m:d>
                  </m:e>
                  <m:sup>
                    <m:f>
                      <m:fPr>
                        <m:ctrlPr>
                          <w:rPr>
                            <w:rFonts w:ascii="Cambria Math" w:hAnsi="Cambria Math"/>
                            <w:i/>
                          </w:rPr>
                        </m:ctrlPr>
                      </m:fPr>
                      <m:num>
                        <m:r>
                          <w:rPr>
                            <w:rFonts w:ascii="Cambria Math" w:hAnsi="Cambria Math"/>
                          </w:rPr>
                          <m:t>1</m:t>
                        </m:r>
                      </m:num>
                      <m:den>
                        <m:r>
                          <w:rPr>
                            <w:rFonts w:ascii="Cambria Math" w:hAnsi="Cambria Math"/>
                          </w:rPr>
                          <m:t>n</m:t>
                        </m:r>
                      </m:den>
                    </m:f>
                  </m:sup>
                </m:sSup>
                <m:r>
                  <w:rPr>
                    <w:rFonts w:ascii="Cambria Math" w:hAnsi="Cambria Math"/>
                  </w:rPr>
                  <m:t>-1</m:t>
                </m:r>
              </m:oMath>
            </m:oMathPara>
          </w:p>
          <w:p w:rsidR="000D7AA4" w:rsidRDefault="000D7AA4" w:rsidP="00B367CB">
            <w:pPr>
              <w:pStyle w:val="BodyText"/>
              <w:rPr>
                <w:szCs w:val="24"/>
              </w:rPr>
            </w:pPr>
            <m:oMathPara>
              <m:oMath>
                <m:r>
                  <w:rPr>
                    <w:rFonts w:ascii="Cambria Math" w:hAnsi="Cambria Math"/>
                  </w:rPr>
                  <m:t xml:space="preserve">    =</m:t>
                </m:r>
                <m:f>
                  <m:fPr>
                    <m:ctrlPr>
                      <w:rPr>
                        <w:rFonts w:ascii="Cambria Math" w:hAnsi="Cambria Math"/>
                      </w:rPr>
                    </m:ctrlPr>
                  </m:fPr>
                  <m:num>
                    <m:r>
                      <w:rPr>
                        <w:rFonts w:ascii="Cambria Math" w:hAnsi="Cambria Math"/>
                      </w:rPr>
                      <m:t>1+i</m:t>
                    </m:r>
                  </m:num>
                  <m:den>
                    <m:r>
                      <w:rPr>
                        <w:rFonts w:ascii="Cambria Math" w:hAnsi="Cambria Math"/>
                      </w:rPr>
                      <m:t>1+π</m:t>
                    </m:r>
                  </m:den>
                </m:f>
                <m:r>
                  <w:rPr>
                    <w:rFonts w:ascii="Cambria Math" w:hAnsi="Cambria Math"/>
                  </w:rPr>
                  <m:t>-1</m:t>
                </m:r>
              </m:oMath>
            </m:oMathPara>
          </w:p>
        </w:tc>
        <w:tc>
          <w:tcPr>
            <w:tcW w:w="296" w:type="pct"/>
            <w:tcBorders>
              <w:top w:val="nil"/>
              <w:left w:val="nil"/>
              <w:bottom w:val="nil"/>
              <w:right w:val="nil"/>
            </w:tcBorders>
            <w:vAlign w:val="center"/>
          </w:tcPr>
          <w:p w:rsidR="00EE2541" w:rsidRDefault="00EE2541" w:rsidP="003F6F02">
            <w:pPr>
              <w:pStyle w:val="BodyText"/>
              <w:spacing w:after="100" w:afterAutospacing="1"/>
              <w:jc w:val="right"/>
            </w:pPr>
          </w:p>
          <w:p w:rsidR="00EE2541" w:rsidRDefault="00EE2541" w:rsidP="003F6F02">
            <w:pPr>
              <w:pStyle w:val="BodyText"/>
              <w:spacing w:after="100" w:afterAutospacing="1"/>
              <w:jc w:val="right"/>
            </w:pPr>
          </w:p>
          <w:p w:rsidR="000D7AA4" w:rsidRDefault="000D7AA4" w:rsidP="003F6F02">
            <w:pPr>
              <w:pStyle w:val="BodyText"/>
              <w:spacing w:after="100" w:afterAutospacing="1"/>
              <w:jc w:val="right"/>
            </w:pPr>
            <w:r>
              <w:t>(</w:t>
            </w:r>
            <w:r w:rsidR="003F6F02">
              <w:t>5</w:t>
            </w:r>
            <w:r>
              <w:t>)</w:t>
            </w:r>
          </w:p>
        </w:tc>
      </w:tr>
    </w:tbl>
    <w:p w:rsidR="00214EB2" w:rsidRDefault="00214EB2" w:rsidP="00214EB2">
      <w:pPr>
        <w:pStyle w:val="Heading3"/>
      </w:pPr>
      <w:r>
        <w:t>Calculating the post-tax rate of return</w:t>
      </w:r>
    </w:p>
    <w:p w:rsidR="00782BED" w:rsidRDefault="003F3C62" w:rsidP="00711C74">
      <w:pPr>
        <w:pStyle w:val="BodyText"/>
      </w:pPr>
      <w:r>
        <w:t xml:space="preserve">The </w:t>
      </w:r>
      <w:r w:rsidR="005C07C8">
        <w:t xml:space="preserve">annualised </w:t>
      </w:r>
      <w:r>
        <w:t xml:space="preserve">real </w:t>
      </w:r>
      <w:r w:rsidRPr="005B072F">
        <w:t>p</w:t>
      </w:r>
      <w:r>
        <w:t>ost</w:t>
      </w:r>
      <w:r>
        <w:noBreakHyphen/>
      </w:r>
      <w:r w:rsidRPr="005B072F">
        <w:t>tax rate of return on savings (</w:t>
      </w:r>
      <m:oMath>
        <m:r>
          <w:rPr>
            <w:rFonts w:ascii="Cambria Math" w:hAnsi="Cambria Math"/>
          </w:rPr>
          <m:t>r</m:t>
        </m:r>
      </m:oMath>
      <w:r w:rsidRPr="005B072F">
        <w:t>)</w:t>
      </w:r>
      <w:r w:rsidR="005C07C8">
        <w:t xml:space="preserve"> has the same form as the pre</w:t>
      </w:r>
      <w:r w:rsidR="00867A98">
        <w:noBreakHyphen/>
      </w:r>
      <w:r w:rsidR="005C07C8">
        <w:t xml:space="preserve">tax rate of return but includes </w:t>
      </w:r>
      <w:r>
        <w:t>the real value of savings at</w:t>
      </w:r>
      <w:r w:rsidRPr="00214EB2">
        <w:t xml:space="preserve"> withdrawal </w:t>
      </w:r>
      <w:r w:rsidR="00804FB1" w:rsidRPr="00033C1C">
        <w:t xml:space="preserve">after </w:t>
      </w:r>
      <w:r w:rsidR="00166088" w:rsidRPr="00033C1C">
        <w:t>ta</w:t>
      </w:r>
      <w:r w:rsidR="005C07C8">
        <w:t>x</w:t>
      </w:r>
      <w:r w:rsidRPr="00033C1C">
        <w:t xml:space="preserve"> </w:t>
      </w:r>
      <w:r>
        <w:t>(</w:t>
      </w:r>
      <m:oMath>
        <m:r>
          <w:rPr>
            <w:rFonts w:ascii="Cambria Math" w:hAnsi="Cambria Math"/>
          </w:rPr>
          <m:t>w</m:t>
        </m:r>
      </m:oMath>
      <w:r>
        <w:t>)</w:t>
      </w:r>
      <w:r w:rsidR="00466859">
        <w:t xml:space="preserve"> rather than before </w:t>
      </w:r>
      <w:r w:rsidR="005C07C8">
        <w:t>tax (</w:t>
      </w:r>
      <m:oMath>
        <m:r>
          <w:rPr>
            <w:rFonts w:ascii="Cambria Math" w:hAnsi="Cambria Math"/>
          </w:rPr>
          <m:t>w')</m:t>
        </m:r>
      </m:oMath>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gridCol w:w="533"/>
      </w:tblGrid>
      <w:tr w:rsidR="00166088" w:rsidTr="00B367CB">
        <w:trPr>
          <w:trHeight w:val="1042"/>
          <w:jc w:val="center"/>
        </w:trPr>
        <w:tc>
          <w:tcPr>
            <w:tcW w:w="4704" w:type="pct"/>
          </w:tcPr>
          <w:p w:rsidR="00166088" w:rsidRDefault="00166088" w:rsidP="00B367CB">
            <w:pPr>
              <w:pStyle w:val="BodyText"/>
              <w:rPr>
                <w:szCs w:val="24"/>
              </w:rPr>
            </w:pPr>
            <m:oMathPara>
              <m:oMath>
                <m:r>
                  <w:rPr>
                    <w:rFonts w:ascii="Cambria Math" w:hAnsi="Cambria Math"/>
                  </w:rPr>
                  <m:t>r=</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w</m:t>
                            </m:r>
                          </m:num>
                          <m:den>
                            <m:r>
                              <w:rPr>
                                <w:rFonts w:ascii="Cambria Math" w:hAnsi="Cambria Math"/>
                              </w:rPr>
                              <m:t>c</m:t>
                            </m:r>
                          </m:den>
                        </m:f>
                      </m:e>
                    </m:d>
                  </m:e>
                  <m:sup>
                    <m:f>
                      <m:fPr>
                        <m:ctrlPr>
                          <w:rPr>
                            <w:rFonts w:ascii="Cambria Math" w:hAnsi="Cambria Math"/>
                            <w:i/>
                          </w:rPr>
                        </m:ctrlPr>
                      </m:fPr>
                      <m:num>
                        <m:r>
                          <w:rPr>
                            <w:rFonts w:ascii="Cambria Math" w:hAnsi="Cambria Math"/>
                          </w:rPr>
                          <m:t>1</m:t>
                        </m:r>
                      </m:num>
                      <m:den>
                        <m:r>
                          <w:rPr>
                            <w:rFonts w:ascii="Cambria Math" w:hAnsi="Cambria Math"/>
                          </w:rPr>
                          <m:t>n</m:t>
                        </m:r>
                      </m:den>
                    </m:f>
                  </m:sup>
                </m:sSup>
                <m:r>
                  <w:rPr>
                    <w:rFonts w:ascii="Cambria Math" w:hAnsi="Cambria Math"/>
                  </w:rPr>
                  <m:t>-1</m:t>
                </m:r>
              </m:oMath>
            </m:oMathPara>
          </w:p>
        </w:tc>
        <w:tc>
          <w:tcPr>
            <w:tcW w:w="296" w:type="pct"/>
            <w:vAlign w:val="center"/>
          </w:tcPr>
          <w:p w:rsidR="00166088" w:rsidRDefault="00166088" w:rsidP="003F6F02">
            <w:pPr>
              <w:pStyle w:val="BodyText"/>
              <w:spacing w:after="100" w:afterAutospacing="1"/>
              <w:jc w:val="right"/>
            </w:pPr>
            <w:r>
              <w:t>(</w:t>
            </w:r>
            <w:r w:rsidR="003F6F02">
              <w:t>6</w:t>
            </w:r>
            <w:r>
              <w:t>)</w:t>
            </w:r>
          </w:p>
        </w:tc>
      </w:tr>
    </w:tbl>
    <w:p w:rsidR="00BC1AF2" w:rsidRDefault="00BC1AF2" w:rsidP="00E25EC3">
      <w:pPr>
        <w:pStyle w:val="Heading4"/>
      </w:pPr>
      <w:r>
        <w:t xml:space="preserve">Accounting for </w:t>
      </w:r>
      <w:r w:rsidR="00F54B1D">
        <w:t>taxes on savings</w:t>
      </w:r>
    </w:p>
    <w:p w:rsidR="005F47BD" w:rsidRDefault="00723A8C" w:rsidP="00F54B1D">
      <w:pPr>
        <w:pStyle w:val="BodyText"/>
      </w:pPr>
      <w:r>
        <w:t xml:space="preserve">The real </w:t>
      </w:r>
      <w:r w:rsidR="00170138">
        <w:t>post</w:t>
      </w:r>
      <w:r w:rsidR="00867A98">
        <w:noBreakHyphen/>
      </w:r>
      <w:r w:rsidR="00170138">
        <w:t xml:space="preserve">tax </w:t>
      </w:r>
      <w:r>
        <w:t>value of savings at withdrawal (</w:t>
      </w:r>
      <m:oMath>
        <m:r>
          <w:rPr>
            <w:rFonts w:ascii="Cambria Math" w:hAnsi="Cambria Math"/>
          </w:rPr>
          <m:t>w</m:t>
        </m:r>
      </m:oMath>
      <w:r>
        <w:t xml:space="preserve">) is calculated taking into account </w:t>
      </w:r>
      <w:r w:rsidR="005F47BD">
        <w:t>taxes levied:</w:t>
      </w:r>
    </w:p>
    <w:p w:rsidR="00F54B1D" w:rsidRDefault="005F47BD" w:rsidP="00F54B1D">
      <w:pPr>
        <w:pStyle w:val="ListBullet"/>
        <w:spacing w:line="320" w:lineRule="atLeast"/>
      </w:pPr>
      <w:r>
        <w:t>on or before contribution</w:t>
      </w:r>
    </w:p>
    <w:p w:rsidR="00F54B1D" w:rsidRDefault="00F54B1D" w:rsidP="00F54B1D">
      <w:pPr>
        <w:pStyle w:val="ListBullet"/>
        <w:spacing w:line="320" w:lineRule="atLeast"/>
      </w:pPr>
      <w:r>
        <w:t>on returns</w:t>
      </w:r>
      <w:r w:rsidR="009840F6">
        <w:rPr>
          <w:rStyle w:val="FootnoteReference"/>
        </w:rPr>
        <w:footnoteReference w:id="3"/>
      </w:r>
      <w:r>
        <w:t xml:space="preserve"> as accrued</w:t>
      </w:r>
    </w:p>
    <w:p w:rsidR="001A5DD9" w:rsidRDefault="005F47BD">
      <w:pPr>
        <w:pStyle w:val="ListBullet"/>
        <w:spacing w:line="320" w:lineRule="atLeast"/>
      </w:pPr>
      <w:r>
        <w:t>on withdrawal</w:t>
      </w:r>
      <w:r w:rsidR="00F54B1D">
        <w:t xml:space="preserve"> (when returns are realised).</w:t>
      </w:r>
    </w:p>
    <w:p w:rsidR="00723A8C" w:rsidRDefault="00723A8C" w:rsidP="00723A8C">
      <w:pPr>
        <w:pStyle w:val="BodyText"/>
      </w:pPr>
      <w:r>
        <w:t>Taxes levied on savings indirectly, such as stamp duty, are not included in calculations (box </w:t>
      </w:r>
      <w:r w:rsidR="004D714C">
        <w:t>1</w:t>
      </w:r>
      <w:r>
        <w:t>).</w:t>
      </w:r>
    </w:p>
    <w:p w:rsidR="00D84DA5" w:rsidRDefault="00394801" w:rsidP="00D84DA5">
      <w:pPr>
        <w:pStyle w:val="BodyText"/>
      </w:pPr>
      <w:r>
        <w:t>As shown in equation (</w:t>
      </w:r>
      <w:r w:rsidR="002C7A4E">
        <w:t>7</w:t>
      </w:r>
      <w:r>
        <w:t xml:space="preserve">), </w:t>
      </w:r>
      <w:r w:rsidR="00D84DA5">
        <w:t>the initial contribution from taxed labour income (</w:t>
      </w:r>
      <m:oMath>
        <m:r>
          <w:rPr>
            <w:rFonts w:ascii="Cambria Math" w:hAnsi="Cambria Math"/>
          </w:rPr>
          <m:t>c</m:t>
        </m:r>
      </m:oMath>
      <w:r w:rsidR="00D84DA5">
        <w:t xml:space="preserve">) is adjusted by </w:t>
      </w:r>
      <w:r>
        <w:t>a factor which reflects the</w:t>
      </w:r>
      <w:r w:rsidR="00D84DA5">
        <w:t xml:space="preserve"> relative size</w:t>
      </w:r>
      <w:r>
        <w:t>s</w:t>
      </w:r>
      <w:r w:rsidR="00D84DA5">
        <w:t xml:space="preserve"> of </w:t>
      </w:r>
      <w:r>
        <w:t xml:space="preserve">the </w:t>
      </w:r>
      <w:r w:rsidR="00D84DA5">
        <w:t xml:space="preserve">tax </w:t>
      </w:r>
      <w:r>
        <w:t>rate on</w:t>
      </w:r>
      <w:r w:rsidR="00D84DA5">
        <w:t xml:space="preserve"> </w:t>
      </w:r>
      <w:r>
        <w:t xml:space="preserve">consumed </w:t>
      </w:r>
      <w:r w:rsidR="00D84DA5">
        <w:t>labour income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D84DA5">
        <w:t xml:space="preserve">) and the tax </w:t>
      </w:r>
      <w:r>
        <w:t xml:space="preserve">rate </w:t>
      </w:r>
      <w:r w:rsidR="00D84DA5">
        <w:t xml:space="preserve">on </w:t>
      </w:r>
      <w:r>
        <w:t>saved labour income</w:t>
      </w:r>
      <w:r w:rsidR="00D84DA5">
        <w:t xml:space="preserve">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D84DA5">
        <w:t xml:space="preserve">). If a person receives tax relief when they make a savings contribution, then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D84DA5">
        <w:t xml:space="preserve"> is greater than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D84DA5">
        <w:t xml:space="preserve">. If a person pays additional tax when they make a savings contribution, then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D84DA5">
        <w:t xml:space="preserve"> is less than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D84DA5">
        <w:t>. In other words, the real post</w:t>
      </w:r>
      <w:r w:rsidR="00867A98">
        <w:noBreakHyphen/>
      </w:r>
      <w:r w:rsidR="00D84DA5">
        <w:t>tax withdrawal value (</w:t>
      </w:r>
      <m:oMath>
        <m:r>
          <w:rPr>
            <w:rFonts w:ascii="Cambria Math" w:hAnsi="Cambria Math"/>
          </w:rPr>
          <m:t>w</m:t>
        </m:r>
      </m:oMath>
      <w:r w:rsidR="00D84DA5">
        <w:t>) is only affected by taxes on or before contribution to the extent that labour income contributed to savings is taxed at a different rate to labour income that is immediately consumed.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gridCol w:w="567"/>
      </w:tblGrid>
      <w:tr w:rsidR="00723A8C" w:rsidTr="00B367CB">
        <w:tc>
          <w:tcPr>
            <w:tcW w:w="8359" w:type="dxa"/>
          </w:tcPr>
          <w:p w:rsidR="00723A8C" w:rsidRDefault="00723A8C" w:rsidP="00277C4A">
            <w:pPr>
              <w:pStyle w:val="BodyText"/>
            </w:pPr>
            <m:oMathPara>
              <m:oMath>
                <m:r>
                  <w:rPr>
                    <w:rFonts w:ascii="Cambria Math" w:hAnsi="Cambria Math"/>
                  </w:rPr>
                  <m:t>w=</m:t>
                </m:r>
                <m:f>
                  <m:fPr>
                    <m:ctrlPr>
                      <w:rPr>
                        <w:rFonts w:ascii="Cambria Math" w:hAnsi="Cambria Math"/>
                      </w:rPr>
                    </m:ctrlPr>
                  </m:fPr>
                  <m:num>
                    <m:r>
                      <w:rPr>
                        <w:rFonts w:ascii="Cambria Math" w:hAnsi="Cambria Math"/>
                      </w:rPr>
                      <m:t>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r</m:t>
                                        </m:r>
                                      </m:sub>
                                    </m:sSub>
                                  </m:e>
                                </m:d>
                              </m:e>
                            </m:d>
                          </m:e>
                        </m:d>
                      </m:e>
                      <m:sup>
                        <m:r>
                          <w:rPr>
                            <w:rFonts w:ascii="Cambria Math" w:hAnsi="Cambria Math"/>
                          </w:rPr>
                          <m:t>n</m:t>
                        </m:r>
                      </m:sup>
                    </m:sSup>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num>
                  <m:den>
                    <m:sSup>
                      <m:sSupPr>
                        <m:ctrlPr>
                          <w:rPr>
                            <w:rFonts w:ascii="Cambria Math" w:hAnsi="Cambria Math"/>
                            <w:i/>
                          </w:rPr>
                        </m:ctrlPr>
                      </m:sSupPr>
                      <m:e>
                        <m:d>
                          <m:dPr>
                            <m:ctrlPr>
                              <w:rPr>
                                <w:rFonts w:ascii="Cambria Math" w:hAnsi="Cambria Math"/>
                                <w:i/>
                              </w:rPr>
                            </m:ctrlPr>
                          </m:dPr>
                          <m:e>
                            <m:r>
                              <w:rPr>
                                <w:rFonts w:ascii="Cambria Math" w:hAnsi="Cambria Math"/>
                              </w:rPr>
                              <m:t>1+π</m:t>
                            </m:r>
                          </m:e>
                        </m:d>
                      </m:e>
                      <m:sup>
                        <m:r>
                          <w:rPr>
                            <w:rFonts w:ascii="Cambria Math" w:hAnsi="Cambria Math"/>
                          </w:rPr>
                          <m:t>n</m:t>
                        </m:r>
                      </m:sup>
                    </m:sSup>
                  </m:den>
                </m:f>
              </m:oMath>
            </m:oMathPara>
          </w:p>
        </w:tc>
        <w:tc>
          <w:tcPr>
            <w:tcW w:w="567" w:type="dxa"/>
            <w:vAlign w:val="center"/>
          </w:tcPr>
          <w:p w:rsidR="00723A8C" w:rsidRDefault="00723A8C" w:rsidP="003F6F02">
            <w:pPr>
              <w:pStyle w:val="BodyText"/>
            </w:pPr>
            <w:r>
              <w:t>(</w:t>
            </w:r>
            <w:r w:rsidR="003F6F02">
              <w:t>7</w:t>
            </w:r>
            <w:r>
              <w:t>)</w:t>
            </w:r>
          </w:p>
        </w:tc>
      </w:tr>
    </w:tbl>
    <w:p w:rsidR="00444000" w:rsidRDefault="00444000" w:rsidP="0044400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44000" w:rsidTr="00277C4A">
        <w:tc>
          <w:tcPr>
            <w:tcW w:w="8771" w:type="dxa"/>
            <w:tcBorders>
              <w:top w:val="single" w:sz="6" w:space="0" w:color="78A22F"/>
              <w:left w:val="nil"/>
              <w:bottom w:val="nil"/>
              <w:right w:val="nil"/>
            </w:tcBorders>
            <w:shd w:val="clear" w:color="auto" w:fill="F2F2F2"/>
          </w:tcPr>
          <w:p w:rsidR="00444000" w:rsidRDefault="00444000" w:rsidP="00277C4A">
            <w:pPr>
              <w:pStyle w:val="BoxTitle"/>
            </w:pPr>
            <w:r>
              <w:rPr>
                <w:b w:val="0"/>
              </w:rPr>
              <w:t xml:space="preserve">Box </w:t>
            </w:r>
            <w:bookmarkStart w:id="2" w:name="OLE_LINK9"/>
            <w:r>
              <w:fldChar w:fldCharType="begin"/>
            </w:r>
            <w:r>
              <w:rPr>
                <w:b w:val="0"/>
              </w:rPr>
              <w:instrText xml:space="preserve"> SEQ Box \* ARABIC </w:instrText>
            </w:r>
            <w:r>
              <w:fldChar w:fldCharType="separate"/>
            </w:r>
            <w:r w:rsidR="004D714C">
              <w:rPr>
                <w:b w:val="0"/>
                <w:noProof/>
              </w:rPr>
              <w:t>1</w:t>
            </w:r>
            <w:r>
              <w:fldChar w:fldCharType="end"/>
            </w:r>
            <w:bookmarkEnd w:id="2"/>
            <w:r>
              <w:tab/>
              <w:t xml:space="preserve">Which taxes should </w:t>
            </w:r>
            <w:proofErr w:type="spellStart"/>
            <w:r>
              <w:t>EMTRs</w:t>
            </w:r>
            <w:proofErr w:type="spellEnd"/>
            <w:r>
              <w:t xml:space="preserve"> on savings include?</w:t>
            </w:r>
          </w:p>
        </w:tc>
      </w:tr>
      <w:tr w:rsidR="00444000" w:rsidTr="00277C4A">
        <w:trPr>
          <w:cantSplit/>
        </w:trPr>
        <w:tc>
          <w:tcPr>
            <w:tcW w:w="8771" w:type="dxa"/>
            <w:tcBorders>
              <w:top w:val="nil"/>
              <w:left w:val="nil"/>
              <w:bottom w:val="nil"/>
              <w:right w:val="nil"/>
            </w:tcBorders>
            <w:shd w:val="clear" w:color="auto" w:fill="F2F2F2"/>
          </w:tcPr>
          <w:p w:rsidR="00444000" w:rsidRDefault="00444000" w:rsidP="00277C4A">
            <w:pPr>
              <w:pStyle w:val="Box"/>
            </w:pPr>
            <w:r>
              <w:t>In Australia, individuals face a number of taxes on capital, including:</w:t>
            </w:r>
          </w:p>
          <w:p w:rsidR="00444000" w:rsidRDefault="00444000" w:rsidP="00277C4A">
            <w:pPr>
              <w:pStyle w:val="BoxListBullet"/>
            </w:pPr>
            <w:r>
              <w:t>personal income tax on interest, rent, dividends and income from trusts; capital gains tax on shares and housing (including discounts and exemptions); and superannuation taxes</w:t>
            </w:r>
          </w:p>
          <w:p w:rsidR="00444000" w:rsidRDefault="00444000" w:rsidP="00277C4A">
            <w:pPr>
              <w:pStyle w:val="BoxListBullet"/>
            </w:pPr>
            <w:r>
              <w:t>stamp duties, land tax and local council rates.</w:t>
            </w:r>
          </w:p>
          <w:p w:rsidR="00444000" w:rsidRDefault="00444000" w:rsidP="00277C4A">
            <w:pPr>
              <w:pStyle w:val="Box"/>
            </w:pPr>
            <w:r>
              <w:t xml:space="preserve">The taxes listed in the first set are considered to be ‘savings taxes’, while those in the second set are ‘investment taxes’. Savings taxes directly affect the return to savings, and therefore should be included in the calculation of </w:t>
            </w:r>
            <w:proofErr w:type="spellStart"/>
            <w:r>
              <w:t>EMTRs</w:t>
            </w:r>
            <w:proofErr w:type="spellEnd"/>
            <w:r>
              <w:t xml:space="preserve"> on savings. By contrast, investment taxes are not likely to directly affect the return to savings. Instead, they are likely to be reflected in lower asset prices because savers will be prepared to pay less for them. For example, stamp duties, land tax and local council rates can all be thought of as primarily affecting property prices, rather than the return on wealth saved in housing. </w:t>
            </w:r>
          </w:p>
          <w:p w:rsidR="00444000" w:rsidRDefault="00444000" w:rsidP="00277C4A">
            <w:pPr>
              <w:pStyle w:val="Box"/>
            </w:pPr>
            <w:r>
              <w:t xml:space="preserve">This classification of capital taxes is consistent with recent studies that calculated effective tax rates on the return to savings in the UK. Savings taxes (such as income tax, social security contributions, capital gains tax and inheritance tax) were included in the calculations, while investment taxes (such as corporation tax, council tax, business rates and stamp duties on property and shares) were excluded </w:t>
            </w:r>
            <w:r w:rsidRPr="00782D22">
              <w:rPr>
                <w:rFonts w:cs="Arial"/>
                <w:szCs w:val="24"/>
              </w:rPr>
              <w:t>(Adam, Browne and Heady 2010; Wakefield 2009)</w:t>
            </w:r>
            <w:r>
              <w:t xml:space="preserve">. </w:t>
            </w:r>
          </w:p>
          <w:p w:rsidR="00444000" w:rsidRDefault="00444000" w:rsidP="00277C4A">
            <w:pPr>
              <w:pStyle w:val="Box"/>
            </w:pPr>
            <w:r>
              <w:t xml:space="preserve">Following these arguments, the calculation of </w:t>
            </w:r>
            <w:proofErr w:type="spellStart"/>
            <w:r>
              <w:t>EMTRs</w:t>
            </w:r>
            <w:proofErr w:type="spellEnd"/>
            <w:r>
              <w:t xml:space="preserve"> in this note only includes savings taxes and omits investment taxes.</w:t>
            </w:r>
          </w:p>
        </w:tc>
      </w:tr>
      <w:tr w:rsidR="00444000" w:rsidTr="00277C4A">
        <w:trPr>
          <w:cantSplit/>
        </w:trPr>
        <w:tc>
          <w:tcPr>
            <w:tcW w:w="8771" w:type="dxa"/>
            <w:tcBorders>
              <w:top w:val="nil"/>
              <w:left w:val="nil"/>
              <w:bottom w:val="single" w:sz="6" w:space="0" w:color="78A22F"/>
              <w:right w:val="nil"/>
            </w:tcBorders>
            <w:shd w:val="clear" w:color="auto" w:fill="F2F2F2"/>
          </w:tcPr>
          <w:p w:rsidR="00444000" w:rsidRDefault="00444000" w:rsidP="00277C4A">
            <w:pPr>
              <w:pStyle w:val="Box"/>
              <w:spacing w:before="0" w:line="120" w:lineRule="exact"/>
            </w:pPr>
          </w:p>
        </w:tc>
      </w:tr>
      <w:tr w:rsidR="00444000" w:rsidRPr="000863A5" w:rsidTr="00277C4A">
        <w:tc>
          <w:tcPr>
            <w:tcW w:w="8771" w:type="dxa"/>
            <w:tcBorders>
              <w:top w:val="single" w:sz="6" w:space="0" w:color="78A22F"/>
              <w:left w:val="nil"/>
              <w:bottom w:val="nil"/>
              <w:right w:val="nil"/>
            </w:tcBorders>
          </w:tcPr>
          <w:p w:rsidR="00444000" w:rsidRPr="00626D32" w:rsidRDefault="00444000" w:rsidP="00277C4A">
            <w:pPr>
              <w:pStyle w:val="BoxSpaceBelow"/>
            </w:pPr>
          </w:p>
        </w:tc>
      </w:tr>
    </w:tbl>
    <w:p w:rsidR="00D84DA5" w:rsidRDefault="00D84DA5" w:rsidP="00D84DA5">
      <w:pPr>
        <w:pStyle w:val="BodyText"/>
      </w:pPr>
      <w:r>
        <w:t>Each period, the nominal rate of return (</w:t>
      </w:r>
      <m:oMath>
        <m:r>
          <w:rPr>
            <w:rFonts w:ascii="Cambria Math" w:hAnsi="Cambria Math"/>
          </w:rPr>
          <m:t>i</m:t>
        </m:r>
      </m:oMath>
      <w:r>
        <w:t>) is taxed at the tax rate on returns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w:t>
      </w:r>
      <w:r w:rsidR="004B73C0">
        <w:t>,</w:t>
      </w:r>
      <w:r>
        <w:t xml:space="preserve"> and the compounded value is multiplied by the nominal value of the contribution after contribution taxes. At withdrawal, after </w:t>
      </w:r>
      <m:oMath>
        <m:r>
          <w:rPr>
            <w:rFonts w:ascii="Cambria Math" w:hAnsi="Cambria Math"/>
          </w:rPr>
          <m:t>n</m:t>
        </m:r>
      </m:oMath>
      <w:r>
        <w:t xml:space="preserve"> periods, the total nominal value of savings is then taxed at the tax rate on withdrawals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t>). This is then adjusted for the rate of inflation (</w:t>
      </w:r>
      <m:oMath>
        <m:r>
          <w:rPr>
            <w:rFonts w:ascii="Cambria Math" w:hAnsi="Cambria Math"/>
          </w:rPr>
          <m:t>π</m:t>
        </m:r>
      </m:oMath>
      <w:r>
        <w:t>) to obtain the real post</w:t>
      </w:r>
      <w:r>
        <w:noBreakHyphen/>
        <w:t>tax value of withdrawal (</w:t>
      </w:r>
      <m:oMath>
        <m:r>
          <w:rPr>
            <w:rFonts w:ascii="Cambria Math" w:hAnsi="Cambria Math"/>
          </w:rPr>
          <m:t>w</m:t>
        </m:r>
      </m:oMath>
      <w:r>
        <w:t>).</w:t>
      </w:r>
    </w:p>
    <w:p w:rsidR="00F74026" w:rsidRDefault="00F74026" w:rsidP="00F74026">
      <w:pPr>
        <w:pStyle w:val="BodyText"/>
      </w:pPr>
      <w:r>
        <w:t xml:space="preserve">The advantage of accounting for contribution taxes as described </w:t>
      </w:r>
      <w:r w:rsidR="002C7A4E">
        <w:t xml:space="preserve">in equation (7) </w:t>
      </w:r>
      <w:r>
        <w:t>is that an</w:t>
      </w:r>
      <w:r w:rsidRPr="005B072F">
        <w:t xml:space="preserve"> </w:t>
      </w:r>
      <w:proofErr w:type="spellStart"/>
      <w:r w:rsidRPr="005B072F">
        <w:t>EMTR</w:t>
      </w:r>
      <w:proofErr w:type="spellEnd"/>
      <w:r w:rsidRPr="005B072F">
        <w:t xml:space="preserve"> of zero implies that</w:t>
      </w:r>
      <w:r>
        <w:t xml:space="preserve"> </w:t>
      </w:r>
      <w:r w:rsidRPr="005B072F">
        <w:t xml:space="preserve">the tax </w:t>
      </w:r>
      <w:r>
        <w:t xml:space="preserve">and transfer </w:t>
      </w:r>
      <w:r w:rsidRPr="005B072F">
        <w:t xml:space="preserve">system is </w:t>
      </w:r>
      <w:r>
        <w:t>‘</w:t>
      </w:r>
      <w:r w:rsidRPr="005B072F">
        <w:t>neutral</w:t>
      </w:r>
      <w:r>
        <w:t>’</w:t>
      </w:r>
      <w:r w:rsidRPr="005B072F">
        <w:t xml:space="preserve"> with regar</w:t>
      </w:r>
      <w:r>
        <w:t>d to the timing of consumption. That is to say, the tax and transfer system neither encourages nor discourages saving at the margin for a given individual and savings instrument.</w:t>
      </w:r>
      <w:r>
        <w:rPr>
          <w:rStyle w:val="FootnoteReference"/>
        </w:rPr>
        <w:footnoteReference w:id="4"/>
      </w:r>
      <w:r>
        <w:t xml:space="preserve"> In practice, there are arguments for deviating from the neutral taxation of savings (box </w:t>
      </w:r>
      <w:r w:rsidR="007F5C0A">
        <w:t>2</w:t>
      </w:r>
      <w:r>
        <w:t xml:space="preserve">), but </w:t>
      </w:r>
      <w:r w:rsidRPr="00AE0C8F">
        <w:t>neutrality between consumption today and consumption tomorrow is generally considered to be a constructive benchmark against which to judge the design of savings taxation (</w:t>
      </w:r>
      <w:proofErr w:type="spellStart"/>
      <w:r w:rsidRPr="00AE0C8F">
        <w:t>Mirrlees</w:t>
      </w:r>
      <w:proofErr w:type="spellEnd"/>
      <w:r w:rsidRPr="00AE0C8F">
        <w:t xml:space="preserve"> et al. 2011).</w:t>
      </w:r>
    </w:p>
    <w:p w:rsidR="00EF28EF" w:rsidRDefault="00EF28EF" w:rsidP="00EF28E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F28EF" w:rsidTr="00277C4A">
        <w:tc>
          <w:tcPr>
            <w:tcW w:w="8771" w:type="dxa"/>
            <w:tcBorders>
              <w:top w:val="single" w:sz="6" w:space="0" w:color="78A22F"/>
              <w:left w:val="nil"/>
              <w:bottom w:val="nil"/>
              <w:right w:val="nil"/>
            </w:tcBorders>
            <w:shd w:val="clear" w:color="auto" w:fill="F2F2F2"/>
          </w:tcPr>
          <w:p w:rsidR="00EF28EF" w:rsidRDefault="00EF28EF" w:rsidP="00277C4A">
            <w:pPr>
              <w:pStyle w:val="BoxTitle"/>
            </w:pPr>
            <w:r>
              <w:rPr>
                <w:b w:val="0"/>
              </w:rPr>
              <w:t xml:space="preserve">Box </w:t>
            </w:r>
            <w:bookmarkStart w:id="3" w:name="OLE_LINK12"/>
            <w:r>
              <w:rPr>
                <w:b w:val="0"/>
              </w:rPr>
              <w:fldChar w:fldCharType="begin"/>
            </w:r>
            <w:r>
              <w:rPr>
                <w:b w:val="0"/>
              </w:rPr>
              <w:instrText xml:space="preserve"> SEQ Box \* ARABIC </w:instrText>
            </w:r>
            <w:r>
              <w:rPr>
                <w:b w:val="0"/>
              </w:rPr>
              <w:fldChar w:fldCharType="separate"/>
            </w:r>
            <w:r w:rsidR="007F5C0A">
              <w:rPr>
                <w:b w:val="0"/>
                <w:noProof/>
              </w:rPr>
              <w:t>2</w:t>
            </w:r>
            <w:r>
              <w:rPr>
                <w:b w:val="0"/>
              </w:rPr>
              <w:fldChar w:fldCharType="end"/>
            </w:r>
            <w:bookmarkEnd w:id="3"/>
            <w:r>
              <w:tab/>
              <w:t xml:space="preserve">Neutral taxation and the ideal tax base </w:t>
            </w:r>
          </w:p>
        </w:tc>
      </w:tr>
      <w:tr w:rsidR="00EF28EF" w:rsidTr="00277C4A">
        <w:trPr>
          <w:cantSplit/>
        </w:trPr>
        <w:tc>
          <w:tcPr>
            <w:tcW w:w="8771" w:type="dxa"/>
            <w:tcBorders>
              <w:top w:val="nil"/>
              <w:left w:val="nil"/>
              <w:bottom w:val="nil"/>
              <w:right w:val="nil"/>
            </w:tcBorders>
            <w:shd w:val="clear" w:color="auto" w:fill="F2F2F2"/>
          </w:tcPr>
          <w:p w:rsidR="00EF28EF" w:rsidRDefault="00EF28EF" w:rsidP="00277C4A">
            <w:pPr>
              <w:pStyle w:val="Box"/>
            </w:pPr>
            <w:r>
              <w:t>There are three ways to think about neutrality in the taxation of savings. A tax system could be neutral between:</w:t>
            </w:r>
          </w:p>
          <w:p w:rsidR="00EF28EF" w:rsidRDefault="00EF28EF" w:rsidP="00277C4A">
            <w:pPr>
              <w:pStyle w:val="BoxListNumber"/>
            </w:pPr>
            <w:r>
              <w:t>consuming today and saving today</w:t>
            </w:r>
          </w:p>
          <w:p w:rsidR="00EF28EF" w:rsidRDefault="00EF28EF" w:rsidP="00277C4A">
            <w:pPr>
              <w:pStyle w:val="BoxListNumber"/>
            </w:pPr>
            <w:r>
              <w:t>consuming today and consuming tomorrow</w:t>
            </w:r>
          </w:p>
          <w:p w:rsidR="00EF28EF" w:rsidRDefault="00EF28EF" w:rsidP="00277C4A">
            <w:pPr>
              <w:pStyle w:val="BoxListNumber"/>
            </w:pPr>
            <w:r>
              <w:t>different savings instruments.</w:t>
            </w:r>
          </w:p>
          <w:p w:rsidR="00EF28EF" w:rsidRDefault="00EF28EF" w:rsidP="00277C4A">
            <w:pPr>
              <w:pStyle w:val="Box"/>
            </w:pPr>
            <w:r>
              <w:t xml:space="preserve">Perspectives on neutrality are tied up in the debate about whether the ideal tax base is ‘comprehensive income’ or ‘comprehensive consumption’. Advocates of comprehensive income argue that all sources of personal income — earned income, transfer payments, interest income and capital gains — should be subject to taxation </w:t>
            </w:r>
            <w:r w:rsidRPr="005E6035">
              <w:rPr>
                <w:rFonts w:cs="Arial"/>
                <w:szCs w:val="24"/>
              </w:rPr>
              <w:t>(Hyman 2008)</w:t>
            </w:r>
            <w:r>
              <w:t>. According to this view, a tax system should be neutral between consumption and savings (1) and between different savings instruments (3).</w:t>
            </w:r>
          </w:p>
          <w:p w:rsidR="00EF28EF" w:rsidRDefault="00EF28EF" w:rsidP="00277C4A">
            <w:pPr>
              <w:pStyle w:val="Box"/>
              <w:rPr>
                <w:szCs w:val="24"/>
              </w:rPr>
            </w:pPr>
            <w:r>
              <w:t>Advocates of comprehensive consumption argue that all forms of consumption should be subject to taxation. In other words, the ideal tax base includes earned income and transfer payments, but excludes interest income and capital gains. In the absence of above</w:t>
            </w:r>
            <w:r w:rsidR="00867A98">
              <w:noBreakHyphen/>
            </w:r>
            <w:r>
              <w:t>normal profits, this can be achieved via a direct consumption tax or an income tax that excludes all savings income (a ‘pre</w:t>
            </w:r>
            <w:r>
              <w:noBreakHyphen/>
              <w:t>paid’ consumption tax).</w:t>
            </w:r>
            <w:proofErr w:type="spellStart"/>
            <w:r w:rsidRPr="00A90600">
              <w:rPr>
                <w:rStyle w:val="NoteLabel"/>
                <w:szCs w:val="18"/>
              </w:rPr>
              <w:t>a</w:t>
            </w:r>
            <w:proofErr w:type="spellEnd"/>
            <w:r>
              <w:t xml:space="preserve"> According to this view, a tax system should be neutral between consumption today and consumption tomorrow (2) and different savings instruments (3).</w:t>
            </w:r>
          </w:p>
          <w:p w:rsidR="00EF28EF" w:rsidRDefault="00EF28EF" w:rsidP="00277C4A">
            <w:pPr>
              <w:pStyle w:val="Box"/>
              <w:rPr>
                <w:szCs w:val="24"/>
              </w:rPr>
            </w:pPr>
            <w:r>
              <w:t xml:space="preserve">While there remain advocates for both tax bases, over the second half of the twentieth century, more and more academic economists came to favour consumption as the ideal tax base (possibly coupled with a tax on wealth transfers) </w:t>
            </w:r>
            <w:r w:rsidRPr="00BF3D5A">
              <w:t>(</w:t>
            </w:r>
            <w:proofErr w:type="spellStart"/>
            <w:r w:rsidRPr="00BF3D5A">
              <w:t>McLure</w:t>
            </w:r>
            <w:proofErr w:type="spellEnd"/>
            <w:r w:rsidRPr="00BF3D5A">
              <w:t xml:space="preserve"> and </w:t>
            </w:r>
            <w:proofErr w:type="spellStart"/>
            <w:r w:rsidRPr="00BF3D5A">
              <w:t>Zodrow</w:t>
            </w:r>
            <w:proofErr w:type="spellEnd"/>
            <w:r w:rsidRPr="00BF3D5A">
              <w:t> 1994)</w:t>
            </w:r>
            <w:r>
              <w:t xml:space="preserve">. For example, former Treasury Secretary Ken Henry </w:t>
            </w:r>
            <w:r w:rsidRPr="00714A1D">
              <w:t>(2009, p. 3)</w:t>
            </w:r>
            <w:r>
              <w:t xml:space="preserve"> noted that ‘comprehensive income taxation has, for some time, been considered by many economists as ‘old thinking’’. This shift reflected growing recognition of both the need to avoid distorting inter</w:t>
            </w:r>
            <w:r>
              <w:noBreakHyphen/>
              <w:t xml:space="preserve">temporal consumption choices and the (relative) ease with which a comprehensive consumption tax could be implemented </w:t>
            </w:r>
            <w:r w:rsidRPr="00844A56">
              <w:t>(Bradford 2000)</w:t>
            </w:r>
            <w:r>
              <w:t>.</w:t>
            </w:r>
          </w:p>
          <w:p w:rsidR="00EF28EF" w:rsidRDefault="00EF28EF" w:rsidP="00277C4A">
            <w:pPr>
              <w:pStyle w:val="Box"/>
              <w:rPr>
                <w:szCs w:val="24"/>
              </w:rPr>
            </w:pPr>
            <w:r>
              <w:t xml:space="preserve">More recently, nuanced views have gained currency. For example, Banks and Diamond </w:t>
            </w:r>
            <w:r w:rsidRPr="0050513F">
              <w:t>(2011, p. 2)</w:t>
            </w:r>
            <w:r>
              <w:t xml:space="preserve"> argued that the:</w:t>
            </w:r>
          </w:p>
          <w:p w:rsidR="00EF28EF" w:rsidRDefault="00EF28EF" w:rsidP="00277C4A">
            <w:pPr>
              <w:pStyle w:val="BoxQuote"/>
              <w:rPr>
                <w:szCs w:val="24"/>
              </w:rPr>
            </w:pPr>
            <w:r>
              <w:t>… widely recognized result of the optimal tax literature – that capital income should not be taxed … – arises from considerations of individual behaviour and the nature of economic environments that are too restrictive when viewed in the context of both theoretical findings in richer models and the available empirical econometric evidence. Hence such a result should be considered not robust enough for applied policy purposes and there should be some role for including capital income as a component of the tax base.</w:t>
            </w:r>
          </w:p>
          <w:p w:rsidR="00EF28EF" w:rsidRDefault="00EF28EF" w:rsidP="00277C4A">
            <w:pPr>
              <w:pStyle w:val="Box"/>
            </w:pPr>
            <w:r w:rsidRPr="00AE0C8F">
              <w:t xml:space="preserve">There are also equity arguments </w:t>
            </w:r>
            <w:r>
              <w:t xml:space="preserve">for </w:t>
            </w:r>
            <w:r w:rsidRPr="00AE0C8F">
              <w:t xml:space="preserve">taxing savings. For example, </w:t>
            </w:r>
            <w:r w:rsidRPr="00323ED5">
              <w:t xml:space="preserve">Piketty (2014) </w:t>
            </w:r>
            <w:r>
              <w:t xml:space="preserve">has </w:t>
            </w:r>
            <w:r w:rsidRPr="00323ED5">
              <w:t>document</w:t>
            </w:r>
            <w:r>
              <w:t>ed</w:t>
            </w:r>
            <w:r w:rsidRPr="00323ED5">
              <w:t xml:space="preserve"> how the rate of return on private capital has exceeded the economic growth rate for much of history. In the absence of capital taxation, Piketty (2014, p. 515) </w:t>
            </w:r>
            <w:r>
              <w:t>has argued</w:t>
            </w:r>
            <w:r w:rsidRPr="00323ED5">
              <w:t xml:space="preserve"> that wealth will continue to grow faster than </w:t>
            </w:r>
            <w:r>
              <w:t xml:space="preserve">labour </w:t>
            </w:r>
            <w:r w:rsidRPr="00323ED5">
              <w:t>income in the future, become increasingly concentrated</w:t>
            </w:r>
            <w:r>
              <w:t xml:space="preserve"> in the hands of a few, and lead to an ‘endless </w:t>
            </w:r>
            <w:proofErr w:type="spellStart"/>
            <w:r>
              <w:t>inegalitarian</w:t>
            </w:r>
            <w:proofErr w:type="spellEnd"/>
            <w:r>
              <w:t xml:space="preserve"> spiral’.</w:t>
            </w:r>
          </w:p>
          <w:p w:rsidR="00EF28EF" w:rsidRDefault="00EF28EF" w:rsidP="00277C4A">
            <w:pPr>
              <w:pStyle w:val="Box"/>
            </w:pPr>
            <w:r>
              <w:t xml:space="preserve">The upshot is that while a consumption tax base can provide a useful benchmark, achieving complete neutrality </w:t>
            </w:r>
            <w:r w:rsidRPr="0004781D">
              <w:t>between consumption today and consumption tomorrow</w:t>
            </w:r>
            <w:r>
              <w:t xml:space="preserve"> in all circumstances is not necessarily an appropriate goal for taxation policy.</w:t>
            </w:r>
          </w:p>
        </w:tc>
      </w:tr>
      <w:tr w:rsidR="00EF28EF" w:rsidTr="00277C4A">
        <w:trPr>
          <w:cantSplit/>
          <w:trHeight w:val="640"/>
        </w:trPr>
        <w:tc>
          <w:tcPr>
            <w:tcW w:w="8771" w:type="dxa"/>
            <w:tcBorders>
              <w:top w:val="nil"/>
              <w:left w:val="nil"/>
              <w:bottom w:val="nil"/>
              <w:right w:val="nil"/>
            </w:tcBorders>
            <w:shd w:val="clear" w:color="auto" w:fill="F2F2F2"/>
          </w:tcPr>
          <w:p w:rsidR="00EF28EF" w:rsidRDefault="00EF28EF" w:rsidP="00B367CB">
            <w:pPr>
              <w:pStyle w:val="Note"/>
              <w:rPr>
                <w:i/>
              </w:rPr>
            </w:pPr>
            <w:proofErr w:type="spellStart"/>
            <w:r w:rsidRPr="00A90600">
              <w:rPr>
                <w:rStyle w:val="NoteLabel"/>
                <w:szCs w:val="18"/>
              </w:rPr>
              <w:t>a</w:t>
            </w:r>
            <w:proofErr w:type="spellEnd"/>
            <w:r w:rsidRPr="00AE0C8F">
              <w:t xml:space="preserve"> </w:t>
            </w:r>
            <w:r>
              <w:t xml:space="preserve">There is debate as to whether this theoretical equivalence holds in the real world </w:t>
            </w:r>
            <w:r w:rsidRPr="00AE0C8F">
              <w:rPr>
                <w:rFonts w:cs="Arial"/>
                <w:szCs w:val="24"/>
              </w:rPr>
              <w:t>(</w:t>
            </w:r>
            <w:proofErr w:type="spellStart"/>
            <w:r w:rsidRPr="00AE0C8F">
              <w:rPr>
                <w:rFonts w:cs="Arial"/>
                <w:szCs w:val="24"/>
              </w:rPr>
              <w:t>Blumkin</w:t>
            </w:r>
            <w:proofErr w:type="spellEnd"/>
            <w:r w:rsidRPr="00AE0C8F">
              <w:rPr>
                <w:rFonts w:cs="Arial"/>
                <w:szCs w:val="24"/>
              </w:rPr>
              <w:t xml:space="preserve">, Ruffle and </w:t>
            </w:r>
            <w:proofErr w:type="spellStart"/>
            <w:r w:rsidRPr="00AE0C8F">
              <w:rPr>
                <w:rFonts w:cs="Arial"/>
                <w:szCs w:val="24"/>
              </w:rPr>
              <w:t>Ganun</w:t>
            </w:r>
            <w:proofErr w:type="spellEnd"/>
            <w:r w:rsidRPr="00AE0C8F">
              <w:rPr>
                <w:rFonts w:cs="Arial"/>
                <w:szCs w:val="24"/>
              </w:rPr>
              <w:t> 2012)</w:t>
            </w:r>
            <w:r>
              <w:t>.</w:t>
            </w:r>
          </w:p>
        </w:tc>
      </w:tr>
      <w:tr w:rsidR="007F5C0A" w:rsidTr="009F0E8E">
        <w:trPr>
          <w:cantSplit/>
        </w:trPr>
        <w:tc>
          <w:tcPr>
            <w:tcW w:w="8771" w:type="dxa"/>
            <w:tcBorders>
              <w:top w:val="nil"/>
              <w:left w:val="nil"/>
              <w:bottom w:val="single" w:sz="6" w:space="0" w:color="78A22F"/>
              <w:right w:val="nil"/>
            </w:tcBorders>
            <w:shd w:val="clear" w:color="auto" w:fill="F2F2F2"/>
          </w:tcPr>
          <w:p w:rsidR="007F5C0A" w:rsidRDefault="007F5C0A" w:rsidP="009F0E8E">
            <w:pPr>
              <w:pStyle w:val="Box"/>
              <w:spacing w:before="0" w:line="120" w:lineRule="exact"/>
            </w:pPr>
          </w:p>
        </w:tc>
      </w:tr>
      <w:tr w:rsidR="007F5C0A" w:rsidRPr="00626D32" w:rsidTr="009F0E8E">
        <w:tc>
          <w:tcPr>
            <w:tcW w:w="8771" w:type="dxa"/>
            <w:tcBorders>
              <w:top w:val="single" w:sz="6" w:space="0" w:color="78A22F"/>
              <w:left w:val="nil"/>
              <w:bottom w:val="nil"/>
              <w:right w:val="nil"/>
            </w:tcBorders>
          </w:tcPr>
          <w:p w:rsidR="007F5C0A" w:rsidRPr="00626D32" w:rsidRDefault="007F5C0A" w:rsidP="009F0E8E">
            <w:pPr>
              <w:pStyle w:val="BoxSpaceBelow"/>
            </w:pPr>
          </w:p>
        </w:tc>
      </w:tr>
    </w:tbl>
    <w:p w:rsidR="00BF066F" w:rsidRDefault="00285EB3" w:rsidP="00285EB3">
      <w:pPr>
        <w:pStyle w:val="Heading2"/>
      </w:pPr>
      <w:r>
        <w:lastRenderedPageBreak/>
        <w:t xml:space="preserve">Factors that affect </w:t>
      </w:r>
      <w:proofErr w:type="spellStart"/>
      <w:r w:rsidR="00BF066F">
        <w:t>EMTRs</w:t>
      </w:r>
      <w:proofErr w:type="spellEnd"/>
      <w:r>
        <w:t xml:space="preserve"> on the return to savings</w:t>
      </w:r>
    </w:p>
    <w:p w:rsidR="00BF066F" w:rsidRDefault="00BF066F" w:rsidP="00BF066F">
      <w:pPr>
        <w:pStyle w:val="BodyText"/>
      </w:pPr>
      <w:r>
        <w:t xml:space="preserve">Aside from the actual rate of tax paid, a number of factors affect the </w:t>
      </w:r>
      <w:proofErr w:type="spellStart"/>
      <w:r>
        <w:t>EMTR</w:t>
      </w:r>
      <w:proofErr w:type="spellEnd"/>
      <w:r>
        <w:t xml:space="preserve"> on the return to savings. These include the tax treatment of savings, the investment time horizon, the inflation rate and means</w:t>
      </w:r>
      <w:r w:rsidR="00867A98">
        <w:noBreakHyphen/>
      </w:r>
      <w:r>
        <w:t>testing on transfer payments (which affects the effective rate of tax paid).</w:t>
      </w:r>
    </w:p>
    <w:p w:rsidR="00E53262" w:rsidRDefault="00285EB3" w:rsidP="00E53262">
      <w:pPr>
        <w:pStyle w:val="Heading3"/>
      </w:pPr>
      <w:r>
        <w:t>T</w:t>
      </w:r>
      <w:r w:rsidR="00E53262">
        <w:t>ax treatments on savings instruments</w:t>
      </w:r>
    </w:p>
    <w:p w:rsidR="00511271" w:rsidRDefault="00FB4DF3" w:rsidP="00EF3629">
      <w:pPr>
        <w:pStyle w:val="BodyText"/>
      </w:pPr>
      <w:r>
        <w:t xml:space="preserve">Table 1 </w:t>
      </w:r>
      <w:r w:rsidR="00E53E2B">
        <w:t>provides some hypothetical examples of</w:t>
      </w:r>
      <w:r>
        <w:t xml:space="preserve"> how </w:t>
      </w:r>
      <w:proofErr w:type="spellStart"/>
      <w:r>
        <w:t>EMTRs</w:t>
      </w:r>
      <w:proofErr w:type="spellEnd"/>
      <w:r>
        <w:t xml:space="preserve"> on the return to savings</w:t>
      </w:r>
      <w:r w:rsidR="00E53E2B">
        <w:t xml:space="preserve"> </w:t>
      </w:r>
      <w:r w:rsidR="00894DDF">
        <w:t>vary by tax treatment when $</w:t>
      </w:r>
      <w:r w:rsidR="00216F2B">
        <w:t>1</w:t>
      </w:r>
      <w:r w:rsidR="00BF066F">
        <w:t>00</w:t>
      </w:r>
      <w:r w:rsidR="00216F2B">
        <w:t xml:space="preserve"> </w:t>
      </w:r>
      <w:r w:rsidR="00511271">
        <w:t xml:space="preserve">of </w:t>
      </w:r>
      <w:r w:rsidR="00BF066F">
        <w:t>post</w:t>
      </w:r>
      <w:r w:rsidR="009C67DD">
        <w:noBreakHyphen/>
      </w:r>
      <w:r w:rsidR="00511271">
        <w:t xml:space="preserve">tax </w:t>
      </w:r>
      <w:r w:rsidR="00216F2B">
        <w:t xml:space="preserve">labour </w:t>
      </w:r>
      <w:r w:rsidR="00511271">
        <w:t xml:space="preserve">income </w:t>
      </w:r>
      <w:r w:rsidR="00894DDF">
        <w:t>is contributed to savings</w:t>
      </w:r>
      <w:r w:rsidR="00E53E2B">
        <w:t>.</w:t>
      </w:r>
    </w:p>
    <w:p w:rsidR="00BF270B" w:rsidRDefault="00D826AB" w:rsidP="00EF3629">
      <w:pPr>
        <w:pStyle w:val="BodyText"/>
      </w:pPr>
      <w:r>
        <w:t>Comparing column 1 to column 2 shows that t</w:t>
      </w:r>
      <w:r w:rsidR="00894DDF">
        <w:t xml:space="preserve">axing </w:t>
      </w:r>
      <w:r w:rsidR="006C38FB">
        <w:t>only</w:t>
      </w:r>
      <w:r w:rsidR="002D08F0">
        <w:t xml:space="preserve"> contribution</w:t>
      </w:r>
      <w:r w:rsidR="006C38FB">
        <w:t>s to savings</w:t>
      </w:r>
      <w:r w:rsidR="002D08F0">
        <w:t xml:space="preserve"> </w:t>
      </w:r>
      <w:r w:rsidR="00E53E2B">
        <w:t>(commonly described as taxed</w:t>
      </w:r>
      <w:r w:rsidR="00E53E2B">
        <w:noBreakHyphen/>
        <w:t>exempt</w:t>
      </w:r>
      <w:r w:rsidR="00E53E2B">
        <w:noBreakHyphen/>
        <w:t>exempt or TEE)</w:t>
      </w:r>
      <w:r w:rsidR="00894DDF">
        <w:t xml:space="preserve"> has the same effect as taxing </w:t>
      </w:r>
      <w:r w:rsidR="00E53E2B">
        <w:t xml:space="preserve">only </w:t>
      </w:r>
      <w:r w:rsidR="00894DDF">
        <w:t>withdrawals from savings</w:t>
      </w:r>
      <w:r w:rsidR="00E53E2B">
        <w:t xml:space="preserve"> (commonly described as exempt</w:t>
      </w:r>
      <w:r w:rsidR="00E53E2B">
        <w:noBreakHyphen/>
        <w:t>exempt</w:t>
      </w:r>
      <w:r w:rsidR="00E53E2B">
        <w:noBreakHyphen/>
        <w:t xml:space="preserve">taxed or </w:t>
      </w:r>
      <w:proofErr w:type="spellStart"/>
      <w:r w:rsidR="00E53E2B">
        <w:t>EET</w:t>
      </w:r>
      <w:proofErr w:type="spellEnd"/>
      <w:r w:rsidR="00E53E2B">
        <w:t>)</w:t>
      </w:r>
      <w:r w:rsidR="00894DDF">
        <w:t>.</w:t>
      </w:r>
      <w:r w:rsidR="00EF3629">
        <w:t xml:space="preserve"> </w:t>
      </w:r>
      <w:r w:rsidR="002D08F0">
        <w:t xml:space="preserve">Under the </w:t>
      </w:r>
      <w:proofErr w:type="spellStart"/>
      <w:r w:rsidR="002D08F0">
        <w:t>EET</w:t>
      </w:r>
      <w:proofErr w:type="spellEnd"/>
      <w:r w:rsidR="002D08F0">
        <w:t xml:space="preserve"> treatment</w:t>
      </w:r>
      <w:r w:rsidR="006C38FB">
        <w:t xml:space="preserve"> illustrated</w:t>
      </w:r>
      <w:r w:rsidR="002D08F0">
        <w:t xml:space="preserve">, upfront tax relief </w:t>
      </w:r>
      <w:r w:rsidR="002274A0">
        <w:t xml:space="preserve">on saved labour income </w:t>
      </w:r>
      <w:r w:rsidR="002D08F0">
        <w:t xml:space="preserve">means that the actual amount contributed to savings is $125 compared to $100 under the TEE treatment. As such, the gross returns under </w:t>
      </w:r>
      <w:proofErr w:type="spellStart"/>
      <w:r w:rsidR="002D08F0">
        <w:t>EET</w:t>
      </w:r>
      <w:proofErr w:type="spellEnd"/>
      <w:r w:rsidR="002D08F0">
        <w:t xml:space="preserve"> ($6.25) are higher than the gross returns under TEE ($5.00). However, the absolute value of tax paid under </w:t>
      </w:r>
      <w:proofErr w:type="spellStart"/>
      <w:r w:rsidR="002D08F0">
        <w:t>EET</w:t>
      </w:r>
      <w:proofErr w:type="spellEnd"/>
      <w:r w:rsidR="002D08F0">
        <w:t xml:space="preserve"> (</w:t>
      </w:r>
      <w:r w:rsidR="000703F2">
        <w:t>$26.25) is commensurately larger than under TEE ($25.00)</w:t>
      </w:r>
      <w:r w:rsidR="002D08F0">
        <w:t xml:space="preserve">. </w:t>
      </w:r>
      <w:r w:rsidR="000703F2">
        <w:t xml:space="preserve">Consequently, the </w:t>
      </w:r>
      <w:proofErr w:type="spellStart"/>
      <w:r w:rsidR="00EF6DA0">
        <w:t>EMTR</w:t>
      </w:r>
      <w:proofErr w:type="spellEnd"/>
      <w:r w:rsidR="000703F2">
        <w:t xml:space="preserve"> is the same</w:t>
      </w:r>
      <w:r w:rsidR="00BF270B">
        <w:t xml:space="preserve">. </w:t>
      </w:r>
      <w:r w:rsidR="000703F2">
        <w:t xml:space="preserve">Further, because the rate of tax paid under these treatments is the same as the rate of </w:t>
      </w:r>
      <w:r w:rsidR="00E25854">
        <w:t xml:space="preserve">tax on consumed labour income, </w:t>
      </w:r>
      <w:r w:rsidR="000703F2">
        <w:t>the</w:t>
      </w:r>
      <w:r w:rsidR="00E53262">
        <w:t xml:space="preserve"> </w:t>
      </w:r>
      <w:proofErr w:type="spellStart"/>
      <w:r w:rsidR="00EF6DA0">
        <w:t>EMTR</w:t>
      </w:r>
      <w:proofErr w:type="spellEnd"/>
      <w:r w:rsidR="00E53262">
        <w:t xml:space="preserve"> </w:t>
      </w:r>
      <w:r w:rsidR="000703F2">
        <w:t>for both is zero</w:t>
      </w:r>
      <w:r w:rsidR="00E53262">
        <w:t>.</w:t>
      </w:r>
    </w:p>
    <w:p w:rsidR="00C75DFD" w:rsidRDefault="00C75DFD" w:rsidP="00C75DFD">
      <w:pPr>
        <w:pStyle w:val="BodyText"/>
      </w:pPr>
      <w:r>
        <w:t xml:space="preserve">When returns are taxed in addition to contributions or withdrawals (such as </w:t>
      </w:r>
      <w:proofErr w:type="spellStart"/>
      <w:r>
        <w:t>TTE</w:t>
      </w:r>
      <w:proofErr w:type="spellEnd"/>
      <w:r>
        <w:t xml:space="preserve">, the usual tax treatment for a savings account) a positive </w:t>
      </w:r>
      <w:proofErr w:type="spellStart"/>
      <w:r>
        <w:t>EMTR</w:t>
      </w:r>
      <w:proofErr w:type="spellEnd"/>
      <w:r>
        <w:t xml:space="preserve"> results. For example, in column 3, contributions are taxed at 20 per cent and gross returns are taxed at 20 per cent as they accrue. Consequently, the </w:t>
      </w:r>
      <w:proofErr w:type="spellStart"/>
      <w:r>
        <w:t>EMTR</w:t>
      </w:r>
      <w:proofErr w:type="spellEnd"/>
      <w:r>
        <w:t xml:space="preserve"> on the return to savings is also 20 per cent.</w:t>
      </w:r>
    </w:p>
    <w:p w:rsidR="00C75DFD" w:rsidRDefault="00C75DFD" w:rsidP="00C75DFD">
      <w:pPr>
        <w:pStyle w:val="BodyText"/>
      </w:pPr>
      <w:r>
        <w:t xml:space="preserve">That said, the </w:t>
      </w:r>
      <w:proofErr w:type="spellStart"/>
      <w:r>
        <w:t>EMTR</w:t>
      </w:r>
      <w:proofErr w:type="spellEnd"/>
      <w:r>
        <w:t xml:space="preserve"> on the return to savings does not depend solely on whether the returns to savings are taxed as they accrue. The </w:t>
      </w:r>
      <w:r w:rsidRPr="00F956CD">
        <w:rPr>
          <w:i/>
        </w:rPr>
        <w:t>rate</w:t>
      </w:r>
      <w:r>
        <w:t xml:space="preserve"> of tax on contributions and withdrawals also matters. In the absence of a tax on returns as they accrue, an </w:t>
      </w:r>
      <w:proofErr w:type="spellStart"/>
      <w:r>
        <w:t>EMTR</w:t>
      </w:r>
      <w:proofErr w:type="spellEnd"/>
      <w:r>
        <w:t xml:space="preserve"> other than zero can still occur if contributions or withdrawals are subject to a tax rate different from the tax rate on consumed labour income. For example, in column 4, consumed labour income is taxed at 20 per cent, but savings are taxed (on withdrawal) at 19 per cent (a 5 per cent discount). The result is a negative </w:t>
      </w:r>
      <w:proofErr w:type="spellStart"/>
      <w:r>
        <w:t>EMTR</w:t>
      </w:r>
      <w:proofErr w:type="spellEnd"/>
      <w:r>
        <w:t xml:space="preserve">: -26.25 per cent. Similarly, in column 5, consumed labour income is taxed at 20 per cent, but savings are taxed (on withdrawal) at 21 per cent (a 5 per cent premium). In this case the result is a positive </w:t>
      </w:r>
      <w:proofErr w:type="spellStart"/>
      <w:r>
        <w:t>EMTR</w:t>
      </w:r>
      <w:proofErr w:type="spellEnd"/>
      <w:r>
        <w:t>: 26.25 per cent.</w:t>
      </w:r>
    </w:p>
    <w:p w:rsidR="00E53262" w:rsidRDefault="00E53262" w:rsidP="00E5326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1"/>
      </w:tblGrid>
      <w:tr w:rsidR="00E53262" w:rsidTr="00297840">
        <w:tc>
          <w:tcPr>
            <w:tcW w:w="8771" w:type="dxa"/>
            <w:tcBorders>
              <w:top w:val="single" w:sz="6" w:space="0" w:color="78A22F"/>
              <w:left w:val="nil"/>
              <w:bottom w:val="nil"/>
              <w:right w:val="nil"/>
            </w:tcBorders>
            <w:shd w:val="clear" w:color="auto" w:fill="auto"/>
          </w:tcPr>
          <w:p w:rsidR="00E53262" w:rsidRDefault="00E53262" w:rsidP="00297840">
            <w:pPr>
              <w:pStyle w:val="TableTitle"/>
            </w:pPr>
            <w:r>
              <w:rPr>
                <w:b w:val="0"/>
              </w:rPr>
              <w:t xml:space="preserve">Table </w:t>
            </w:r>
            <w:bookmarkStart w:id="4" w:name="OLE_LINK1"/>
            <w:r>
              <w:rPr>
                <w:b w:val="0"/>
              </w:rPr>
              <w:fldChar w:fldCharType="begin"/>
            </w:r>
            <w:r>
              <w:rPr>
                <w:b w:val="0"/>
              </w:rPr>
              <w:instrText xml:space="preserve"> SEQ Table \* ARABIC </w:instrText>
            </w:r>
            <w:r>
              <w:rPr>
                <w:b w:val="0"/>
              </w:rPr>
              <w:fldChar w:fldCharType="separate"/>
            </w:r>
            <w:r w:rsidR="00AE0C8F">
              <w:rPr>
                <w:b w:val="0"/>
                <w:noProof/>
              </w:rPr>
              <w:t>1</w:t>
            </w:r>
            <w:r>
              <w:rPr>
                <w:b w:val="0"/>
              </w:rPr>
              <w:fldChar w:fldCharType="end"/>
            </w:r>
            <w:bookmarkEnd w:id="4"/>
            <w:r>
              <w:tab/>
            </w:r>
            <w:proofErr w:type="spellStart"/>
            <w:r>
              <w:t>EMTRs</w:t>
            </w:r>
            <w:proofErr w:type="spellEnd"/>
            <w:r>
              <w:t xml:space="preserve"> under different tax treatments</w:t>
            </w:r>
          </w:p>
          <w:p w:rsidR="00E53262" w:rsidRPr="00784A05" w:rsidRDefault="00E53262" w:rsidP="00467464">
            <w:pPr>
              <w:pStyle w:val="Subtitle"/>
            </w:pPr>
            <w:r>
              <w:t xml:space="preserve">Comparison of treatments with a 20% </w:t>
            </w:r>
            <w:r w:rsidR="00BA14B5">
              <w:t xml:space="preserve">income </w:t>
            </w:r>
            <w:r>
              <w:t>tax over 1 year</w:t>
            </w:r>
            <w:r w:rsidR="00467464">
              <w:rPr>
                <w:rStyle w:val="NoteLabel"/>
              </w:rPr>
              <w:t>a</w:t>
            </w:r>
          </w:p>
        </w:tc>
      </w:tr>
      <w:tr w:rsidR="00E53262" w:rsidTr="00297840">
        <w:trPr>
          <w:cantSplit/>
        </w:trPr>
        <w:tc>
          <w:tcPr>
            <w:tcW w:w="8771" w:type="dxa"/>
            <w:tcBorders>
              <w:top w:val="nil"/>
              <w:left w:val="nil"/>
              <w:bottom w:val="nil"/>
              <w:right w:val="nil"/>
            </w:tcBorders>
            <w:shd w:val="clear" w:color="auto" w:fill="auto"/>
          </w:tcPr>
          <w:tbl>
            <w:tblPr>
              <w:tblW w:w="8507" w:type="dxa"/>
              <w:tblCellMar>
                <w:top w:w="28" w:type="dxa"/>
                <w:left w:w="0" w:type="dxa"/>
                <w:right w:w="0" w:type="dxa"/>
              </w:tblCellMar>
              <w:tblLook w:val="0000" w:firstRow="0" w:lastRow="0" w:firstColumn="0" w:lastColumn="0" w:noHBand="0" w:noVBand="0"/>
            </w:tblPr>
            <w:tblGrid>
              <w:gridCol w:w="4335"/>
              <w:gridCol w:w="715"/>
              <w:gridCol w:w="670"/>
              <w:gridCol w:w="670"/>
              <w:gridCol w:w="1033"/>
              <w:gridCol w:w="68"/>
              <w:gridCol w:w="1016"/>
            </w:tblGrid>
            <w:tr w:rsidR="003E3B76" w:rsidTr="00B367CB">
              <w:tc>
                <w:tcPr>
                  <w:tcW w:w="2548" w:type="pct"/>
                  <w:tcBorders>
                    <w:top w:val="single" w:sz="6" w:space="0" w:color="BFBFBF"/>
                    <w:bottom w:val="single" w:sz="6" w:space="0" w:color="BFBFBF"/>
                  </w:tcBorders>
                  <w:shd w:val="clear" w:color="auto" w:fill="auto"/>
                  <w:tcMar>
                    <w:top w:w="28" w:type="dxa"/>
                  </w:tcMar>
                </w:tcPr>
                <w:p w:rsidR="009E2952" w:rsidRDefault="009E2952" w:rsidP="00297840">
                  <w:pPr>
                    <w:pStyle w:val="TableColumnHeading"/>
                    <w:jc w:val="left"/>
                  </w:pPr>
                  <w:r>
                    <w:t>Column number</w:t>
                  </w:r>
                </w:p>
              </w:tc>
              <w:tc>
                <w:tcPr>
                  <w:tcW w:w="420" w:type="pct"/>
                  <w:tcBorders>
                    <w:top w:val="single" w:sz="6" w:space="0" w:color="BFBFBF"/>
                    <w:bottom w:val="single" w:sz="6" w:space="0" w:color="BFBFBF"/>
                  </w:tcBorders>
                  <w:shd w:val="clear" w:color="auto" w:fill="auto"/>
                  <w:tcMar>
                    <w:top w:w="28" w:type="dxa"/>
                  </w:tcMar>
                  <w:vAlign w:val="bottom"/>
                </w:tcPr>
                <w:p w:rsidR="009E2952" w:rsidRDefault="009E2952" w:rsidP="00617ED7">
                  <w:pPr>
                    <w:pStyle w:val="TableColumnHeading"/>
                  </w:pPr>
                  <w:r>
                    <w:t>1</w:t>
                  </w:r>
                </w:p>
              </w:tc>
              <w:tc>
                <w:tcPr>
                  <w:tcW w:w="394" w:type="pct"/>
                  <w:tcBorders>
                    <w:top w:val="single" w:sz="6" w:space="0" w:color="BFBFBF"/>
                    <w:bottom w:val="single" w:sz="6" w:space="0" w:color="BFBFBF"/>
                  </w:tcBorders>
                  <w:vAlign w:val="bottom"/>
                </w:tcPr>
                <w:p w:rsidR="009E2952" w:rsidRDefault="009E2952" w:rsidP="00617ED7">
                  <w:pPr>
                    <w:pStyle w:val="TableColumnHeading"/>
                  </w:pPr>
                  <w:r>
                    <w:t>2</w:t>
                  </w:r>
                </w:p>
              </w:tc>
              <w:tc>
                <w:tcPr>
                  <w:tcW w:w="394" w:type="pct"/>
                  <w:tcBorders>
                    <w:top w:val="single" w:sz="6" w:space="0" w:color="BFBFBF"/>
                    <w:bottom w:val="single" w:sz="6" w:space="0" w:color="BFBFBF"/>
                  </w:tcBorders>
                  <w:vAlign w:val="bottom"/>
                </w:tcPr>
                <w:p w:rsidR="009E2952" w:rsidRDefault="009E2952" w:rsidP="00617ED7">
                  <w:pPr>
                    <w:pStyle w:val="TableColumnHeading"/>
                  </w:pPr>
                  <w:r>
                    <w:t>3</w:t>
                  </w:r>
                </w:p>
              </w:tc>
              <w:tc>
                <w:tcPr>
                  <w:tcW w:w="647" w:type="pct"/>
                  <w:gridSpan w:val="2"/>
                  <w:tcBorders>
                    <w:top w:val="single" w:sz="6" w:space="0" w:color="BFBFBF"/>
                    <w:bottom w:val="single" w:sz="6" w:space="0" w:color="BFBFBF"/>
                  </w:tcBorders>
                  <w:vAlign w:val="bottom"/>
                </w:tcPr>
                <w:p w:rsidR="009E2952" w:rsidRDefault="009E2952" w:rsidP="00B367CB">
                  <w:pPr>
                    <w:pStyle w:val="TableColumnHeading"/>
                    <w:spacing w:before="20"/>
                    <w:ind w:right="135"/>
                  </w:pPr>
                  <w:r>
                    <w:t>4</w:t>
                  </w:r>
                </w:p>
              </w:tc>
              <w:tc>
                <w:tcPr>
                  <w:tcW w:w="597" w:type="pct"/>
                  <w:tcBorders>
                    <w:top w:val="single" w:sz="6" w:space="0" w:color="BFBFBF"/>
                    <w:bottom w:val="single" w:sz="6" w:space="0" w:color="BFBFBF"/>
                  </w:tcBorders>
                  <w:vAlign w:val="bottom"/>
                </w:tcPr>
                <w:p w:rsidR="009E2952" w:rsidRDefault="009E2952" w:rsidP="00617ED7">
                  <w:pPr>
                    <w:pStyle w:val="TableColumnHeading"/>
                    <w:spacing w:before="20"/>
                    <w:ind w:right="28"/>
                  </w:pPr>
                  <w:r>
                    <w:t>5</w:t>
                  </w:r>
                </w:p>
              </w:tc>
            </w:tr>
            <w:tr w:rsidR="003E3B76" w:rsidTr="00B367CB">
              <w:tc>
                <w:tcPr>
                  <w:tcW w:w="2548" w:type="pct"/>
                  <w:tcBorders>
                    <w:top w:val="single" w:sz="6" w:space="0" w:color="BFBFBF"/>
                    <w:bottom w:val="single" w:sz="6" w:space="0" w:color="BFBFBF"/>
                  </w:tcBorders>
                  <w:shd w:val="clear" w:color="auto" w:fill="auto"/>
                  <w:tcMar>
                    <w:top w:w="28" w:type="dxa"/>
                  </w:tcMar>
                </w:tcPr>
                <w:p w:rsidR="00E53262" w:rsidRDefault="00E53262" w:rsidP="00297840">
                  <w:pPr>
                    <w:pStyle w:val="TableColumnHeading"/>
                    <w:jc w:val="left"/>
                  </w:pPr>
                  <w:r>
                    <w:t>Tax treatment</w:t>
                  </w:r>
                </w:p>
              </w:tc>
              <w:tc>
                <w:tcPr>
                  <w:tcW w:w="420" w:type="pct"/>
                  <w:tcBorders>
                    <w:top w:val="single" w:sz="6" w:space="0" w:color="BFBFBF"/>
                    <w:bottom w:val="single" w:sz="6" w:space="0" w:color="BFBFBF"/>
                  </w:tcBorders>
                  <w:shd w:val="clear" w:color="auto" w:fill="auto"/>
                  <w:tcMar>
                    <w:top w:w="28" w:type="dxa"/>
                  </w:tcMar>
                </w:tcPr>
                <w:p w:rsidR="00E53262" w:rsidRDefault="00E53262" w:rsidP="00297840">
                  <w:pPr>
                    <w:pStyle w:val="TableColumnHeading"/>
                  </w:pPr>
                  <w:r>
                    <w:t>TEE</w:t>
                  </w:r>
                </w:p>
              </w:tc>
              <w:tc>
                <w:tcPr>
                  <w:tcW w:w="394" w:type="pct"/>
                  <w:tcBorders>
                    <w:top w:val="single" w:sz="6" w:space="0" w:color="BFBFBF"/>
                    <w:bottom w:val="single" w:sz="6" w:space="0" w:color="BFBFBF"/>
                  </w:tcBorders>
                </w:tcPr>
                <w:p w:rsidR="00E53262" w:rsidRDefault="00E53262" w:rsidP="00297840">
                  <w:pPr>
                    <w:pStyle w:val="TableColumnHeading"/>
                  </w:pPr>
                  <w:proofErr w:type="spellStart"/>
                  <w:r>
                    <w:t>EET</w:t>
                  </w:r>
                  <w:proofErr w:type="spellEnd"/>
                </w:p>
              </w:tc>
              <w:tc>
                <w:tcPr>
                  <w:tcW w:w="394" w:type="pct"/>
                  <w:tcBorders>
                    <w:top w:val="single" w:sz="6" w:space="0" w:color="BFBFBF"/>
                    <w:bottom w:val="single" w:sz="6" w:space="0" w:color="BFBFBF"/>
                  </w:tcBorders>
                </w:tcPr>
                <w:p w:rsidR="00E53262" w:rsidRDefault="00E53262" w:rsidP="00297840">
                  <w:pPr>
                    <w:pStyle w:val="TableColumnHeading"/>
                  </w:pPr>
                  <w:proofErr w:type="spellStart"/>
                  <w:r>
                    <w:t>TTE</w:t>
                  </w:r>
                  <w:proofErr w:type="spellEnd"/>
                </w:p>
              </w:tc>
              <w:tc>
                <w:tcPr>
                  <w:tcW w:w="607" w:type="pct"/>
                  <w:tcBorders>
                    <w:top w:val="single" w:sz="6" w:space="0" w:color="BFBFBF"/>
                    <w:bottom w:val="single" w:sz="6" w:space="0" w:color="BFBFBF"/>
                  </w:tcBorders>
                </w:tcPr>
                <w:p w:rsidR="00E53262" w:rsidRDefault="00E53262" w:rsidP="005B2D57">
                  <w:pPr>
                    <w:pStyle w:val="TableColumnHeading"/>
                    <w:spacing w:before="20"/>
                    <w:ind w:right="0"/>
                  </w:pPr>
                  <w:proofErr w:type="spellStart"/>
                  <w:r>
                    <w:t>EET</w:t>
                  </w:r>
                  <w:proofErr w:type="spellEnd"/>
                  <w:r>
                    <w:t xml:space="preserve"> (5% tax discount)</w:t>
                  </w:r>
                </w:p>
              </w:tc>
              <w:tc>
                <w:tcPr>
                  <w:tcW w:w="637" w:type="pct"/>
                  <w:gridSpan w:val="2"/>
                  <w:tcBorders>
                    <w:top w:val="single" w:sz="6" w:space="0" w:color="BFBFBF"/>
                    <w:bottom w:val="single" w:sz="6" w:space="0" w:color="BFBFBF"/>
                  </w:tcBorders>
                </w:tcPr>
                <w:p w:rsidR="00E53262" w:rsidRDefault="00E53262" w:rsidP="005B2D57">
                  <w:pPr>
                    <w:pStyle w:val="TableColumnHeading"/>
                    <w:spacing w:before="20"/>
                    <w:ind w:right="28"/>
                  </w:pPr>
                  <w:proofErr w:type="spellStart"/>
                  <w:r>
                    <w:t>EET</w:t>
                  </w:r>
                  <w:proofErr w:type="spellEnd"/>
                  <w:r>
                    <w:t xml:space="preserve"> (5% tax premium)</w:t>
                  </w:r>
                </w:p>
              </w:tc>
            </w:tr>
            <w:tr w:rsidR="003E3B76" w:rsidTr="00B367CB">
              <w:tc>
                <w:tcPr>
                  <w:tcW w:w="2548" w:type="pct"/>
                  <w:tcBorders>
                    <w:top w:val="single" w:sz="6" w:space="0" w:color="BFBFBF"/>
                  </w:tcBorders>
                </w:tcPr>
                <w:p w:rsidR="005B2D57" w:rsidRDefault="00F232D3" w:rsidP="00F232D3">
                  <w:pPr>
                    <w:pStyle w:val="TableBodyText"/>
                    <w:jc w:val="left"/>
                  </w:pPr>
                  <w:r>
                    <w:t>Tax rate on consumed labour income</w:t>
                  </w:r>
                  <w:r w:rsidR="00F07811">
                    <w:t xml:space="preserve"> (%)</w:t>
                  </w:r>
                </w:p>
                <w:p w:rsidR="00F232D3" w:rsidRDefault="00F232D3" w:rsidP="00F232D3">
                  <w:pPr>
                    <w:pStyle w:val="TableBodyText"/>
                    <w:jc w:val="left"/>
                  </w:pPr>
                  <w:r>
                    <w:t>(</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w:t>
                  </w:r>
                </w:p>
              </w:tc>
              <w:tc>
                <w:tcPr>
                  <w:tcW w:w="420" w:type="pct"/>
                  <w:tcBorders>
                    <w:top w:val="single" w:sz="6" w:space="0" w:color="BFBFBF"/>
                  </w:tcBorders>
                  <w:vAlign w:val="bottom"/>
                </w:tcPr>
                <w:p w:rsidR="00F232D3" w:rsidRDefault="00F232D3" w:rsidP="003E3B76">
                  <w:pPr>
                    <w:pStyle w:val="TableBodyText"/>
                  </w:pPr>
                  <w:r>
                    <w:t>20</w:t>
                  </w:r>
                </w:p>
              </w:tc>
              <w:tc>
                <w:tcPr>
                  <w:tcW w:w="394" w:type="pct"/>
                  <w:tcBorders>
                    <w:top w:val="single" w:sz="6" w:space="0" w:color="BFBFBF"/>
                  </w:tcBorders>
                  <w:vAlign w:val="bottom"/>
                </w:tcPr>
                <w:p w:rsidR="00F232D3" w:rsidRDefault="00F232D3" w:rsidP="003E3B76">
                  <w:pPr>
                    <w:pStyle w:val="TableBodyText"/>
                  </w:pPr>
                  <w:r>
                    <w:t>20</w:t>
                  </w:r>
                </w:p>
              </w:tc>
              <w:tc>
                <w:tcPr>
                  <w:tcW w:w="394" w:type="pct"/>
                  <w:tcBorders>
                    <w:top w:val="single" w:sz="6" w:space="0" w:color="BFBFBF"/>
                  </w:tcBorders>
                  <w:vAlign w:val="bottom"/>
                </w:tcPr>
                <w:p w:rsidR="00F232D3" w:rsidRDefault="00F232D3" w:rsidP="003E3B76">
                  <w:pPr>
                    <w:pStyle w:val="TableBodyText"/>
                  </w:pPr>
                  <w:r>
                    <w:t>20</w:t>
                  </w:r>
                </w:p>
              </w:tc>
              <w:tc>
                <w:tcPr>
                  <w:tcW w:w="607" w:type="pct"/>
                  <w:tcBorders>
                    <w:top w:val="single" w:sz="6" w:space="0" w:color="BFBFBF"/>
                  </w:tcBorders>
                  <w:vAlign w:val="bottom"/>
                </w:tcPr>
                <w:p w:rsidR="00F232D3" w:rsidRDefault="00F232D3" w:rsidP="003E3B76">
                  <w:pPr>
                    <w:pStyle w:val="TableBodyText"/>
                  </w:pPr>
                  <w:r>
                    <w:t>20</w:t>
                  </w:r>
                </w:p>
              </w:tc>
              <w:tc>
                <w:tcPr>
                  <w:tcW w:w="637" w:type="pct"/>
                  <w:gridSpan w:val="2"/>
                  <w:tcBorders>
                    <w:top w:val="single" w:sz="6" w:space="0" w:color="BFBFBF"/>
                  </w:tcBorders>
                  <w:vAlign w:val="bottom"/>
                </w:tcPr>
                <w:p w:rsidR="00F232D3" w:rsidRDefault="00F232D3" w:rsidP="003E3B76">
                  <w:pPr>
                    <w:pStyle w:val="TableBodyText"/>
                  </w:pPr>
                  <w:r>
                    <w:t>20</w:t>
                  </w:r>
                </w:p>
              </w:tc>
            </w:tr>
            <w:tr w:rsidR="003E3B76" w:rsidTr="00B367CB">
              <w:tc>
                <w:tcPr>
                  <w:tcW w:w="2548" w:type="pct"/>
                  <w:vAlign w:val="bottom"/>
                </w:tcPr>
                <w:p w:rsidR="00F07811" w:rsidRDefault="00F232D3" w:rsidP="003E3B76">
                  <w:pPr>
                    <w:pStyle w:val="TableBodyText"/>
                    <w:jc w:val="left"/>
                  </w:pPr>
                  <w:r>
                    <w:t>Tax rate on saved labour income</w:t>
                  </w:r>
                  <w:r w:rsidR="00F07811">
                    <w:t xml:space="preserve"> (%)</w:t>
                  </w:r>
                </w:p>
                <w:p w:rsidR="00F232D3" w:rsidRDefault="00F232D3" w:rsidP="003E3B76">
                  <w:pPr>
                    <w:pStyle w:val="TableBodyText"/>
                    <w:jc w:val="left"/>
                  </w:pPr>
                  <w:r>
                    <w:t>(</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w:t>
                  </w:r>
                </w:p>
              </w:tc>
              <w:tc>
                <w:tcPr>
                  <w:tcW w:w="420" w:type="pct"/>
                  <w:vAlign w:val="bottom"/>
                </w:tcPr>
                <w:p w:rsidR="00F232D3" w:rsidRDefault="00F232D3" w:rsidP="003E3B76">
                  <w:pPr>
                    <w:pStyle w:val="TableBodyText"/>
                  </w:pPr>
                  <w:r>
                    <w:t>20</w:t>
                  </w:r>
                </w:p>
              </w:tc>
              <w:tc>
                <w:tcPr>
                  <w:tcW w:w="394" w:type="pct"/>
                  <w:vAlign w:val="bottom"/>
                </w:tcPr>
                <w:p w:rsidR="00F232D3" w:rsidRDefault="00F232D3" w:rsidP="003E3B76">
                  <w:pPr>
                    <w:pStyle w:val="TableBodyText"/>
                  </w:pPr>
                  <w:r>
                    <w:t>0</w:t>
                  </w:r>
                </w:p>
              </w:tc>
              <w:tc>
                <w:tcPr>
                  <w:tcW w:w="394" w:type="pct"/>
                  <w:vAlign w:val="bottom"/>
                </w:tcPr>
                <w:p w:rsidR="00F232D3" w:rsidRDefault="00F232D3" w:rsidP="003E3B76">
                  <w:pPr>
                    <w:pStyle w:val="TableBodyText"/>
                  </w:pPr>
                  <w:r>
                    <w:t>20</w:t>
                  </w:r>
                </w:p>
              </w:tc>
              <w:tc>
                <w:tcPr>
                  <w:tcW w:w="607" w:type="pct"/>
                  <w:vAlign w:val="bottom"/>
                </w:tcPr>
                <w:p w:rsidR="00F232D3" w:rsidRDefault="00F232D3" w:rsidP="003E3B76">
                  <w:pPr>
                    <w:pStyle w:val="TableBodyText"/>
                  </w:pPr>
                  <w:r>
                    <w:t>0</w:t>
                  </w:r>
                </w:p>
              </w:tc>
              <w:tc>
                <w:tcPr>
                  <w:tcW w:w="637" w:type="pct"/>
                  <w:gridSpan w:val="2"/>
                  <w:vAlign w:val="bottom"/>
                </w:tcPr>
                <w:p w:rsidR="00F232D3" w:rsidRDefault="00F232D3" w:rsidP="003E3B76">
                  <w:pPr>
                    <w:pStyle w:val="TableBodyText"/>
                  </w:pPr>
                  <w:r>
                    <w:t>0</w:t>
                  </w:r>
                </w:p>
              </w:tc>
            </w:tr>
            <w:tr w:rsidR="003E3B76" w:rsidTr="00B367CB">
              <w:tc>
                <w:tcPr>
                  <w:tcW w:w="2548" w:type="pct"/>
                  <w:vAlign w:val="bottom"/>
                </w:tcPr>
                <w:p w:rsidR="00F07811" w:rsidRDefault="00F232D3" w:rsidP="003E3B76">
                  <w:pPr>
                    <w:pStyle w:val="TableBodyText"/>
                    <w:jc w:val="left"/>
                  </w:pPr>
                  <w:r>
                    <w:t xml:space="preserve">Tax rate on returns </w:t>
                  </w:r>
                  <w:r w:rsidR="00F07811">
                    <w:t>(%)</w:t>
                  </w:r>
                </w:p>
                <w:p w:rsidR="00F232D3" w:rsidRDefault="00F232D3" w:rsidP="003E3B76">
                  <w:pPr>
                    <w:pStyle w:val="TableBodyText"/>
                    <w:jc w:val="left"/>
                  </w:pPr>
                  <w:r>
                    <w:t>(</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w:t>
                  </w:r>
                </w:p>
              </w:tc>
              <w:tc>
                <w:tcPr>
                  <w:tcW w:w="420" w:type="pct"/>
                  <w:vAlign w:val="bottom"/>
                </w:tcPr>
                <w:p w:rsidR="00F232D3" w:rsidRDefault="00F232D3" w:rsidP="003E3B76">
                  <w:pPr>
                    <w:pStyle w:val="TableUnitsRow"/>
                  </w:pPr>
                  <w:r>
                    <w:t>0</w:t>
                  </w:r>
                </w:p>
              </w:tc>
              <w:tc>
                <w:tcPr>
                  <w:tcW w:w="394" w:type="pct"/>
                  <w:vAlign w:val="bottom"/>
                </w:tcPr>
                <w:p w:rsidR="00F232D3" w:rsidRDefault="00F232D3" w:rsidP="003E3B76">
                  <w:pPr>
                    <w:pStyle w:val="TableUnitsRow"/>
                  </w:pPr>
                  <w:r>
                    <w:t>0</w:t>
                  </w:r>
                </w:p>
              </w:tc>
              <w:tc>
                <w:tcPr>
                  <w:tcW w:w="394" w:type="pct"/>
                  <w:vAlign w:val="bottom"/>
                </w:tcPr>
                <w:p w:rsidR="00F232D3" w:rsidRDefault="00F232D3" w:rsidP="003E3B76">
                  <w:pPr>
                    <w:pStyle w:val="TableUnitsRow"/>
                  </w:pPr>
                  <w:r>
                    <w:t>20</w:t>
                  </w:r>
                </w:p>
              </w:tc>
              <w:tc>
                <w:tcPr>
                  <w:tcW w:w="607" w:type="pct"/>
                  <w:vAlign w:val="bottom"/>
                </w:tcPr>
                <w:p w:rsidR="00F232D3" w:rsidRDefault="00F232D3" w:rsidP="003E3B76">
                  <w:pPr>
                    <w:pStyle w:val="TableUnitsRow"/>
                  </w:pPr>
                  <w:r>
                    <w:t>0</w:t>
                  </w:r>
                </w:p>
              </w:tc>
              <w:tc>
                <w:tcPr>
                  <w:tcW w:w="637" w:type="pct"/>
                  <w:gridSpan w:val="2"/>
                  <w:vAlign w:val="bottom"/>
                </w:tcPr>
                <w:p w:rsidR="00F232D3" w:rsidRDefault="00F232D3" w:rsidP="003E3B76">
                  <w:pPr>
                    <w:pStyle w:val="TableUnitsRow"/>
                  </w:pPr>
                  <w:r>
                    <w:t>0</w:t>
                  </w:r>
                </w:p>
              </w:tc>
            </w:tr>
            <w:tr w:rsidR="003E3B76" w:rsidTr="00B367CB">
              <w:tc>
                <w:tcPr>
                  <w:tcW w:w="2548" w:type="pct"/>
                  <w:vAlign w:val="bottom"/>
                </w:tcPr>
                <w:p w:rsidR="00F07811" w:rsidRDefault="00F232D3" w:rsidP="003E3B76">
                  <w:pPr>
                    <w:pStyle w:val="TableBodyText"/>
                    <w:jc w:val="left"/>
                  </w:pPr>
                  <w:r>
                    <w:t>Tax rate on withdrawal</w:t>
                  </w:r>
                  <w:r w:rsidR="00F07811">
                    <w:t xml:space="preserve"> (%)</w:t>
                  </w:r>
                </w:p>
                <w:p w:rsidR="00F232D3" w:rsidRDefault="00F232D3" w:rsidP="003E3B76">
                  <w:pPr>
                    <w:pStyle w:val="TableBodyText"/>
                    <w:jc w:val="left"/>
                  </w:pPr>
                  <w:r>
                    <w:t>(</w:t>
                  </w:r>
                  <m:oMath>
                    <m:sSub>
                      <m:sSubPr>
                        <m:ctrlPr>
                          <w:rPr>
                            <w:rFonts w:ascii="Cambria Math" w:hAnsi="Cambria Math"/>
                            <w:i/>
                          </w:rPr>
                        </m:ctrlPr>
                      </m:sSubPr>
                      <m:e>
                        <m:r>
                          <w:rPr>
                            <w:rFonts w:ascii="Cambria Math" w:hAnsi="Cambria Math"/>
                          </w:rPr>
                          <m:t>t</m:t>
                        </m:r>
                      </m:e>
                      <m:sub>
                        <m:r>
                          <w:rPr>
                            <w:rFonts w:ascii="Cambria Math" w:hAnsi="Cambria Math"/>
                          </w:rPr>
                          <m:t>w</m:t>
                        </m:r>
                      </m:sub>
                    </m:sSub>
                  </m:oMath>
                  <w:r>
                    <w:t>)</w:t>
                  </w:r>
                </w:p>
              </w:tc>
              <w:tc>
                <w:tcPr>
                  <w:tcW w:w="420" w:type="pct"/>
                  <w:vAlign w:val="bottom"/>
                </w:tcPr>
                <w:p w:rsidR="00F232D3" w:rsidRDefault="00F232D3" w:rsidP="003E3B76">
                  <w:pPr>
                    <w:pStyle w:val="TableUnitsRow"/>
                  </w:pPr>
                  <w:r>
                    <w:t>0</w:t>
                  </w:r>
                </w:p>
              </w:tc>
              <w:tc>
                <w:tcPr>
                  <w:tcW w:w="394" w:type="pct"/>
                  <w:vAlign w:val="bottom"/>
                </w:tcPr>
                <w:p w:rsidR="00F232D3" w:rsidRDefault="00F232D3" w:rsidP="003E3B76">
                  <w:pPr>
                    <w:pStyle w:val="TableUnitsRow"/>
                  </w:pPr>
                  <w:r>
                    <w:t>20</w:t>
                  </w:r>
                </w:p>
              </w:tc>
              <w:tc>
                <w:tcPr>
                  <w:tcW w:w="394" w:type="pct"/>
                  <w:vAlign w:val="bottom"/>
                </w:tcPr>
                <w:p w:rsidR="00F232D3" w:rsidRDefault="00F232D3" w:rsidP="003E3B76">
                  <w:pPr>
                    <w:pStyle w:val="TableUnitsRow"/>
                  </w:pPr>
                  <w:r>
                    <w:t>0</w:t>
                  </w:r>
                </w:p>
              </w:tc>
              <w:tc>
                <w:tcPr>
                  <w:tcW w:w="607" w:type="pct"/>
                  <w:vAlign w:val="bottom"/>
                </w:tcPr>
                <w:p w:rsidR="00F232D3" w:rsidRDefault="00F232D3" w:rsidP="003E3B76">
                  <w:pPr>
                    <w:pStyle w:val="TableUnitsRow"/>
                  </w:pPr>
                  <w:r>
                    <w:t>19</w:t>
                  </w:r>
                </w:p>
              </w:tc>
              <w:tc>
                <w:tcPr>
                  <w:tcW w:w="637" w:type="pct"/>
                  <w:gridSpan w:val="2"/>
                  <w:vAlign w:val="bottom"/>
                </w:tcPr>
                <w:p w:rsidR="00F232D3" w:rsidRDefault="00F232D3" w:rsidP="003E3B76">
                  <w:pPr>
                    <w:pStyle w:val="TableUnitsRow"/>
                  </w:pPr>
                  <w:r>
                    <w:t>21</w:t>
                  </w:r>
                </w:p>
              </w:tc>
            </w:tr>
            <w:tr w:rsidR="003E3B76" w:rsidTr="00B367CB">
              <w:tc>
                <w:tcPr>
                  <w:tcW w:w="2548" w:type="pct"/>
                  <w:vAlign w:val="bottom"/>
                </w:tcPr>
                <w:p w:rsidR="00F07811" w:rsidRDefault="00F232D3" w:rsidP="003E3B76">
                  <w:pPr>
                    <w:pStyle w:val="TableBodyText"/>
                    <w:jc w:val="left"/>
                  </w:pPr>
                  <w:r>
                    <w:t xml:space="preserve">Nominal rate of return </w:t>
                  </w:r>
                  <w:r w:rsidR="00F07811">
                    <w:t>(%)</w:t>
                  </w:r>
                </w:p>
                <w:p w:rsidR="00F232D3" w:rsidRDefault="00F232D3" w:rsidP="003E3B76">
                  <w:pPr>
                    <w:pStyle w:val="TableBodyText"/>
                    <w:jc w:val="left"/>
                  </w:pPr>
                  <w:r>
                    <w:t>(</w:t>
                  </w:r>
                  <m:oMath>
                    <m:r>
                      <w:rPr>
                        <w:rFonts w:ascii="Cambria Math" w:hAnsi="Cambria Math"/>
                      </w:rPr>
                      <m:t>i</m:t>
                    </m:r>
                  </m:oMath>
                  <w:r>
                    <w:t>)</w:t>
                  </w:r>
                </w:p>
              </w:tc>
              <w:tc>
                <w:tcPr>
                  <w:tcW w:w="420" w:type="pct"/>
                  <w:vAlign w:val="bottom"/>
                </w:tcPr>
                <w:p w:rsidR="00F232D3" w:rsidRDefault="00F232D3" w:rsidP="003E3B76">
                  <w:pPr>
                    <w:pStyle w:val="TableUnitsRow"/>
                  </w:pPr>
                  <w:r>
                    <w:t>5</w:t>
                  </w:r>
                </w:p>
              </w:tc>
              <w:tc>
                <w:tcPr>
                  <w:tcW w:w="394" w:type="pct"/>
                  <w:vAlign w:val="bottom"/>
                </w:tcPr>
                <w:p w:rsidR="00F232D3" w:rsidRDefault="00F232D3" w:rsidP="003E3B76">
                  <w:pPr>
                    <w:pStyle w:val="TableUnitsRow"/>
                  </w:pPr>
                  <w:r>
                    <w:t>5</w:t>
                  </w:r>
                </w:p>
              </w:tc>
              <w:tc>
                <w:tcPr>
                  <w:tcW w:w="394" w:type="pct"/>
                  <w:vAlign w:val="bottom"/>
                </w:tcPr>
                <w:p w:rsidR="00F232D3" w:rsidRDefault="00F232D3" w:rsidP="003E3B76">
                  <w:pPr>
                    <w:pStyle w:val="TableUnitsRow"/>
                  </w:pPr>
                  <w:r>
                    <w:t>5</w:t>
                  </w:r>
                </w:p>
              </w:tc>
              <w:tc>
                <w:tcPr>
                  <w:tcW w:w="607" w:type="pct"/>
                  <w:vAlign w:val="bottom"/>
                </w:tcPr>
                <w:p w:rsidR="00F232D3" w:rsidRDefault="00F232D3" w:rsidP="003E3B76">
                  <w:pPr>
                    <w:pStyle w:val="TableUnitsRow"/>
                  </w:pPr>
                  <w:r>
                    <w:t>5</w:t>
                  </w:r>
                </w:p>
              </w:tc>
              <w:tc>
                <w:tcPr>
                  <w:tcW w:w="637" w:type="pct"/>
                  <w:gridSpan w:val="2"/>
                  <w:vAlign w:val="bottom"/>
                </w:tcPr>
                <w:p w:rsidR="00F232D3" w:rsidRDefault="00F232D3" w:rsidP="003E3B76">
                  <w:pPr>
                    <w:pStyle w:val="TableUnitsRow"/>
                  </w:pPr>
                  <w:r>
                    <w:t>5</w:t>
                  </w:r>
                </w:p>
              </w:tc>
            </w:tr>
            <w:tr w:rsidR="003E3B76" w:rsidTr="00B367CB">
              <w:tc>
                <w:tcPr>
                  <w:tcW w:w="2548" w:type="pct"/>
                  <w:vAlign w:val="bottom"/>
                </w:tcPr>
                <w:p w:rsidR="003E3B76" w:rsidRDefault="003E3B76" w:rsidP="003E3B76">
                  <w:pPr>
                    <w:pStyle w:val="TableUnitsRow"/>
                    <w:jc w:val="left"/>
                  </w:pPr>
                  <w:r>
                    <w:t>Incremental c</w:t>
                  </w:r>
                  <w:r w:rsidR="00F232D3">
                    <w:t>ontribution from taxed labour income</w:t>
                  </w:r>
                </w:p>
                <w:p w:rsidR="00F232D3" w:rsidRDefault="00F232D3" w:rsidP="003E3B76">
                  <w:pPr>
                    <w:pStyle w:val="TableUnitsRow"/>
                    <w:jc w:val="left"/>
                  </w:pPr>
                  <w:r>
                    <w:t>(</w:t>
                  </w:r>
                  <m:oMath>
                    <m:r>
                      <w:rPr>
                        <w:rFonts w:ascii="Cambria Math" w:hAnsi="Cambria Math"/>
                      </w:rPr>
                      <m:t>c</m:t>
                    </m:r>
                  </m:oMath>
                  <w:r>
                    <w:t>)</w:t>
                  </w:r>
                </w:p>
              </w:tc>
              <w:tc>
                <w:tcPr>
                  <w:tcW w:w="420" w:type="pct"/>
                  <w:vAlign w:val="bottom"/>
                </w:tcPr>
                <w:p w:rsidR="00F232D3" w:rsidRDefault="00F232D3" w:rsidP="003E3B76">
                  <w:pPr>
                    <w:pStyle w:val="TableUnitsRow"/>
                  </w:pPr>
                  <w:r>
                    <w:t>100</w:t>
                  </w:r>
                </w:p>
              </w:tc>
              <w:tc>
                <w:tcPr>
                  <w:tcW w:w="394" w:type="pct"/>
                  <w:vAlign w:val="bottom"/>
                </w:tcPr>
                <w:p w:rsidR="00F232D3" w:rsidRDefault="00F232D3" w:rsidP="003E3B76">
                  <w:pPr>
                    <w:pStyle w:val="TableUnitsRow"/>
                  </w:pPr>
                  <w:r>
                    <w:t>100</w:t>
                  </w:r>
                </w:p>
              </w:tc>
              <w:tc>
                <w:tcPr>
                  <w:tcW w:w="394" w:type="pct"/>
                  <w:vAlign w:val="bottom"/>
                </w:tcPr>
                <w:p w:rsidR="00F232D3" w:rsidRDefault="00F232D3" w:rsidP="003E3B76">
                  <w:pPr>
                    <w:pStyle w:val="TableUnitsRow"/>
                  </w:pPr>
                  <w:r>
                    <w:t>100</w:t>
                  </w:r>
                </w:p>
              </w:tc>
              <w:tc>
                <w:tcPr>
                  <w:tcW w:w="607" w:type="pct"/>
                  <w:vAlign w:val="bottom"/>
                </w:tcPr>
                <w:p w:rsidR="00F232D3" w:rsidRDefault="00F232D3" w:rsidP="003E3B76">
                  <w:pPr>
                    <w:pStyle w:val="TableUnitsRow"/>
                  </w:pPr>
                  <w:r>
                    <w:t>100</w:t>
                  </w:r>
                </w:p>
              </w:tc>
              <w:tc>
                <w:tcPr>
                  <w:tcW w:w="637" w:type="pct"/>
                  <w:gridSpan w:val="2"/>
                  <w:vAlign w:val="bottom"/>
                </w:tcPr>
                <w:p w:rsidR="00F232D3" w:rsidRDefault="00F232D3" w:rsidP="003E3B76">
                  <w:pPr>
                    <w:pStyle w:val="TableUnitsRow"/>
                  </w:pPr>
                  <w:r>
                    <w:t>100</w:t>
                  </w:r>
                </w:p>
              </w:tc>
            </w:tr>
            <w:tr w:rsidR="003E3B76" w:rsidTr="00B367CB">
              <w:tc>
                <w:tcPr>
                  <w:tcW w:w="2548" w:type="pct"/>
                  <w:vAlign w:val="bottom"/>
                </w:tcPr>
                <w:p w:rsidR="00F232D3" w:rsidRDefault="00F232D3" w:rsidP="003E3B76">
                  <w:pPr>
                    <w:pStyle w:val="TableBodyText"/>
                    <w:jc w:val="left"/>
                  </w:pPr>
                  <w:r>
                    <w:t>Contribution after tax relief</w:t>
                  </w:r>
                </w:p>
                <w:p w:rsidR="00F232D3" w:rsidRDefault="00F232D3" w:rsidP="003E3B76">
                  <w:pPr>
                    <w:pStyle w:val="TableBodyText"/>
                    <w:jc w:val="left"/>
                  </w:pPr>
                  <w:r>
                    <w:t>(</w:t>
                  </w:r>
                  <m:oMath>
                    <m:r>
                      <w:rPr>
                        <w:rFonts w:ascii="Cambria Math" w:hAnsi="Cambria Math"/>
                      </w:rPr>
                      <m:t>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oMath>
                  <w:r>
                    <w:t>)</w:t>
                  </w:r>
                </w:p>
              </w:tc>
              <w:tc>
                <w:tcPr>
                  <w:tcW w:w="420" w:type="pct"/>
                  <w:vAlign w:val="bottom"/>
                </w:tcPr>
                <w:p w:rsidR="00F232D3" w:rsidRDefault="00F232D3" w:rsidP="003E3B76">
                  <w:pPr>
                    <w:pStyle w:val="TableBodyText"/>
                  </w:pPr>
                  <w:r>
                    <w:t>100</w:t>
                  </w:r>
                </w:p>
              </w:tc>
              <w:tc>
                <w:tcPr>
                  <w:tcW w:w="394" w:type="pct"/>
                  <w:vAlign w:val="bottom"/>
                </w:tcPr>
                <w:p w:rsidR="00F232D3" w:rsidRDefault="00F232D3" w:rsidP="003E3B76">
                  <w:pPr>
                    <w:pStyle w:val="TableBodyText"/>
                  </w:pPr>
                  <w:r>
                    <w:t>125</w:t>
                  </w:r>
                </w:p>
              </w:tc>
              <w:tc>
                <w:tcPr>
                  <w:tcW w:w="394" w:type="pct"/>
                  <w:vAlign w:val="bottom"/>
                </w:tcPr>
                <w:p w:rsidR="00F232D3" w:rsidRDefault="00F232D3" w:rsidP="003E3B76">
                  <w:pPr>
                    <w:pStyle w:val="TableBodyText"/>
                  </w:pPr>
                  <w:r>
                    <w:t>100</w:t>
                  </w:r>
                </w:p>
              </w:tc>
              <w:tc>
                <w:tcPr>
                  <w:tcW w:w="607" w:type="pct"/>
                  <w:vAlign w:val="bottom"/>
                </w:tcPr>
                <w:p w:rsidR="00F232D3" w:rsidRDefault="00F232D3" w:rsidP="003E3B76">
                  <w:pPr>
                    <w:pStyle w:val="TableBodyText"/>
                  </w:pPr>
                  <w:r>
                    <w:t>125</w:t>
                  </w:r>
                </w:p>
              </w:tc>
              <w:tc>
                <w:tcPr>
                  <w:tcW w:w="637" w:type="pct"/>
                  <w:gridSpan w:val="2"/>
                  <w:vAlign w:val="bottom"/>
                </w:tcPr>
                <w:p w:rsidR="00F232D3" w:rsidRDefault="00F232D3" w:rsidP="003E3B76">
                  <w:pPr>
                    <w:pStyle w:val="TableBodyText"/>
                  </w:pPr>
                  <w:r>
                    <w:t>125</w:t>
                  </w:r>
                </w:p>
              </w:tc>
            </w:tr>
            <w:tr w:rsidR="003E3B76" w:rsidTr="00B367CB">
              <w:tc>
                <w:tcPr>
                  <w:tcW w:w="2548" w:type="pct"/>
                  <w:vAlign w:val="bottom"/>
                </w:tcPr>
                <w:p w:rsidR="00F232D3" w:rsidRDefault="00F232D3" w:rsidP="003E3B76">
                  <w:pPr>
                    <w:pStyle w:val="TableBodyText"/>
                    <w:jc w:val="left"/>
                  </w:pPr>
                  <w:r>
                    <w:t xml:space="preserve">Gross returns </w:t>
                  </w:r>
                </w:p>
                <w:p w:rsidR="00F232D3" w:rsidRDefault="00F232D3" w:rsidP="003E3B76">
                  <w:pPr>
                    <w:pStyle w:val="TableBodyText"/>
                    <w:jc w:val="left"/>
                  </w:pPr>
                  <w:r>
                    <w:t>(</w:t>
                  </w:r>
                  <m:oMath>
                    <m:r>
                      <w:rPr>
                        <w:rFonts w:ascii="Cambria Math" w:hAnsi="Cambria Math"/>
                      </w:rPr>
                      <m:t>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r>
                      <w:rPr>
                        <w:rFonts w:ascii="Cambria Math" w:hAnsi="Cambria Math"/>
                      </w:rPr>
                      <m:t>×i</m:t>
                    </m:r>
                  </m:oMath>
                  <w:r>
                    <w:t>)</w:t>
                  </w:r>
                </w:p>
              </w:tc>
              <w:tc>
                <w:tcPr>
                  <w:tcW w:w="420" w:type="pct"/>
                  <w:vAlign w:val="bottom"/>
                </w:tcPr>
                <w:p w:rsidR="00F232D3" w:rsidRDefault="00F232D3" w:rsidP="003E3B76">
                  <w:pPr>
                    <w:pStyle w:val="TableBodyText"/>
                  </w:pPr>
                  <w:r>
                    <w:t>5.00</w:t>
                  </w:r>
                </w:p>
              </w:tc>
              <w:tc>
                <w:tcPr>
                  <w:tcW w:w="394" w:type="pct"/>
                  <w:vAlign w:val="bottom"/>
                </w:tcPr>
                <w:p w:rsidR="00F232D3" w:rsidRDefault="00F232D3" w:rsidP="003E3B76">
                  <w:pPr>
                    <w:pStyle w:val="TableBodyText"/>
                  </w:pPr>
                  <w:r>
                    <w:t>6.25</w:t>
                  </w:r>
                </w:p>
              </w:tc>
              <w:tc>
                <w:tcPr>
                  <w:tcW w:w="394" w:type="pct"/>
                  <w:vAlign w:val="bottom"/>
                </w:tcPr>
                <w:p w:rsidR="00F232D3" w:rsidRDefault="00F232D3" w:rsidP="003E3B76">
                  <w:pPr>
                    <w:pStyle w:val="TableBodyText"/>
                  </w:pPr>
                  <w:r>
                    <w:t>5.00</w:t>
                  </w:r>
                </w:p>
              </w:tc>
              <w:tc>
                <w:tcPr>
                  <w:tcW w:w="607" w:type="pct"/>
                  <w:vAlign w:val="bottom"/>
                </w:tcPr>
                <w:p w:rsidR="00F232D3" w:rsidRDefault="00F232D3" w:rsidP="003E3B76">
                  <w:pPr>
                    <w:pStyle w:val="TableBodyText"/>
                  </w:pPr>
                  <w:r>
                    <w:t>6.25</w:t>
                  </w:r>
                </w:p>
              </w:tc>
              <w:tc>
                <w:tcPr>
                  <w:tcW w:w="637" w:type="pct"/>
                  <w:gridSpan w:val="2"/>
                  <w:vAlign w:val="bottom"/>
                </w:tcPr>
                <w:p w:rsidR="00F232D3" w:rsidRDefault="00F232D3" w:rsidP="003E3B76">
                  <w:pPr>
                    <w:pStyle w:val="TableBodyText"/>
                  </w:pPr>
                  <w:r>
                    <w:t>6.25</w:t>
                  </w:r>
                </w:p>
              </w:tc>
            </w:tr>
            <w:tr w:rsidR="003E3B76" w:rsidTr="00B367CB">
              <w:tc>
                <w:tcPr>
                  <w:tcW w:w="2548" w:type="pct"/>
                  <w:vAlign w:val="bottom"/>
                </w:tcPr>
                <w:p w:rsidR="00F232D3" w:rsidRDefault="00F232D3" w:rsidP="003E3B76">
                  <w:pPr>
                    <w:pStyle w:val="TableBodyText"/>
                    <w:jc w:val="left"/>
                  </w:pPr>
                  <w:r>
                    <w:t>Returns net of tax</w:t>
                  </w:r>
                </w:p>
                <w:p w:rsidR="00F232D3" w:rsidRDefault="00F232D3" w:rsidP="003E3B76">
                  <w:pPr>
                    <w:pStyle w:val="TableBodyText"/>
                    <w:jc w:val="left"/>
                  </w:pPr>
                  <w:r>
                    <w:t>(</w:t>
                  </w:r>
                  <m:oMath>
                    <m:r>
                      <w:rPr>
                        <w:rFonts w:ascii="Cambria Math" w:hAnsi="Cambria Math"/>
                      </w:rPr>
                      <m:t>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r>
                      <w:rPr>
                        <w:rFonts w:ascii="Cambria Math" w:hAnsi="Cambria Math"/>
                      </w:rPr>
                      <m:t>×(i×</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r</m:t>
                            </m:r>
                          </m:sub>
                        </m:sSub>
                      </m:e>
                    </m:d>
                    <m:r>
                      <w:rPr>
                        <w:rFonts w:ascii="Cambria Math" w:hAnsi="Cambria Math"/>
                      </w:rPr>
                      <m:t>)</m:t>
                    </m:r>
                  </m:oMath>
                  <w:r>
                    <w:t>)</w:t>
                  </w:r>
                </w:p>
              </w:tc>
              <w:tc>
                <w:tcPr>
                  <w:tcW w:w="420" w:type="pct"/>
                  <w:vAlign w:val="bottom"/>
                </w:tcPr>
                <w:p w:rsidR="00F232D3" w:rsidRDefault="00F232D3" w:rsidP="003E3B76">
                  <w:pPr>
                    <w:pStyle w:val="TableBodyText"/>
                  </w:pPr>
                  <w:r>
                    <w:t>5.00</w:t>
                  </w:r>
                </w:p>
              </w:tc>
              <w:tc>
                <w:tcPr>
                  <w:tcW w:w="394" w:type="pct"/>
                  <w:vAlign w:val="bottom"/>
                </w:tcPr>
                <w:p w:rsidR="00F232D3" w:rsidRDefault="00F232D3" w:rsidP="003E3B76">
                  <w:pPr>
                    <w:pStyle w:val="TableBodyText"/>
                  </w:pPr>
                  <w:r>
                    <w:t>6.25</w:t>
                  </w:r>
                </w:p>
              </w:tc>
              <w:tc>
                <w:tcPr>
                  <w:tcW w:w="394" w:type="pct"/>
                  <w:vAlign w:val="bottom"/>
                </w:tcPr>
                <w:p w:rsidR="00F232D3" w:rsidRDefault="00F232D3" w:rsidP="003E3B76">
                  <w:pPr>
                    <w:pStyle w:val="TableBodyText"/>
                  </w:pPr>
                  <w:r>
                    <w:t>4.00</w:t>
                  </w:r>
                </w:p>
              </w:tc>
              <w:tc>
                <w:tcPr>
                  <w:tcW w:w="607" w:type="pct"/>
                  <w:vAlign w:val="bottom"/>
                </w:tcPr>
                <w:p w:rsidR="00F232D3" w:rsidRDefault="00F232D3" w:rsidP="003E3B76">
                  <w:pPr>
                    <w:pStyle w:val="TableBodyText"/>
                  </w:pPr>
                  <w:r>
                    <w:t>6.25</w:t>
                  </w:r>
                </w:p>
              </w:tc>
              <w:tc>
                <w:tcPr>
                  <w:tcW w:w="637" w:type="pct"/>
                  <w:gridSpan w:val="2"/>
                  <w:vAlign w:val="bottom"/>
                </w:tcPr>
                <w:p w:rsidR="00F232D3" w:rsidRDefault="00F232D3" w:rsidP="003E3B76">
                  <w:pPr>
                    <w:pStyle w:val="TableBodyText"/>
                  </w:pPr>
                  <w:r>
                    <w:t>6.25</w:t>
                  </w:r>
                </w:p>
              </w:tc>
            </w:tr>
            <w:tr w:rsidR="003E3B76" w:rsidTr="00B367CB">
              <w:tc>
                <w:tcPr>
                  <w:tcW w:w="2548" w:type="pct"/>
                  <w:vAlign w:val="bottom"/>
                </w:tcPr>
                <w:p w:rsidR="00F232D3" w:rsidRDefault="00F232D3" w:rsidP="003E3B76">
                  <w:pPr>
                    <w:pStyle w:val="TableBodyText"/>
                    <w:jc w:val="left"/>
                  </w:pPr>
                  <w:r>
                    <w:t>Gross funds available for withdrawal at end of period</w:t>
                  </w:r>
                </w:p>
                <w:p w:rsidR="00D03B42" w:rsidRDefault="00D03B42" w:rsidP="003E3B76">
                  <w:pPr>
                    <w:pStyle w:val="TableBodyText"/>
                    <w:jc w:val="left"/>
                  </w:pPr>
                  <w:r>
                    <w:t>(</w:t>
                  </w:r>
                  <m:oMath>
                    <m:r>
                      <w:rPr>
                        <w:rFonts w:ascii="Cambria Math" w:hAnsi="Cambria Math"/>
                      </w:rPr>
                      <m:t>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r>
                      <w:rPr>
                        <w:rFonts w:ascii="Cambria Math" w:hAnsi="Cambria Math"/>
                      </w:rPr>
                      <m:t>×(1+</m:t>
                    </m:r>
                    <m:d>
                      <m:dPr>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r</m:t>
                                </m:r>
                              </m:sub>
                            </m:sSub>
                          </m:e>
                        </m:d>
                      </m:e>
                    </m:d>
                    <m:r>
                      <w:rPr>
                        <w:rFonts w:ascii="Cambria Math" w:hAnsi="Cambria Math"/>
                      </w:rPr>
                      <m:t>)</m:t>
                    </m:r>
                  </m:oMath>
                  <w:r>
                    <w:t>)</w:t>
                  </w:r>
                </w:p>
              </w:tc>
              <w:tc>
                <w:tcPr>
                  <w:tcW w:w="420" w:type="pct"/>
                  <w:vAlign w:val="bottom"/>
                </w:tcPr>
                <w:p w:rsidR="00F232D3" w:rsidRDefault="00F232D3" w:rsidP="003E3B76">
                  <w:pPr>
                    <w:pStyle w:val="TableBodyText"/>
                  </w:pPr>
                  <w:r>
                    <w:t>105.00</w:t>
                  </w:r>
                </w:p>
              </w:tc>
              <w:tc>
                <w:tcPr>
                  <w:tcW w:w="394" w:type="pct"/>
                  <w:vAlign w:val="bottom"/>
                </w:tcPr>
                <w:p w:rsidR="00F232D3" w:rsidRDefault="00F232D3" w:rsidP="003E3B76">
                  <w:pPr>
                    <w:pStyle w:val="TableBodyText"/>
                  </w:pPr>
                  <w:r>
                    <w:t>131.25</w:t>
                  </w:r>
                </w:p>
              </w:tc>
              <w:tc>
                <w:tcPr>
                  <w:tcW w:w="394" w:type="pct"/>
                  <w:vAlign w:val="bottom"/>
                </w:tcPr>
                <w:p w:rsidR="00F232D3" w:rsidRDefault="00F232D3" w:rsidP="003E3B76">
                  <w:pPr>
                    <w:pStyle w:val="TableBodyText"/>
                  </w:pPr>
                  <w:r>
                    <w:t>104.00</w:t>
                  </w:r>
                </w:p>
              </w:tc>
              <w:tc>
                <w:tcPr>
                  <w:tcW w:w="607" w:type="pct"/>
                  <w:vAlign w:val="bottom"/>
                </w:tcPr>
                <w:p w:rsidR="00F232D3" w:rsidRDefault="00F232D3" w:rsidP="003E3B76">
                  <w:pPr>
                    <w:pStyle w:val="TableBodyText"/>
                  </w:pPr>
                  <w:r>
                    <w:t>131.25</w:t>
                  </w:r>
                </w:p>
              </w:tc>
              <w:tc>
                <w:tcPr>
                  <w:tcW w:w="637" w:type="pct"/>
                  <w:gridSpan w:val="2"/>
                  <w:vAlign w:val="bottom"/>
                </w:tcPr>
                <w:p w:rsidR="00F232D3" w:rsidRDefault="00F232D3" w:rsidP="003E3B76">
                  <w:pPr>
                    <w:pStyle w:val="TableBodyText"/>
                  </w:pPr>
                  <w:r>
                    <w:t>131.25</w:t>
                  </w:r>
                </w:p>
              </w:tc>
            </w:tr>
            <w:tr w:rsidR="003E3B76" w:rsidTr="00B367CB">
              <w:tc>
                <w:tcPr>
                  <w:tcW w:w="2548" w:type="pct"/>
                  <w:shd w:val="clear" w:color="auto" w:fill="auto"/>
                  <w:vAlign w:val="bottom"/>
                </w:tcPr>
                <w:p w:rsidR="00F232D3" w:rsidRDefault="00F232D3" w:rsidP="003E3B76">
                  <w:pPr>
                    <w:pStyle w:val="TableBodyText"/>
                    <w:jc w:val="left"/>
                  </w:pPr>
                  <w:r>
                    <w:t>Withdrawal net of tax</w:t>
                  </w:r>
                </w:p>
                <w:p w:rsidR="00D03B42" w:rsidRDefault="00D03B42" w:rsidP="003E3B76">
                  <w:pPr>
                    <w:pStyle w:val="TableBodyText"/>
                    <w:jc w:val="left"/>
                  </w:pPr>
                  <w:r>
                    <w:t>(</w:t>
                  </w:r>
                  <m:oMath>
                    <m:r>
                      <w:rPr>
                        <w:rFonts w:ascii="Cambria Math" w:hAnsi="Cambria Math"/>
                      </w:rPr>
                      <m:t>w=c×</m:t>
                    </m:r>
                    <m:d>
                      <m:dPr>
                        <m:ctrlPr>
                          <w:rPr>
                            <w:rFonts w:ascii="Cambria Math" w:hAnsi="Cambria Math"/>
                            <w:i/>
                          </w:rPr>
                        </m:ctrlPr>
                      </m:dPr>
                      <m:e>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c</m:t>
                                </m:r>
                              </m:sub>
                            </m:sSub>
                          </m:den>
                        </m:f>
                      </m:e>
                    </m:d>
                    <m:r>
                      <w:rPr>
                        <w:rFonts w:ascii="Cambria Math" w:hAnsi="Cambria Math"/>
                      </w:rPr>
                      <m:t>×(1+</m:t>
                    </m:r>
                    <m:d>
                      <m:dPr>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r</m:t>
                                </m:r>
                              </m:sub>
                            </m:sSub>
                          </m:e>
                        </m:d>
                      </m:e>
                    </m:d>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w</m:t>
                        </m:r>
                      </m:sub>
                    </m:sSub>
                  </m:oMath>
                  <w:r>
                    <w:t>))</w:t>
                  </w:r>
                </w:p>
              </w:tc>
              <w:tc>
                <w:tcPr>
                  <w:tcW w:w="420" w:type="pct"/>
                  <w:shd w:val="clear" w:color="auto" w:fill="auto"/>
                  <w:vAlign w:val="bottom"/>
                </w:tcPr>
                <w:p w:rsidR="00F232D3" w:rsidRDefault="00F232D3" w:rsidP="003E3B76">
                  <w:pPr>
                    <w:pStyle w:val="TableBodyText"/>
                  </w:pPr>
                  <w:r>
                    <w:t>105.00</w:t>
                  </w:r>
                </w:p>
              </w:tc>
              <w:tc>
                <w:tcPr>
                  <w:tcW w:w="394" w:type="pct"/>
                  <w:vAlign w:val="bottom"/>
                </w:tcPr>
                <w:p w:rsidR="00F232D3" w:rsidRDefault="00F232D3" w:rsidP="003E3B76">
                  <w:pPr>
                    <w:pStyle w:val="TableBodyText"/>
                  </w:pPr>
                  <w:r>
                    <w:t>105.00</w:t>
                  </w:r>
                </w:p>
              </w:tc>
              <w:tc>
                <w:tcPr>
                  <w:tcW w:w="394" w:type="pct"/>
                  <w:vAlign w:val="bottom"/>
                </w:tcPr>
                <w:p w:rsidR="00F232D3" w:rsidRDefault="00F232D3" w:rsidP="003E3B76">
                  <w:pPr>
                    <w:pStyle w:val="TableBodyText"/>
                  </w:pPr>
                  <w:r>
                    <w:t>104.00</w:t>
                  </w:r>
                </w:p>
              </w:tc>
              <w:tc>
                <w:tcPr>
                  <w:tcW w:w="607" w:type="pct"/>
                  <w:vAlign w:val="bottom"/>
                </w:tcPr>
                <w:p w:rsidR="00F232D3" w:rsidRDefault="00F232D3" w:rsidP="003E3B76">
                  <w:pPr>
                    <w:pStyle w:val="TableBodyText"/>
                  </w:pPr>
                  <w:r>
                    <w:t>106.31</w:t>
                  </w:r>
                </w:p>
              </w:tc>
              <w:tc>
                <w:tcPr>
                  <w:tcW w:w="637" w:type="pct"/>
                  <w:gridSpan w:val="2"/>
                  <w:vAlign w:val="bottom"/>
                </w:tcPr>
                <w:p w:rsidR="00F232D3" w:rsidRDefault="00F232D3" w:rsidP="003E3B76">
                  <w:pPr>
                    <w:pStyle w:val="TableBodyText"/>
                  </w:pPr>
                  <w:r>
                    <w:t>103.69</w:t>
                  </w:r>
                </w:p>
              </w:tc>
            </w:tr>
            <w:tr w:rsidR="003E3B76" w:rsidTr="00B367CB">
              <w:tc>
                <w:tcPr>
                  <w:tcW w:w="2548" w:type="pct"/>
                  <w:tcBorders>
                    <w:bottom w:val="single" w:sz="6" w:space="0" w:color="BFBFBF"/>
                  </w:tcBorders>
                  <w:shd w:val="clear" w:color="auto" w:fill="auto"/>
                  <w:vAlign w:val="bottom"/>
                </w:tcPr>
                <w:p w:rsidR="003E3B76" w:rsidRDefault="00F232D3" w:rsidP="003E3B76">
                  <w:pPr>
                    <w:pStyle w:val="TableBodyText"/>
                    <w:jc w:val="left"/>
                  </w:pPr>
                  <w:r>
                    <w:t>Rate of return before tax (%)</w:t>
                  </w:r>
                  <w:r w:rsidR="00617ED7">
                    <w:t xml:space="preserve"> </w:t>
                  </w:r>
                </w:p>
                <w:p w:rsidR="00F232D3" w:rsidRDefault="00617ED7" w:rsidP="003E3B76">
                  <w:pPr>
                    <w:pStyle w:val="TableBodyText"/>
                    <w:jc w:val="left"/>
                  </w:pPr>
                  <w:r>
                    <w:t>(</w:t>
                  </w:r>
                  <m:oMath>
                    <m:r>
                      <w:rPr>
                        <w:rFonts w:ascii="Cambria Math" w:hAnsi="Cambria Math"/>
                      </w:rPr>
                      <m:t>p</m:t>
                    </m:r>
                  </m:oMath>
                  <w:r>
                    <w:t>)</w:t>
                  </w:r>
                </w:p>
              </w:tc>
              <w:tc>
                <w:tcPr>
                  <w:tcW w:w="420" w:type="pct"/>
                  <w:tcBorders>
                    <w:bottom w:val="single" w:sz="6" w:space="0" w:color="BFBFBF"/>
                  </w:tcBorders>
                  <w:shd w:val="clear" w:color="auto" w:fill="auto"/>
                  <w:vAlign w:val="bottom"/>
                </w:tcPr>
                <w:p w:rsidR="00F232D3" w:rsidRDefault="00F232D3" w:rsidP="003E3B76">
                  <w:pPr>
                    <w:pStyle w:val="TableBodyText"/>
                  </w:pPr>
                  <w:r>
                    <w:t>5.00</w:t>
                  </w:r>
                </w:p>
              </w:tc>
              <w:tc>
                <w:tcPr>
                  <w:tcW w:w="394" w:type="pct"/>
                  <w:tcBorders>
                    <w:bottom w:val="single" w:sz="6" w:space="0" w:color="BFBFBF"/>
                  </w:tcBorders>
                  <w:vAlign w:val="bottom"/>
                </w:tcPr>
                <w:p w:rsidR="00F232D3" w:rsidRDefault="00F232D3" w:rsidP="003E3B76">
                  <w:pPr>
                    <w:pStyle w:val="TableBodyText"/>
                  </w:pPr>
                  <w:r>
                    <w:t>5.00</w:t>
                  </w:r>
                </w:p>
              </w:tc>
              <w:tc>
                <w:tcPr>
                  <w:tcW w:w="394" w:type="pct"/>
                  <w:tcBorders>
                    <w:bottom w:val="single" w:sz="6" w:space="0" w:color="BFBFBF"/>
                  </w:tcBorders>
                  <w:vAlign w:val="bottom"/>
                </w:tcPr>
                <w:p w:rsidR="00F232D3" w:rsidRDefault="00F232D3" w:rsidP="003E3B76">
                  <w:pPr>
                    <w:pStyle w:val="TableBodyText"/>
                  </w:pPr>
                  <w:r>
                    <w:t>5.00</w:t>
                  </w:r>
                </w:p>
              </w:tc>
              <w:tc>
                <w:tcPr>
                  <w:tcW w:w="607" w:type="pct"/>
                  <w:tcBorders>
                    <w:bottom w:val="single" w:sz="6" w:space="0" w:color="BFBFBF"/>
                  </w:tcBorders>
                  <w:vAlign w:val="bottom"/>
                </w:tcPr>
                <w:p w:rsidR="00F232D3" w:rsidRDefault="00F232D3" w:rsidP="003E3B76">
                  <w:pPr>
                    <w:pStyle w:val="TableBodyText"/>
                  </w:pPr>
                  <w:r>
                    <w:t>5.00</w:t>
                  </w:r>
                </w:p>
              </w:tc>
              <w:tc>
                <w:tcPr>
                  <w:tcW w:w="637" w:type="pct"/>
                  <w:gridSpan w:val="2"/>
                  <w:tcBorders>
                    <w:bottom w:val="single" w:sz="6" w:space="0" w:color="BFBFBF"/>
                  </w:tcBorders>
                  <w:vAlign w:val="bottom"/>
                </w:tcPr>
                <w:p w:rsidR="00F232D3" w:rsidRDefault="00F232D3" w:rsidP="003E3B76">
                  <w:pPr>
                    <w:pStyle w:val="TableBodyText"/>
                  </w:pPr>
                  <w:r>
                    <w:t>5.00</w:t>
                  </w:r>
                </w:p>
              </w:tc>
            </w:tr>
            <w:tr w:rsidR="003E3B76" w:rsidTr="00B367CB">
              <w:tc>
                <w:tcPr>
                  <w:tcW w:w="2548" w:type="pct"/>
                  <w:tcBorders>
                    <w:bottom w:val="single" w:sz="6" w:space="0" w:color="BFBFBF"/>
                  </w:tcBorders>
                  <w:shd w:val="clear" w:color="auto" w:fill="auto"/>
                  <w:vAlign w:val="bottom"/>
                </w:tcPr>
                <w:p w:rsidR="003E3B76" w:rsidRDefault="00F232D3" w:rsidP="003E3B76">
                  <w:pPr>
                    <w:pStyle w:val="TableBodyText"/>
                    <w:tabs>
                      <w:tab w:val="right" w:pos="3502"/>
                    </w:tabs>
                    <w:jc w:val="left"/>
                  </w:pPr>
                  <w:r>
                    <w:t>Rate of return after tax (%)</w:t>
                  </w:r>
                  <w:r w:rsidR="00617ED7">
                    <w:t xml:space="preserve"> </w:t>
                  </w:r>
                </w:p>
                <w:p w:rsidR="00F232D3" w:rsidRDefault="00617ED7" w:rsidP="003E3B76">
                  <w:pPr>
                    <w:pStyle w:val="TableBodyText"/>
                    <w:tabs>
                      <w:tab w:val="right" w:pos="3502"/>
                    </w:tabs>
                    <w:jc w:val="left"/>
                  </w:pPr>
                  <w:r>
                    <w:t>(</w:t>
                  </w:r>
                  <m:oMath>
                    <m:r>
                      <w:rPr>
                        <w:rFonts w:ascii="Cambria Math" w:hAnsi="Cambria Math"/>
                      </w:rPr>
                      <m:t>r=</m:t>
                    </m:r>
                    <m:f>
                      <m:fPr>
                        <m:ctrlPr>
                          <w:rPr>
                            <w:rFonts w:ascii="Cambria Math" w:hAnsi="Cambria Math"/>
                            <w:i/>
                          </w:rPr>
                        </m:ctrlPr>
                      </m:fPr>
                      <m:num>
                        <m:r>
                          <w:rPr>
                            <w:rFonts w:ascii="Cambria Math" w:hAnsi="Cambria Math"/>
                          </w:rPr>
                          <m:t>w</m:t>
                        </m:r>
                      </m:num>
                      <m:den>
                        <m:r>
                          <w:rPr>
                            <w:rFonts w:ascii="Cambria Math" w:hAnsi="Cambria Math"/>
                          </w:rPr>
                          <m:t>c</m:t>
                        </m:r>
                      </m:den>
                    </m:f>
                    <m:r>
                      <w:rPr>
                        <w:rFonts w:ascii="Cambria Math" w:hAnsi="Cambria Math"/>
                      </w:rPr>
                      <m:t>-1</m:t>
                    </m:r>
                  </m:oMath>
                  <w:r>
                    <w:t>)</w:t>
                  </w:r>
                  <w:r w:rsidR="00F07811">
                    <w:tab/>
                  </w:r>
                </w:p>
              </w:tc>
              <w:tc>
                <w:tcPr>
                  <w:tcW w:w="420" w:type="pct"/>
                  <w:tcBorders>
                    <w:bottom w:val="single" w:sz="6" w:space="0" w:color="BFBFBF"/>
                  </w:tcBorders>
                  <w:shd w:val="clear" w:color="auto" w:fill="auto"/>
                  <w:vAlign w:val="bottom"/>
                </w:tcPr>
                <w:p w:rsidR="00F232D3" w:rsidRDefault="00F232D3" w:rsidP="003E3B76">
                  <w:pPr>
                    <w:pStyle w:val="TableBodyText"/>
                  </w:pPr>
                  <w:r>
                    <w:t>5.00</w:t>
                  </w:r>
                </w:p>
              </w:tc>
              <w:tc>
                <w:tcPr>
                  <w:tcW w:w="394" w:type="pct"/>
                  <w:tcBorders>
                    <w:bottom w:val="single" w:sz="6" w:space="0" w:color="BFBFBF"/>
                  </w:tcBorders>
                  <w:vAlign w:val="bottom"/>
                </w:tcPr>
                <w:p w:rsidR="00F232D3" w:rsidRDefault="00F232D3" w:rsidP="003E3B76">
                  <w:pPr>
                    <w:pStyle w:val="TableBodyText"/>
                  </w:pPr>
                  <w:r>
                    <w:t>5.00</w:t>
                  </w:r>
                </w:p>
              </w:tc>
              <w:tc>
                <w:tcPr>
                  <w:tcW w:w="394" w:type="pct"/>
                  <w:tcBorders>
                    <w:bottom w:val="single" w:sz="6" w:space="0" w:color="BFBFBF"/>
                  </w:tcBorders>
                  <w:vAlign w:val="bottom"/>
                </w:tcPr>
                <w:p w:rsidR="00F232D3" w:rsidRDefault="00F232D3" w:rsidP="003E3B76">
                  <w:pPr>
                    <w:pStyle w:val="TableBodyText"/>
                  </w:pPr>
                  <w:r>
                    <w:t>4.00</w:t>
                  </w:r>
                </w:p>
              </w:tc>
              <w:tc>
                <w:tcPr>
                  <w:tcW w:w="607" w:type="pct"/>
                  <w:tcBorders>
                    <w:bottom w:val="single" w:sz="6" w:space="0" w:color="BFBFBF"/>
                  </w:tcBorders>
                  <w:vAlign w:val="bottom"/>
                </w:tcPr>
                <w:p w:rsidR="00F232D3" w:rsidRDefault="00F232D3" w:rsidP="003E3B76">
                  <w:pPr>
                    <w:pStyle w:val="TableBodyText"/>
                  </w:pPr>
                  <w:r>
                    <w:t>6.31</w:t>
                  </w:r>
                </w:p>
              </w:tc>
              <w:tc>
                <w:tcPr>
                  <w:tcW w:w="637" w:type="pct"/>
                  <w:gridSpan w:val="2"/>
                  <w:tcBorders>
                    <w:bottom w:val="single" w:sz="6" w:space="0" w:color="BFBFBF"/>
                  </w:tcBorders>
                  <w:vAlign w:val="bottom"/>
                </w:tcPr>
                <w:p w:rsidR="00F232D3" w:rsidRDefault="00F232D3" w:rsidP="003E3B76">
                  <w:pPr>
                    <w:pStyle w:val="TableBodyText"/>
                  </w:pPr>
                  <w:r>
                    <w:t>3.69</w:t>
                  </w:r>
                </w:p>
              </w:tc>
            </w:tr>
            <w:tr w:rsidR="003E3B76" w:rsidTr="00B367CB">
              <w:tc>
                <w:tcPr>
                  <w:tcW w:w="2548" w:type="pct"/>
                  <w:tcBorders>
                    <w:bottom w:val="single" w:sz="6" w:space="0" w:color="BFBFBF"/>
                  </w:tcBorders>
                  <w:shd w:val="clear" w:color="auto" w:fill="auto"/>
                  <w:vAlign w:val="bottom"/>
                </w:tcPr>
                <w:p w:rsidR="003E3B76" w:rsidRDefault="00F232D3" w:rsidP="003E3B76">
                  <w:pPr>
                    <w:pStyle w:val="TableBodyText"/>
                    <w:jc w:val="left"/>
                  </w:pPr>
                  <w:r>
                    <w:t>Percentage point change in rate of return (%)</w:t>
                  </w:r>
                  <w:r w:rsidR="007E7EE2">
                    <w:t xml:space="preserve"> </w:t>
                  </w:r>
                </w:p>
                <w:p w:rsidR="00F232D3" w:rsidRDefault="007E7EE2" w:rsidP="003E3B76">
                  <w:pPr>
                    <w:pStyle w:val="TableBodyText"/>
                    <w:jc w:val="left"/>
                  </w:pPr>
                  <w:r>
                    <w:t>(</w:t>
                  </w:r>
                  <m:oMath>
                    <m:r>
                      <w:rPr>
                        <w:rFonts w:ascii="Cambria Math" w:hAnsi="Cambria Math"/>
                      </w:rPr>
                      <m:t>p-r</m:t>
                    </m:r>
                  </m:oMath>
                  <w:r>
                    <w:t>)</w:t>
                  </w:r>
                </w:p>
              </w:tc>
              <w:tc>
                <w:tcPr>
                  <w:tcW w:w="420" w:type="pct"/>
                  <w:tcBorders>
                    <w:bottom w:val="single" w:sz="6" w:space="0" w:color="BFBFBF"/>
                  </w:tcBorders>
                  <w:shd w:val="clear" w:color="auto" w:fill="auto"/>
                  <w:vAlign w:val="bottom"/>
                </w:tcPr>
                <w:p w:rsidR="00F232D3" w:rsidRDefault="00F232D3" w:rsidP="003E3B76">
                  <w:pPr>
                    <w:pStyle w:val="TableBodyText"/>
                  </w:pPr>
                  <w:r>
                    <w:t>0.00</w:t>
                  </w:r>
                </w:p>
              </w:tc>
              <w:tc>
                <w:tcPr>
                  <w:tcW w:w="394" w:type="pct"/>
                  <w:tcBorders>
                    <w:bottom w:val="single" w:sz="6" w:space="0" w:color="BFBFBF"/>
                  </w:tcBorders>
                  <w:vAlign w:val="bottom"/>
                </w:tcPr>
                <w:p w:rsidR="00F232D3" w:rsidRDefault="00F232D3" w:rsidP="003E3B76">
                  <w:pPr>
                    <w:pStyle w:val="TableBodyText"/>
                  </w:pPr>
                  <w:r>
                    <w:t>0.00</w:t>
                  </w:r>
                </w:p>
              </w:tc>
              <w:tc>
                <w:tcPr>
                  <w:tcW w:w="394" w:type="pct"/>
                  <w:tcBorders>
                    <w:bottom w:val="single" w:sz="6" w:space="0" w:color="BFBFBF"/>
                  </w:tcBorders>
                  <w:vAlign w:val="bottom"/>
                </w:tcPr>
                <w:p w:rsidR="00F232D3" w:rsidRDefault="00F232D3" w:rsidP="003E3B76">
                  <w:pPr>
                    <w:pStyle w:val="TableBodyText"/>
                  </w:pPr>
                  <w:r>
                    <w:t>1.00</w:t>
                  </w:r>
                </w:p>
              </w:tc>
              <w:tc>
                <w:tcPr>
                  <w:tcW w:w="607" w:type="pct"/>
                  <w:tcBorders>
                    <w:bottom w:val="single" w:sz="6" w:space="0" w:color="BFBFBF"/>
                  </w:tcBorders>
                  <w:vAlign w:val="bottom"/>
                </w:tcPr>
                <w:p w:rsidR="00F232D3" w:rsidRDefault="00F232D3" w:rsidP="003E3B76">
                  <w:pPr>
                    <w:pStyle w:val="TableBodyText"/>
                  </w:pPr>
                  <w:r>
                    <w:t>-1.31</w:t>
                  </w:r>
                </w:p>
              </w:tc>
              <w:tc>
                <w:tcPr>
                  <w:tcW w:w="637" w:type="pct"/>
                  <w:gridSpan w:val="2"/>
                  <w:tcBorders>
                    <w:bottom w:val="single" w:sz="6" w:space="0" w:color="BFBFBF"/>
                  </w:tcBorders>
                  <w:vAlign w:val="bottom"/>
                </w:tcPr>
                <w:p w:rsidR="00F232D3" w:rsidRDefault="00F232D3" w:rsidP="003E3B76">
                  <w:pPr>
                    <w:pStyle w:val="TableBodyText"/>
                  </w:pPr>
                  <w:r>
                    <w:t>1.31</w:t>
                  </w:r>
                </w:p>
              </w:tc>
            </w:tr>
            <w:tr w:rsidR="003E3B76" w:rsidTr="00B367CB">
              <w:tc>
                <w:tcPr>
                  <w:tcW w:w="2548" w:type="pct"/>
                  <w:tcBorders>
                    <w:bottom w:val="single" w:sz="6" w:space="0" w:color="BFBFBF"/>
                  </w:tcBorders>
                  <w:shd w:val="clear" w:color="auto" w:fill="auto"/>
                  <w:vAlign w:val="bottom"/>
                </w:tcPr>
                <w:p w:rsidR="00F232D3" w:rsidRDefault="00F232D3" w:rsidP="003E3B76">
                  <w:pPr>
                    <w:pStyle w:val="TableBodyText"/>
                    <w:jc w:val="left"/>
                    <w:rPr>
                      <w:b/>
                    </w:rPr>
                  </w:pPr>
                  <w:r w:rsidRPr="00CC789F">
                    <w:rPr>
                      <w:b/>
                    </w:rPr>
                    <w:t>Real effective marginal tax rate (%)</w:t>
                  </w:r>
                </w:p>
                <w:p w:rsidR="007E7EE2" w:rsidRPr="007E7EE2" w:rsidRDefault="007E7EE2" w:rsidP="003E3B76">
                  <w:pPr>
                    <w:pStyle w:val="TableBodyText"/>
                    <w:jc w:val="left"/>
                    <w:rPr>
                      <w:b/>
                    </w:rPr>
                  </w:pPr>
                  <m:oMathPara>
                    <m:oMathParaPr>
                      <m:jc m:val="left"/>
                    </m:oMathParaPr>
                    <m:oMath>
                      <m:r>
                        <m:rPr>
                          <m:sty m:val="bi"/>
                        </m:rPr>
                        <w:rPr>
                          <w:rFonts w:ascii="Cambria Math" w:hAnsi="Cambria Math"/>
                        </w:rPr>
                        <m:t>EMTR=</m:t>
                      </m:r>
                      <m:f>
                        <m:fPr>
                          <m:ctrlPr>
                            <w:rPr>
                              <w:rFonts w:ascii="Cambria Math" w:hAnsi="Cambria Math"/>
                              <w:b/>
                              <w:i/>
                            </w:rPr>
                          </m:ctrlPr>
                        </m:fPr>
                        <m:num>
                          <m:r>
                            <m:rPr>
                              <m:sty m:val="bi"/>
                            </m:rPr>
                            <w:rPr>
                              <w:rFonts w:ascii="Cambria Math" w:hAnsi="Cambria Math"/>
                            </w:rPr>
                            <m:t>p-r</m:t>
                          </m:r>
                        </m:num>
                        <m:den>
                          <m:r>
                            <m:rPr>
                              <m:sty m:val="bi"/>
                            </m:rPr>
                            <w:rPr>
                              <w:rFonts w:ascii="Cambria Math" w:hAnsi="Cambria Math"/>
                            </w:rPr>
                            <m:t>p</m:t>
                          </m:r>
                        </m:den>
                      </m:f>
                    </m:oMath>
                  </m:oMathPara>
                </w:p>
              </w:tc>
              <w:tc>
                <w:tcPr>
                  <w:tcW w:w="420" w:type="pct"/>
                  <w:tcBorders>
                    <w:bottom w:val="single" w:sz="6" w:space="0" w:color="BFBFBF"/>
                  </w:tcBorders>
                  <w:shd w:val="clear" w:color="auto" w:fill="auto"/>
                  <w:vAlign w:val="bottom"/>
                </w:tcPr>
                <w:p w:rsidR="00F232D3" w:rsidRPr="00CC789F" w:rsidRDefault="00F232D3" w:rsidP="003E3B76">
                  <w:pPr>
                    <w:pStyle w:val="TableBodyText"/>
                    <w:rPr>
                      <w:b/>
                    </w:rPr>
                  </w:pPr>
                  <w:r w:rsidRPr="00CC789F">
                    <w:rPr>
                      <w:b/>
                    </w:rPr>
                    <w:t>0.00</w:t>
                  </w:r>
                </w:p>
              </w:tc>
              <w:tc>
                <w:tcPr>
                  <w:tcW w:w="394" w:type="pct"/>
                  <w:tcBorders>
                    <w:bottom w:val="single" w:sz="6" w:space="0" w:color="BFBFBF"/>
                  </w:tcBorders>
                  <w:vAlign w:val="bottom"/>
                </w:tcPr>
                <w:p w:rsidR="00F232D3" w:rsidRPr="00CC789F" w:rsidRDefault="00F232D3" w:rsidP="003E3B76">
                  <w:pPr>
                    <w:pStyle w:val="TableBodyText"/>
                    <w:rPr>
                      <w:b/>
                    </w:rPr>
                  </w:pPr>
                  <w:r w:rsidRPr="00CC789F">
                    <w:rPr>
                      <w:b/>
                    </w:rPr>
                    <w:t>0.00</w:t>
                  </w:r>
                </w:p>
              </w:tc>
              <w:tc>
                <w:tcPr>
                  <w:tcW w:w="394" w:type="pct"/>
                  <w:tcBorders>
                    <w:bottom w:val="single" w:sz="6" w:space="0" w:color="BFBFBF"/>
                  </w:tcBorders>
                  <w:vAlign w:val="bottom"/>
                </w:tcPr>
                <w:p w:rsidR="00F232D3" w:rsidRPr="00CC789F" w:rsidRDefault="00F232D3" w:rsidP="003E3B76">
                  <w:pPr>
                    <w:pStyle w:val="TableBodyText"/>
                    <w:rPr>
                      <w:b/>
                    </w:rPr>
                  </w:pPr>
                  <w:r w:rsidRPr="00CC789F">
                    <w:rPr>
                      <w:b/>
                    </w:rPr>
                    <w:t>20.00</w:t>
                  </w:r>
                </w:p>
              </w:tc>
              <w:tc>
                <w:tcPr>
                  <w:tcW w:w="607" w:type="pct"/>
                  <w:tcBorders>
                    <w:bottom w:val="single" w:sz="6" w:space="0" w:color="BFBFBF"/>
                  </w:tcBorders>
                  <w:vAlign w:val="bottom"/>
                </w:tcPr>
                <w:p w:rsidR="00F232D3" w:rsidRPr="00CC789F" w:rsidRDefault="00F232D3" w:rsidP="003E3B76">
                  <w:pPr>
                    <w:pStyle w:val="TableBodyText"/>
                    <w:rPr>
                      <w:b/>
                    </w:rPr>
                  </w:pPr>
                  <w:r w:rsidRPr="00CC789F">
                    <w:rPr>
                      <w:b/>
                    </w:rPr>
                    <w:t>-26.25</w:t>
                  </w:r>
                </w:p>
              </w:tc>
              <w:tc>
                <w:tcPr>
                  <w:tcW w:w="637" w:type="pct"/>
                  <w:gridSpan w:val="2"/>
                  <w:tcBorders>
                    <w:bottom w:val="single" w:sz="6" w:space="0" w:color="BFBFBF"/>
                  </w:tcBorders>
                  <w:vAlign w:val="bottom"/>
                </w:tcPr>
                <w:p w:rsidR="00F232D3" w:rsidRPr="00CC789F" w:rsidRDefault="00F232D3" w:rsidP="003E3B76">
                  <w:pPr>
                    <w:pStyle w:val="TableBodyText"/>
                    <w:rPr>
                      <w:b/>
                    </w:rPr>
                  </w:pPr>
                  <w:r w:rsidRPr="00CC789F">
                    <w:rPr>
                      <w:b/>
                    </w:rPr>
                    <w:t>26.25</w:t>
                  </w:r>
                </w:p>
              </w:tc>
            </w:tr>
          </w:tbl>
          <w:p w:rsidR="00E53262" w:rsidRDefault="00E53262" w:rsidP="00297840">
            <w:pPr>
              <w:pStyle w:val="Box"/>
            </w:pPr>
          </w:p>
        </w:tc>
      </w:tr>
      <w:tr w:rsidR="00E53262" w:rsidTr="00297840">
        <w:trPr>
          <w:cantSplit/>
        </w:trPr>
        <w:tc>
          <w:tcPr>
            <w:tcW w:w="8771" w:type="dxa"/>
            <w:tcBorders>
              <w:top w:val="nil"/>
              <w:left w:val="nil"/>
              <w:bottom w:val="nil"/>
              <w:right w:val="nil"/>
            </w:tcBorders>
            <w:shd w:val="clear" w:color="auto" w:fill="auto"/>
          </w:tcPr>
          <w:p w:rsidR="00E53262" w:rsidRPr="00E65A9B" w:rsidRDefault="00BA14B5" w:rsidP="002C7A4E">
            <w:pPr>
              <w:pStyle w:val="Note"/>
              <w:rPr>
                <w:i/>
              </w:rPr>
            </w:pPr>
            <w:r>
              <w:rPr>
                <w:rStyle w:val="NoteLabel"/>
              </w:rPr>
              <w:t>a</w:t>
            </w:r>
            <w:r>
              <w:t xml:space="preserve"> </w:t>
            </w:r>
            <w:r w:rsidR="00467464">
              <w:t xml:space="preserve">Formulas are simplified </w:t>
            </w:r>
            <w:r w:rsidR="002C7A4E">
              <w:t>by assuming a</w:t>
            </w:r>
            <w:r w:rsidR="00467464">
              <w:t xml:space="preserve"> one year investment period</w:t>
            </w:r>
            <w:r w:rsidR="0061124A">
              <w:t xml:space="preserve"> and </w:t>
            </w:r>
            <w:r w:rsidR="009A2F92">
              <w:t>zero</w:t>
            </w:r>
            <w:r w:rsidR="0061124A">
              <w:t xml:space="preserve"> inflation.</w:t>
            </w:r>
          </w:p>
        </w:tc>
      </w:tr>
      <w:tr w:rsidR="00E53262" w:rsidTr="00297840">
        <w:trPr>
          <w:cantSplit/>
        </w:trPr>
        <w:tc>
          <w:tcPr>
            <w:tcW w:w="8771" w:type="dxa"/>
            <w:tcBorders>
              <w:top w:val="nil"/>
              <w:left w:val="nil"/>
              <w:bottom w:val="nil"/>
              <w:right w:val="nil"/>
            </w:tcBorders>
            <w:shd w:val="clear" w:color="auto" w:fill="auto"/>
          </w:tcPr>
          <w:p w:rsidR="00E53262" w:rsidRDefault="00E53262" w:rsidP="00297840">
            <w:pPr>
              <w:pStyle w:val="Source"/>
            </w:pPr>
            <w:r>
              <w:rPr>
                <w:i/>
              </w:rPr>
              <w:t>Sources</w:t>
            </w:r>
            <w:r w:rsidRPr="00167F06">
              <w:t xml:space="preserve">: </w:t>
            </w:r>
            <w:r>
              <w:t xml:space="preserve">Banks and Tanner </w:t>
            </w:r>
            <w:r w:rsidRPr="00955A2C">
              <w:rPr>
                <w:rFonts w:cs="Arial"/>
              </w:rPr>
              <w:t>(1999)</w:t>
            </w:r>
            <w:r>
              <w:t xml:space="preserve">; Wakefield </w:t>
            </w:r>
            <w:r w:rsidRPr="0007399E">
              <w:rPr>
                <w:rFonts w:cs="Arial"/>
              </w:rPr>
              <w:t>(2009)</w:t>
            </w:r>
            <w:r>
              <w:t>.</w:t>
            </w:r>
          </w:p>
        </w:tc>
      </w:tr>
      <w:tr w:rsidR="00E53262" w:rsidTr="00297840">
        <w:trPr>
          <w:cantSplit/>
        </w:trPr>
        <w:tc>
          <w:tcPr>
            <w:tcW w:w="8771" w:type="dxa"/>
            <w:tcBorders>
              <w:top w:val="nil"/>
              <w:left w:val="nil"/>
              <w:bottom w:val="single" w:sz="6" w:space="0" w:color="78A22F"/>
              <w:right w:val="nil"/>
            </w:tcBorders>
            <w:shd w:val="clear" w:color="auto" w:fill="auto"/>
          </w:tcPr>
          <w:p w:rsidR="00E53262" w:rsidRDefault="00E53262" w:rsidP="00297840">
            <w:pPr>
              <w:pStyle w:val="Box"/>
              <w:spacing w:before="0" w:line="120" w:lineRule="exact"/>
            </w:pPr>
          </w:p>
        </w:tc>
      </w:tr>
      <w:tr w:rsidR="00E53262" w:rsidRPr="000863A5" w:rsidTr="00297840">
        <w:tc>
          <w:tcPr>
            <w:tcW w:w="8771" w:type="dxa"/>
            <w:tcBorders>
              <w:top w:val="single" w:sz="6" w:space="0" w:color="78A22F"/>
              <w:left w:val="nil"/>
              <w:bottom w:val="nil"/>
              <w:right w:val="nil"/>
            </w:tcBorders>
          </w:tcPr>
          <w:p w:rsidR="00E53262" w:rsidRPr="00626D32" w:rsidRDefault="00E53262" w:rsidP="00297840">
            <w:pPr>
              <w:pStyle w:val="BoxSpaceBelow"/>
            </w:pPr>
          </w:p>
        </w:tc>
      </w:tr>
    </w:tbl>
    <w:p w:rsidR="002C7A4E" w:rsidRDefault="002C7A4E" w:rsidP="002C7A4E">
      <w:pPr>
        <w:pStyle w:val="BodyText"/>
        <w:rPr>
          <w:rFonts w:ascii="Arial" w:hAnsi="Arial"/>
          <w:sz w:val="26"/>
        </w:rPr>
      </w:pPr>
      <w:r>
        <w:br w:type="page"/>
      </w:r>
    </w:p>
    <w:p w:rsidR="004D4B2D" w:rsidRDefault="00285EB3" w:rsidP="004D4B2D">
      <w:pPr>
        <w:pStyle w:val="Heading3"/>
      </w:pPr>
      <w:r>
        <w:lastRenderedPageBreak/>
        <w:t>T</w:t>
      </w:r>
      <w:r w:rsidR="004D4B2D">
        <w:t>he investment time horizon</w:t>
      </w:r>
    </w:p>
    <w:p w:rsidR="00667DB1" w:rsidRDefault="007C2DA1" w:rsidP="0026457A">
      <w:pPr>
        <w:pStyle w:val="BodyText"/>
      </w:pPr>
      <w:r>
        <w:t xml:space="preserve">The effect of the investment time horizon on the </w:t>
      </w:r>
      <w:proofErr w:type="spellStart"/>
      <w:r>
        <w:t>EMTR</w:t>
      </w:r>
      <w:proofErr w:type="spellEnd"/>
      <w:r>
        <w:t xml:space="preserve"> depends on </w:t>
      </w:r>
      <w:r w:rsidR="0026457A">
        <w:t>whether</w:t>
      </w:r>
      <w:r>
        <w:t xml:space="preserve"> savings </w:t>
      </w:r>
      <w:r w:rsidR="0026457A">
        <w:t xml:space="preserve">taxes </w:t>
      </w:r>
      <w:r>
        <w:t xml:space="preserve">are </w:t>
      </w:r>
      <w:r w:rsidR="0026457A">
        <w:t xml:space="preserve">levied </w:t>
      </w:r>
      <w:r>
        <w:t xml:space="preserve">on contributions, returns </w:t>
      </w:r>
      <w:r w:rsidR="0026457A">
        <w:t>or</w:t>
      </w:r>
      <w:r>
        <w:t xml:space="preserve"> withdrawals.</w:t>
      </w:r>
    </w:p>
    <w:p w:rsidR="007C2DA1" w:rsidRDefault="007C2DA1" w:rsidP="007C2DA1">
      <w:pPr>
        <w:pStyle w:val="Heading4"/>
      </w:pPr>
      <w:r>
        <w:t>Tax on contributions or withdrawals</w:t>
      </w:r>
    </w:p>
    <w:p w:rsidR="007C2DA1" w:rsidRDefault="007C2DA1" w:rsidP="007C2DA1">
      <w:pPr>
        <w:pStyle w:val="BodyText"/>
      </w:pPr>
      <w:r>
        <w:t xml:space="preserve">When savings are only taxed at withdrawal (or at contribution), and are taxed at the same rate as labour income, then the </w:t>
      </w:r>
      <w:proofErr w:type="spellStart"/>
      <w:r>
        <w:t>EMTR</w:t>
      </w:r>
      <w:proofErr w:type="spellEnd"/>
      <w:r>
        <w:t xml:space="preserve"> is constant at zero regardless of the investment time horizon. If, however, savings withdrawals (or contributions) are taxed at a different rate to labour income, the </w:t>
      </w:r>
      <w:proofErr w:type="spellStart"/>
      <w:r>
        <w:t>EMTR</w:t>
      </w:r>
      <w:proofErr w:type="spellEnd"/>
      <w:r>
        <w:t xml:space="preserve"> depends on the investment time horizon </w:t>
      </w:r>
      <w:r w:rsidRPr="00847D81">
        <w:t>(Wakefield 2009)</w:t>
      </w:r>
      <w:r>
        <w:t xml:space="preserve">. As the time horizon lengthens and returns compound, the contribution becomes a smaller proportion of the total funds available at withdrawal, so the tax counts for less in the </w:t>
      </w:r>
      <w:proofErr w:type="spellStart"/>
      <w:r>
        <w:t>EMTR</w:t>
      </w:r>
      <w:proofErr w:type="spellEnd"/>
      <w:r>
        <w:t>. For example, in table </w:t>
      </w:r>
      <w:r>
        <w:fldChar w:fldCharType="begin"/>
      </w:r>
      <w:r>
        <w:instrText xml:space="preserve"> LINK </w:instrText>
      </w:r>
      <w:r w:rsidR="00104BFD">
        <w:instrText xml:space="preserve">Word.Document.12 "\\\\mel_1\\groups\\Elmrb\\04_Current projects\\Tax and Transfer\\02_Research\\Josh\\EMTRs and savings\\Effective marginal tax rates on savings.docx" OLE_LINK1 </w:instrText>
      </w:r>
      <w:r>
        <w:instrText xml:space="preserve">\a \t </w:instrText>
      </w:r>
      <w:r>
        <w:fldChar w:fldCharType="separate"/>
      </w:r>
      <w:r w:rsidR="00104BFD">
        <w:t>1</w:t>
      </w:r>
      <w:r>
        <w:fldChar w:fldCharType="end"/>
      </w:r>
      <w:r>
        <w:t xml:space="preserve">, a 5 per cent tax premium (relative to the tax on labour income) on withdrawn savings equated to an </w:t>
      </w:r>
      <w:proofErr w:type="spellStart"/>
      <w:r>
        <w:t>EMTR</w:t>
      </w:r>
      <w:proofErr w:type="spellEnd"/>
      <w:r>
        <w:t xml:space="preserve"> of 26 per cent with a 1 year time horizon. With a 10 year time horizon the </w:t>
      </w:r>
      <w:proofErr w:type="spellStart"/>
      <w:r>
        <w:t>EMTR</w:t>
      </w:r>
      <w:proofErr w:type="spellEnd"/>
      <w:r>
        <w:t xml:space="preserve"> declines to 3 per cent, and with a 50</w:t>
      </w:r>
      <w:r w:rsidR="00410C4E">
        <w:t> </w:t>
      </w:r>
      <w:r>
        <w:t>year time horizon to less than 1 per cent (figure </w:t>
      </w:r>
      <w:r w:rsidR="00AE0C8F">
        <w:t>1</w:t>
      </w:r>
      <w:r>
        <w:t xml:space="preserve">). </w:t>
      </w:r>
    </w:p>
    <w:p w:rsidR="007C2DA1" w:rsidRDefault="007C2DA1" w:rsidP="007C2DA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C2DA1" w:rsidTr="00EA4079">
        <w:tc>
          <w:tcPr>
            <w:tcW w:w="8771" w:type="dxa"/>
            <w:tcBorders>
              <w:top w:val="single" w:sz="6" w:space="0" w:color="78A22F"/>
              <w:left w:val="nil"/>
              <w:bottom w:val="nil"/>
              <w:right w:val="nil"/>
            </w:tcBorders>
            <w:shd w:val="clear" w:color="auto" w:fill="auto"/>
          </w:tcPr>
          <w:p w:rsidR="007C2DA1" w:rsidRDefault="007C2DA1" w:rsidP="00EA4079">
            <w:pPr>
              <w:pStyle w:val="FigureTitle"/>
            </w:pPr>
            <w:r w:rsidRPr="00784A05">
              <w:rPr>
                <w:b w:val="0"/>
              </w:rPr>
              <w:t xml:space="preserve">Figure </w:t>
            </w:r>
            <w:bookmarkStart w:id="5" w:name="OLE_LINK14"/>
            <w:r w:rsidRPr="00784A05">
              <w:rPr>
                <w:b w:val="0"/>
              </w:rPr>
              <w:fldChar w:fldCharType="begin"/>
            </w:r>
            <w:r w:rsidRPr="00784A05">
              <w:rPr>
                <w:b w:val="0"/>
              </w:rPr>
              <w:instrText xml:space="preserve"> SEQ Figure \* ARABIC </w:instrText>
            </w:r>
            <w:r w:rsidRPr="00784A05">
              <w:rPr>
                <w:b w:val="0"/>
              </w:rPr>
              <w:fldChar w:fldCharType="separate"/>
            </w:r>
            <w:r w:rsidR="00AE0C8F">
              <w:rPr>
                <w:b w:val="0"/>
                <w:noProof/>
              </w:rPr>
              <w:t>1</w:t>
            </w:r>
            <w:r w:rsidRPr="00784A05">
              <w:rPr>
                <w:b w:val="0"/>
              </w:rPr>
              <w:fldChar w:fldCharType="end"/>
            </w:r>
            <w:bookmarkEnd w:id="5"/>
            <w:r>
              <w:tab/>
              <w:t xml:space="preserve">Savings </w:t>
            </w:r>
            <w:proofErr w:type="spellStart"/>
            <w:r>
              <w:t>EMTRs</w:t>
            </w:r>
            <w:proofErr w:type="spellEnd"/>
            <w:r>
              <w:t xml:space="preserve"> with different time horizons</w:t>
            </w:r>
          </w:p>
          <w:p w:rsidR="007C2DA1" w:rsidRPr="00176D3F" w:rsidRDefault="007C2DA1" w:rsidP="00EA4079">
            <w:pPr>
              <w:pStyle w:val="Subtitle"/>
            </w:pPr>
            <w:r>
              <w:t>Savings taxed on withdrawal at a 5% premium to other income</w:t>
            </w:r>
            <w:r>
              <w:rPr>
                <w:rStyle w:val="NoteLabel"/>
              </w:rPr>
              <w:t>a</w:t>
            </w:r>
          </w:p>
        </w:tc>
      </w:tr>
      <w:tr w:rsidR="007C2DA1" w:rsidTr="00EA407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C2DA1" w:rsidTr="00EA4079">
              <w:trPr>
                <w:jc w:val="center"/>
              </w:trPr>
              <w:tc>
                <w:tcPr>
                  <w:tcW w:w="5000" w:type="pct"/>
                  <w:tcBorders>
                    <w:top w:val="nil"/>
                    <w:bottom w:val="nil"/>
                  </w:tcBorders>
                </w:tcPr>
                <w:p w:rsidR="007C2DA1" w:rsidRDefault="007C2DA1" w:rsidP="00EA4079">
                  <w:pPr>
                    <w:pStyle w:val="Figure"/>
                    <w:spacing w:before="60" w:after="60"/>
                  </w:pPr>
                  <w:r>
                    <w:rPr>
                      <w:noProof/>
                    </w:rPr>
                    <w:drawing>
                      <wp:inline distT="0" distB="0" distL="0" distR="0" wp14:anchorId="1896EF11" wp14:editId="715E2562">
                        <wp:extent cx="5397500" cy="2882900"/>
                        <wp:effectExtent l="0" t="0" r="0" b="0"/>
                        <wp:docPr id="7" name="Picture 7" descr="This chart shows the EMTR on savings for different investment time horizons when withdrawals are taxed at 21 per cent and labour income is taxed at 20 per cent. As the time horizon lengthens, the EMTR declines and converges to zero." title="Savings EMTRs with different time horizons - Savings taxed on withdrawal at a 5% premium to other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0" cy="2882900"/>
                                </a:xfrm>
                                <a:prstGeom prst="rect">
                                  <a:avLst/>
                                </a:prstGeom>
                                <a:noFill/>
                                <a:ln>
                                  <a:noFill/>
                                </a:ln>
                              </pic:spPr>
                            </pic:pic>
                          </a:graphicData>
                        </a:graphic>
                      </wp:inline>
                    </w:drawing>
                  </w:r>
                </w:p>
              </w:tc>
            </w:tr>
          </w:tbl>
          <w:p w:rsidR="007C2DA1" w:rsidRDefault="007C2DA1" w:rsidP="00EA4079">
            <w:pPr>
              <w:pStyle w:val="Figure"/>
            </w:pPr>
          </w:p>
        </w:tc>
      </w:tr>
      <w:tr w:rsidR="007C2DA1" w:rsidRPr="00176D3F" w:rsidTr="00EA4079">
        <w:tc>
          <w:tcPr>
            <w:tcW w:w="8771" w:type="dxa"/>
            <w:tcBorders>
              <w:top w:val="nil"/>
              <w:left w:val="nil"/>
              <w:bottom w:val="nil"/>
              <w:right w:val="nil"/>
            </w:tcBorders>
            <w:shd w:val="clear" w:color="auto" w:fill="auto"/>
          </w:tcPr>
          <w:p w:rsidR="007C2DA1" w:rsidRPr="00176D3F" w:rsidRDefault="007C2DA1" w:rsidP="00EA4079">
            <w:pPr>
              <w:pStyle w:val="Note"/>
            </w:pPr>
            <w:r>
              <w:rPr>
                <w:rStyle w:val="NoteLabel"/>
              </w:rPr>
              <w:t>a</w:t>
            </w:r>
            <w:r>
              <w:t xml:space="preserve"> Savings taxed on withdrawal only at 21 per cent. Income not saved taxed at 20 per cent. Assumes a real return of 5 per cent per year and zero inflation.</w:t>
            </w:r>
          </w:p>
        </w:tc>
      </w:tr>
      <w:tr w:rsidR="007C2DA1" w:rsidRPr="00176D3F" w:rsidTr="00EA4079">
        <w:tc>
          <w:tcPr>
            <w:tcW w:w="8771" w:type="dxa"/>
            <w:tcBorders>
              <w:top w:val="nil"/>
              <w:left w:val="nil"/>
              <w:bottom w:val="nil"/>
              <w:right w:val="nil"/>
            </w:tcBorders>
            <w:shd w:val="clear" w:color="auto" w:fill="auto"/>
          </w:tcPr>
          <w:p w:rsidR="007C2DA1" w:rsidRPr="00176D3F" w:rsidRDefault="007C2DA1" w:rsidP="00EA4079">
            <w:pPr>
              <w:pStyle w:val="Source"/>
            </w:pPr>
            <w:r>
              <w:rPr>
                <w:i/>
              </w:rPr>
              <w:t>S</w:t>
            </w:r>
            <w:r w:rsidRPr="00784A05">
              <w:rPr>
                <w:i/>
              </w:rPr>
              <w:t>ource</w:t>
            </w:r>
            <w:r w:rsidRPr="00176D3F">
              <w:t xml:space="preserve">: </w:t>
            </w:r>
            <w:r>
              <w:t>Commission estimates.</w:t>
            </w:r>
          </w:p>
        </w:tc>
      </w:tr>
      <w:tr w:rsidR="007C2DA1" w:rsidTr="00EA4079">
        <w:tc>
          <w:tcPr>
            <w:tcW w:w="8771" w:type="dxa"/>
            <w:tcBorders>
              <w:top w:val="nil"/>
              <w:left w:val="nil"/>
              <w:bottom w:val="single" w:sz="6" w:space="0" w:color="78A22F"/>
              <w:right w:val="nil"/>
            </w:tcBorders>
            <w:shd w:val="clear" w:color="auto" w:fill="auto"/>
          </w:tcPr>
          <w:p w:rsidR="007C2DA1" w:rsidRDefault="007C2DA1" w:rsidP="00EA4079">
            <w:pPr>
              <w:pStyle w:val="Figurespace"/>
            </w:pPr>
          </w:p>
        </w:tc>
      </w:tr>
      <w:tr w:rsidR="007C2DA1" w:rsidRPr="000863A5" w:rsidTr="00EA4079">
        <w:tc>
          <w:tcPr>
            <w:tcW w:w="8771" w:type="dxa"/>
            <w:tcBorders>
              <w:top w:val="single" w:sz="6" w:space="0" w:color="78A22F"/>
              <w:left w:val="nil"/>
              <w:bottom w:val="nil"/>
              <w:right w:val="nil"/>
            </w:tcBorders>
          </w:tcPr>
          <w:p w:rsidR="007C2DA1" w:rsidRPr="00626D32" w:rsidRDefault="007C2DA1" w:rsidP="00EA4079">
            <w:pPr>
              <w:pStyle w:val="BoxSpaceBelow"/>
            </w:pPr>
          </w:p>
        </w:tc>
      </w:tr>
    </w:tbl>
    <w:p w:rsidR="007C2DA1" w:rsidRDefault="007C2DA1" w:rsidP="007C2DA1">
      <w:pPr>
        <w:pStyle w:val="Heading4"/>
      </w:pPr>
      <w:r>
        <w:lastRenderedPageBreak/>
        <w:t>Tax on returns</w:t>
      </w:r>
    </w:p>
    <w:p w:rsidR="007C2DA1" w:rsidRDefault="007C2DA1" w:rsidP="007C2DA1">
      <w:pPr>
        <w:pStyle w:val="BodyText"/>
      </w:pPr>
      <w:r>
        <w:t xml:space="preserve">When returns on savings are taxed, and there is a tax rate on contributions (or on withdrawals) that is equal to the tax rate on labour income, then the </w:t>
      </w:r>
      <w:proofErr w:type="spellStart"/>
      <w:r>
        <w:t>EMTR</w:t>
      </w:r>
      <w:proofErr w:type="spellEnd"/>
      <w:r>
        <w:t xml:space="preserve"> is constant regardless of the investment time horizon. This implies that a person would be indifferent between (a) withdrawing their savings after </w:t>
      </w:r>
      <m:oMath>
        <m:r>
          <w:rPr>
            <w:rFonts w:ascii="Cambria Math" w:hAnsi="Cambria Math"/>
          </w:rPr>
          <m:t>n</m:t>
        </m:r>
      </m:oMath>
      <w:r>
        <w:t xml:space="preserve"> years and (b) over a total of </w:t>
      </w:r>
      <m:oMath>
        <m:r>
          <w:rPr>
            <w:rFonts w:ascii="Cambria Math" w:hAnsi="Cambria Math"/>
          </w:rPr>
          <m:t>n</m:t>
        </m:r>
      </m:oMath>
      <w:r>
        <w:t xml:space="preserve"> years, withdrawing their savings at the end of each year and immediately reinvesting the amount withdrawn. For example, in table </w:t>
      </w:r>
      <w:r>
        <w:fldChar w:fldCharType="begin"/>
      </w:r>
      <w:r>
        <w:instrText xml:space="preserve"> LINK </w:instrText>
      </w:r>
      <w:r w:rsidR="00104BFD">
        <w:instrText xml:space="preserve">Word.Document.12 "\\\\mel_1\\groups\\Elmrb\\04_Current projects\\Tax and Transfer\\02_Research\\Josh\\EMTRs and savings\\Effective marginal tax rates on savings.docx" OLE_LINK1 </w:instrText>
      </w:r>
      <w:r>
        <w:instrText xml:space="preserve">\a \t </w:instrText>
      </w:r>
      <w:r>
        <w:fldChar w:fldCharType="separate"/>
      </w:r>
      <w:r w:rsidR="00104BFD">
        <w:t>1</w:t>
      </w:r>
      <w:r>
        <w:fldChar w:fldCharType="end"/>
      </w:r>
      <w:r>
        <w:t xml:space="preserve">, when labour income and returns on savings were both taxed at 20 per cent, the </w:t>
      </w:r>
      <w:proofErr w:type="spellStart"/>
      <w:r>
        <w:t>EMTR</w:t>
      </w:r>
      <w:proofErr w:type="spellEnd"/>
      <w:r>
        <w:t xml:space="preserve"> over a 1 year time horizon was 20 per cent. This </w:t>
      </w:r>
      <w:proofErr w:type="spellStart"/>
      <w:r>
        <w:t>EMTR</w:t>
      </w:r>
      <w:proofErr w:type="spellEnd"/>
      <w:r>
        <w:t xml:space="preserve"> remains at 20 per cent irrespective of the time horizon (figure</w:t>
      </w:r>
      <w:r w:rsidR="000F53F4">
        <w:t> </w:t>
      </w:r>
      <w:r w:rsidR="00AE0C8F">
        <w:t>2</w:t>
      </w:r>
      <w:r>
        <w:t>).</w:t>
      </w:r>
    </w:p>
    <w:p w:rsidR="007C2DA1" w:rsidRDefault="007C2DA1" w:rsidP="007C2DA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C2DA1" w:rsidTr="00EA4079">
        <w:tc>
          <w:tcPr>
            <w:tcW w:w="8771" w:type="dxa"/>
            <w:tcBorders>
              <w:top w:val="single" w:sz="6" w:space="0" w:color="78A22F"/>
              <w:left w:val="nil"/>
              <w:bottom w:val="nil"/>
              <w:right w:val="nil"/>
            </w:tcBorders>
            <w:shd w:val="clear" w:color="auto" w:fill="auto"/>
          </w:tcPr>
          <w:p w:rsidR="007C2DA1" w:rsidRDefault="007C2DA1" w:rsidP="00EA4079">
            <w:pPr>
              <w:pStyle w:val="FigureTitle"/>
            </w:pPr>
            <w:r w:rsidRPr="00784A05">
              <w:rPr>
                <w:b w:val="0"/>
              </w:rPr>
              <w:t xml:space="preserve">Figure </w:t>
            </w:r>
            <w:bookmarkStart w:id="6" w:name="OLE_LINK15"/>
            <w:r w:rsidRPr="00784A05">
              <w:rPr>
                <w:b w:val="0"/>
              </w:rPr>
              <w:fldChar w:fldCharType="begin"/>
            </w:r>
            <w:r w:rsidRPr="00784A05">
              <w:rPr>
                <w:b w:val="0"/>
              </w:rPr>
              <w:instrText xml:space="preserve"> SEQ Figure \* ARABIC </w:instrText>
            </w:r>
            <w:r w:rsidRPr="00784A05">
              <w:rPr>
                <w:b w:val="0"/>
              </w:rPr>
              <w:fldChar w:fldCharType="separate"/>
            </w:r>
            <w:r w:rsidR="00AE0C8F">
              <w:rPr>
                <w:b w:val="0"/>
                <w:noProof/>
              </w:rPr>
              <w:t>2</w:t>
            </w:r>
            <w:r w:rsidRPr="00784A05">
              <w:rPr>
                <w:b w:val="0"/>
              </w:rPr>
              <w:fldChar w:fldCharType="end"/>
            </w:r>
            <w:bookmarkEnd w:id="6"/>
            <w:r>
              <w:tab/>
              <w:t xml:space="preserve">Savings </w:t>
            </w:r>
            <w:proofErr w:type="spellStart"/>
            <w:r>
              <w:t>EMTRs</w:t>
            </w:r>
            <w:proofErr w:type="spellEnd"/>
            <w:r>
              <w:t xml:space="preserve"> with different time horizons</w:t>
            </w:r>
          </w:p>
          <w:p w:rsidR="007C2DA1" w:rsidRPr="00176D3F" w:rsidRDefault="007C2DA1" w:rsidP="0038575F">
            <w:pPr>
              <w:pStyle w:val="Subtitle"/>
            </w:pPr>
            <w:r>
              <w:t>Savings taxed on contribution</w:t>
            </w:r>
            <w:r w:rsidR="0038575F">
              <w:t xml:space="preserve"> and returns as accrued</w:t>
            </w:r>
            <w:r>
              <w:rPr>
                <w:rStyle w:val="NoteLabel"/>
              </w:rPr>
              <w:t>a</w:t>
            </w:r>
          </w:p>
        </w:tc>
      </w:tr>
      <w:tr w:rsidR="007C2DA1" w:rsidTr="00EA407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C2DA1" w:rsidTr="00EA4079">
              <w:trPr>
                <w:jc w:val="center"/>
              </w:trPr>
              <w:tc>
                <w:tcPr>
                  <w:tcW w:w="5000" w:type="pct"/>
                  <w:tcBorders>
                    <w:top w:val="nil"/>
                    <w:bottom w:val="nil"/>
                  </w:tcBorders>
                </w:tcPr>
                <w:p w:rsidR="007C2DA1" w:rsidRDefault="007C2DA1" w:rsidP="00EA4079">
                  <w:pPr>
                    <w:pStyle w:val="Figure"/>
                    <w:spacing w:before="60" w:after="60"/>
                  </w:pPr>
                  <w:r>
                    <w:rPr>
                      <w:noProof/>
                    </w:rPr>
                    <w:drawing>
                      <wp:inline distT="0" distB="0" distL="0" distR="0" wp14:anchorId="43CD0202" wp14:editId="2AD2E5AA">
                        <wp:extent cx="5400675" cy="2819400"/>
                        <wp:effectExtent l="0" t="0" r="9525" b="0"/>
                        <wp:docPr id="8" name="Picture 8" descr="This chart shows the EMTR on savings for different investment time horizons for two different scenarios. In the first case, the tax rate on contributions is equal to the tax rate on labour income at 20 per cent. The tax rate on returns is also 20 per cent, so the EMTR is constant at 20 per cent over the whole investment time horizon.&#10;In the second case, the tax rate on contributions is zero, so the individual receives a tax relief equal to the tax they paid on labour income. This results in an EMTR of -500 per cent for a 1 year time horizon. The EMTR converges to the tax rate on returns of 20 per cent as the investment time horizon increases." title="Savings EMTRs with different time horizons - Savings taxed on contribution and returns as accr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819400"/>
                                </a:xfrm>
                                <a:prstGeom prst="rect">
                                  <a:avLst/>
                                </a:prstGeom>
                                <a:noFill/>
                                <a:ln>
                                  <a:noFill/>
                                </a:ln>
                              </pic:spPr>
                            </pic:pic>
                          </a:graphicData>
                        </a:graphic>
                      </wp:inline>
                    </w:drawing>
                  </w:r>
                </w:p>
              </w:tc>
            </w:tr>
          </w:tbl>
          <w:p w:rsidR="007C2DA1" w:rsidRDefault="007C2DA1" w:rsidP="00EA4079">
            <w:pPr>
              <w:pStyle w:val="Figure"/>
            </w:pPr>
          </w:p>
        </w:tc>
      </w:tr>
      <w:tr w:rsidR="007C2DA1" w:rsidRPr="00176D3F" w:rsidTr="00EA4079">
        <w:tc>
          <w:tcPr>
            <w:tcW w:w="8771" w:type="dxa"/>
            <w:tcBorders>
              <w:top w:val="nil"/>
              <w:left w:val="nil"/>
              <w:bottom w:val="nil"/>
              <w:right w:val="nil"/>
            </w:tcBorders>
            <w:shd w:val="clear" w:color="auto" w:fill="auto"/>
          </w:tcPr>
          <w:p w:rsidR="007C2DA1" w:rsidRPr="00176D3F" w:rsidRDefault="007C2DA1" w:rsidP="00EA4079">
            <w:pPr>
              <w:pStyle w:val="FigureNote"/>
              <w:rPr>
                <w:i/>
              </w:rPr>
            </w:pPr>
            <w:r>
              <w:rPr>
                <w:rStyle w:val="NoteLabel"/>
              </w:rPr>
              <w:t>a</w:t>
            </w:r>
            <w:r>
              <w:t xml:space="preserve"> </w:t>
            </w:r>
            <w:r w:rsidRPr="00175C1C">
              <w:rPr>
                <w:b w:val="0"/>
                <w:sz w:val="18"/>
                <w:szCs w:val="20"/>
              </w:rPr>
              <w:t>Savings returns and labour income taxed at 20</w:t>
            </w:r>
            <w:r>
              <w:rPr>
                <w:b w:val="0"/>
                <w:sz w:val="18"/>
                <w:szCs w:val="20"/>
              </w:rPr>
              <w:t> per cent</w:t>
            </w:r>
            <w:r w:rsidRPr="00175C1C">
              <w:rPr>
                <w:b w:val="0"/>
                <w:sz w:val="18"/>
                <w:szCs w:val="20"/>
              </w:rPr>
              <w:t>. Assumes a real return of 5 per cent per year and zero inflation.</w:t>
            </w:r>
          </w:p>
        </w:tc>
      </w:tr>
      <w:tr w:rsidR="007C2DA1" w:rsidRPr="00176D3F" w:rsidTr="00EA4079">
        <w:tc>
          <w:tcPr>
            <w:tcW w:w="8771" w:type="dxa"/>
            <w:tcBorders>
              <w:top w:val="nil"/>
              <w:left w:val="nil"/>
              <w:bottom w:val="nil"/>
              <w:right w:val="nil"/>
            </w:tcBorders>
            <w:shd w:val="clear" w:color="auto" w:fill="auto"/>
          </w:tcPr>
          <w:p w:rsidR="007C2DA1" w:rsidRPr="00176D3F" w:rsidRDefault="007C2DA1" w:rsidP="00EA4079">
            <w:pPr>
              <w:pStyle w:val="Subtitle"/>
              <w:keepNext w:val="0"/>
              <w:spacing w:before="80" w:after="0" w:line="220" w:lineRule="exact"/>
              <w:ind w:left="0"/>
              <w:jc w:val="both"/>
              <w:rPr>
                <w:i/>
              </w:rPr>
            </w:pPr>
            <w:r>
              <w:rPr>
                <w:i/>
              </w:rPr>
              <w:t>S</w:t>
            </w:r>
            <w:r w:rsidRPr="00784A05">
              <w:rPr>
                <w:i/>
              </w:rPr>
              <w:t>ource</w:t>
            </w:r>
            <w:r w:rsidRPr="00176D3F">
              <w:t xml:space="preserve">: </w:t>
            </w:r>
            <w:r>
              <w:t>Commission estimates.</w:t>
            </w:r>
          </w:p>
        </w:tc>
      </w:tr>
      <w:tr w:rsidR="007C2DA1" w:rsidTr="00EA4079">
        <w:tc>
          <w:tcPr>
            <w:tcW w:w="8771" w:type="dxa"/>
            <w:tcBorders>
              <w:top w:val="nil"/>
              <w:left w:val="nil"/>
              <w:bottom w:val="single" w:sz="6" w:space="0" w:color="78A22F"/>
              <w:right w:val="nil"/>
            </w:tcBorders>
            <w:shd w:val="clear" w:color="auto" w:fill="auto"/>
          </w:tcPr>
          <w:p w:rsidR="007C2DA1" w:rsidRDefault="007C2DA1" w:rsidP="00EA4079">
            <w:pPr>
              <w:pStyle w:val="Figurespace"/>
            </w:pPr>
          </w:p>
        </w:tc>
      </w:tr>
      <w:tr w:rsidR="007C2DA1" w:rsidRPr="000863A5" w:rsidTr="00EA4079">
        <w:tc>
          <w:tcPr>
            <w:tcW w:w="8771" w:type="dxa"/>
            <w:tcBorders>
              <w:top w:val="single" w:sz="6" w:space="0" w:color="78A22F"/>
              <w:left w:val="nil"/>
              <w:bottom w:val="nil"/>
              <w:right w:val="nil"/>
            </w:tcBorders>
          </w:tcPr>
          <w:p w:rsidR="007C2DA1" w:rsidRPr="00626D32" w:rsidRDefault="007C2DA1" w:rsidP="00EA4079">
            <w:pPr>
              <w:pStyle w:val="BoxSpaceBelow"/>
            </w:pPr>
          </w:p>
        </w:tc>
      </w:tr>
    </w:tbl>
    <w:p w:rsidR="007C2DA1" w:rsidRDefault="007C2DA1" w:rsidP="007C2DA1">
      <w:pPr>
        <w:pStyle w:val="BodyText"/>
      </w:pPr>
      <w:r>
        <w:t xml:space="preserve">The </w:t>
      </w:r>
      <w:proofErr w:type="spellStart"/>
      <w:r>
        <w:t>EMTR</w:t>
      </w:r>
      <w:proofErr w:type="spellEnd"/>
      <w:r>
        <w:t xml:space="preserve"> of an investment with a tax on savings returns does differ depending on the investment time horizon when the tax rate on savings contributions (or withdrawals) is different to the tax rate on labour income. Furthermore, it converges to the </w:t>
      </w:r>
      <w:proofErr w:type="spellStart"/>
      <w:r>
        <w:t>EMTR</w:t>
      </w:r>
      <w:proofErr w:type="spellEnd"/>
      <w:r>
        <w:t xml:space="preserve"> of an investment that has a tax rate on contributions equal to the tax rate on labour income. As discussed above, this is because as the time horizon increases, the tax on the initial contribution becomes a smaller proportion of the total value of withdrawal and so it has a smaller impact on the </w:t>
      </w:r>
      <w:proofErr w:type="spellStart"/>
      <w:r>
        <w:t>EMTR</w:t>
      </w:r>
      <w:proofErr w:type="spellEnd"/>
      <w:r>
        <w:t xml:space="preserve">. As an example, suppose that a person pays no tax on contributions or withdrawals (so that they receive a full tax relief on their initial contribution) and the tax on savings returns is 20 per cent. The </w:t>
      </w:r>
      <w:proofErr w:type="spellStart"/>
      <w:r>
        <w:t>EMTR</w:t>
      </w:r>
      <w:proofErr w:type="spellEnd"/>
      <w:r>
        <w:t xml:space="preserve"> for a 1 year time horizon would be -500 per cent. However, the effect of the tax relief </w:t>
      </w:r>
      <w:r w:rsidR="00F458C8">
        <w:t>reduces</w:t>
      </w:r>
      <w:r>
        <w:t xml:space="preserve"> as the time horizon lengthens, and the </w:t>
      </w:r>
      <w:proofErr w:type="spellStart"/>
      <w:r>
        <w:t>EMTR</w:t>
      </w:r>
      <w:proofErr w:type="spellEnd"/>
      <w:r>
        <w:t xml:space="preserve"> converges to 20 per cent (figure</w:t>
      </w:r>
      <w:r w:rsidR="000F53F4">
        <w:t> </w:t>
      </w:r>
      <w:r w:rsidR="00AE0C8F">
        <w:t>2</w:t>
      </w:r>
      <w:r>
        <w:t>).</w:t>
      </w:r>
    </w:p>
    <w:p w:rsidR="004D4B2D" w:rsidRDefault="00285EB3" w:rsidP="004D4B2D">
      <w:pPr>
        <w:pStyle w:val="Heading3"/>
      </w:pPr>
      <w:r>
        <w:lastRenderedPageBreak/>
        <w:t>I</w:t>
      </w:r>
      <w:r w:rsidR="004D4B2D">
        <w:t>nflation</w:t>
      </w:r>
    </w:p>
    <w:p w:rsidR="004D4B2D" w:rsidRDefault="004D4B2D" w:rsidP="004D4B2D">
      <w:pPr>
        <w:pStyle w:val="BodyText"/>
      </w:pPr>
      <w:r>
        <w:t xml:space="preserve">When savings are taxed on </w:t>
      </w:r>
      <w:r w:rsidRPr="004B02E9">
        <w:t>nominal</w:t>
      </w:r>
      <w:r>
        <w:t xml:space="preserve"> returns as they accrue (rather than when they are realised), the </w:t>
      </w:r>
      <w:proofErr w:type="spellStart"/>
      <w:r>
        <w:t>EMTR</w:t>
      </w:r>
      <w:proofErr w:type="spellEnd"/>
      <w:r>
        <w:t xml:space="preserve"> calculated will vary depending on the rate of inflation </w:t>
      </w:r>
      <w:r w:rsidRPr="00847D81">
        <w:t>(Wakefield 2009)</w:t>
      </w:r>
      <w:r>
        <w:t xml:space="preserve">. As the rate of inflation increases, the amount of tax paid as a proportion of the real return increases, so the </w:t>
      </w:r>
      <w:proofErr w:type="spellStart"/>
      <w:r>
        <w:t>EMTR</w:t>
      </w:r>
      <w:proofErr w:type="spellEnd"/>
      <w:r>
        <w:t xml:space="preserve"> rises. For example, in table </w:t>
      </w:r>
      <w:r w:rsidR="00F359F4">
        <w:fldChar w:fldCharType="begin"/>
      </w:r>
      <w:r w:rsidR="00F359F4">
        <w:instrText xml:space="preserve"> LINK </w:instrText>
      </w:r>
      <w:r w:rsidR="00104BFD">
        <w:instrText xml:space="preserve">Word.Document.12 "\\\\mel_1\\groups\\Elmrb\\04_Current projects\\Tax and Transfer\\02_Research\\Josh\\EMTRs and savings\\Effective marginal tax rates on savings.docx" OLE_LINK1 </w:instrText>
      </w:r>
      <w:r w:rsidR="00F359F4">
        <w:instrText xml:space="preserve">\a \t </w:instrText>
      </w:r>
      <w:r w:rsidR="00F359F4">
        <w:fldChar w:fldCharType="separate"/>
      </w:r>
      <w:r w:rsidR="00104BFD">
        <w:t>1</w:t>
      </w:r>
      <w:r w:rsidR="00F359F4">
        <w:fldChar w:fldCharType="end"/>
      </w:r>
      <w:r>
        <w:t xml:space="preserve">, the </w:t>
      </w:r>
      <w:proofErr w:type="spellStart"/>
      <w:r>
        <w:t>EMTR</w:t>
      </w:r>
      <w:proofErr w:type="spellEnd"/>
      <w:r>
        <w:t xml:space="preserve"> on savings with taxed contributions and taxed returns with a 5 per cent rate of return and no inflation was 20 per cent. With 4 per cent inflation, the </w:t>
      </w:r>
      <w:proofErr w:type="spellStart"/>
      <w:r>
        <w:t>EMTR</w:t>
      </w:r>
      <w:proofErr w:type="spellEnd"/>
      <w:r>
        <w:t xml:space="preserve"> </w:t>
      </w:r>
      <w:r w:rsidR="00297840">
        <w:t xml:space="preserve">on the real return </w:t>
      </w:r>
      <w:r>
        <w:t xml:space="preserve">rises to </w:t>
      </w:r>
      <w:r w:rsidR="0044515B">
        <w:t>35 </w:t>
      </w:r>
      <w:r>
        <w:t>per cent (figure </w:t>
      </w:r>
      <w:r w:rsidR="00AE0C8F">
        <w:t>3</w:t>
      </w:r>
      <w:r>
        <w:t>).</w:t>
      </w:r>
    </w:p>
    <w:p w:rsidR="004D4B2D" w:rsidRDefault="004D4B2D" w:rsidP="004D4B2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D4B2D" w:rsidTr="00297840">
        <w:tc>
          <w:tcPr>
            <w:tcW w:w="8771" w:type="dxa"/>
            <w:tcBorders>
              <w:top w:val="single" w:sz="6" w:space="0" w:color="78A22F"/>
              <w:left w:val="nil"/>
              <w:bottom w:val="nil"/>
              <w:right w:val="nil"/>
            </w:tcBorders>
            <w:shd w:val="clear" w:color="auto" w:fill="auto"/>
          </w:tcPr>
          <w:p w:rsidR="004D4B2D" w:rsidRDefault="004D4B2D" w:rsidP="00297840">
            <w:pPr>
              <w:pStyle w:val="FigureTitle"/>
            </w:pPr>
            <w:r w:rsidRPr="00784A05">
              <w:rPr>
                <w:b w:val="0"/>
              </w:rPr>
              <w:t xml:space="preserve">Figure </w:t>
            </w:r>
            <w:bookmarkStart w:id="7" w:name="OLE_LINK6"/>
            <w:r w:rsidRPr="00784A05">
              <w:rPr>
                <w:b w:val="0"/>
              </w:rPr>
              <w:fldChar w:fldCharType="begin"/>
            </w:r>
            <w:r w:rsidRPr="00784A05">
              <w:rPr>
                <w:b w:val="0"/>
              </w:rPr>
              <w:instrText xml:space="preserve"> SEQ Figure \* ARABIC </w:instrText>
            </w:r>
            <w:r w:rsidRPr="00784A05">
              <w:rPr>
                <w:b w:val="0"/>
              </w:rPr>
              <w:fldChar w:fldCharType="separate"/>
            </w:r>
            <w:r w:rsidR="00AE0C8F">
              <w:rPr>
                <w:b w:val="0"/>
                <w:noProof/>
              </w:rPr>
              <w:t>3</w:t>
            </w:r>
            <w:r w:rsidRPr="00784A05">
              <w:rPr>
                <w:b w:val="0"/>
              </w:rPr>
              <w:fldChar w:fldCharType="end"/>
            </w:r>
            <w:bookmarkEnd w:id="7"/>
            <w:r>
              <w:tab/>
              <w:t xml:space="preserve">Savings </w:t>
            </w:r>
            <w:proofErr w:type="spellStart"/>
            <w:r>
              <w:t>EMTRs</w:t>
            </w:r>
            <w:proofErr w:type="spellEnd"/>
            <w:r>
              <w:t xml:space="preserve"> with different inflation rates</w:t>
            </w:r>
          </w:p>
          <w:p w:rsidR="004D4B2D" w:rsidRPr="00176D3F" w:rsidRDefault="0038575F" w:rsidP="0038575F">
            <w:pPr>
              <w:pStyle w:val="Subtitle"/>
            </w:pPr>
            <w:r>
              <w:t>Savings t</w:t>
            </w:r>
            <w:r w:rsidR="004D4B2D">
              <w:t>axe</w:t>
            </w:r>
            <w:r>
              <w:t>d</w:t>
            </w:r>
            <w:r w:rsidR="004D4B2D">
              <w:t xml:space="preserve"> on contribution and returns as accrued</w:t>
            </w:r>
            <w:r w:rsidR="004D4B2D">
              <w:rPr>
                <w:rStyle w:val="NoteLabel"/>
              </w:rPr>
              <w:t>a</w:t>
            </w:r>
          </w:p>
        </w:tc>
      </w:tr>
      <w:tr w:rsidR="004D4B2D" w:rsidTr="0029784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D4B2D" w:rsidTr="00297840">
              <w:trPr>
                <w:jc w:val="center"/>
              </w:trPr>
              <w:tc>
                <w:tcPr>
                  <w:tcW w:w="5000" w:type="pct"/>
                  <w:tcBorders>
                    <w:top w:val="nil"/>
                    <w:bottom w:val="nil"/>
                  </w:tcBorders>
                </w:tcPr>
                <w:p w:rsidR="004D4B2D" w:rsidRDefault="004D4B2D" w:rsidP="00297840">
                  <w:pPr>
                    <w:pStyle w:val="Figure"/>
                    <w:spacing w:before="60" w:after="60"/>
                  </w:pPr>
                  <w:r>
                    <w:rPr>
                      <w:noProof/>
                    </w:rPr>
                    <w:drawing>
                      <wp:inline distT="0" distB="0" distL="0" distR="0" wp14:anchorId="77C1638D" wp14:editId="51150C49">
                        <wp:extent cx="5397500" cy="2882900"/>
                        <wp:effectExtent l="0" t="0" r="0" b="0"/>
                        <wp:docPr id="5" name="Picture 5" descr="This chart shows the EMTR on savings for different rates of inflation under two scenarios. In the first scenario, there is no deduction for nominal losses. The EMTR increases linearly with the inflation rate, with a minimum of zero per cent.&#10;In the second scenario, there are deductions for nominal losses. The EMTR also increases linearly with the inflation rate, and becomes negative when there is strong deflation." title="Savings EMTRs with different inflation rates - Savings taxed on contribution and returns as accr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0" cy="2882900"/>
                                </a:xfrm>
                                <a:prstGeom prst="rect">
                                  <a:avLst/>
                                </a:prstGeom>
                                <a:noFill/>
                                <a:ln>
                                  <a:noFill/>
                                </a:ln>
                              </pic:spPr>
                            </pic:pic>
                          </a:graphicData>
                        </a:graphic>
                      </wp:inline>
                    </w:drawing>
                  </w:r>
                </w:p>
              </w:tc>
            </w:tr>
          </w:tbl>
          <w:p w:rsidR="004D4B2D" w:rsidRDefault="004D4B2D" w:rsidP="00297840">
            <w:pPr>
              <w:pStyle w:val="Figure"/>
            </w:pPr>
          </w:p>
        </w:tc>
      </w:tr>
      <w:tr w:rsidR="004D4B2D" w:rsidRPr="00176D3F" w:rsidTr="00297840">
        <w:tc>
          <w:tcPr>
            <w:tcW w:w="8771" w:type="dxa"/>
            <w:tcBorders>
              <w:top w:val="nil"/>
              <w:left w:val="nil"/>
              <w:bottom w:val="nil"/>
              <w:right w:val="nil"/>
            </w:tcBorders>
            <w:shd w:val="clear" w:color="auto" w:fill="auto"/>
          </w:tcPr>
          <w:p w:rsidR="004D4B2D" w:rsidRPr="00176D3F" w:rsidRDefault="004D4B2D" w:rsidP="00297840">
            <w:pPr>
              <w:pStyle w:val="Note"/>
            </w:pPr>
            <w:proofErr w:type="spellStart"/>
            <w:r>
              <w:rPr>
                <w:rStyle w:val="NoteLabel"/>
              </w:rPr>
              <w:t>a</w:t>
            </w:r>
            <w:proofErr w:type="spellEnd"/>
            <w:r>
              <w:t xml:space="preserve"> Assume</w:t>
            </w:r>
            <w:r w:rsidR="0038575F">
              <w:t>s</w:t>
            </w:r>
            <w:r>
              <w:t xml:space="preserve"> a </w:t>
            </w:r>
            <w:r w:rsidR="0038575F">
              <w:t xml:space="preserve">1 year time horizon, </w:t>
            </w:r>
            <w:r>
              <w:t>real return of 5 per cent per year and a tax rate of 20 per cent on both the contribution and the returns.</w:t>
            </w:r>
          </w:p>
        </w:tc>
      </w:tr>
      <w:tr w:rsidR="004D4B2D" w:rsidRPr="00176D3F" w:rsidTr="00297840">
        <w:tc>
          <w:tcPr>
            <w:tcW w:w="8771" w:type="dxa"/>
            <w:tcBorders>
              <w:top w:val="nil"/>
              <w:left w:val="nil"/>
              <w:bottom w:val="nil"/>
              <w:right w:val="nil"/>
            </w:tcBorders>
            <w:shd w:val="clear" w:color="auto" w:fill="auto"/>
          </w:tcPr>
          <w:p w:rsidR="004D4B2D" w:rsidRPr="00176D3F" w:rsidRDefault="004D4B2D" w:rsidP="00297840">
            <w:pPr>
              <w:pStyle w:val="Source"/>
            </w:pPr>
            <w:r>
              <w:rPr>
                <w:i/>
              </w:rPr>
              <w:t>S</w:t>
            </w:r>
            <w:r w:rsidRPr="00784A05">
              <w:rPr>
                <w:i/>
              </w:rPr>
              <w:t>ource</w:t>
            </w:r>
            <w:r w:rsidRPr="00176D3F">
              <w:t xml:space="preserve">: </w:t>
            </w:r>
            <w:r>
              <w:t>Commission estimates.</w:t>
            </w:r>
          </w:p>
        </w:tc>
      </w:tr>
      <w:tr w:rsidR="004D4B2D" w:rsidTr="00297840">
        <w:tc>
          <w:tcPr>
            <w:tcW w:w="8771" w:type="dxa"/>
            <w:tcBorders>
              <w:top w:val="nil"/>
              <w:left w:val="nil"/>
              <w:bottom w:val="single" w:sz="6" w:space="0" w:color="78A22F"/>
              <w:right w:val="nil"/>
            </w:tcBorders>
            <w:shd w:val="clear" w:color="auto" w:fill="auto"/>
          </w:tcPr>
          <w:p w:rsidR="004D4B2D" w:rsidRDefault="004D4B2D" w:rsidP="00297840">
            <w:pPr>
              <w:pStyle w:val="Figurespace"/>
            </w:pPr>
          </w:p>
        </w:tc>
      </w:tr>
      <w:tr w:rsidR="004D4B2D" w:rsidRPr="000863A5" w:rsidTr="00297840">
        <w:tc>
          <w:tcPr>
            <w:tcW w:w="8771" w:type="dxa"/>
            <w:tcBorders>
              <w:top w:val="single" w:sz="6" w:space="0" w:color="78A22F"/>
              <w:left w:val="nil"/>
              <w:bottom w:val="nil"/>
              <w:right w:val="nil"/>
            </w:tcBorders>
          </w:tcPr>
          <w:p w:rsidR="004D4B2D" w:rsidRPr="00626D32" w:rsidRDefault="004D4B2D" w:rsidP="00297840">
            <w:pPr>
              <w:pStyle w:val="BoxSpaceBelow"/>
            </w:pPr>
          </w:p>
        </w:tc>
      </w:tr>
    </w:tbl>
    <w:p w:rsidR="00422F73" w:rsidRDefault="00422F73" w:rsidP="00422F73">
      <w:pPr>
        <w:pStyle w:val="BodyText"/>
      </w:pPr>
      <w:r>
        <w:t>During periods of deflation, the</w:t>
      </w:r>
      <w:r w:rsidR="00297840">
        <w:t xml:space="preserve"> effect on the</w:t>
      </w:r>
      <w:r>
        <w:t xml:space="preserve"> </w:t>
      </w:r>
      <w:proofErr w:type="spellStart"/>
      <w:r>
        <w:t>EMTR</w:t>
      </w:r>
      <w:proofErr w:type="spellEnd"/>
      <w:r>
        <w:t xml:space="preserve"> depends on the tax treatment of losses. If losses can be deducted from other income, the </w:t>
      </w:r>
      <w:proofErr w:type="spellStart"/>
      <w:r>
        <w:t>EMTR</w:t>
      </w:r>
      <w:proofErr w:type="spellEnd"/>
      <w:r>
        <w:t xml:space="preserve"> can become negative when nominal returns are subject to taxation and inflation is strongly negative.</w:t>
      </w:r>
      <w:r>
        <w:rPr>
          <w:rStyle w:val="FootnoteReference"/>
        </w:rPr>
        <w:footnoteReference w:id="5"/>
      </w:r>
      <w:r>
        <w:t xml:space="preserve"> For example, using the example above with 6 per cent deflation, the </w:t>
      </w:r>
      <w:proofErr w:type="spellStart"/>
      <w:r>
        <w:t>EMTR</w:t>
      </w:r>
      <w:proofErr w:type="spellEnd"/>
      <w:r>
        <w:t xml:space="preserve"> is minus 6 per cent (figure </w:t>
      </w:r>
      <w:r w:rsidR="00AE0C8F">
        <w:t>3</w:t>
      </w:r>
      <w:r>
        <w:t>).</w:t>
      </w:r>
    </w:p>
    <w:p w:rsidR="00422F73" w:rsidRDefault="00422F73" w:rsidP="00422F73">
      <w:pPr>
        <w:pStyle w:val="BodyText"/>
      </w:pPr>
      <w:r>
        <w:t xml:space="preserve">In the Australian context, the effect of inflation on the </w:t>
      </w:r>
      <w:proofErr w:type="spellStart"/>
      <w:r>
        <w:t>EMTR</w:t>
      </w:r>
      <w:proofErr w:type="spellEnd"/>
      <w:r>
        <w:t xml:space="preserve"> is relevant for most savings instruments, because most savings instruments are taxed on nominal returns as they accrue.</w:t>
      </w:r>
    </w:p>
    <w:p w:rsidR="000D7750" w:rsidRDefault="00806A43" w:rsidP="000D7750">
      <w:pPr>
        <w:pStyle w:val="Heading3"/>
      </w:pPr>
      <w:r>
        <w:lastRenderedPageBreak/>
        <w:t>M</w:t>
      </w:r>
      <w:r w:rsidR="000D7750">
        <w:t>eans</w:t>
      </w:r>
      <w:r w:rsidR="009C67DD">
        <w:noBreakHyphen/>
      </w:r>
      <w:r w:rsidR="000D7750">
        <w:t>testing transfer payments</w:t>
      </w:r>
    </w:p>
    <w:p w:rsidR="000D7750" w:rsidRDefault="00AE0C8F" w:rsidP="000D7750">
      <w:pPr>
        <w:pStyle w:val="BodyText"/>
      </w:pPr>
      <w:r>
        <w:t>On the transfer side</w:t>
      </w:r>
      <w:r w:rsidR="000D7750">
        <w:t xml:space="preserve">, </w:t>
      </w:r>
      <w:proofErr w:type="spellStart"/>
      <w:r w:rsidR="000D7750">
        <w:t>EMTRs</w:t>
      </w:r>
      <w:proofErr w:type="spellEnd"/>
      <w:r w:rsidR="000D7750">
        <w:t xml:space="preserve"> on savings are affected by both income tests and assets tests.</w:t>
      </w:r>
      <w:r w:rsidR="0079413D">
        <w:t xml:space="preserve"> </w:t>
      </w:r>
      <w:r w:rsidR="000D7750">
        <w:t>Figure </w:t>
      </w:r>
      <w:r>
        <w:t xml:space="preserve">4 </w:t>
      </w:r>
      <w:r w:rsidR="000D7750">
        <w:t xml:space="preserve">shows how the income test and assets test would affect the </w:t>
      </w:r>
      <w:proofErr w:type="spellStart"/>
      <w:r w:rsidR="000D7750">
        <w:t>EMTR</w:t>
      </w:r>
      <w:proofErr w:type="spellEnd"/>
      <w:r w:rsidR="000D7750">
        <w:t xml:space="preserve"> on savings faced by a person receiving the Age Pension with income invested in an interest</w:t>
      </w:r>
      <w:r w:rsidR="009C67DD">
        <w:noBreakHyphen/>
      </w:r>
      <w:r w:rsidR="000D7750">
        <w:t xml:space="preserve">bearing savings account. Even if the person faces a 0 per cent statutory marginal income tax rate, if the assets test is binding, the person faces an </w:t>
      </w:r>
      <w:proofErr w:type="spellStart"/>
      <w:r w:rsidR="000D7750">
        <w:t>EMTR</w:t>
      </w:r>
      <w:proofErr w:type="spellEnd"/>
      <w:r w:rsidR="000D7750">
        <w:t xml:space="preserve"> on savings of 112 per cent. This is because the assets test reduces the Age Pension by about 4 cents per annum for every extra dollar of assets over the limit. Assuming a 6 per cent nominal return and a 2.5 per cent inflation rate, the return on savings minus the reduction in the Age Pension is not enough to offset the impact of inflation.</w:t>
      </w:r>
    </w:p>
    <w:p w:rsidR="000D7750" w:rsidRDefault="000D7750" w:rsidP="000D775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D7750" w:rsidTr="0038575F">
        <w:tc>
          <w:tcPr>
            <w:tcW w:w="8771" w:type="dxa"/>
            <w:tcBorders>
              <w:top w:val="single" w:sz="6" w:space="0" w:color="78A22F"/>
              <w:left w:val="nil"/>
              <w:bottom w:val="nil"/>
              <w:right w:val="nil"/>
            </w:tcBorders>
            <w:shd w:val="clear" w:color="auto" w:fill="auto"/>
          </w:tcPr>
          <w:p w:rsidR="000D7750" w:rsidRDefault="000D7750" w:rsidP="0038575F">
            <w:pPr>
              <w:pStyle w:val="FigureTitle"/>
            </w:pPr>
            <w:r w:rsidRPr="00784A05">
              <w:rPr>
                <w:b w:val="0"/>
              </w:rPr>
              <w:t xml:space="preserve">Figure </w:t>
            </w:r>
            <w:r w:rsidRPr="00784A05">
              <w:rPr>
                <w:b w:val="0"/>
              </w:rPr>
              <w:fldChar w:fldCharType="begin"/>
            </w:r>
            <w:r w:rsidRPr="00784A05">
              <w:rPr>
                <w:b w:val="0"/>
              </w:rPr>
              <w:instrText xml:space="preserve"> SEQ Figure \* ARABIC </w:instrText>
            </w:r>
            <w:r w:rsidRPr="00784A05">
              <w:rPr>
                <w:b w:val="0"/>
              </w:rPr>
              <w:fldChar w:fldCharType="separate"/>
            </w:r>
            <w:r w:rsidR="00AE0C8F">
              <w:rPr>
                <w:b w:val="0"/>
                <w:noProof/>
              </w:rPr>
              <w:t>4</w:t>
            </w:r>
            <w:r w:rsidRPr="00784A05">
              <w:rPr>
                <w:b w:val="0"/>
              </w:rPr>
              <w:fldChar w:fldCharType="end"/>
            </w:r>
            <w:r>
              <w:tab/>
              <w:t xml:space="preserve">Savings </w:t>
            </w:r>
            <w:proofErr w:type="spellStart"/>
            <w:r>
              <w:t>EMTRs</w:t>
            </w:r>
            <w:proofErr w:type="spellEnd"/>
            <w:r>
              <w:t xml:space="preserve"> with Age Pension income and assets tests</w:t>
            </w:r>
            <w:r w:rsidRPr="000354F0">
              <w:rPr>
                <w:rStyle w:val="NoteLabel"/>
                <w:b/>
              </w:rPr>
              <w:t>a</w:t>
            </w:r>
          </w:p>
          <w:p w:rsidR="000D7750" w:rsidRPr="00196652" w:rsidRDefault="000D7750" w:rsidP="0038575F">
            <w:pPr>
              <w:pStyle w:val="Subtitle"/>
            </w:pPr>
            <w:r>
              <w:t>Facing statutory marginal income tax rates of 0%, 19% and 32.5%</w:t>
            </w:r>
          </w:p>
        </w:tc>
      </w:tr>
      <w:tr w:rsidR="000D7750" w:rsidTr="0038575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D7750" w:rsidTr="0038575F">
              <w:trPr>
                <w:jc w:val="center"/>
              </w:trPr>
              <w:tc>
                <w:tcPr>
                  <w:tcW w:w="5000" w:type="pct"/>
                  <w:tcBorders>
                    <w:top w:val="nil"/>
                    <w:bottom w:val="nil"/>
                  </w:tcBorders>
                </w:tcPr>
                <w:p w:rsidR="000D7750" w:rsidRDefault="000D7750" w:rsidP="0038575F">
                  <w:pPr>
                    <w:pStyle w:val="Figure"/>
                    <w:spacing w:before="60" w:after="60"/>
                  </w:pPr>
                  <w:r>
                    <w:rPr>
                      <w:noProof/>
                    </w:rPr>
                    <w:drawing>
                      <wp:inline distT="0" distB="0" distL="0" distR="0" wp14:anchorId="2F85344C" wp14:editId="2434110B">
                        <wp:extent cx="5397500" cy="2882900"/>
                        <wp:effectExtent l="0" t="0" r="0" b="0"/>
                        <wp:docPr id="1" name="Picture 1" descr="This chart shows the EMTR on savings for different statutory marginal income tax rates when an Age Pensioner faces a binding income test, binding asset test or no binding test. EMTRs increase with the marginal income tax rate. They are highest under a binding asset test and lowest when neither the asset nor income test are binding." title="Savings EMTRs with Age Pension income and assets tests – Facing statutory marginal income tax rates of 0%, 19% and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0" cy="2882900"/>
                                </a:xfrm>
                                <a:prstGeom prst="rect">
                                  <a:avLst/>
                                </a:prstGeom>
                                <a:noFill/>
                                <a:ln>
                                  <a:noFill/>
                                </a:ln>
                              </pic:spPr>
                            </pic:pic>
                          </a:graphicData>
                        </a:graphic>
                      </wp:inline>
                    </w:drawing>
                  </w:r>
                </w:p>
              </w:tc>
            </w:tr>
          </w:tbl>
          <w:p w:rsidR="000D7750" w:rsidRDefault="000D7750" w:rsidP="0038575F">
            <w:pPr>
              <w:pStyle w:val="Figure"/>
            </w:pPr>
          </w:p>
        </w:tc>
      </w:tr>
      <w:tr w:rsidR="000D7750" w:rsidRPr="00176D3F" w:rsidTr="0038575F">
        <w:tc>
          <w:tcPr>
            <w:tcW w:w="8771" w:type="dxa"/>
            <w:tcBorders>
              <w:top w:val="nil"/>
              <w:left w:val="nil"/>
              <w:bottom w:val="nil"/>
              <w:right w:val="nil"/>
            </w:tcBorders>
            <w:shd w:val="clear" w:color="auto" w:fill="auto"/>
          </w:tcPr>
          <w:p w:rsidR="000D7750" w:rsidRPr="00176D3F" w:rsidRDefault="000D7750" w:rsidP="0038575F">
            <w:pPr>
              <w:pStyle w:val="Note"/>
            </w:pPr>
            <w:r>
              <w:rPr>
                <w:rStyle w:val="NoteLabel"/>
              </w:rPr>
              <w:t>a</w:t>
            </w:r>
            <w:r>
              <w:t xml:space="preserve"> Based on a $100 marginal investment in an interest</w:t>
            </w:r>
            <w:r>
              <w:noBreakHyphen/>
              <w:t>bearing savings account. Assumes a 25 year investment period, 6 per cent nominal return on savings and 2.5 per cent inflation. Age Pension income and assets tests are based on a single person family. Under the income test, assets are assumed to earn a deemed nominal return of 3.25 per cent. The assets test is assumed to be based on the value of financial investments at the start of the year. The Age Pension is assumed to not be subject to tax and no tax offsets are considered.</w:t>
            </w:r>
          </w:p>
        </w:tc>
      </w:tr>
      <w:tr w:rsidR="000D7750" w:rsidRPr="00176D3F" w:rsidTr="0038575F">
        <w:tc>
          <w:tcPr>
            <w:tcW w:w="8771" w:type="dxa"/>
            <w:tcBorders>
              <w:top w:val="nil"/>
              <w:left w:val="nil"/>
              <w:bottom w:val="nil"/>
              <w:right w:val="nil"/>
            </w:tcBorders>
            <w:shd w:val="clear" w:color="auto" w:fill="auto"/>
          </w:tcPr>
          <w:p w:rsidR="000D7750" w:rsidRPr="00176D3F" w:rsidRDefault="000D7750" w:rsidP="0038575F">
            <w:pPr>
              <w:pStyle w:val="Source"/>
            </w:pPr>
            <w:r>
              <w:rPr>
                <w:i/>
              </w:rPr>
              <w:t>S</w:t>
            </w:r>
            <w:r w:rsidRPr="00784A05">
              <w:rPr>
                <w:i/>
              </w:rPr>
              <w:t>ource</w:t>
            </w:r>
            <w:r w:rsidRPr="00176D3F">
              <w:t xml:space="preserve">: </w:t>
            </w:r>
            <w:r>
              <w:t>Commission estimates.</w:t>
            </w:r>
          </w:p>
        </w:tc>
      </w:tr>
      <w:tr w:rsidR="000D7750" w:rsidTr="0038575F">
        <w:tc>
          <w:tcPr>
            <w:tcW w:w="8771" w:type="dxa"/>
            <w:tcBorders>
              <w:top w:val="nil"/>
              <w:left w:val="nil"/>
              <w:bottom w:val="single" w:sz="6" w:space="0" w:color="78A22F"/>
              <w:right w:val="nil"/>
            </w:tcBorders>
            <w:shd w:val="clear" w:color="auto" w:fill="auto"/>
          </w:tcPr>
          <w:p w:rsidR="000D7750" w:rsidRDefault="000D7750" w:rsidP="0038575F">
            <w:pPr>
              <w:pStyle w:val="Figurespace"/>
            </w:pPr>
          </w:p>
        </w:tc>
      </w:tr>
      <w:tr w:rsidR="000D7750" w:rsidRPr="000863A5" w:rsidTr="0038575F">
        <w:tc>
          <w:tcPr>
            <w:tcW w:w="8771" w:type="dxa"/>
            <w:tcBorders>
              <w:top w:val="single" w:sz="6" w:space="0" w:color="78A22F"/>
              <w:left w:val="nil"/>
              <w:bottom w:val="nil"/>
              <w:right w:val="nil"/>
            </w:tcBorders>
          </w:tcPr>
          <w:p w:rsidR="000D7750" w:rsidRPr="00626D32" w:rsidRDefault="000D7750" w:rsidP="0038575F">
            <w:pPr>
              <w:pStyle w:val="BoxSpaceBelow"/>
            </w:pPr>
          </w:p>
        </w:tc>
      </w:tr>
    </w:tbl>
    <w:p w:rsidR="004D4B2D" w:rsidRDefault="004D4B2D" w:rsidP="004D4B2D">
      <w:pPr>
        <w:pStyle w:val="Heading2"/>
      </w:pPr>
      <w:r>
        <w:t>The taxation of savings in Australia</w:t>
      </w:r>
    </w:p>
    <w:p w:rsidR="004D4B2D" w:rsidRDefault="004D4B2D" w:rsidP="004D4B2D">
      <w:pPr>
        <w:pStyle w:val="BodyText"/>
      </w:pPr>
      <w:r>
        <w:t>Savings taxation in Australia is complex. Different savings instruments are subject to very different tax treatments (table </w:t>
      </w:r>
      <w:r w:rsidR="006D3594">
        <w:fldChar w:fldCharType="begin"/>
      </w:r>
      <w:r w:rsidR="006D3594">
        <w:instrText xml:space="preserve"> LINK </w:instrText>
      </w:r>
      <w:r w:rsidR="00104BFD">
        <w:instrText xml:space="preserve">Word.Document.12 "\\\\mel_1\\groups\\Elmrb\\04_Current projects\\Tax and Transfer\\02_Research\\Josh\\EMTRs and savings\\Effective marginal tax rates on savings.docx" OLE_LINK7 </w:instrText>
      </w:r>
      <w:r w:rsidR="006D3594">
        <w:instrText xml:space="preserve">\a \t </w:instrText>
      </w:r>
      <w:r w:rsidR="006D3594">
        <w:fldChar w:fldCharType="separate"/>
      </w:r>
      <w:r w:rsidR="00104BFD">
        <w:t>2</w:t>
      </w:r>
      <w:r w:rsidR="006D3594">
        <w:fldChar w:fldCharType="end"/>
      </w:r>
      <w:r>
        <w:t xml:space="preserve">). Some tax treatments tend to favour savings over consumption (such as superannuation), while others tend to favour consumption over </w:t>
      </w:r>
      <w:r>
        <w:lastRenderedPageBreak/>
        <w:t>savings (such as bank accounts and debt instruments). Owner</w:t>
      </w:r>
      <w:r w:rsidR="009C67DD">
        <w:noBreakHyphen/>
      </w:r>
      <w:r>
        <w:t>occupied housing is the only savings instrument with a tax treatment consistent with a comprehensive consumption tax. Many savings instruments have taxed contributions, partially taxed returns and partially taxed withdrawals (often with concessional tax rates).</w:t>
      </w:r>
    </w:p>
    <w:p w:rsidR="004D4B2D" w:rsidRDefault="004D4B2D" w:rsidP="004D4B2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4B2D" w:rsidTr="00297840">
        <w:tc>
          <w:tcPr>
            <w:tcW w:w="8771" w:type="dxa"/>
            <w:tcBorders>
              <w:top w:val="single" w:sz="6" w:space="0" w:color="78A22F"/>
              <w:left w:val="nil"/>
              <w:bottom w:val="nil"/>
              <w:right w:val="nil"/>
            </w:tcBorders>
            <w:shd w:val="clear" w:color="auto" w:fill="auto"/>
          </w:tcPr>
          <w:p w:rsidR="004D4B2D" w:rsidRDefault="004D4B2D" w:rsidP="00297840">
            <w:pPr>
              <w:pStyle w:val="TableTitle"/>
            </w:pPr>
            <w:r>
              <w:rPr>
                <w:b w:val="0"/>
              </w:rPr>
              <w:t xml:space="preserve">Table </w:t>
            </w:r>
            <w:bookmarkStart w:id="8" w:name="OLE_LINK7"/>
            <w:r>
              <w:rPr>
                <w:b w:val="0"/>
              </w:rPr>
              <w:fldChar w:fldCharType="begin"/>
            </w:r>
            <w:r>
              <w:rPr>
                <w:b w:val="0"/>
              </w:rPr>
              <w:instrText xml:space="preserve"> SEQ Table \* ARABIC </w:instrText>
            </w:r>
            <w:r>
              <w:rPr>
                <w:b w:val="0"/>
              </w:rPr>
              <w:fldChar w:fldCharType="separate"/>
            </w:r>
            <w:r w:rsidR="00AE0C8F">
              <w:rPr>
                <w:b w:val="0"/>
                <w:noProof/>
              </w:rPr>
              <w:t>2</w:t>
            </w:r>
            <w:r>
              <w:rPr>
                <w:b w:val="0"/>
              </w:rPr>
              <w:fldChar w:fldCharType="end"/>
            </w:r>
            <w:bookmarkEnd w:id="8"/>
            <w:r>
              <w:tab/>
              <w:t>Tax treatments and tax rates by savings instrument</w:t>
            </w:r>
          </w:p>
          <w:p w:rsidR="004D4B2D" w:rsidRPr="005B09C7" w:rsidRDefault="004D4B2D" w:rsidP="00297840">
            <w:pPr>
              <w:pStyle w:val="Subtitle"/>
            </w:pPr>
            <w:r w:rsidRPr="005B09C7">
              <w:t>2014-15</w:t>
            </w:r>
          </w:p>
        </w:tc>
      </w:tr>
      <w:tr w:rsidR="004D4B2D" w:rsidTr="00297840">
        <w:trPr>
          <w:cantSplit/>
        </w:trPr>
        <w:tc>
          <w:tcPr>
            <w:tcW w:w="8771" w:type="dxa"/>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111"/>
              <w:gridCol w:w="1275"/>
              <w:gridCol w:w="1136"/>
              <w:gridCol w:w="993"/>
              <w:gridCol w:w="923"/>
              <w:gridCol w:w="1017"/>
              <w:gridCol w:w="1017"/>
              <w:gridCol w:w="1015"/>
            </w:tblGrid>
            <w:tr w:rsidR="004D4B2D" w:rsidTr="00297840">
              <w:tc>
                <w:tcPr>
                  <w:tcW w:w="1406" w:type="pct"/>
                  <w:gridSpan w:val="2"/>
                  <w:tcBorders>
                    <w:top w:val="single" w:sz="6" w:space="0" w:color="BFBFBF"/>
                    <w:bottom w:val="single" w:sz="6" w:space="0" w:color="BFBFBF"/>
                  </w:tcBorders>
                  <w:shd w:val="clear" w:color="auto" w:fill="auto"/>
                  <w:tcMar>
                    <w:top w:w="28" w:type="dxa"/>
                  </w:tcMar>
                </w:tcPr>
                <w:p w:rsidR="004D4B2D" w:rsidRDefault="004D4B2D" w:rsidP="00297840">
                  <w:pPr>
                    <w:pStyle w:val="TableColumnHeading"/>
                    <w:jc w:val="left"/>
                  </w:pPr>
                </w:p>
              </w:tc>
              <w:tc>
                <w:tcPr>
                  <w:tcW w:w="669" w:type="pct"/>
                  <w:tcBorders>
                    <w:top w:val="single" w:sz="6" w:space="0" w:color="BFBFBF"/>
                    <w:bottom w:val="single" w:sz="6" w:space="0" w:color="BFBFBF"/>
                  </w:tcBorders>
                  <w:shd w:val="clear" w:color="auto" w:fill="auto"/>
                  <w:tcMar>
                    <w:top w:w="28" w:type="dxa"/>
                  </w:tcMar>
                </w:tcPr>
                <w:p w:rsidR="004D4B2D" w:rsidRDefault="004D4B2D" w:rsidP="00297840">
                  <w:pPr>
                    <w:pStyle w:val="TableColumnHeading"/>
                  </w:pPr>
                  <w:r>
                    <w:t>Bank accounts and debt instruments</w:t>
                  </w:r>
                </w:p>
              </w:tc>
              <w:tc>
                <w:tcPr>
                  <w:tcW w:w="585" w:type="pct"/>
                  <w:tcBorders>
                    <w:top w:val="single" w:sz="6" w:space="0" w:color="BFBFBF"/>
                    <w:bottom w:val="single" w:sz="6" w:space="0" w:color="BFBFBF"/>
                  </w:tcBorders>
                  <w:shd w:val="clear" w:color="auto" w:fill="auto"/>
                  <w:tcMar>
                    <w:top w:w="28" w:type="dxa"/>
                  </w:tcMar>
                </w:tcPr>
                <w:p w:rsidR="004D4B2D" w:rsidRDefault="004D4B2D" w:rsidP="00297840">
                  <w:pPr>
                    <w:pStyle w:val="TableColumnHeading"/>
                    <w:ind w:right="28"/>
                  </w:pPr>
                  <w:r>
                    <w:t>Rental properties</w:t>
                  </w:r>
                </w:p>
              </w:tc>
              <w:tc>
                <w:tcPr>
                  <w:tcW w:w="544" w:type="pct"/>
                  <w:tcBorders>
                    <w:top w:val="single" w:sz="6" w:space="0" w:color="BFBFBF"/>
                    <w:bottom w:val="single" w:sz="6" w:space="0" w:color="BFBFBF"/>
                  </w:tcBorders>
                </w:tcPr>
                <w:p w:rsidR="004D4B2D" w:rsidRDefault="004D4B2D" w:rsidP="00297840">
                  <w:pPr>
                    <w:pStyle w:val="TableColumnHeading"/>
                    <w:ind w:right="28"/>
                  </w:pPr>
                  <w:r>
                    <w:t>Owner-occupied properties</w:t>
                  </w:r>
                </w:p>
              </w:tc>
              <w:tc>
                <w:tcPr>
                  <w:tcW w:w="599" w:type="pct"/>
                  <w:tcBorders>
                    <w:top w:val="single" w:sz="6" w:space="0" w:color="BFBFBF"/>
                    <w:bottom w:val="single" w:sz="6" w:space="0" w:color="BFBFBF"/>
                  </w:tcBorders>
                </w:tcPr>
                <w:p w:rsidR="004D4B2D" w:rsidRDefault="004D4B2D" w:rsidP="00297840">
                  <w:pPr>
                    <w:pStyle w:val="TableColumnHeading"/>
                    <w:ind w:right="28"/>
                  </w:pPr>
                  <w:r>
                    <w:t>Domestic shares</w:t>
                  </w:r>
                </w:p>
              </w:tc>
              <w:tc>
                <w:tcPr>
                  <w:tcW w:w="599" w:type="pct"/>
                  <w:tcBorders>
                    <w:top w:val="single" w:sz="6" w:space="0" w:color="BFBFBF"/>
                    <w:bottom w:val="single" w:sz="6" w:space="0" w:color="BFBFBF"/>
                  </w:tcBorders>
                </w:tcPr>
                <w:p w:rsidR="004D4B2D" w:rsidRDefault="004D4B2D" w:rsidP="00297840">
                  <w:pPr>
                    <w:pStyle w:val="TableColumnHeading"/>
                    <w:ind w:right="28"/>
                  </w:pPr>
                  <w:r>
                    <w:t>Foreign shares</w:t>
                  </w:r>
                </w:p>
              </w:tc>
              <w:tc>
                <w:tcPr>
                  <w:tcW w:w="598" w:type="pct"/>
                  <w:tcBorders>
                    <w:top w:val="single" w:sz="6" w:space="0" w:color="BFBFBF"/>
                    <w:bottom w:val="single" w:sz="6" w:space="0" w:color="BFBFBF"/>
                  </w:tcBorders>
                </w:tcPr>
                <w:p w:rsidR="004D4B2D" w:rsidRDefault="004D4B2D" w:rsidP="00297840">
                  <w:pPr>
                    <w:pStyle w:val="TableColumnHeading"/>
                    <w:ind w:right="28"/>
                  </w:pPr>
                  <w:r>
                    <w:t>Super-</w:t>
                  </w:r>
                  <w:proofErr w:type="spellStart"/>
                  <w:r>
                    <w:t>annuation</w:t>
                  </w:r>
                  <w:proofErr w:type="spellEnd"/>
                  <w:r>
                    <w:t xml:space="preserve"> </w:t>
                  </w:r>
                </w:p>
              </w:tc>
            </w:tr>
            <w:tr w:rsidR="004D4B2D" w:rsidTr="00297840">
              <w:tc>
                <w:tcPr>
                  <w:tcW w:w="1406" w:type="pct"/>
                  <w:gridSpan w:val="2"/>
                  <w:tcBorders>
                    <w:top w:val="single" w:sz="6" w:space="0" w:color="BFBFBF"/>
                  </w:tcBorders>
                </w:tcPr>
                <w:p w:rsidR="004D4B2D" w:rsidRDefault="004D4B2D" w:rsidP="00297840">
                  <w:pPr>
                    <w:pStyle w:val="TableUnitsRow"/>
                    <w:jc w:val="left"/>
                  </w:pPr>
                  <w:r>
                    <w:t>Tax treatment</w:t>
                  </w:r>
                  <w:r w:rsidRPr="008E77FE">
                    <w:rPr>
                      <w:rStyle w:val="NoteLabel"/>
                    </w:rPr>
                    <w:t>a</w:t>
                  </w:r>
                </w:p>
              </w:tc>
              <w:tc>
                <w:tcPr>
                  <w:tcW w:w="669" w:type="pct"/>
                  <w:tcBorders>
                    <w:top w:val="single" w:sz="6" w:space="0" w:color="BFBFBF"/>
                  </w:tcBorders>
                </w:tcPr>
                <w:p w:rsidR="004D4B2D" w:rsidRDefault="004D4B2D" w:rsidP="00297840">
                  <w:pPr>
                    <w:pStyle w:val="TableUnitsRow"/>
                  </w:pPr>
                  <w:proofErr w:type="spellStart"/>
                  <w:r>
                    <w:t>TTE</w:t>
                  </w:r>
                  <w:proofErr w:type="spellEnd"/>
                </w:p>
              </w:tc>
              <w:tc>
                <w:tcPr>
                  <w:tcW w:w="585" w:type="pct"/>
                  <w:tcBorders>
                    <w:top w:val="single" w:sz="6" w:space="0" w:color="BFBFBF"/>
                  </w:tcBorders>
                </w:tcPr>
                <w:p w:rsidR="004D4B2D" w:rsidRDefault="004D4B2D" w:rsidP="00297840">
                  <w:pPr>
                    <w:pStyle w:val="TableUnitsRow"/>
                    <w:ind w:right="28"/>
                  </w:pPr>
                  <w:proofErr w:type="spellStart"/>
                  <w:r>
                    <w:t>Ttt</w:t>
                  </w:r>
                  <w:proofErr w:type="spellEnd"/>
                </w:p>
              </w:tc>
              <w:tc>
                <w:tcPr>
                  <w:tcW w:w="544" w:type="pct"/>
                  <w:tcBorders>
                    <w:top w:val="single" w:sz="6" w:space="0" w:color="BFBFBF"/>
                  </w:tcBorders>
                </w:tcPr>
                <w:p w:rsidR="004D4B2D" w:rsidRDefault="004D4B2D" w:rsidP="00297840">
                  <w:pPr>
                    <w:pStyle w:val="TableUnitsRow"/>
                    <w:ind w:right="28"/>
                  </w:pPr>
                  <w:r>
                    <w:t>TEE</w:t>
                  </w:r>
                </w:p>
              </w:tc>
              <w:tc>
                <w:tcPr>
                  <w:tcW w:w="599" w:type="pct"/>
                  <w:tcBorders>
                    <w:top w:val="single" w:sz="6" w:space="0" w:color="BFBFBF"/>
                  </w:tcBorders>
                </w:tcPr>
                <w:p w:rsidR="004D4B2D" w:rsidRDefault="004D4B2D" w:rsidP="00297840">
                  <w:pPr>
                    <w:pStyle w:val="TableUnitsRow"/>
                    <w:ind w:right="28"/>
                  </w:pPr>
                  <w:proofErr w:type="spellStart"/>
                  <w:r>
                    <w:t>Ttt</w:t>
                  </w:r>
                  <w:proofErr w:type="spellEnd"/>
                </w:p>
              </w:tc>
              <w:tc>
                <w:tcPr>
                  <w:tcW w:w="599" w:type="pct"/>
                  <w:tcBorders>
                    <w:top w:val="single" w:sz="6" w:space="0" w:color="BFBFBF"/>
                  </w:tcBorders>
                </w:tcPr>
                <w:p w:rsidR="004D4B2D" w:rsidRDefault="004D4B2D" w:rsidP="00297840">
                  <w:pPr>
                    <w:pStyle w:val="TableUnitsRow"/>
                    <w:ind w:right="28"/>
                  </w:pPr>
                  <w:proofErr w:type="spellStart"/>
                  <w:r>
                    <w:t>Ttt</w:t>
                  </w:r>
                  <w:proofErr w:type="spellEnd"/>
                </w:p>
              </w:tc>
              <w:tc>
                <w:tcPr>
                  <w:tcW w:w="598" w:type="pct"/>
                  <w:tcBorders>
                    <w:top w:val="single" w:sz="6" w:space="0" w:color="BFBFBF"/>
                  </w:tcBorders>
                </w:tcPr>
                <w:p w:rsidR="004D4B2D" w:rsidRDefault="004D4B2D" w:rsidP="00297840">
                  <w:pPr>
                    <w:pStyle w:val="TableUnitsRow"/>
                    <w:ind w:right="28"/>
                  </w:pPr>
                  <w:proofErr w:type="spellStart"/>
                  <w:r>
                    <w:t>ttE</w:t>
                  </w:r>
                  <w:proofErr w:type="spellEnd"/>
                </w:p>
              </w:tc>
            </w:tr>
            <w:tr w:rsidR="004D4B2D" w:rsidTr="00297840">
              <w:trPr>
                <w:trHeight w:val="796"/>
              </w:trPr>
              <w:tc>
                <w:tcPr>
                  <w:tcW w:w="1406" w:type="pct"/>
                  <w:gridSpan w:val="2"/>
                  <w:tcBorders>
                    <w:top w:val="single" w:sz="6" w:space="0" w:color="BFBFBF"/>
                  </w:tcBorders>
                </w:tcPr>
                <w:p w:rsidR="004D4B2D" w:rsidRDefault="004D4B2D" w:rsidP="00297840">
                  <w:pPr>
                    <w:pStyle w:val="TableUnitsRow"/>
                    <w:jc w:val="left"/>
                  </w:pPr>
                  <w:r>
                    <w:t>Tax rate on contribution</w:t>
                  </w:r>
                </w:p>
              </w:tc>
              <w:tc>
                <w:tcPr>
                  <w:tcW w:w="669" w:type="pct"/>
                  <w:tcBorders>
                    <w:top w:val="single" w:sz="6" w:space="0" w:color="BFBFBF"/>
                  </w:tcBorders>
                </w:tcPr>
                <w:p w:rsidR="004D4B2D" w:rsidRDefault="004D4B2D" w:rsidP="00297840">
                  <w:pPr>
                    <w:pStyle w:val="TableUnitsRow"/>
                  </w:pPr>
                  <w:r>
                    <w:t>Marginal income tax rate</w:t>
                  </w:r>
                </w:p>
              </w:tc>
              <w:tc>
                <w:tcPr>
                  <w:tcW w:w="585" w:type="pct"/>
                  <w:tcBorders>
                    <w:top w:val="single" w:sz="6" w:space="0" w:color="BFBFBF"/>
                  </w:tcBorders>
                </w:tcPr>
                <w:p w:rsidR="004D4B2D" w:rsidRDefault="004D4B2D" w:rsidP="00297840">
                  <w:pPr>
                    <w:pStyle w:val="TableUnitsRow"/>
                    <w:ind w:right="28"/>
                  </w:pPr>
                  <w:r>
                    <w:t>Marginal income tax rate</w:t>
                  </w:r>
                </w:p>
              </w:tc>
              <w:tc>
                <w:tcPr>
                  <w:tcW w:w="544" w:type="pct"/>
                  <w:tcBorders>
                    <w:top w:val="single" w:sz="6" w:space="0" w:color="BFBFBF"/>
                  </w:tcBorders>
                </w:tcPr>
                <w:p w:rsidR="004D4B2D" w:rsidRDefault="004D4B2D" w:rsidP="00297840">
                  <w:pPr>
                    <w:pStyle w:val="TableUnitsRow"/>
                    <w:ind w:right="28"/>
                  </w:pPr>
                  <w:r>
                    <w:t>Marginal income tax rate</w:t>
                  </w:r>
                </w:p>
              </w:tc>
              <w:tc>
                <w:tcPr>
                  <w:tcW w:w="599" w:type="pct"/>
                  <w:tcBorders>
                    <w:top w:val="single" w:sz="6" w:space="0" w:color="BFBFBF"/>
                  </w:tcBorders>
                </w:tcPr>
                <w:p w:rsidR="004D4B2D" w:rsidRDefault="004D4B2D" w:rsidP="00297840">
                  <w:pPr>
                    <w:pStyle w:val="TableUnitsRow"/>
                    <w:ind w:right="28"/>
                  </w:pPr>
                  <w:r>
                    <w:t>Marginal income tax rate</w:t>
                  </w:r>
                </w:p>
              </w:tc>
              <w:tc>
                <w:tcPr>
                  <w:tcW w:w="599" w:type="pct"/>
                  <w:tcBorders>
                    <w:top w:val="single" w:sz="6" w:space="0" w:color="BFBFBF"/>
                  </w:tcBorders>
                </w:tcPr>
                <w:p w:rsidR="004D4B2D" w:rsidRDefault="004D4B2D" w:rsidP="00297840">
                  <w:pPr>
                    <w:pStyle w:val="TableUnitsRow"/>
                    <w:ind w:right="28"/>
                  </w:pPr>
                  <w:r>
                    <w:t>Marginal income tax rate</w:t>
                  </w:r>
                </w:p>
              </w:tc>
              <w:tc>
                <w:tcPr>
                  <w:tcW w:w="598" w:type="pct"/>
                  <w:tcBorders>
                    <w:top w:val="single" w:sz="6" w:space="0" w:color="BFBFBF"/>
                  </w:tcBorders>
                </w:tcPr>
                <w:p w:rsidR="004D4B2D" w:rsidRDefault="004D4B2D" w:rsidP="00297840">
                  <w:pPr>
                    <w:pStyle w:val="TableUnitsRow"/>
                    <w:ind w:right="28"/>
                  </w:pPr>
                  <w:r>
                    <w:t>15 per cent or higher</w:t>
                  </w:r>
                  <w:r>
                    <w:rPr>
                      <w:rStyle w:val="NoteLabel"/>
                    </w:rPr>
                    <w:t>b</w:t>
                  </w:r>
                </w:p>
                <w:p w:rsidR="004D4B2D" w:rsidRDefault="004D4B2D" w:rsidP="00297840">
                  <w:pPr>
                    <w:pStyle w:val="TableUnitsRow"/>
                    <w:ind w:right="28"/>
                  </w:pPr>
                </w:p>
              </w:tc>
            </w:tr>
            <w:tr w:rsidR="004D4B2D" w:rsidTr="00297840">
              <w:tc>
                <w:tcPr>
                  <w:tcW w:w="655" w:type="pct"/>
                  <w:vMerge w:val="restart"/>
                </w:tcPr>
                <w:p w:rsidR="004D4B2D" w:rsidRDefault="004D4B2D" w:rsidP="00297840">
                  <w:pPr>
                    <w:pStyle w:val="TableBodyText"/>
                    <w:jc w:val="left"/>
                  </w:pPr>
                  <w:r>
                    <w:t>Tax rate on returns</w:t>
                  </w:r>
                </w:p>
              </w:tc>
              <w:tc>
                <w:tcPr>
                  <w:tcW w:w="751" w:type="pct"/>
                </w:tcPr>
                <w:p w:rsidR="004D4B2D" w:rsidRDefault="004D4B2D" w:rsidP="00297840">
                  <w:pPr>
                    <w:pStyle w:val="TableBodyText"/>
                    <w:jc w:val="left"/>
                  </w:pPr>
                  <w:r>
                    <w:t>Capital gains as accrued</w:t>
                  </w:r>
                </w:p>
              </w:tc>
              <w:tc>
                <w:tcPr>
                  <w:tcW w:w="669" w:type="pct"/>
                </w:tcPr>
                <w:p w:rsidR="004D4B2D" w:rsidRPr="00240871" w:rsidRDefault="004D4B2D" w:rsidP="00297840">
                  <w:pPr>
                    <w:pStyle w:val="TableBodyText"/>
                    <w:rPr>
                      <w:b/>
                    </w:rPr>
                  </w:pPr>
                  <w:proofErr w:type="spellStart"/>
                  <w:r w:rsidRPr="00240871">
                    <w:rPr>
                      <w:b/>
                    </w:rPr>
                    <w:t>na</w:t>
                  </w:r>
                  <w:proofErr w:type="spellEnd"/>
                </w:p>
              </w:tc>
              <w:tc>
                <w:tcPr>
                  <w:tcW w:w="585" w:type="pct"/>
                </w:tcPr>
                <w:p w:rsidR="004D4B2D" w:rsidRDefault="004D4B2D" w:rsidP="00297840">
                  <w:pPr>
                    <w:pStyle w:val="TableBodyText"/>
                    <w:ind w:right="28"/>
                  </w:pPr>
                  <w:r>
                    <w:t>None</w:t>
                  </w:r>
                </w:p>
              </w:tc>
              <w:tc>
                <w:tcPr>
                  <w:tcW w:w="544" w:type="pct"/>
                </w:tcPr>
                <w:p w:rsidR="004D4B2D" w:rsidRDefault="004D4B2D" w:rsidP="00297840">
                  <w:pPr>
                    <w:pStyle w:val="TableBodyText"/>
                    <w:ind w:right="28"/>
                  </w:pPr>
                  <w:r>
                    <w:t>None</w:t>
                  </w:r>
                </w:p>
              </w:tc>
              <w:tc>
                <w:tcPr>
                  <w:tcW w:w="599" w:type="pct"/>
                </w:tcPr>
                <w:p w:rsidR="004D4B2D" w:rsidRDefault="004D4B2D" w:rsidP="00297840">
                  <w:pPr>
                    <w:pStyle w:val="TableBodyText"/>
                    <w:ind w:right="28"/>
                  </w:pPr>
                  <w:r>
                    <w:t>None</w:t>
                  </w:r>
                </w:p>
              </w:tc>
              <w:tc>
                <w:tcPr>
                  <w:tcW w:w="599" w:type="pct"/>
                </w:tcPr>
                <w:p w:rsidR="004D4B2D" w:rsidRDefault="004D4B2D" w:rsidP="00297840">
                  <w:pPr>
                    <w:pStyle w:val="TableBodyText"/>
                    <w:ind w:right="28"/>
                  </w:pPr>
                  <w:r>
                    <w:t>None</w:t>
                  </w:r>
                </w:p>
              </w:tc>
              <w:tc>
                <w:tcPr>
                  <w:tcW w:w="598" w:type="pct"/>
                </w:tcPr>
                <w:p w:rsidR="004D4B2D" w:rsidRDefault="004D4B2D" w:rsidP="00297840">
                  <w:pPr>
                    <w:pStyle w:val="TableBodyText"/>
                    <w:ind w:right="28"/>
                  </w:pPr>
                  <w:r>
                    <w:t>0 per cent or 10 per cent or 15 per cent</w:t>
                  </w:r>
                  <w:r>
                    <w:rPr>
                      <w:rStyle w:val="NoteLabel"/>
                    </w:rPr>
                    <w:t>c</w:t>
                  </w:r>
                </w:p>
              </w:tc>
            </w:tr>
            <w:tr w:rsidR="004D4B2D" w:rsidTr="00297840">
              <w:tc>
                <w:tcPr>
                  <w:tcW w:w="655" w:type="pct"/>
                  <w:vMerge/>
                </w:tcPr>
                <w:p w:rsidR="004D4B2D" w:rsidRDefault="004D4B2D" w:rsidP="00297840">
                  <w:pPr>
                    <w:pStyle w:val="TableBodyText"/>
                    <w:jc w:val="left"/>
                  </w:pPr>
                </w:p>
              </w:tc>
              <w:tc>
                <w:tcPr>
                  <w:tcW w:w="751" w:type="pct"/>
                </w:tcPr>
                <w:p w:rsidR="00123BEF" w:rsidRDefault="004D4B2D" w:rsidP="00297840">
                  <w:pPr>
                    <w:pStyle w:val="TableBodyText"/>
                    <w:jc w:val="left"/>
                  </w:pPr>
                  <w:r>
                    <w:t>Interest/ dividends/</w:t>
                  </w:r>
                </w:p>
                <w:p w:rsidR="004D4B2D" w:rsidRDefault="004D4B2D" w:rsidP="00297840">
                  <w:pPr>
                    <w:pStyle w:val="TableBodyText"/>
                    <w:jc w:val="left"/>
                  </w:pPr>
                  <w:r>
                    <w:t>rental income</w:t>
                  </w:r>
                  <w:r>
                    <w:rPr>
                      <w:rStyle w:val="NoteLabel"/>
                    </w:rPr>
                    <w:t>d</w:t>
                  </w:r>
                </w:p>
              </w:tc>
              <w:tc>
                <w:tcPr>
                  <w:tcW w:w="669" w:type="pct"/>
                </w:tcPr>
                <w:p w:rsidR="004D4B2D" w:rsidRDefault="004D4B2D" w:rsidP="00297840">
                  <w:pPr>
                    <w:pStyle w:val="TableBodyText"/>
                  </w:pPr>
                  <w:r>
                    <w:t>Marginal income tax rate</w:t>
                  </w:r>
                </w:p>
              </w:tc>
              <w:tc>
                <w:tcPr>
                  <w:tcW w:w="585" w:type="pct"/>
                </w:tcPr>
                <w:p w:rsidR="004D4B2D" w:rsidRDefault="004D4B2D" w:rsidP="00297840">
                  <w:pPr>
                    <w:pStyle w:val="TableBodyText"/>
                    <w:ind w:right="28"/>
                  </w:pPr>
                  <w:r>
                    <w:t>Marginal income tax rate</w:t>
                  </w:r>
                  <w:r>
                    <w:rPr>
                      <w:rStyle w:val="NoteLabel"/>
                    </w:rPr>
                    <w:t>e</w:t>
                  </w:r>
                  <w:r>
                    <w:t xml:space="preserve"> </w:t>
                  </w:r>
                </w:p>
              </w:tc>
              <w:tc>
                <w:tcPr>
                  <w:tcW w:w="544" w:type="pct"/>
                </w:tcPr>
                <w:p w:rsidR="004D4B2D" w:rsidRDefault="004D4B2D" w:rsidP="00297840">
                  <w:pPr>
                    <w:pStyle w:val="TableBodyText"/>
                    <w:ind w:right="28"/>
                  </w:pPr>
                  <w:r>
                    <w:t>None</w:t>
                  </w:r>
                </w:p>
              </w:tc>
              <w:tc>
                <w:tcPr>
                  <w:tcW w:w="599" w:type="pct"/>
                </w:tcPr>
                <w:p w:rsidR="004D4B2D" w:rsidRDefault="004D4B2D" w:rsidP="00297840">
                  <w:pPr>
                    <w:pStyle w:val="TableBodyText"/>
                    <w:ind w:right="28"/>
                  </w:pPr>
                  <w:r>
                    <w:t>Marginal income tax rate (less imputation credit)</w:t>
                  </w:r>
                  <w:r>
                    <w:rPr>
                      <w:rStyle w:val="NoteLabel"/>
                    </w:rPr>
                    <w:t>e</w:t>
                  </w:r>
                </w:p>
              </w:tc>
              <w:tc>
                <w:tcPr>
                  <w:tcW w:w="599" w:type="pct"/>
                </w:tcPr>
                <w:p w:rsidR="004D4B2D" w:rsidRDefault="004D4B2D" w:rsidP="00297840">
                  <w:pPr>
                    <w:pStyle w:val="TableBodyText"/>
                    <w:ind w:right="28"/>
                  </w:pPr>
                  <w:r>
                    <w:t>Marginal income tax rate</w:t>
                  </w:r>
                  <w:r>
                    <w:rPr>
                      <w:rStyle w:val="NoteLabel"/>
                    </w:rPr>
                    <w:t>e</w:t>
                  </w:r>
                </w:p>
              </w:tc>
              <w:tc>
                <w:tcPr>
                  <w:tcW w:w="598" w:type="pct"/>
                </w:tcPr>
                <w:p w:rsidR="004D4B2D" w:rsidRDefault="004D4B2D" w:rsidP="00297840">
                  <w:pPr>
                    <w:pStyle w:val="TableBodyText"/>
                    <w:ind w:right="28"/>
                  </w:pPr>
                  <w:r>
                    <w:t>0 per cent or 15 per cent</w:t>
                  </w:r>
                  <w:r>
                    <w:rPr>
                      <w:rStyle w:val="NoteLabel"/>
                    </w:rPr>
                    <w:t>f</w:t>
                  </w:r>
                </w:p>
              </w:tc>
            </w:tr>
            <w:tr w:rsidR="004D4B2D" w:rsidTr="00297840">
              <w:tc>
                <w:tcPr>
                  <w:tcW w:w="655" w:type="pct"/>
                  <w:vMerge w:val="restart"/>
                </w:tcPr>
                <w:p w:rsidR="004D4B2D" w:rsidRDefault="004D4B2D" w:rsidP="00297840">
                  <w:pPr>
                    <w:pStyle w:val="TableBodyText"/>
                    <w:jc w:val="left"/>
                  </w:pPr>
                  <w:r>
                    <w:t>Tax rate on withdrawal</w:t>
                  </w:r>
                </w:p>
              </w:tc>
              <w:tc>
                <w:tcPr>
                  <w:tcW w:w="751" w:type="pct"/>
                </w:tcPr>
                <w:p w:rsidR="004D4B2D" w:rsidRDefault="004D4B2D" w:rsidP="00297840">
                  <w:pPr>
                    <w:pStyle w:val="TableBodyText"/>
                    <w:jc w:val="left"/>
                  </w:pPr>
                  <w:r>
                    <w:t>Realised capital gain component</w:t>
                  </w:r>
                </w:p>
              </w:tc>
              <w:tc>
                <w:tcPr>
                  <w:tcW w:w="669" w:type="pct"/>
                </w:tcPr>
                <w:p w:rsidR="004D4B2D" w:rsidRPr="00240871" w:rsidRDefault="004D4B2D" w:rsidP="00297840">
                  <w:pPr>
                    <w:pStyle w:val="TableBodyText"/>
                    <w:rPr>
                      <w:b/>
                    </w:rPr>
                  </w:pPr>
                  <w:proofErr w:type="spellStart"/>
                  <w:r w:rsidRPr="00240871">
                    <w:rPr>
                      <w:b/>
                    </w:rPr>
                    <w:t>na</w:t>
                  </w:r>
                  <w:proofErr w:type="spellEnd"/>
                </w:p>
              </w:tc>
              <w:tc>
                <w:tcPr>
                  <w:tcW w:w="585" w:type="pct"/>
                </w:tcPr>
                <w:p w:rsidR="004D4B2D" w:rsidRDefault="004D4B2D" w:rsidP="00297840">
                  <w:pPr>
                    <w:pStyle w:val="TableBodyText"/>
                    <w:ind w:right="28"/>
                  </w:pPr>
                  <w:r>
                    <w:t>50 per cent discount on marginal income tax rate</w:t>
                  </w:r>
                </w:p>
              </w:tc>
              <w:tc>
                <w:tcPr>
                  <w:tcW w:w="544" w:type="pct"/>
                </w:tcPr>
                <w:p w:rsidR="004D4B2D" w:rsidRDefault="004D4B2D" w:rsidP="00297840">
                  <w:pPr>
                    <w:pStyle w:val="TableBodyText"/>
                    <w:ind w:right="28"/>
                  </w:pPr>
                  <w:r>
                    <w:t>None</w:t>
                  </w:r>
                </w:p>
              </w:tc>
              <w:tc>
                <w:tcPr>
                  <w:tcW w:w="599" w:type="pct"/>
                </w:tcPr>
                <w:p w:rsidR="004D4B2D" w:rsidRDefault="004D4B2D" w:rsidP="00297840">
                  <w:pPr>
                    <w:pStyle w:val="TableBodyText"/>
                    <w:ind w:right="28"/>
                  </w:pPr>
                  <w:r>
                    <w:t>50 per cent discount on marginal income tax rate</w:t>
                  </w:r>
                </w:p>
              </w:tc>
              <w:tc>
                <w:tcPr>
                  <w:tcW w:w="599" w:type="pct"/>
                </w:tcPr>
                <w:p w:rsidR="004D4B2D" w:rsidRDefault="004D4B2D" w:rsidP="00297840">
                  <w:pPr>
                    <w:pStyle w:val="TableBodyText"/>
                    <w:ind w:right="28"/>
                  </w:pPr>
                  <w:r>
                    <w:t>50 per cent discount on marginal income tax rate</w:t>
                  </w:r>
                </w:p>
              </w:tc>
              <w:tc>
                <w:tcPr>
                  <w:tcW w:w="598" w:type="pct"/>
                </w:tcPr>
                <w:p w:rsidR="004D4B2D" w:rsidRDefault="004D4B2D" w:rsidP="00297840">
                  <w:pPr>
                    <w:pStyle w:val="TableBodyText"/>
                    <w:ind w:right="28"/>
                  </w:pPr>
                  <w:r>
                    <w:t>None</w:t>
                  </w:r>
                  <w:r>
                    <w:rPr>
                      <w:rStyle w:val="NoteLabel"/>
                    </w:rPr>
                    <w:t>g</w:t>
                  </w:r>
                </w:p>
              </w:tc>
            </w:tr>
            <w:tr w:rsidR="004D4B2D" w:rsidTr="00297840">
              <w:tc>
                <w:tcPr>
                  <w:tcW w:w="655" w:type="pct"/>
                  <w:vMerge/>
                  <w:tcBorders>
                    <w:bottom w:val="single" w:sz="6" w:space="0" w:color="BFBFBF"/>
                  </w:tcBorders>
                  <w:shd w:val="clear" w:color="auto" w:fill="auto"/>
                </w:tcPr>
                <w:p w:rsidR="004D4B2D" w:rsidRDefault="004D4B2D" w:rsidP="00297840">
                  <w:pPr>
                    <w:pStyle w:val="TableBodyText"/>
                    <w:jc w:val="left"/>
                  </w:pPr>
                </w:p>
              </w:tc>
              <w:tc>
                <w:tcPr>
                  <w:tcW w:w="751" w:type="pct"/>
                  <w:tcBorders>
                    <w:bottom w:val="single" w:sz="6" w:space="0" w:color="BFBFBF"/>
                  </w:tcBorders>
                  <w:shd w:val="clear" w:color="auto" w:fill="auto"/>
                </w:tcPr>
                <w:p w:rsidR="004D4B2D" w:rsidRDefault="004D4B2D" w:rsidP="00297840">
                  <w:pPr>
                    <w:pStyle w:val="TableBodyText"/>
                    <w:jc w:val="left"/>
                  </w:pPr>
                  <w:r>
                    <w:t>Initial contribution component</w:t>
                  </w:r>
                </w:p>
              </w:tc>
              <w:tc>
                <w:tcPr>
                  <w:tcW w:w="669" w:type="pct"/>
                  <w:tcBorders>
                    <w:bottom w:val="single" w:sz="6" w:space="0" w:color="BFBFBF"/>
                  </w:tcBorders>
                  <w:shd w:val="clear" w:color="auto" w:fill="auto"/>
                </w:tcPr>
                <w:p w:rsidR="004D4B2D" w:rsidRDefault="004D4B2D" w:rsidP="00297840">
                  <w:pPr>
                    <w:pStyle w:val="TableBodyText"/>
                  </w:pPr>
                  <w:r>
                    <w:t>None</w:t>
                  </w:r>
                </w:p>
              </w:tc>
              <w:tc>
                <w:tcPr>
                  <w:tcW w:w="585" w:type="pct"/>
                  <w:tcBorders>
                    <w:bottom w:val="single" w:sz="6" w:space="0" w:color="BFBFBF"/>
                  </w:tcBorders>
                  <w:shd w:val="clear" w:color="auto" w:fill="auto"/>
                </w:tcPr>
                <w:p w:rsidR="004D4B2D" w:rsidRDefault="004D4B2D" w:rsidP="00297840">
                  <w:pPr>
                    <w:pStyle w:val="TableBodyText"/>
                    <w:ind w:right="28"/>
                  </w:pPr>
                  <w:r>
                    <w:t>None</w:t>
                  </w:r>
                </w:p>
              </w:tc>
              <w:tc>
                <w:tcPr>
                  <w:tcW w:w="544" w:type="pct"/>
                  <w:tcBorders>
                    <w:bottom w:val="single" w:sz="6" w:space="0" w:color="BFBFBF"/>
                  </w:tcBorders>
                </w:tcPr>
                <w:p w:rsidR="004D4B2D" w:rsidRDefault="004D4B2D" w:rsidP="00297840">
                  <w:pPr>
                    <w:pStyle w:val="TableBodyText"/>
                    <w:ind w:right="28"/>
                  </w:pPr>
                  <w:r>
                    <w:t>None</w:t>
                  </w:r>
                </w:p>
              </w:tc>
              <w:tc>
                <w:tcPr>
                  <w:tcW w:w="599" w:type="pct"/>
                  <w:tcBorders>
                    <w:bottom w:val="single" w:sz="6" w:space="0" w:color="BFBFBF"/>
                  </w:tcBorders>
                </w:tcPr>
                <w:p w:rsidR="004D4B2D" w:rsidRDefault="004D4B2D" w:rsidP="00297840">
                  <w:pPr>
                    <w:pStyle w:val="TableBodyText"/>
                    <w:ind w:right="28"/>
                  </w:pPr>
                  <w:r>
                    <w:t>None</w:t>
                  </w:r>
                </w:p>
              </w:tc>
              <w:tc>
                <w:tcPr>
                  <w:tcW w:w="599" w:type="pct"/>
                  <w:tcBorders>
                    <w:bottom w:val="single" w:sz="6" w:space="0" w:color="BFBFBF"/>
                  </w:tcBorders>
                </w:tcPr>
                <w:p w:rsidR="004D4B2D" w:rsidRDefault="004D4B2D" w:rsidP="00297840">
                  <w:pPr>
                    <w:pStyle w:val="TableBodyText"/>
                    <w:ind w:right="28"/>
                  </w:pPr>
                  <w:r>
                    <w:t>None</w:t>
                  </w:r>
                </w:p>
              </w:tc>
              <w:tc>
                <w:tcPr>
                  <w:tcW w:w="598" w:type="pct"/>
                  <w:tcBorders>
                    <w:bottom w:val="single" w:sz="6" w:space="0" w:color="BFBFBF"/>
                  </w:tcBorders>
                </w:tcPr>
                <w:p w:rsidR="004D4B2D" w:rsidRDefault="004D4B2D" w:rsidP="00297840">
                  <w:pPr>
                    <w:pStyle w:val="TableBodyText"/>
                    <w:ind w:right="28"/>
                  </w:pPr>
                  <w:r>
                    <w:t>None</w:t>
                  </w:r>
                  <w:r>
                    <w:rPr>
                      <w:rStyle w:val="NoteLabel"/>
                    </w:rPr>
                    <w:t>g</w:t>
                  </w:r>
                </w:p>
              </w:tc>
            </w:tr>
          </w:tbl>
          <w:p w:rsidR="004D4B2D" w:rsidRDefault="004D4B2D" w:rsidP="00297840">
            <w:pPr>
              <w:pStyle w:val="Box"/>
            </w:pPr>
          </w:p>
        </w:tc>
      </w:tr>
      <w:tr w:rsidR="004D4B2D" w:rsidTr="00297840">
        <w:trPr>
          <w:cantSplit/>
        </w:trPr>
        <w:tc>
          <w:tcPr>
            <w:tcW w:w="8771" w:type="dxa"/>
            <w:tcBorders>
              <w:top w:val="nil"/>
              <w:left w:val="nil"/>
              <w:bottom w:val="nil"/>
              <w:right w:val="nil"/>
            </w:tcBorders>
            <w:shd w:val="clear" w:color="auto" w:fill="auto"/>
          </w:tcPr>
          <w:p w:rsidR="004D4B2D" w:rsidRDefault="004D4B2D" w:rsidP="00297840">
            <w:pPr>
              <w:pStyle w:val="Note"/>
              <w:rPr>
                <w:i/>
              </w:rPr>
            </w:pPr>
            <w:proofErr w:type="spellStart"/>
            <w:r w:rsidRPr="008E77FE">
              <w:rPr>
                <w:rStyle w:val="NoteLabel"/>
              </w:rPr>
              <w:t>a</w:t>
            </w:r>
            <w:proofErr w:type="spellEnd"/>
            <w:r>
              <w:t xml:space="preserve"> </w:t>
            </w:r>
            <w:proofErr w:type="spellStart"/>
            <w:r>
              <w:t>A</w:t>
            </w:r>
            <w:proofErr w:type="spellEnd"/>
            <w:r>
              <w:t xml:space="preserve"> lower case ‘t’ refers to a non</w:t>
            </w:r>
            <w:r w:rsidR="009C67DD">
              <w:noBreakHyphen/>
            </w:r>
            <w:r>
              <w:t xml:space="preserve">zero concessional tax treatment. </w:t>
            </w:r>
            <w:r>
              <w:rPr>
                <w:rStyle w:val="NoteLabel"/>
              </w:rPr>
              <w:t>b</w:t>
            </w:r>
            <w:r>
              <w:t xml:space="preserve"> Higher rates apply to high</w:t>
            </w:r>
            <w:r w:rsidR="009C67DD">
              <w:noBreakHyphen/>
            </w:r>
            <w:r>
              <w:t>income earners or if the concessional contribution cap is exceeded. For non</w:t>
            </w:r>
            <w:r w:rsidR="009C67DD">
              <w:noBreakHyphen/>
            </w:r>
            <w:r>
              <w:t>concessional contributions paid out of after</w:t>
            </w:r>
            <w:r w:rsidR="009C67DD">
              <w:noBreakHyphen/>
            </w:r>
            <w:r>
              <w:t xml:space="preserve">tax income, the marginal income tax rate applies. </w:t>
            </w:r>
            <w:r>
              <w:rPr>
                <w:rStyle w:val="NoteLabel"/>
              </w:rPr>
              <w:t>c</w:t>
            </w:r>
            <w:r>
              <w:t xml:space="preserve"> No tax is paid on returns during the income stream phase. During the accumulation phase, the tax rate is 10 per cent if an asset has been held for more than 12 months and 15 per cent if not. </w:t>
            </w:r>
            <w:r>
              <w:rPr>
                <w:rStyle w:val="NoteLabel"/>
              </w:rPr>
              <w:t>d</w:t>
            </w:r>
            <w:r>
              <w:t xml:space="preserve"> Taxes on interest, dividends and rental income could be considered to be taxes on withdrawal rather than on return if not reinvested. </w:t>
            </w:r>
            <w:r>
              <w:rPr>
                <w:rStyle w:val="NoteLabel"/>
              </w:rPr>
              <w:t>e</w:t>
            </w:r>
            <w:r>
              <w:t xml:space="preserve"> If an asset is negatively geared (that is, expenses including interest costs exceed rental income/dividends) then losses can be offset against other income. </w:t>
            </w:r>
            <w:r>
              <w:rPr>
                <w:rStyle w:val="NoteLabel"/>
              </w:rPr>
              <w:t>f</w:t>
            </w:r>
            <w:r>
              <w:t xml:space="preserve"> No tax is paid on returns during the income stream phase. </w:t>
            </w:r>
            <w:r>
              <w:rPr>
                <w:rStyle w:val="NoteLabel"/>
              </w:rPr>
              <w:t>g</w:t>
            </w:r>
            <w:r>
              <w:t xml:space="preserve"> Taxes may apply if a person retires before they turn 60. </w:t>
            </w:r>
            <w:proofErr w:type="spellStart"/>
            <w:r w:rsidRPr="00240871">
              <w:rPr>
                <w:b/>
              </w:rPr>
              <w:t>na</w:t>
            </w:r>
            <w:proofErr w:type="spellEnd"/>
            <w:r w:rsidRPr="00240871">
              <w:t xml:space="preserve"> Not applicable.</w:t>
            </w:r>
          </w:p>
        </w:tc>
      </w:tr>
      <w:tr w:rsidR="004D4B2D" w:rsidTr="00297840">
        <w:trPr>
          <w:cantSplit/>
        </w:trPr>
        <w:tc>
          <w:tcPr>
            <w:tcW w:w="8771" w:type="dxa"/>
            <w:tcBorders>
              <w:top w:val="nil"/>
              <w:left w:val="nil"/>
              <w:bottom w:val="nil"/>
              <w:right w:val="nil"/>
            </w:tcBorders>
            <w:shd w:val="clear" w:color="auto" w:fill="auto"/>
          </w:tcPr>
          <w:p w:rsidR="004D4B2D" w:rsidRDefault="004D4B2D" w:rsidP="00297840">
            <w:pPr>
              <w:pStyle w:val="Source"/>
            </w:pPr>
            <w:r>
              <w:rPr>
                <w:i/>
              </w:rPr>
              <w:t>Sources</w:t>
            </w:r>
            <w:r w:rsidRPr="00167F06">
              <w:t xml:space="preserve">: </w:t>
            </w:r>
            <w:proofErr w:type="spellStart"/>
            <w:r>
              <w:t>ATO</w:t>
            </w:r>
            <w:proofErr w:type="spellEnd"/>
            <w:r>
              <w:t xml:space="preserve"> </w:t>
            </w:r>
            <w:r w:rsidRPr="0068594A">
              <w:rPr>
                <w:rFonts w:cs="Arial"/>
              </w:rPr>
              <w:t>(2015)</w:t>
            </w:r>
            <w:r>
              <w:t xml:space="preserve">; Treasury </w:t>
            </w:r>
            <w:r w:rsidR="00BE7A1F" w:rsidRPr="00BE7A1F">
              <w:rPr>
                <w:rFonts w:cs="Arial"/>
              </w:rPr>
              <w:t>(2015)</w:t>
            </w:r>
            <w:r>
              <w:t>.</w:t>
            </w:r>
          </w:p>
        </w:tc>
      </w:tr>
      <w:tr w:rsidR="004D4B2D" w:rsidTr="00297840">
        <w:trPr>
          <w:cantSplit/>
        </w:trPr>
        <w:tc>
          <w:tcPr>
            <w:tcW w:w="8771" w:type="dxa"/>
            <w:tcBorders>
              <w:top w:val="nil"/>
              <w:left w:val="nil"/>
              <w:bottom w:val="single" w:sz="6" w:space="0" w:color="78A22F"/>
              <w:right w:val="nil"/>
            </w:tcBorders>
            <w:shd w:val="clear" w:color="auto" w:fill="auto"/>
          </w:tcPr>
          <w:p w:rsidR="004D4B2D" w:rsidRDefault="004D4B2D" w:rsidP="00297840">
            <w:pPr>
              <w:pStyle w:val="Box"/>
              <w:spacing w:before="0" w:line="120" w:lineRule="exact"/>
            </w:pPr>
          </w:p>
        </w:tc>
      </w:tr>
      <w:tr w:rsidR="004D4B2D" w:rsidRPr="000863A5" w:rsidTr="00297840">
        <w:tc>
          <w:tcPr>
            <w:tcW w:w="8771" w:type="dxa"/>
            <w:tcBorders>
              <w:top w:val="single" w:sz="6" w:space="0" w:color="78A22F"/>
              <w:left w:val="nil"/>
              <w:bottom w:val="nil"/>
              <w:right w:val="nil"/>
            </w:tcBorders>
          </w:tcPr>
          <w:p w:rsidR="004D4B2D" w:rsidRPr="00626D32" w:rsidRDefault="004D4B2D" w:rsidP="00297840">
            <w:pPr>
              <w:pStyle w:val="BoxSpaceBelow"/>
            </w:pPr>
          </w:p>
        </w:tc>
      </w:tr>
    </w:tbl>
    <w:p w:rsidR="004D4B2D" w:rsidRDefault="004D4B2D" w:rsidP="004D4B2D">
      <w:pPr>
        <w:pStyle w:val="BodyText"/>
      </w:pPr>
      <w:r>
        <w:t>Figure </w:t>
      </w:r>
      <w:r w:rsidR="00544509">
        <w:fldChar w:fldCharType="begin"/>
      </w:r>
      <w:r w:rsidR="00544509">
        <w:instrText xml:space="preserve"> LINK Word.Document.12 "\\\\mel_1\\groups\\Elmrb\\04_Current projects\\Tax and Transfer\\02_Research\\Josh\\EMTRs and savings\\Effective marginal tax rates on savings.docx" "OLE_LINK10" \a \t </w:instrText>
      </w:r>
      <w:r w:rsidR="00544509">
        <w:fldChar w:fldCharType="separate"/>
      </w:r>
      <w:r w:rsidR="00544509">
        <w:t>5</w:t>
      </w:r>
      <w:r w:rsidR="00544509">
        <w:fldChar w:fldCharType="end"/>
      </w:r>
      <w:r>
        <w:t xml:space="preserve"> shows illustrative </w:t>
      </w:r>
      <w:proofErr w:type="spellStart"/>
      <w:r>
        <w:t>EMTRs</w:t>
      </w:r>
      <w:proofErr w:type="spellEnd"/>
      <w:r>
        <w:t xml:space="preserve"> on savings for common savings instruments in Australia for an individual with a taxable income of between $37 001 and $80 000 (and therefore facing a marginal income tax rate of 32.5 per cent). The different tax treatments of savings instruments translate to large differences in the </w:t>
      </w:r>
      <w:proofErr w:type="spellStart"/>
      <w:r>
        <w:t>EMTR</w:t>
      </w:r>
      <w:proofErr w:type="spellEnd"/>
      <w:r>
        <w:t xml:space="preserve"> an individual would face making a $100 investment in each. </w:t>
      </w:r>
      <w:r w:rsidR="00280965">
        <w:t xml:space="preserve">When rates of return and investment periods are held </w:t>
      </w:r>
      <w:r w:rsidR="00280965">
        <w:lastRenderedPageBreak/>
        <w:t>constant</w:t>
      </w:r>
      <w:r w:rsidR="006928A6">
        <w:t xml:space="preserve"> across savings instruments</w:t>
      </w:r>
      <w:r w:rsidR="00280965">
        <w:t xml:space="preserve">, </w:t>
      </w:r>
      <w:proofErr w:type="spellStart"/>
      <w:r w:rsidR="00280965">
        <w:t>EMTRs</w:t>
      </w:r>
      <w:proofErr w:type="spellEnd"/>
      <w:r w:rsidR="00280965">
        <w:t xml:space="preserve"> </w:t>
      </w:r>
      <w:r w:rsidR="006928A6">
        <w:t xml:space="preserve">tend be highest </w:t>
      </w:r>
      <w:r w:rsidR="006740D9">
        <w:t>on</w:t>
      </w:r>
      <w:r w:rsidR="006928A6">
        <w:t xml:space="preserve"> savings held in bank accounts </w:t>
      </w:r>
      <w:r w:rsidR="00280965">
        <w:t xml:space="preserve">and </w:t>
      </w:r>
      <w:r w:rsidR="006928A6">
        <w:t xml:space="preserve">lowest </w:t>
      </w:r>
      <w:r w:rsidR="006740D9">
        <w:t>on</w:t>
      </w:r>
      <w:r w:rsidR="006928A6">
        <w:t xml:space="preserve"> savings held in </w:t>
      </w:r>
      <w:r w:rsidR="00280965">
        <w:t>superannuation</w:t>
      </w:r>
      <w:r>
        <w:t>.</w:t>
      </w:r>
    </w:p>
    <w:p w:rsidR="004D4B2D" w:rsidRDefault="004D4B2D" w:rsidP="004D4B2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D4B2D" w:rsidTr="00297840">
        <w:tc>
          <w:tcPr>
            <w:tcW w:w="8771" w:type="dxa"/>
            <w:tcBorders>
              <w:top w:val="single" w:sz="6" w:space="0" w:color="78A22F"/>
              <w:left w:val="nil"/>
              <w:bottom w:val="nil"/>
              <w:right w:val="nil"/>
            </w:tcBorders>
            <w:shd w:val="clear" w:color="auto" w:fill="auto"/>
          </w:tcPr>
          <w:p w:rsidR="004D4B2D" w:rsidRDefault="004D4B2D" w:rsidP="00297840">
            <w:pPr>
              <w:pStyle w:val="FigureTitle"/>
            </w:pPr>
            <w:r w:rsidRPr="00784A05">
              <w:rPr>
                <w:b w:val="0"/>
              </w:rPr>
              <w:t xml:space="preserve">Figure </w:t>
            </w:r>
            <w:bookmarkStart w:id="9" w:name="OLE_LINK10"/>
            <w:r w:rsidRPr="00784A05">
              <w:rPr>
                <w:b w:val="0"/>
              </w:rPr>
              <w:fldChar w:fldCharType="begin"/>
            </w:r>
            <w:r w:rsidRPr="00784A05">
              <w:rPr>
                <w:b w:val="0"/>
              </w:rPr>
              <w:instrText xml:space="preserve"> SEQ Figure \* ARABIC </w:instrText>
            </w:r>
            <w:r w:rsidRPr="00784A05">
              <w:rPr>
                <w:b w:val="0"/>
              </w:rPr>
              <w:fldChar w:fldCharType="separate"/>
            </w:r>
            <w:r w:rsidR="00AE0C8F">
              <w:rPr>
                <w:b w:val="0"/>
                <w:noProof/>
              </w:rPr>
              <w:t>5</w:t>
            </w:r>
            <w:r w:rsidRPr="00784A05">
              <w:rPr>
                <w:b w:val="0"/>
              </w:rPr>
              <w:fldChar w:fldCharType="end"/>
            </w:r>
            <w:bookmarkEnd w:id="9"/>
            <w:r>
              <w:tab/>
              <w:t xml:space="preserve">Illustrative </w:t>
            </w:r>
            <w:proofErr w:type="spellStart"/>
            <w:r>
              <w:t>EMTRs</w:t>
            </w:r>
            <w:proofErr w:type="spellEnd"/>
            <w:r>
              <w:t xml:space="preserve"> for different savings instruments</w:t>
            </w:r>
            <w:r w:rsidRPr="00123BEF">
              <w:rPr>
                <w:rStyle w:val="NoteLabel"/>
                <w:b/>
              </w:rPr>
              <w:t>a</w:t>
            </w:r>
          </w:p>
          <w:p w:rsidR="004D4B2D" w:rsidRPr="00176D3F" w:rsidRDefault="004D4B2D" w:rsidP="00297840">
            <w:pPr>
              <w:pStyle w:val="Subtitle"/>
            </w:pPr>
            <w:r>
              <w:t>2014-15, for an individual facing a 32.5% marginal income tax rate</w:t>
            </w:r>
          </w:p>
        </w:tc>
      </w:tr>
      <w:tr w:rsidR="004D4B2D" w:rsidTr="0029784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4D4B2D" w:rsidTr="006E5B08">
              <w:trPr>
                <w:jc w:val="center"/>
              </w:trPr>
              <w:tc>
                <w:tcPr>
                  <w:tcW w:w="8504" w:type="dxa"/>
                  <w:tcBorders>
                    <w:top w:val="nil"/>
                    <w:bottom w:val="nil"/>
                  </w:tcBorders>
                </w:tcPr>
                <w:p w:rsidR="004D4B2D" w:rsidRDefault="00A25C92" w:rsidP="00297840">
                  <w:pPr>
                    <w:pStyle w:val="Figure"/>
                    <w:spacing w:before="60" w:after="60"/>
                  </w:pPr>
                  <w:r>
                    <w:rPr>
                      <w:noProof/>
                    </w:rPr>
                    <w:drawing>
                      <wp:inline distT="0" distB="0" distL="0" distR="0" wp14:anchorId="033ADBC0" wp14:editId="040CFE57">
                        <wp:extent cx="5257800" cy="2800350"/>
                        <wp:effectExtent l="0" t="0" r="0" b="0"/>
                        <wp:docPr id="3" name="Picture 3" descr="This figure shows the EMTR on savings for different savings instruments, assuming a 5 per cent nominal rate of return in the first column for each savings instrument and a 15 per cent nominal rate of return in the second column. In general, under the assumptions stated in the figure note, the savings instruments that produce the highest positive EMTRs (in descending order) are bank account, rental property, foreign shares and domestic shares. The EMTR on an individual’s own home is zero per cent and the EMTR on superannuation can be negative for low rates of return." title="Illustrative EMTRs for different savings instruments – 2014-15, for an individual facing a 32.5% marginal income tax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2800350"/>
                                </a:xfrm>
                                <a:prstGeom prst="rect">
                                  <a:avLst/>
                                </a:prstGeom>
                                <a:noFill/>
                                <a:ln>
                                  <a:noFill/>
                                </a:ln>
                              </pic:spPr>
                            </pic:pic>
                          </a:graphicData>
                        </a:graphic>
                      </wp:inline>
                    </w:drawing>
                  </w:r>
                </w:p>
              </w:tc>
            </w:tr>
          </w:tbl>
          <w:p w:rsidR="004D4B2D" w:rsidRDefault="004D4B2D" w:rsidP="00297840">
            <w:pPr>
              <w:pStyle w:val="Figure"/>
            </w:pPr>
          </w:p>
        </w:tc>
      </w:tr>
      <w:tr w:rsidR="004D4B2D" w:rsidRPr="00176D3F" w:rsidTr="00297840">
        <w:tc>
          <w:tcPr>
            <w:tcW w:w="8771" w:type="dxa"/>
            <w:tcBorders>
              <w:top w:val="nil"/>
              <w:left w:val="nil"/>
              <w:bottom w:val="nil"/>
              <w:right w:val="nil"/>
            </w:tcBorders>
            <w:shd w:val="clear" w:color="auto" w:fill="auto"/>
          </w:tcPr>
          <w:p w:rsidR="004D4B2D" w:rsidRPr="00176D3F" w:rsidRDefault="004D4B2D" w:rsidP="006E5B08">
            <w:pPr>
              <w:pStyle w:val="Note"/>
            </w:pPr>
            <w:r>
              <w:rPr>
                <w:rStyle w:val="NoteLabel"/>
              </w:rPr>
              <w:t>a</w:t>
            </w:r>
            <w:r>
              <w:t xml:space="preserve"> Based on a $100 marginal investment</w:t>
            </w:r>
            <w:r w:rsidR="002C7A4E">
              <w:t xml:space="preserve"> and a 25 year investment period</w:t>
            </w:r>
            <w:r>
              <w:t>. Assumes 2.5 per cent inflation. The return on rental property, domestic shares and foreign shares assumes a 50 per cent split between capital gains and dividends/rental income. The return on foreign shares also assumes that a foreign company tax of 15 per cent has been paid on dividends, which can be claimed as a tax offset in Australia. All after</w:t>
            </w:r>
            <w:r w:rsidR="009C67DD">
              <w:noBreakHyphen/>
            </w:r>
            <w:r>
              <w:t>tax returns are assumed to be reinvested each year.</w:t>
            </w:r>
          </w:p>
        </w:tc>
      </w:tr>
      <w:tr w:rsidR="004D4B2D" w:rsidRPr="00176D3F" w:rsidTr="00297840">
        <w:tc>
          <w:tcPr>
            <w:tcW w:w="8771" w:type="dxa"/>
            <w:tcBorders>
              <w:top w:val="nil"/>
              <w:left w:val="nil"/>
              <w:bottom w:val="nil"/>
              <w:right w:val="nil"/>
            </w:tcBorders>
            <w:shd w:val="clear" w:color="auto" w:fill="auto"/>
          </w:tcPr>
          <w:p w:rsidR="004D4B2D" w:rsidRPr="00176D3F" w:rsidRDefault="004D4B2D" w:rsidP="00297840">
            <w:pPr>
              <w:pStyle w:val="Source"/>
            </w:pPr>
            <w:r>
              <w:rPr>
                <w:i/>
              </w:rPr>
              <w:t>S</w:t>
            </w:r>
            <w:r w:rsidRPr="00784A05">
              <w:rPr>
                <w:i/>
              </w:rPr>
              <w:t>ource</w:t>
            </w:r>
            <w:r w:rsidRPr="00176D3F">
              <w:t xml:space="preserve">: </w:t>
            </w:r>
            <w:r>
              <w:t>Commission estimates.</w:t>
            </w:r>
          </w:p>
        </w:tc>
      </w:tr>
      <w:tr w:rsidR="004D4B2D" w:rsidTr="00297840">
        <w:tc>
          <w:tcPr>
            <w:tcW w:w="8771" w:type="dxa"/>
            <w:tcBorders>
              <w:top w:val="nil"/>
              <w:left w:val="nil"/>
              <w:bottom w:val="single" w:sz="6" w:space="0" w:color="78A22F"/>
              <w:right w:val="nil"/>
            </w:tcBorders>
            <w:shd w:val="clear" w:color="auto" w:fill="auto"/>
          </w:tcPr>
          <w:p w:rsidR="004D4B2D" w:rsidRDefault="004D4B2D" w:rsidP="00297840">
            <w:pPr>
              <w:pStyle w:val="Figurespace"/>
            </w:pPr>
          </w:p>
        </w:tc>
      </w:tr>
      <w:tr w:rsidR="004D4B2D" w:rsidRPr="000863A5" w:rsidTr="00297840">
        <w:tc>
          <w:tcPr>
            <w:tcW w:w="8771" w:type="dxa"/>
            <w:tcBorders>
              <w:top w:val="single" w:sz="6" w:space="0" w:color="78A22F"/>
              <w:left w:val="nil"/>
              <w:bottom w:val="nil"/>
              <w:right w:val="nil"/>
            </w:tcBorders>
          </w:tcPr>
          <w:p w:rsidR="004D4B2D" w:rsidRPr="00626D32" w:rsidRDefault="004D4B2D" w:rsidP="00297840">
            <w:pPr>
              <w:pStyle w:val="BoxSpaceBelow"/>
            </w:pPr>
          </w:p>
        </w:tc>
      </w:tr>
    </w:tbl>
    <w:p w:rsidR="00280965" w:rsidRDefault="00FE1E36" w:rsidP="00586818">
      <w:pPr>
        <w:pStyle w:val="BodyText"/>
      </w:pPr>
      <w:r>
        <w:t>T</w:t>
      </w:r>
      <w:r w:rsidR="006928A6">
        <w:t>his ranking ignores differences in average</w:t>
      </w:r>
      <w:r w:rsidR="00280965">
        <w:t xml:space="preserve"> nominal rate</w:t>
      </w:r>
      <w:r w:rsidR="00586818">
        <w:t>s</w:t>
      </w:r>
      <w:r w:rsidR="00280965">
        <w:t xml:space="preserve"> of return</w:t>
      </w:r>
      <w:r w:rsidR="00586818">
        <w:t>,</w:t>
      </w:r>
      <w:r w:rsidR="006928A6">
        <w:t xml:space="preserve"> average investment period</w:t>
      </w:r>
      <w:r w:rsidR="00586818">
        <w:t>s</w:t>
      </w:r>
      <w:r w:rsidR="006928A6">
        <w:t xml:space="preserve"> across savings instruments</w:t>
      </w:r>
      <w:r w:rsidR="00586818">
        <w:t xml:space="preserve"> and the potential for negative gearing</w:t>
      </w:r>
      <w:r w:rsidR="00280965">
        <w:t xml:space="preserve">. </w:t>
      </w:r>
      <w:r w:rsidR="006928A6">
        <w:t>As discussed above, depending on how a savings instrument is taxed, the nominal rate of return and the investment period</w:t>
      </w:r>
      <w:r w:rsidR="006740D9">
        <w:t xml:space="preserve"> may</w:t>
      </w:r>
      <w:r w:rsidR="006928A6">
        <w:t xml:space="preserve"> influence t</w:t>
      </w:r>
      <w:r w:rsidR="00280965">
        <w:t xml:space="preserve">he </w:t>
      </w:r>
      <w:proofErr w:type="spellStart"/>
      <w:r w:rsidR="00280965">
        <w:t>EMTR</w:t>
      </w:r>
      <w:proofErr w:type="spellEnd"/>
      <w:r w:rsidR="00586818">
        <w:t>. And w</w:t>
      </w:r>
      <w:r w:rsidR="00280965">
        <w:t xml:space="preserve">ith negative gearing, </w:t>
      </w:r>
      <w:proofErr w:type="spellStart"/>
      <w:r w:rsidR="00280965">
        <w:t>EMTRs</w:t>
      </w:r>
      <w:proofErr w:type="spellEnd"/>
      <w:r w:rsidR="00280965">
        <w:t xml:space="preserve"> on savings instruments such as rental properties can decline substantially and become negative.</w:t>
      </w:r>
      <w:r>
        <w:t xml:space="preserve"> </w:t>
      </w:r>
      <w:r w:rsidR="00390ABC">
        <w:t>As a consequence, t</w:t>
      </w:r>
      <w:r w:rsidR="006740D9">
        <w:t>he</w:t>
      </w:r>
      <w:r>
        <w:t xml:space="preserve"> average </w:t>
      </w:r>
      <w:proofErr w:type="spellStart"/>
      <w:r>
        <w:t>EMTRs</w:t>
      </w:r>
      <w:proofErr w:type="spellEnd"/>
      <w:r>
        <w:t xml:space="preserve"> </w:t>
      </w:r>
      <w:r w:rsidR="006740D9">
        <w:t xml:space="preserve">that </w:t>
      </w:r>
      <w:r>
        <w:t xml:space="preserve">Australian investors </w:t>
      </w:r>
      <w:r w:rsidR="006740D9">
        <w:t xml:space="preserve">face </w:t>
      </w:r>
      <w:r w:rsidR="00390ABC">
        <w:t xml:space="preserve">in the real world </w:t>
      </w:r>
      <w:r>
        <w:t>could differ substantially from those calculated above.</w:t>
      </w:r>
    </w:p>
    <w:p w:rsidR="004D4B2D" w:rsidRDefault="00F14D0D" w:rsidP="004D4B2D">
      <w:pPr>
        <w:pStyle w:val="Heading2"/>
      </w:pPr>
      <w:r>
        <w:t>Where to next?</w:t>
      </w:r>
    </w:p>
    <w:p w:rsidR="003F650A" w:rsidRDefault="00CB1A87" w:rsidP="00AE0C8F">
      <w:pPr>
        <w:pStyle w:val="BodyText"/>
      </w:pPr>
      <w:proofErr w:type="spellStart"/>
      <w:r>
        <w:t>EMTRs</w:t>
      </w:r>
      <w:proofErr w:type="spellEnd"/>
      <w:r>
        <w:t xml:space="preserve"> on savings could </w:t>
      </w:r>
      <w:r w:rsidR="004A1547">
        <w:t xml:space="preserve">be used in a wide variety of contexts to improve </w:t>
      </w:r>
      <w:r w:rsidR="00123BEF">
        <w:t>public</w:t>
      </w:r>
      <w:r w:rsidR="004A1547">
        <w:t xml:space="preserve"> understanding of the effects of the tax and transfer system on the return to savings and provide an indication of incentives to save</w:t>
      </w:r>
      <w:r w:rsidR="003F650A">
        <w:t xml:space="preserve">. Across the Australian population, </w:t>
      </w:r>
      <w:r w:rsidR="00616280">
        <w:t>people</w:t>
      </w:r>
      <w:r w:rsidR="003F650A">
        <w:t xml:space="preserve"> face different </w:t>
      </w:r>
      <w:r w:rsidR="00C13A3D">
        <w:t xml:space="preserve">income </w:t>
      </w:r>
      <w:r w:rsidR="003F650A">
        <w:t xml:space="preserve">tax rates, receive different amounts in transfers and have different </w:t>
      </w:r>
      <w:r w:rsidR="00C13A3D">
        <w:lastRenderedPageBreak/>
        <w:t xml:space="preserve">investment </w:t>
      </w:r>
      <w:r w:rsidR="003F650A">
        <w:t xml:space="preserve">time horizons. One area for future research could be to calculate </w:t>
      </w:r>
      <w:proofErr w:type="spellStart"/>
      <w:r w:rsidR="003F650A">
        <w:t>EMTRs</w:t>
      </w:r>
      <w:proofErr w:type="spellEnd"/>
      <w:r w:rsidR="003F650A">
        <w:t xml:space="preserve"> on savings across the population and highlight circumstances that lead to very high </w:t>
      </w:r>
      <w:proofErr w:type="spellStart"/>
      <w:r w:rsidR="003F650A">
        <w:t>EMTRs</w:t>
      </w:r>
      <w:proofErr w:type="spellEnd"/>
      <w:r w:rsidR="003F650A">
        <w:t>.</w:t>
      </w:r>
    </w:p>
    <w:p w:rsidR="00123BEF" w:rsidRDefault="003F650A" w:rsidP="00AE0C8F">
      <w:pPr>
        <w:pStyle w:val="BodyText"/>
      </w:pPr>
      <w:proofErr w:type="spellStart"/>
      <w:r>
        <w:t>EMTRs</w:t>
      </w:r>
      <w:proofErr w:type="spellEnd"/>
      <w:r>
        <w:t xml:space="preserve"> could also be used to examine the effects of specific tax and transfer policies </w:t>
      </w:r>
      <w:r w:rsidR="00616280">
        <w:t xml:space="preserve">(such as superannuation taxes, capital gains taxes and the means testing of transfer payments) </w:t>
      </w:r>
      <w:r>
        <w:t xml:space="preserve">on the </w:t>
      </w:r>
      <w:r w:rsidR="00616280">
        <w:t>return to savings at different points in a person’s life cycle</w:t>
      </w:r>
      <w:r>
        <w:t>.</w:t>
      </w:r>
    </w:p>
    <w:p w:rsidR="00E53262" w:rsidRDefault="00C13A3D" w:rsidP="00AE0C8F">
      <w:pPr>
        <w:pStyle w:val="BodyText"/>
      </w:pPr>
      <w:r>
        <w:t xml:space="preserve">The framework for </w:t>
      </w:r>
      <w:proofErr w:type="spellStart"/>
      <w:r>
        <w:t>EMTRs</w:t>
      </w:r>
      <w:proofErr w:type="spellEnd"/>
      <w:r>
        <w:t xml:space="preserve"> on savings described here could also be expanded to examine more complex questions such as how </w:t>
      </w:r>
      <w:r w:rsidR="004D4B2D">
        <w:t xml:space="preserve">investments in human capital </w:t>
      </w:r>
      <w:r w:rsidR="005A7901">
        <w:t xml:space="preserve">are </w:t>
      </w:r>
      <w:r w:rsidR="004D4B2D">
        <w:t>treated by the tax and transfer system</w:t>
      </w:r>
      <w:r>
        <w:t xml:space="preserve"> and how </w:t>
      </w:r>
      <w:r w:rsidR="005F77DD">
        <w:t>the treatment of human capital differs from that of financial capital.</w:t>
      </w:r>
    </w:p>
    <w:p w:rsidR="005F77DD" w:rsidRDefault="005F77DD">
      <w:r>
        <w:br w:type="page"/>
      </w:r>
    </w:p>
    <w:p w:rsidR="005F77DD" w:rsidRDefault="005F77DD" w:rsidP="00875F12">
      <w:pPr>
        <w:pStyle w:val="Heading2"/>
      </w:pPr>
      <w:r>
        <w:lastRenderedPageBreak/>
        <w:t>References</w:t>
      </w:r>
    </w:p>
    <w:p w:rsidR="002B6815" w:rsidRPr="002B6815" w:rsidRDefault="002B6815" w:rsidP="00536029">
      <w:pPr>
        <w:pStyle w:val="Reference"/>
        <w:spacing w:before="240"/>
      </w:pPr>
      <w:proofErr w:type="spellStart"/>
      <w:r w:rsidRPr="002B6815">
        <w:t>ATO</w:t>
      </w:r>
      <w:proofErr w:type="spellEnd"/>
      <w:r w:rsidRPr="002B6815">
        <w:t xml:space="preserve"> (Australian Taxation Office) 2015, </w:t>
      </w:r>
      <w:r w:rsidRPr="002B6815">
        <w:rPr>
          <w:i/>
          <w:iCs/>
        </w:rPr>
        <w:t>Super and tax</w:t>
      </w:r>
      <w:r w:rsidRPr="002B6815">
        <w:t>, https://</w:t>
      </w:r>
      <w:proofErr w:type="spellStart"/>
      <w:r w:rsidRPr="002B6815">
        <w:t>www.ato.gov.au</w:t>
      </w:r>
      <w:proofErr w:type="spellEnd"/>
      <w:r w:rsidRPr="002B6815">
        <w:t>/Individuals/Super/Super-and-tax/ (accessed 21 August 2015).</w:t>
      </w:r>
    </w:p>
    <w:p w:rsidR="002B6815" w:rsidRPr="002B6815" w:rsidRDefault="002B6815" w:rsidP="00536029">
      <w:pPr>
        <w:pStyle w:val="Reference"/>
      </w:pPr>
      <w:r w:rsidRPr="002B6815">
        <w:t xml:space="preserve">Banks, J. and Diamond, P. 2011, ‘The Base for Direct Taxation’, </w:t>
      </w:r>
      <w:r w:rsidRPr="002B6815">
        <w:rPr>
          <w:i/>
          <w:iCs/>
        </w:rPr>
        <w:t xml:space="preserve">Dimensions of Tax Design: The </w:t>
      </w:r>
      <w:proofErr w:type="spellStart"/>
      <w:r w:rsidRPr="002B6815">
        <w:rPr>
          <w:i/>
          <w:iCs/>
        </w:rPr>
        <w:t>Mirrlees</w:t>
      </w:r>
      <w:proofErr w:type="spellEnd"/>
      <w:r w:rsidRPr="002B6815">
        <w:rPr>
          <w:i/>
          <w:iCs/>
        </w:rPr>
        <w:t xml:space="preserve"> Review</w:t>
      </w:r>
      <w:r w:rsidRPr="002B6815">
        <w:t>, Institute of Fiscal Studies, Oxford University Press, Oxford.</w:t>
      </w:r>
    </w:p>
    <w:p w:rsidR="002B6815" w:rsidRPr="002B6815" w:rsidRDefault="002B6815" w:rsidP="00536029">
      <w:pPr>
        <w:pStyle w:val="Reference"/>
      </w:pPr>
      <w:r w:rsidRPr="002B6815">
        <w:t xml:space="preserve">Banks, J. and Tanner, S. 1999, </w:t>
      </w:r>
      <w:r w:rsidRPr="002B6815">
        <w:rPr>
          <w:i/>
          <w:iCs/>
        </w:rPr>
        <w:t>Household Saving in the UK</w:t>
      </w:r>
      <w:r w:rsidRPr="002B6815">
        <w:t>, Institute for Fiscal Studies, London, http://</w:t>
      </w:r>
      <w:proofErr w:type="spellStart"/>
      <w:r w:rsidRPr="002B6815">
        <w:t>www.ifs.org.uk</w:t>
      </w:r>
      <w:proofErr w:type="spellEnd"/>
      <w:r w:rsidRPr="002B6815">
        <w:t>/publications/3077 (accessed 20 August 2015).</w:t>
      </w:r>
    </w:p>
    <w:p w:rsidR="002B6815" w:rsidRPr="002B6815" w:rsidRDefault="002B6815" w:rsidP="00536029">
      <w:pPr>
        <w:pStyle w:val="Reference"/>
      </w:pPr>
      <w:proofErr w:type="spellStart"/>
      <w:r w:rsidRPr="002B6815">
        <w:t>Blumkin</w:t>
      </w:r>
      <w:proofErr w:type="spellEnd"/>
      <w:r w:rsidRPr="002B6815">
        <w:t xml:space="preserve">, T., Ruffle, </w:t>
      </w:r>
      <w:proofErr w:type="spellStart"/>
      <w:r w:rsidRPr="002B6815">
        <w:t>B.J</w:t>
      </w:r>
      <w:proofErr w:type="spellEnd"/>
      <w:r w:rsidRPr="002B6815">
        <w:t xml:space="preserve">. and </w:t>
      </w:r>
      <w:proofErr w:type="spellStart"/>
      <w:r w:rsidRPr="002B6815">
        <w:t>Ganun</w:t>
      </w:r>
      <w:proofErr w:type="spellEnd"/>
      <w:r w:rsidRPr="002B6815">
        <w:t xml:space="preserve">, Y. 2012, ‘Are income and consumption taxes ever really equivalent? Evidence from a real-effort experiment with real goods’, </w:t>
      </w:r>
      <w:r w:rsidRPr="002B6815">
        <w:rPr>
          <w:i/>
          <w:iCs/>
        </w:rPr>
        <w:t>European Economic Review</w:t>
      </w:r>
      <w:r w:rsidRPr="002B6815">
        <w:t>, vol. 56, no. 6, pp. 1200–1219.</w:t>
      </w:r>
    </w:p>
    <w:p w:rsidR="002B6815" w:rsidRPr="002B6815" w:rsidRDefault="002B6815" w:rsidP="00536029">
      <w:pPr>
        <w:pStyle w:val="Reference"/>
      </w:pPr>
      <w:r w:rsidRPr="002B6815">
        <w:t xml:space="preserve">Bradford, D.F. 2000, </w:t>
      </w:r>
      <w:r w:rsidRPr="002B6815">
        <w:rPr>
          <w:i/>
          <w:iCs/>
        </w:rPr>
        <w:t>Taxation, Wealth, and Saving</w:t>
      </w:r>
      <w:r w:rsidRPr="002B6815">
        <w:t>, MIT Press, Cambridge, Mass.</w:t>
      </w:r>
    </w:p>
    <w:p w:rsidR="002B6815" w:rsidRPr="002B6815" w:rsidRDefault="002B6815" w:rsidP="00536029">
      <w:pPr>
        <w:pStyle w:val="Reference"/>
      </w:pPr>
      <w:r w:rsidRPr="002B6815">
        <w:t xml:space="preserve">Henry, K. 2009, </w:t>
      </w:r>
      <w:r w:rsidRPr="002B6815">
        <w:rPr>
          <w:i/>
          <w:iCs/>
        </w:rPr>
        <w:t>Towards a Better Taxation of Savings</w:t>
      </w:r>
      <w:r w:rsidRPr="002B6815">
        <w:t>, Address to the Australian Conference of Economists Business Symposium, October, http://taxreview.treasury.gov.au/content/Content.aspx?doc=html/speeches/09.htm (accessed 15 July 2015).</w:t>
      </w:r>
    </w:p>
    <w:p w:rsidR="002B6815" w:rsidRPr="002B6815" w:rsidRDefault="002B6815" w:rsidP="00536029">
      <w:pPr>
        <w:pStyle w:val="Reference"/>
      </w:pPr>
      <w:r w:rsidRPr="002B6815">
        <w:t xml:space="preserve">Hyman, </w:t>
      </w:r>
      <w:proofErr w:type="spellStart"/>
      <w:r w:rsidRPr="002B6815">
        <w:t>D.N</w:t>
      </w:r>
      <w:proofErr w:type="spellEnd"/>
      <w:r w:rsidRPr="002B6815">
        <w:t xml:space="preserve">. 2008, </w:t>
      </w:r>
      <w:r w:rsidRPr="002B6815">
        <w:rPr>
          <w:i/>
          <w:iCs/>
        </w:rPr>
        <w:t>Public Finance: A Contemporary Application of Theory to Policy</w:t>
      </w:r>
      <w:r w:rsidRPr="002B6815">
        <w:t xml:space="preserve">, Thomson/South-Western, Mason, </w:t>
      </w:r>
      <w:r w:rsidR="00BA3ADC">
        <w:t>United States</w:t>
      </w:r>
      <w:r w:rsidRPr="002B6815">
        <w:t>.</w:t>
      </w:r>
    </w:p>
    <w:p w:rsidR="002B6815" w:rsidRPr="002B6815" w:rsidRDefault="002B6815" w:rsidP="00536029">
      <w:pPr>
        <w:pStyle w:val="Reference"/>
      </w:pPr>
      <w:proofErr w:type="spellStart"/>
      <w:r w:rsidRPr="002B6815">
        <w:t>McLure</w:t>
      </w:r>
      <w:proofErr w:type="spellEnd"/>
      <w:r w:rsidRPr="002B6815">
        <w:t xml:space="preserve">, C. and </w:t>
      </w:r>
      <w:proofErr w:type="spellStart"/>
      <w:r w:rsidRPr="002B6815">
        <w:t>Zodrow</w:t>
      </w:r>
      <w:proofErr w:type="spellEnd"/>
      <w:r w:rsidRPr="002B6815">
        <w:t xml:space="preserve">, G. 1994, ‘The study and practice of income tax policy’, in Quigley, </w:t>
      </w:r>
      <w:proofErr w:type="spellStart"/>
      <w:r w:rsidRPr="002B6815">
        <w:t>J.M</w:t>
      </w:r>
      <w:proofErr w:type="spellEnd"/>
      <w:r w:rsidRPr="002B6815">
        <w:t xml:space="preserve">. and </w:t>
      </w:r>
      <w:proofErr w:type="spellStart"/>
      <w:r w:rsidRPr="002B6815">
        <w:t>Smolensky</w:t>
      </w:r>
      <w:proofErr w:type="spellEnd"/>
      <w:r w:rsidRPr="002B6815">
        <w:t>, E. (</w:t>
      </w:r>
      <w:proofErr w:type="spellStart"/>
      <w:r w:rsidRPr="002B6815">
        <w:t>eds</w:t>
      </w:r>
      <w:proofErr w:type="spellEnd"/>
      <w:r w:rsidRPr="002B6815">
        <w:t xml:space="preserve">), </w:t>
      </w:r>
      <w:r w:rsidRPr="002B6815">
        <w:rPr>
          <w:i/>
          <w:iCs/>
        </w:rPr>
        <w:t>Modern public finance</w:t>
      </w:r>
      <w:r w:rsidRPr="002B6815">
        <w:t>, Harvard University Press, Cambridge, United States.</w:t>
      </w:r>
    </w:p>
    <w:p w:rsidR="002B6815" w:rsidRPr="002B6815" w:rsidRDefault="002B6815" w:rsidP="00536029">
      <w:pPr>
        <w:pStyle w:val="Reference"/>
      </w:pPr>
      <w:proofErr w:type="spellStart"/>
      <w:r w:rsidRPr="002B6815">
        <w:t>Mirrlees</w:t>
      </w:r>
      <w:proofErr w:type="spellEnd"/>
      <w:r w:rsidRPr="002B6815">
        <w:t xml:space="preserve">, J., Adam, S., </w:t>
      </w:r>
      <w:proofErr w:type="spellStart"/>
      <w:r w:rsidRPr="002B6815">
        <w:t>Besley</w:t>
      </w:r>
      <w:proofErr w:type="spellEnd"/>
      <w:r w:rsidRPr="002B6815">
        <w:t xml:space="preserve">, T., Blundell, R., Bond, S., </w:t>
      </w:r>
      <w:proofErr w:type="spellStart"/>
      <w:r w:rsidRPr="002B6815">
        <w:t>Chote</w:t>
      </w:r>
      <w:proofErr w:type="spellEnd"/>
      <w:r w:rsidRPr="002B6815">
        <w:t xml:space="preserve">, R., </w:t>
      </w:r>
      <w:proofErr w:type="spellStart"/>
      <w:r w:rsidRPr="002B6815">
        <w:t>Gammie</w:t>
      </w:r>
      <w:proofErr w:type="spellEnd"/>
      <w:r w:rsidRPr="002B6815">
        <w:t xml:space="preserve">, M., Johnson, P., Myles, G. and </w:t>
      </w:r>
      <w:proofErr w:type="spellStart"/>
      <w:r w:rsidRPr="002B6815">
        <w:t>Poterba</w:t>
      </w:r>
      <w:proofErr w:type="spellEnd"/>
      <w:r w:rsidRPr="002B6815">
        <w:t xml:space="preserve">, J. 2011, </w:t>
      </w:r>
      <w:r w:rsidRPr="002B6815">
        <w:rPr>
          <w:i/>
          <w:iCs/>
        </w:rPr>
        <w:t xml:space="preserve">Tax By Design: The </w:t>
      </w:r>
      <w:proofErr w:type="spellStart"/>
      <w:r w:rsidRPr="002B6815">
        <w:rPr>
          <w:i/>
          <w:iCs/>
        </w:rPr>
        <w:t>Mirrlees</w:t>
      </w:r>
      <w:proofErr w:type="spellEnd"/>
      <w:r w:rsidRPr="002B6815">
        <w:rPr>
          <w:i/>
          <w:iCs/>
        </w:rPr>
        <w:t xml:space="preserve"> Review</w:t>
      </w:r>
      <w:r w:rsidRPr="002B6815">
        <w:t>, Oxford University Press, Oxford.</w:t>
      </w:r>
    </w:p>
    <w:p w:rsidR="002B6815" w:rsidRPr="002B6815" w:rsidRDefault="002B6815" w:rsidP="00536029">
      <w:pPr>
        <w:pStyle w:val="Reference"/>
      </w:pPr>
      <w:r w:rsidRPr="002B6815">
        <w:t xml:space="preserve">Piketty, T. 2014, </w:t>
      </w:r>
      <w:r w:rsidRPr="002B6815">
        <w:rPr>
          <w:i/>
          <w:iCs/>
        </w:rPr>
        <w:t>Capital in the Twenty-First Century</w:t>
      </w:r>
      <w:r w:rsidRPr="002B6815">
        <w:t xml:space="preserve">, </w:t>
      </w:r>
      <w:proofErr w:type="spellStart"/>
      <w:r w:rsidRPr="002B6815">
        <w:t>Goldhammer</w:t>
      </w:r>
      <w:proofErr w:type="spellEnd"/>
      <w:r w:rsidRPr="002B6815">
        <w:t>, A. (</w:t>
      </w:r>
      <w:proofErr w:type="spellStart"/>
      <w:r w:rsidRPr="002B6815">
        <w:t>ed</w:t>
      </w:r>
      <w:proofErr w:type="spellEnd"/>
      <w:r w:rsidRPr="002B6815">
        <w:t>),</w:t>
      </w:r>
      <w:r w:rsidR="00D122EF">
        <w:t xml:space="preserve"> </w:t>
      </w:r>
      <w:proofErr w:type="spellStart"/>
      <w:r w:rsidR="00D122EF">
        <w:t>Belknap</w:t>
      </w:r>
      <w:proofErr w:type="spellEnd"/>
      <w:r w:rsidR="00D122EF">
        <w:t xml:space="preserve"> Press, Cambridge, </w:t>
      </w:r>
      <w:r w:rsidR="00606202">
        <w:t>United States</w:t>
      </w:r>
      <w:r w:rsidRPr="002B6815">
        <w:t>.</w:t>
      </w:r>
    </w:p>
    <w:p w:rsidR="002B6815" w:rsidRPr="002B6815" w:rsidRDefault="002B6815" w:rsidP="00536029">
      <w:pPr>
        <w:pStyle w:val="Reference"/>
      </w:pPr>
      <w:r w:rsidRPr="002B6815">
        <w:t xml:space="preserve">Treasury 2009, </w:t>
      </w:r>
      <w:r w:rsidRPr="002B6815">
        <w:rPr>
          <w:i/>
          <w:iCs/>
        </w:rPr>
        <w:t>Australia’s Future Tax System: Report to the Treasurer</w:t>
      </w:r>
      <w:r w:rsidRPr="002B6815">
        <w:t>, Commonwealth of Australia, Canberra.</w:t>
      </w:r>
    </w:p>
    <w:p w:rsidR="002B6815" w:rsidRPr="002B6815" w:rsidRDefault="002B6815" w:rsidP="00536029">
      <w:pPr>
        <w:pStyle w:val="Reference"/>
      </w:pPr>
      <w:r w:rsidRPr="002B6815">
        <w:t xml:space="preserve">—— 2015, </w:t>
      </w:r>
      <w:proofErr w:type="spellStart"/>
      <w:r w:rsidRPr="002B6815">
        <w:rPr>
          <w:i/>
          <w:iCs/>
        </w:rPr>
        <w:t>Re:Think</w:t>
      </w:r>
      <w:proofErr w:type="spellEnd"/>
      <w:r w:rsidRPr="002B6815">
        <w:rPr>
          <w:i/>
          <w:iCs/>
        </w:rPr>
        <w:t xml:space="preserve"> - Tax Discussion Paper</w:t>
      </w:r>
      <w:r w:rsidRPr="002B6815">
        <w:t>, Tax White Paper, Australian Government, http://</w:t>
      </w:r>
      <w:proofErr w:type="spellStart"/>
      <w:r w:rsidRPr="002B6815">
        <w:t>bettertax.gov.au</w:t>
      </w:r>
      <w:proofErr w:type="spellEnd"/>
      <w:r w:rsidRPr="002B6815">
        <w:t>/publications/discussion-paper/ (accessed 27 May 2015).</w:t>
      </w:r>
    </w:p>
    <w:p w:rsidR="00C862D9" w:rsidRPr="00C862D9" w:rsidRDefault="002B6815" w:rsidP="00536029">
      <w:pPr>
        <w:pStyle w:val="Reference"/>
      </w:pPr>
      <w:r w:rsidRPr="002B6815">
        <w:t xml:space="preserve">Wakefield, M. 2009, </w:t>
      </w:r>
      <w:r w:rsidRPr="002B6815">
        <w:rPr>
          <w:i/>
          <w:iCs/>
        </w:rPr>
        <w:t>How much do we tax the return to saving?</w:t>
      </w:r>
      <w:r w:rsidRPr="002B6815">
        <w:t xml:space="preserve">, IFS Briefing Note, </w:t>
      </w:r>
      <w:proofErr w:type="spellStart"/>
      <w:r w:rsidRPr="002B6815">
        <w:t>BN82</w:t>
      </w:r>
      <w:proofErr w:type="spellEnd"/>
      <w:r w:rsidRPr="002B6815">
        <w:t>, Institute for Fiscal Studies, http://</w:t>
      </w:r>
      <w:proofErr w:type="spellStart"/>
      <w:r w:rsidRPr="002B6815">
        <w:t>www.ifs.org.uk</w:t>
      </w:r>
      <w:proofErr w:type="spellEnd"/>
      <w:r w:rsidRPr="002B6815">
        <w:t>/publications/4467 (accessed 11 August 2015).</w:t>
      </w:r>
    </w:p>
    <w:sectPr w:rsidR="00C862D9" w:rsidRPr="00C862D9" w:rsidSect="00606E78">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8E" w:rsidRDefault="009F0E8E">
      <w:r>
        <w:separator/>
      </w:r>
    </w:p>
  </w:endnote>
  <w:endnote w:type="continuationSeparator" w:id="0">
    <w:p w:rsidR="009F0E8E" w:rsidRDefault="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77C4A" w:rsidTr="005F48ED">
      <w:trPr>
        <w:trHeight w:hRule="exact" w:val="567"/>
      </w:trPr>
      <w:tc>
        <w:tcPr>
          <w:tcW w:w="510" w:type="dxa"/>
        </w:tcPr>
        <w:p w:rsidR="00277C4A" w:rsidRPr="00A24443" w:rsidRDefault="00277C4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066FA">
            <w:rPr>
              <w:rStyle w:val="PageNumber"/>
              <w:caps w:val="0"/>
              <w:noProof/>
            </w:rPr>
            <w:t>2</w:t>
          </w:r>
          <w:r w:rsidRPr="00A24443">
            <w:rPr>
              <w:rStyle w:val="PageNumber"/>
              <w:caps w:val="0"/>
            </w:rPr>
            <w:fldChar w:fldCharType="end"/>
          </w:r>
        </w:p>
      </w:tc>
      <w:tc>
        <w:tcPr>
          <w:tcW w:w="7767" w:type="dxa"/>
        </w:tcPr>
        <w:p w:rsidR="00277C4A" w:rsidRPr="0013739A" w:rsidRDefault="008C673E" w:rsidP="0013739A">
          <w:pPr>
            <w:pStyle w:val="Footer"/>
            <w:rPr>
              <w:rFonts w:cs="Arial"/>
            </w:rPr>
          </w:pPr>
          <w:bookmarkStart w:id="10" w:name="DraftReportEven"/>
          <w:bookmarkEnd w:id="10"/>
          <w:r>
            <w:rPr>
              <w:rFonts w:cs="Arial"/>
            </w:rPr>
            <w:t>WORKING DOCUMENT</w:t>
          </w:r>
        </w:p>
      </w:tc>
      <w:tc>
        <w:tcPr>
          <w:tcW w:w="510" w:type="dxa"/>
        </w:tcPr>
        <w:p w:rsidR="00277C4A" w:rsidRDefault="00277C4A" w:rsidP="0019293B">
          <w:pPr>
            <w:pStyle w:val="Footer"/>
          </w:pPr>
        </w:p>
      </w:tc>
    </w:tr>
  </w:tbl>
  <w:p w:rsidR="00277C4A" w:rsidRDefault="00277C4A"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F0E8E" w:rsidTr="005F48ED">
      <w:trPr>
        <w:trHeight w:hRule="exact" w:val="567"/>
      </w:trPr>
      <w:tc>
        <w:tcPr>
          <w:tcW w:w="510" w:type="dxa"/>
        </w:tcPr>
        <w:p w:rsidR="009F0E8E" w:rsidRDefault="009F0E8E">
          <w:pPr>
            <w:pStyle w:val="Footer"/>
            <w:ind w:right="360" w:firstLine="360"/>
          </w:pPr>
        </w:p>
      </w:tc>
      <w:tc>
        <w:tcPr>
          <w:tcW w:w="7767" w:type="dxa"/>
        </w:tcPr>
        <w:p w:rsidR="009F0E8E" w:rsidRPr="00BA5B14" w:rsidRDefault="009F0E8E" w:rsidP="0013739A">
          <w:pPr>
            <w:pStyle w:val="Footer"/>
            <w:jc w:val="right"/>
            <w:rPr>
              <w:rFonts w:cs="Arial"/>
            </w:rPr>
          </w:pPr>
          <w:r>
            <w:rPr>
              <w:rFonts w:cs="Arial"/>
            </w:rPr>
            <w:t>Effective marginal tax rates on savings</w:t>
          </w:r>
          <w:bookmarkStart w:id="11" w:name="DraftReportOdd"/>
          <w:bookmarkEnd w:id="11"/>
        </w:p>
      </w:tc>
      <w:tc>
        <w:tcPr>
          <w:tcW w:w="510" w:type="dxa"/>
        </w:tcPr>
        <w:p w:rsidR="009F0E8E" w:rsidRPr="00A24443" w:rsidRDefault="009F0E8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066FA">
            <w:rPr>
              <w:rStyle w:val="PageNumber"/>
              <w:caps w:val="0"/>
              <w:noProof/>
            </w:rPr>
            <w:t>1</w:t>
          </w:r>
          <w:r w:rsidRPr="00A24443">
            <w:rPr>
              <w:rStyle w:val="PageNumber"/>
              <w:caps w:val="0"/>
            </w:rPr>
            <w:fldChar w:fldCharType="end"/>
          </w:r>
        </w:p>
      </w:tc>
    </w:tr>
  </w:tbl>
  <w:p w:rsidR="009F0E8E" w:rsidRDefault="009F0E8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8E" w:rsidRDefault="009F0E8E">
      <w:r>
        <w:separator/>
      </w:r>
    </w:p>
  </w:footnote>
  <w:footnote w:type="continuationSeparator" w:id="0">
    <w:p w:rsidR="009F0E8E" w:rsidRDefault="009F0E8E">
      <w:r>
        <w:continuationSeparator/>
      </w:r>
    </w:p>
  </w:footnote>
  <w:footnote w:id="1">
    <w:p w:rsidR="009F0E8E" w:rsidRDefault="009F0E8E">
      <w:pPr>
        <w:pStyle w:val="FootnoteText"/>
      </w:pPr>
      <w:r>
        <w:rPr>
          <w:rStyle w:val="FootnoteReference"/>
        </w:rPr>
        <w:footnoteRef/>
      </w:r>
      <w:r>
        <w:tab/>
        <w:t xml:space="preserve">An appropriate citation for this </w:t>
      </w:r>
      <w:r w:rsidR="00F94D19">
        <w:t>document</w:t>
      </w:r>
      <w:r>
        <w:t xml:space="preserve"> is: </w:t>
      </w:r>
      <w:r w:rsidRPr="0069000E">
        <w:t xml:space="preserve">Craig, J. and Chin, R. 2105, </w:t>
      </w:r>
      <w:r w:rsidRPr="0069000E">
        <w:rPr>
          <w:i/>
        </w:rPr>
        <w:t>Effective marginal tax rates on savings</w:t>
      </w:r>
      <w:r w:rsidRPr="0069000E">
        <w:t xml:space="preserve">, Working Document, Productivity Commission, Canberra, viewed </w:t>
      </w:r>
      <w:r w:rsidR="008066FA">
        <w:t>DD</w:t>
      </w:r>
      <w:r w:rsidRPr="0069000E">
        <w:t xml:space="preserve"> MM </w:t>
      </w:r>
      <w:proofErr w:type="spellStart"/>
      <w:r w:rsidRPr="0069000E">
        <w:t>YYYY</w:t>
      </w:r>
      <w:proofErr w:type="spellEnd"/>
      <w:r w:rsidRPr="0069000E">
        <w:t xml:space="preserve"> &lt;www.pc.gov.au/research/supporting/</w:t>
      </w:r>
      <w:r w:rsidR="008066FA" w:rsidRPr="008066FA">
        <w:t>effective-marginal-tax-on-savings</w:t>
      </w:r>
      <w:r w:rsidRPr="0069000E">
        <w:t>&gt;.</w:t>
      </w:r>
    </w:p>
  </w:footnote>
  <w:footnote w:id="2">
    <w:p w:rsidR="009F0E8E" w:rsidRDefault="009F0E8E">
      <w:pPr>
        <w:pStyle w:val="FootnoteText"/>
      </w:pPr>
      <w:r>
        <w:rPr>
          <w:rStyle w:val="FootnoteReference"/>
        </w:rPr>
        <w:footnoteRef/>
      </w:r>
      <w:r>
        <w:tab/>
        <w:t xml:space="preserve">This approach is consistent with recent publications that calculate </w:t>
      </w:r>
      <w:proofErr w:type="spellStart"/>
      <w:r>
        <w:t>EMTRs</w:t>
      </w:r>
      <w:proofErr w:type="spellEnd"/>
      <w:r>
        <w:t xml:space="preserve"> on savings both in Australia </w:t>
      </w:r>
      <w:r w:rsidRPr="00AE0C8F">
        <w:rPr>
          <w:szCs w:val="24"/>
        </w:rPr>
        <w:t>(for example, Treasury 2009, 2015)</w:t>
      </w:r>
      <w:r>
        <w:t xml:space="preserve"> and the United Kingdom </w:t>
      </w:r>
      <w:r w:rsidRPr="00AE0C8F">
        <w:rPr>
          <w:szCs w:val="24"/>
        </w:rPr>
        <w:t>(</w:t>
      </w:r>
      <w:proofErr w:type="spellStart"/>
      <w:r w:rsidRPr="00AE0C8F">
        <w:rPr>
          <w:szCs w:val="24"/>
        </w:rPr>
        <w:t>Mirrlees</w:t>
      </w:r>
      <w:proofErr w:type="spellEnd"/>
      <w:r w:rsidRPr="00AE0C8F">
        <w:rPr>
          <w:szCs w:val="24"/>
        </w:rPr>
        <w:t xml:space="preserve"> et al. 2011)</w:t>
      </w:r>
      <w:r>
        <w:t xml:space="preserve">. However, </w:t>
      </w:r>
      <w:proofErr w:type="spellStart"/>
      <w:r>
        <w:t>EMTRs</w:t>
      </w:r>
      <w:proofErr w:type="spellEnd"/>
      <w:r>
        <w:t xml:space="preserve"> could be calculated in other ways. One approach would be to define an </w:t>
      </w:r>
      <w:proofErr w:type="spellStart"/>
      <w:r>
        <w:t>EMTR</w:t>
      </w:r>
      <w:proofErr w:type="spellEnd"/>
      <w:r>
        <w:t xml:space="preserve"> on savings as the future value of taxes as a proportion of the pre-tax or post-tax future value of consumption.</w:t>
      </w:r>
    </w:p>
  </w:footnote>
  <w:footnote w:id="3">
    <w:p w:rsidR="009F0E8E" w:rsidRDefault="009F0E8E">
      <w:pPr>
        <w:pStyle w:val="FootnoteText"/>
      </w:pPr>
      <w:r>
        <w:rPr>
          <w:rStyle w:val="FootnoteReference"/>
        </w:rPr>
        <w:footnoteRef/>
      </w:r>
      <w:r>
        <w:tab/>
        <w:t>Returns can include interest income and capital gains.</w:t>
      </w:r>
    </w:p>
  </w:footnote>
  <w:footnote w:id="4">
    <w:p w:rsidR="009F0E8E" w:rsidRDefault="009F0E8E" w:rsidP="00F74026">
      <w:pPr>
        <w:pStyle w:val="FootnoteText"/>
      </w:pPr>
      <w:r>
        <w:rPr>
          <w:rStyle w:val="FootnoteReference"/>
        </w:rPr>
        <w:footnoteRef/>
      </w:r>
      <w:r>
        <w:tab/>
      </w:r>
      <w:r w:rsidRPr="00456A18">
        <w:t xml:space="preserve">A negative </w:t>
      </w:r>
      <w:proofErr w:type="spellStart"/>
      <w:r w:rsidRPr="00456A18">
        <w:t>EMTR</w:t>
      </w:r>
      <w:proofErr w:type="spellEnd"/>
      <w:r w:rsidRPr="00456A18">
        <w:t xml:space="preserve"> implies a tax and transfer system that encourages saving at the margin</w:t>
      </w:r>
      <w:r>
        <w:t>,</w:t>
      </w:r>
      <w:r w:rsidRPr="00456A18">
        <w:t xml:space="preserve"> </w:t>
      </w:r>
      <w:r>
        <w:t>while</w:t>
      </w:r>
      <w:r w:rsidRPr="00456A18">
        <w:t xml:space="preserve"> a positive </w:t>
      </w:r>
      <w:proofErr w:type="spellStart"/>
      <w:r w:rsidRPr="00456A18">
        <w:t>EMTR</w:t>
      </w:r>
      <w:proofErr w:type="spellEnd"/>
      <w:r w:rsidRPr="00456A18">
        <w:t xml:space="preserve"> implies a tax </w:t>
      </w:r>
      <w:r>
        <w:t xml:space="preserve">and transfer </w:t>
      </w:r>
      <w:r w:rsidRPr="00456A18">
        <w:t>system that discourages saving at the margin.</w:t>
      </w:r>
    </w:p>
  </w:footnote>
  <w:footnote w:id="5">
    <w:p w:rsidR="009F0E8E" w:rsidRDefault="009F0E8E" w:rsidP="00422F73">
      <w:pPr>
        <w:pStyle w:val="FootnoteText"/>
      </w:pPr>
      <w:r>
        <w:rPr>
          <w:rStyle w:val="FootnoteReference"/>
        </w:rPr>
        <w:footnoteRef/>
      </w:r>
      <w:r>
        <w:t xml:space="preserve"> </w:t>
      </w:r>
      <w:r>
        <w:tab/>
        <w:t xml:space="preserve">The treatment of losses can also affect </w:t>
      </w:r>
      <w:proofErr w:type="spellStart"/>
      <w:r>
        <w:t>EMTRs</w:t>
      </w:r>
      <w:proofErr w:type="spellEnd"/>
      <w:r>
        <w:t xml:space="preserve"> in the absence of inflation if the real rate of return is negative.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F0E8E">
      <w:tc>
        <w:tcPr>
          <w:tcW w:w="2155" w:type="dxa"/>
          <w:tcBorders>
            <w:top w:val="single" w:sz="24" w:space="0" w:color="auto"/>
          </w:tcBorders>
        </w:tcPr>
        <w:p w:rsidR="009F0E8E" w:rsidRDefault="009F0E8E" w:rsidP="0019293B">
          <w:pPr>
            <w:pStyle w:val="HeaderEven"/>
          </w:pPr>
        </w:p>
      </w:tc>
      <w:tc>
        <w:tcPr>
          <w:tcW w:w="6634" w:type="dxa"/>
          <w:tcBorders>
            <w:top w:val="single" w:sz="6" w:space="0" w:color="auto"/>
          </w:tcBorders>
        </w:tcPr>
        <w:p w:rsidR="009F0E8E" w:rsidRDefault="009F0E8E" w:rsidP="0019293B">
          <w:pPr>
            <w:pStyle w:val="HeaderEven"/>
          </w:pPr>
        </w:p>
      </w:tc>
    </w:tr>
  </w:tbl>
  <w:p w:rsidR="009F0E8E" w:rsidRDefault="009F0E8E"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F0E8E">
      <w:tc>
        <w:tcPr>
          <w:tcW w:w="6634" w:type="dxa"/>
          <w:tcBorders>
            <w:top w:val="single" w:sz="6" w:space="0" w:color="auto"/>
          </w:tcBorders>
        </w:tcPr>
        <w:p w:rsidR="009F0E8E" w:rsidRDefault="009F0E8E" w:rsidP="00E669E2">
          <w:pPr>
            <w:pStyle w:val="HeaderOdd"/>
          </w:pPr>
        </w:p>
      </w:tc>
      <w:tc>
        <w:tcPr>
          <w:tcW w:w="2155" w:type="dxa"/>
          <w:tcBorders>
            <w:top w:val="single" w:sz="24" w:space="0" w:color="auto"/>
          </w:tcBorders>
        </w:tcPr>
        <w:p w:rsidR="009F0E8E" w:rsidRDefault="009F0E8E" w:rsidP="00E669E2">
          <w:pPr>
            <w:pStyle w:val="HeaderOdd"/>
          </w:pPr>
        </w:p>
      </w:tc>
    </w:tr>
  </w:tbl>
  <w:p w:rsidR="009F0E8E" w:rsidRDefault="009F0E8E"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3C8E5A6"/>
    <w:lvl w:ilvl="0">
      <w:start w:val="1"/>
      <w:numFmt w:val="decimal"/>
      <w:lvlText w:val="%1."/>
      <w:lvlJc w:val="left"/>
      <w:pPr>
        <w:tabs>
          <w:tab w:val="num" w:pos="926"/>
        </w:tabs>
        <w:ind w:left="926" w:hanging="360"/>
      </w:pPr>
    </w:lvl>
  </w:abstractNum>
  <w:abstractNum w:abstractNumId="1">
    <w:nsid w:val="FFFFFF7F"/>
    <w:multiLevelType w:val="singleLevel"/>
    <w:tmpl w:val="799CBEE2"/>
    <w:lvl w:ilvl="0">
      <w:start w:val="1"/>
      <w:numFmt w:val="decimal"/>
      <w:lvlText w:val="%1."/>
      <w:lvlJc w:val="left"/>
      <w:pPr>
        <w:tabs>
          <w:tab w:val="num" w:pos="643"/>
        </w:tabs>
        <w:ind w:left="643" w:hanging="360"/>
      </w:pPr>
    </w:lvl>
  </w:abstractNum>
  <w:abstractNum w:abstractNumId="2">
    <w:nsid w:val="FFFFFF82"/>
    <w:multiLevelType w:val="singleLevel"/>
    <w:tmpl w:val="DD1E6D5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D524A3E"/>
    <w:lvl w:ilvl="0">
      <w:start w:val="1"/>
      <w:numFmt w:val="decimal"/>
      <w:lvlText w:val="%1."/>
      <w:lvlJc w:val="left"/>
      <w:pPr>
        <w:tabs>
          <w:tab w:val="num" w:pos="360"/>
        </w:tabs>
        <w:ind w:left="360" w:hanging="360"/>
      </w:pPr>
    </w:lvl>
  </w:abstractNum>
  <w:abstractNum w:abstractNumId="5">
    <w:nsid w:val="FFFFFF89"/>
    <w:multiLevelType w:val="singleLevel"/>
    <w:tmpl w:val="D5EEA9A0"/>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nsid w:val="04F42970"/>
    <w:multiLevelType w:val="singleLevel"/>
    <w:tmpl w:val="C124FFB2"/>
    <w:lvl w:ilvl="0">
      <w:start w:val="1"/>
      <w:numFmt w:val="lowerRoman"/>
      <w:lvlText w:val="(%1)"/>
      <w:legacy w:legacy="1" w:legacySpace="0" w:legacyIndent="340"/>
      <w:lvlJc w:val="left"/>
      <w:pPr>
        <w:ind w:left="1134" w:hanging="340"/>
      </w:p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17C8028C"/>
    <w:multiLevelType w:val="hybridMultilevel"/>
    <w:tmpl w:val="3EBADAE8"/>
    <w:lvl w:ilvl="0" w:tplc="4BCAFB60">
      <w:numFmt w:val="bullet"/>
      <w:lvlText w:val=""/>
      <w:lvlJc w:val="left"/>
      <w:pPr>
        <w:tabs>
          <w:tab w:val="num" w:pos="340"/>
        </w:tabs>
        <w:ind w:left="340" w:hanging="34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nsid w:val="3AA5076C"/>
    <w:multiLevelType w:val="multilevel"/>
    <w:tmpl w:val="D24E98E8"/>
    <w:lvl w:ilvl="0">
      <w:numFmt w:val="bullet"/>
      <w:lvlText w:val=""/>
      <w:lvlJc w:val="left"/>
      <w:pPr>
        <w:tabs>
          <w:tab w:val="num" w:pos="340"/>
        </w:tabs>
        <w:ind w:left="340" w:hanging="34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2B5AD4"/>
    <w:multiLevelType w:val="singleLevel"/>
    <w:tmpl w:val="93C8E5A6"/>
    <w:lvl w:ilvl="0">
      <w:start w:val="1"/>
      <w:numFmt w:val="decimal"/>
      <w:lvlText w:val="%1."/>
      <w:legacy w:legacy="1" w:legacySpace="0" w:legacyIndent="340"/>
      <w:lvlJc w:val="left"/>
      <w:pPr>
        <w:ind w:left="340" w:hanging="340"/>
      </w:pPr>
    </w:lvl>
  </w:abstractNum>
  <w:abstractNum w:abstractNumId="2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nsid w:val="65D97A71"/>
    <w:multiLevelType w:val="singleLevel"/>
    <w:tmpl w:val="232CC5B4"/>
    <w:lvl w:ilvl="0">
      <w:start w:val="1"/>
      <w:numFmt w:val="lowerLetter"/>
      <w:lvlText w:val="(%1)"/>
      <w:legacy w:legacy="1" w:legacySpace="0" w:legacyIndent="340"/>
      <w:lvlJc w:val="left"/>
      <w:pPr>
        <w:ind w:left="680" w:hanging="340"/>
      </w:pPr>
    </w:lvl>
  </w:abstractNum>
  <w:abstractNum w:abstractNumId="29">
    <w:nsid w:val="6C5E262B"/>
    <w:multiLevelType w:val="singleLevel"/>
    <w:tmpl w:val="232CC5B4"/>
    <w:lvl w:ilvl="0">
      <w:start w:val="1"/>
      <w:numFmt w:val="lowerLetter"/>
      <w:lvlText w:val="(%1)"/>
      <w:legacy w:legacy="1" w:legacySpace="0" w:legacyIndent="340"/>
      <w:lvlJc w:val="left"/>
      <w:pPr>
        <w:ind w:left="680" w:hanging="340"/>
      </w:pPr>
    </w:lvl>
  </w:abstractNum>
  <w:abstractNum w:abstractNumId="30">
    <w:nsid w:val="6FEC7045"/>
    <w:multiLevelType w:val="hybridMultilevel"/>
    <w:tmpl w:val="ADCE3A4A"/>
    <w:lvl w:ilvl="0" w:tplc="4028C084">
      <w:numFmt w:val="bullet"/>
      <w:lvlText w:val=""/>
      <w:lvlJc w:val="left"/>
      <w:pPr>
        <w:tabs>
          <w:tab w:val="num" w:pos="340"/>
        </w:tabs>
        <w:ind w:left="340" w:hanging="34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7"/>
  </w:num>
  <w:num w:numId="3">
    <w:abstractNumId w:val="22"/>
  </w:num>
  <w:num w:numId="4">
    <w:abstractNumId w:val="8"/>
  </w:num>
  <w:num w:numId="5">
    <w:abstractNumId w:val="27"/>
  </w:num>
  <w:num w:numId="6">
    <w:abstractNumId w:val="24"/>
  </w:num>
  <w:num w:numId="7">
    <w:abstractNumId w:val="13"/>
  </w:num>
  <w:num w:numId="8">
    <w:abstractNumId w:val="23"/>
  </w:num>
  <w:num w:numId="9">
    <w:abstractNumId w:val="12"/>
  </w:num>
  <w:num w:numId="10">
    <w:abstractNumId w:val="11"/>
  </w:num>
  <w:num w:numId="11">
    <w:abstractNumId w:val="16"/>
  </w:num>
  <w:num w:numId="12">
    <w:abstractNumId w:val="17"/>
  </w:num>
  <w:num w:numId="13">
    <w:abstractNumId w:val="10"/>
  </w:num>
  <w:num w:numId="14">
    <w:abstractNumId w:val="25"/>
  </w:num>
  <w:num w:numId="15">
    <w:abstractNumId w:val="31"/>
  </w:num>
  <w:num w:numId="16">
    <w:abstractNumId w:val="20"/>
  </w:num>
  <w:num w:numId="17">
    <w:abstractNumId w:val="32"/>
  </w:num>
  <w:num w:numId="18">
    <w:abstractNumId w:val="3"/>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14"/>
  </w:num>
  <w:num w:numId="22">
    <w:abstractNumId w:val="5"/>
  </w:num>
  <w:num w:numId="23">
    <w:abstractNumId w:val="2"/>
  </w:num>
  <w:num w:numId="24">
    <w:abstractNumId w:val="4"/>
  </w:num>
  <w:num w:numId="25">
    <w:abstractNumId w:val="1"/>
  </w:num>
  <w:num w:numId="26">
    <w:abstractNumId w:val="0"/>
  </w:num>
  <w:num w:numId="27">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8">
    <w:abstractNumId w:val="6"/>
    <w:lvlOverride w:ilvl="0">
      <w:lvl w:ilvl="0">
        <w:start w:val="1"/>
        <w:numFmt w:val="bullet"/>
        <w:lvlText w:val=""/>
        <w:legacy w:legacy="1" w:legacySpace="0" w:legacyIndent="340"/>
        <w:lvlJc w:val="left"/>
        <w:pPr>
          <w:ind w:left="680" w:hanging="340"/>
        </w:pPr>
        <w:rPr>
          <w:rFonts w:ascii="Symbol" w:hAnsi="Symbol" w:hint="default"/>
        </w:rPr>
      </w:lvl>
    </w:lvlOverride>
  </w:num>
  <w:num w:numId="29">
    <w:abstractNumId w:val="6"/>
    <w:lvlOverride w:ilvl="0">
      <w:lvl w:ilvl="0">
        <w:start w:val="1"/>
        <w:numFmt w:val="bullet"/>
        <w:lvlText w:val=""/>
        <w:legacy w:legacy="1" w:legacySpace="0" w:legacyIndent="340"/>
        <w:lvlJc w:val="left"/>
        <w:pPr>
          <w:ind w:left="1020" w:hanging="340"/>
        </w:pPr>
        <w:rPr>
          <w:rFonts w:ascii="MT Extra" w:hAnsi="MT Extra" w:hint="default"/>
        </w:rPr>
      </w:lvl>
    </w:lvlOverride>
  </w:num>
  <w:num w:numId="30">
    <w:abstractNumId w:val="21"/>
  </w:num>
  <w:num w:numId="31">
    <w:abstractNumId w:val="28"/>
  </w:num>
  <w:num w:numId="32">
    <w:abstractNumId w:val="9"/>
  </w:num>
  <w:num w:numId="33">
    <w:abstractNumId w:val="29"/>
  </w:num>
  <w:num w:numId="34">
    <w:abstractNumId w:val="15"/>
  </w:num>
  <w:num w:numId="35">
    <w:abstractNumId w:val="19"/>
  </w:num>
  <w:num w:numId="36">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Effective marginal tax rates on savings"/>
  </w:docVars>
  <w:rsids>
    <w:rsidRoot w:val="00E53262"/>
    <w:rsid w:val="000013D0"/>
    <w:rsid w:val="00001F02"/>
    <w:rsid w:val="0000316F"/>
    <w:rsid w:val="0000570E"/>
    <w:rsid w:val="0001368D"/>
    <w:rsid w:val="00020558"/>
    <w:rsid w:val="000227D5"/>
    <w:rsid w:val="00023725"/>
    <w:rsid w:val="000245AA"/>
    <w:rsid w:val="00033C1C"/>
    <w:rsid w:val="00033EE2"/>
    <w:rsid w:val="000354F0"/>
    <w:rsid w:val="0003614F"/>
    <w:rsid w:val="0003664B"/>
    <w:rsid w:val="00040A74"/>
    <w:rsid w:val="0004111F"/>
    <w:rsid w:val="000436AD"/>
    <w:rsid w:val="00050037"/>
    <w:rsid w:val="00055077"/>
    <w:rsid w:val="000565B3"/>
    <w:rsid w:val="00060181"/>
    <w:rsid w:val="00067403"/>
    <w:rsid w:val="000703F2"/>
    <w:rsid w:val="0007150B"/>
    <w:rsid w:val="00073976"/>
    <w:rsid w:val="0008089A"/>
    <w:rsid w:val="0008607D"/>
    <w:rsid w:val="000900AD"/>
    <w:rsid w:val="00091C50"/>
    <w:rsid w:val="000938F5"/>
    <w:rsid w:val="00095663"/>
    <w:rsid w:val="000960FD"/>
    <w:rsid w:val="00096E55"/>
    <w:rsid w:val="0009783E"/>
    <w:rsid w:val="000A04D5"/>
    <w:rsid w:val="000B1022"/>
    <w:rsid w:val="000B601B"/>
    <w:rsid w:val="000C207E"/>
    <w:rsid w:val="000C240D"/>
    <w:rsid w:val="000C4BF3"/>
    <w:rsid w:val="000C5D4A"/>
    <w:rsid w:val="000D41E9"/>
    <w:rsid w:val="000D7750"/>
    <w:rsid w:val="000D7AA4"/>
    <w:rsid w:val="000E54BD"/>
    <w:rsid w:val="000E6DF5"/>
    <w:rsid w:val="000F0022"/>
    <w:rsid w:val="000F0035"/>
    <w:rsid w:val="000F04E7"/>
    <w:rsid w:val="000F060A"/>
    <w:rsid w:val="000F420B"/>
    <w:rsid w:val="000F53F4"/>
    <w:rsid w:val="00102D95"/>
    <w:rsid w:val="00104BFD"/>
    <w:rsid w:val="0010508A"/>
    <w:rsid w:val="00110116"/>
    <w:rsid w:val="00120072"/>
    <w:rsid w:val="00123BEF"/>
    <w:rsid w:val="00125506"/>
    <w:rsid w:val="00126EB8"/>
    <w:rsid w:val="00126FAC"/>
    <w:rsid w:val="001274D4"/>
    <w:rsid w:val="001363AA"/>
    <w:rsid w:val="0013739A"/>
    <w:rsid w:val="00140D9E"/>
    <w:rsid w:val="00142165"/>
    <w:rsid w:val="001429A4"/>
    <w:rsid w:val="00145285"/>
    <w:rsid w:val="00147075"/>
    <w:rsid w:val="00162434"/>
    <w:rsid w:val="00166088"/>
    <w:rsid w:val="00170138"/>
    <w:rsid w:val="00171683"/>
    <w:rsid w:val="00172FF9"/>
    <w:rsid w:val="00183E82"/>
    <w:rsid w:val="001849F6"/>
    <w:rsid w:val="001878BB"/>
    <w:rsid w:val="001901C9"/>
    <w:rsid w:val="00191AE0"/>
    <w:rsid w:val="0019293B"/>
    <w:rsid w:val="0019426B"/>
    <w:rsid w:val="001A5DD9"/>
    <w:rsid w:val="001A6026"/>
    <w:rsid w:val="001A6A4B"/>
    <w:rsid w:val="001A7EF8"/>
    <w:rsid w:val="001B2AE0"/>
    <w:rsid w:val="001B2E29"/>
    <w:rsid w:val="001B53A1"/>
    <w:rsid w:val="001C0865"/>
    <w:rsid w:val="001C0AED"/>
    <w:rsid w:val="001C3ABA"/>
    <w:rsid w:val="001C5111"/>
    <w:rsid w:val="001C6BE6"/>
    <w:rsid w:val="001D06AD"/>
    <w:rsid w:val="001E12BD"/>
    <w:rsid w:val="001E2936"/>
    <w:rsid w:val="001E2F27"/>
    <w:rsid w:val="001E7BE8"/>
    <w:rsid w:val="001F0248"/>
    <w:rsid w:val="001F15F2"/>
    <w:rsid w:val="001F3EB3"/>
    <w:rsid w:val="001F47D4"/>
    <w:rsid w:val="001F4F86"/>
    <w:rsid w:val="002023AB"/>
    <w:rsid w:val="00202C2C"/>
    <w:rsid w:val="00203050"/>
    <w:rsid w:val="002135AB"/>
    <w:rsid w:val="002144BE"/>
    <w:rsid w:val="00214EB2"/>
    <w:rsid w:val="00216F2B"/>
    <w:rsid w:val="00220261"/>
    <w:rsid w:val="002274A0"/>
    <w:rsid w:val="00242279"/>
    <w:rsid w:val="0024276C"/>
    <w:rsid w:val="00243997"/>
    <w:rsid w:val="00243BEC"/>
    <w:rsid w:val="0024516C"/>
    <w:rsid w:val="00245C82"/>
    <w:rsid w:val="00260EB2"/>
    <w:rsid w:val="00261C0F"/>
    <w:rsid w:val="00263ABA"/>
    <w:rsid w:val="0026457A"/>
    <w:rsid w:val="0026772D"/>
    <w:rsid w:val="002724BA"/>
    <w:rsid w:val="00273B62"/>
    <w:rsid w:val="00276CDD"/>
    <w:rsid w:val="00277C4A"/>
    <w:rsid w:val="00280965"/>
    <w:rsid w:val="00285EB3"/>
    <w:rsid w:val="002871E1"/>
    <w:rsid w:val="00291A51"/>
    <w:rsid w:val="00291B40"/>
    <w:rsid w:val="00296AD8"/>
    <w:rsid w:val="00297840"/>
    <w:rsid w:val="0029790B"/>
    <w:rsid w:val="002B0BD5"/>
    <w:rsid w:val="002B2E88"/>
    <w:rsid w:val="002B4008"/>
    <w:rsid w:val="002B6815"/>
    <w:rsid w:val="002B7920"/>
    <w:rsid w:val="002C439F"/>
    <w:rsid w:val="002C7A4E"/>
    <w:rsid w:val="002C7E0F"/>
    <w:rsid w:val="002D08F0"/>
    <w:rsid w:val="002D0C42"/>
    <w:rsid w:val="002D0E8E"/>
    <w:rsid w:val="002D2929"/>
    <w:rsid w:val="002D4B4C"/>
    <w:rsid w:val="002D540A"/>
    <w:rsid w:val="002D5842"/>
    <w:rsid w:val="002E5CDD"/>
    <w:rsid w:val="002F05CB"/>
    <w:rsid w:val="002F1C4A"/>
    <w:rsid w:val="002F41FD"/>
    <w:rsid w:val="002F71E7"/>
    <w:rsid w:val="00301189"/>
    <w:rsid w:val="00301E4A"/>
    <w:rsid w:val="00301FD3"/>
    <w:rsid w:val="0031324A"/>
    <w:rsid w:val="003168B8"/>
    <w:rsid w:val="00322809"/>
    <w:rsid w:val="00322D64"/>
    <w:rsid w:val="00323E09"/>
    <w:rsid w:val="00323ED5"/>
    <w:rsid w:val="00333932"/>
    <w:rsid w:val="00344967"/>
    <w:rsid w:val="003453F6"/>
    <w:rsid w:val="003518AA"/>
    <w:rsid w:val="00352165"/>
    <w:rsid w:val="00353182"/>
    <w:rsid w:val="003565D9"/>
    <w:rsid w:val="00357920"/>
    <w:rsid w:val="003602E1"/>
    <w:rsid w:val="003642F3"/>
    <w:rsid w:val="0037026F"/>
    <w:rsid w:val="00370598"/>
    <w:rsid w:val="00371240"/>
    <w:rsid w:val="00374731"/>
    <w:rsid w:val="00376015"/>
    <w:rsid w:val="003765EB"/>
    <w:rsid w:val="00376E59"/>
    <w:rsid w:val="00377EC1"/>
    <w:rsid w:val="0038021C"/>
    <w:rsid w:val="00380340"/>
    <w:rsid w:val="00381B2D"/>
    <w:rsid w:val="003826AD"/>
    <w:rsid w:val="00382E09"/>
    <w:rsid w:val="0038575F"/>
    <w:rsid w:val="00390ABC"/>
    <w:rsid w:val="003919F9"/>
    <w:rsid w:val="003920CF"/>
    <w:rsid w:val="00394801"/>
    <w:rsid w:val="003A095B"/>
    <w:rsid w:val="003A0C19"/>
    <w:rsid w:val="003A12CB"/>
    <w:rsid w:val="003A6AB4"/>
    <w:rsid w:val="003A7B38"/>
    <w:rsid w:val="003B23C2"/>
    <w:rsid w:val="003C38B5"/>
    <w:rsid w:val="003C5D99"/>
    <w:rsid w:val="003C717D"/>
    <w:rsid w:val="003D1087"/>
    <w:rsid w:val="003D200F"/>
    <w:rsid w:val="003D70C4"/>
    <w:rsid w:val="003E2F59"/>
    <w:rsid w:val="003E3B76"/>
    <w:rsid w:val="003E3DA2"/>
    <w:rsid w:val="003E55C7"/>
    <w:rsid w:val="003E746B"/>
    <w:rsid w:val="003F0789"/>
    <w:rsid w:val="003F3C62"/>
    <w:rsid w:val="003F50C5"/>
    <w:rsid w:val="003F650A"/>
    <w:rsid w:val="003F6F02"/>
    <w:rsid w:val="00400F3A"/>
    <w:rsid w:val="00401882"/>
    <w:rsid w:val="004032A6"/>
    <w:rsid w:val="004068EF"/>
    <w:rsid w:val="004100C8"/>
    <w:rsid w:val="00410C4E"/>
    <w:rsid w:val="00411DBD"/>
    <w:rsid w:val="00412ACE"/>
    <w:rsid w:val="004145D2"/>
    <w:rsid w:val="00422F73"/>
    <w:rsid w:val="00426CB4"/>
    <w:rsid w:val="00431249"/>
    <w:rsid w:val="00434C19"/>
    <w:rsid w:val="00435C3E"/>
    <w:rsid w:val="00444000"/>
    <w:rsid w:val="0044515B"/>
    <w:rsid w:val="00447253"/>
    <w:rsid w:val="00450810"/>
    <w:rsid w:val="00452168"/>
    <w:rsid w:val="00456A18"/>
    <w:rsid w:val="00460DD0"/>
    <w:rsid w:val="00462C59"/>
    <w:rsid w:val="00466859"/>
    <w:rsid w:val="00467464"/>
    <w:rsid w:val="00470737"/>
    <w:rsid w:val="00472E63"/>
    <w:rsid w:val="00477144"/>
    <w:rsid w:val="00480325"/>
    <w:rsid w:val="0048453F"/>
    <w:rsid w:val="00485260"/>
    <w:rsid w:val="00491380"/>
    <w:rsid w:val="0049459F"/>
    <w:rsid w:val="004A1547"/>
    <w:rsid w:val="004A38DD"/>
    <w:rsid w:val="004B3783"/>
    <w:rsid w:val="004B43AE"/>
    <w:rsid w:val="004B600D"/>
    <w:rsid w:val="004B73C0"/>
    <w:rsid w:val="004C30ED"/>
    <w:rsid w:val="004C3755"/>
    <w:rsid w:val="004D3DA4"/>
    <w:rsid w:val="004D4B2D"/>
    <w:rsid w:val="004D50E7"/>
    <w:rsid w:val="004D5675"/>
    <w:rsid w:val="004D668A"/>
    <w:rsid w:val="004D7130"/>
    <w:rsid w:val="004D714C"/>
    <w:rsid w:val="00511271"/>
    <w:rsid w:val="00517795"/>
    <w:rsid w:val="00523196"/>
    <w:rsid w:val="00523639"/>
    <w:rsid w:val="00531FE5"/>
    <w:rsid w:val="00534B22"/>
    <w:rsid w:val="00536029"/>
    <w:rsid w:val="005361BC"/>
    <w:rsid w:val="005362EE"/>
    <w:rsid w:val="00536BDB"/>
    <w:rsid w:val="005402FA"/>
    <w:rsid w:val="00544509"/>
    <w:rsid w:val="00551484"/>
    <w:rsid w:val="005729BD"/>
    <w:rsid w:val="0057500E"/>
    <w:rsid w:val="0057608D"/>
    <w:rsid w:val="005761C8"/>
    <w:rsid w:val="00580154"/>
    <w:rsid w:val="00580536"/>
    <w:rsid w:val="00583C39"/>
    <w:rsid w:val="00586818"/>
    <w:rsid w:val="00586A90"/>
    <w:rsid w:val="0058743E"/>
    <w:rsid w:val="00587F28"/>
    <w:rsid w:val="005909CF"/>
    <w:rsid w:val="00591E71"/>
    <w:rsid w:val="005A0D41"/>
    <w:rsid w:val="005A201A"/>
    <w:rsid w:val="005A2E3D"/>
    <w:rsid w:val="005A41A1"/>
    <w:rsid w:val="005A7901"/>
    <w:rsid w:val="005B0304"/>
    <w:rsid w:val="005B2D2C"/>
    <w:rsid w:val="005B2D57"/>
    <w:rsid w:val="005B4506"/>
    <w:rsid w:val="005B4956"/>
    <w:rsid w:val="005C07C8"/>
    <w:rsid w:val="005D329F"/>
    <w:rsid w:val="005D336A"/>
    <w:rsid w:val="005D5AB6"/>
    <w:rsid w:val="005D5BFF"/>
    <w:rsid w:val="005E6035"/>
    <w:rsid w:val="005F234C"/>
    <w:rsid w:val="005F47BD"/>
    <w:rsid w:val="005F48ED"/>
    <w:rsid w:val="005F54DD"/>
    <w:rsid w:val="005F77DD"/>
    <w:rsid w:val="00600659"/>
    <w:rsid w:val="00603B17"/>
    <w:rsid w:val="00606202"/>
    <w:rsid w:val="00606E78"/>
    <w:rsid w:val="00607BF1"/>
    <w:rsid w:val="0061124A"/>
    <w:rsid w:val="00616280"/>
    <w:rsid w:val="00617ED7"/>
    <w:rsid w:val="00623501"/>
    <w:rsid w:val="00630D4D"/>
    <w:rsid w:val="00632A74"/>
    <w:rsid w:val="00641B49"/>
    <w:rsid w:val="00645133"/>
    <w:rsid w:val="00645462"/>
    <w:rsid w:val="00654D42"/>
    <w:rsid w:val="00661B55"/>
    <w:rsid w:val="00665E42"/>
    <w:rsid w:val="00666E02"/>
    <w:rsid w:val="00667948"/>
    <w:rsid w:val="00667DB1"/>
    <w:rsid w:val="006740D9"/>
    <w:rsid w:val="00683489"/>
    <w:rsid w:val="006928A6"/>
    <w:rsid w:val="00693C03"/>
    <w:rsid w:val="00694690"/>
    <w:rsid w:val="00697C78"/>
    <w:rsid w:val="006A0D9A"/>
    <w:rsid w:val="006A4655"/>
    <w:rsid w:val="006B2B3C"/>
    <w:rsid w:val="006B51A0"/>
    <w:rsid w:val="006C1D81"/>
    <w:rsid w:val="006C38FB"/>
    <w:rsid w:val="006C597D"/>
    <w:rsid w:val="006C7038"/>
    <w:rsid w:val="006D1470"/>
    <w:rsid w:val="006D3594"/>
    <w:rsid w:val="006D6124"/>
    <w:rsid w:val="006E1F19"/>
    <w:rsid w:val="006E5B08"/>
    <w:rsid w:val="006E6D92"/>
    <w:rsid w:val="006E73EF"/>
    <w:rsid w:val="006F243E"/>
    <w:rsid w:val="00704669"/>
    <w:rsid w:val="00704A39"/>
    <w:rsid w:val="007079C9"/>
    <w:rsid w:val="00711C74"/>
    <w:rsid w:val="00714D4D"/>
    <w:rsid w:val="00721AA2"/>
    <w:rsid w:val="007235B1"/>
    <w:rsid w:val="00723A8C"/>
    <w:rsid w:val="007266D3"/>
    <w:rsid w:val="00732029"/>
    <w:rsid w:val="00733755"/>
    <w:rsid w:val="0074144D"/>
    <w:rsid w:val="007510CB"/>
    <w:rsid w:val="007557E7"/>
    <w:rsid w:val="00757BA9"/>
    <w:rsid w:val="00757C98"/>
    <w:rsid w:val="007604BB"/>
    <w:rsid w:val="00760664"/>
    <w:rsid w:val="00771FD4"/>
    <w:rsid w:val="00772909"/>
    <w:rsid w:val="00782BED"/>
    <w:rsid w:val="00785232"/>
    <w:rsid w:val="00785E00"/>
    <w:rsid w:val="0079413D"/>
    <w:rsid w:val="007941EE"/>
    <w:rsid w:val="0079701E"/>
    <w:rsid w:val="007A21EB"/>
    <w:rsid w:val="007A366E"/>
    <w:rsid w:val="007B100F"/>
    <w:rsid w:val="007B1A93"/>
    <w:rsid w:val="007B241A"/>
    <w:rsid w:val="007B2875"/>
    <w:rsid w:val="007B72B3"/>
    <w:rsid w:val="007B75C1"/>
    <w:rsid w:val="007C2DA1"/>
    <w:rsid w:val="007C36C9"/>
    <w:rsid w:val="007D6060"/>
    <w:rsid w:val="007D6401"/>
    <w:rsid w:val="007E01E4"/>
    <w:rsid w:val="007E1EBD"/>
    <w:rsid w:val="007E371C"/>
    <w:rsid w:val="007E7A12"/>
    <w:rsid w:val="007E7EE2"/>
    <w:rsid w:val="007F5C0A"/>
    <w:rsid w:val="007F7107"/>
    <w:rsid w:val="008006B5"/>
    <w:rsid w:val="00800D4C"/>
    <w:rsid w:val="00804FB1"/>
    <w:rsid w:val="00805B45"/>
    <w:rsid w:val="008066FA"/>
    <w:rsid w:val="00806A43"/>
    <w:rsid w:val="0081030F"/>
    <w:rsid w:val="00812F4A"/>
    <w:rsid w:val="00817F4E"/>
    <w:rsid w:val="0082087D"/>
    <w:rsid w:val="00823A73"/>
    <w:rsid w:val="00832A07"/>
    <w:rsid w:val="00835670"/>
    <w:rsid w:val="00835771"/>
    <w:rsid w:val="00842933"/>
    <w:rsid w:val="00846B71"/>
    <w:rsid w:val="0086082C"/>
    <w:rsid w:val="00861334"/>
    <w:rsid w:val="00864ADC"/>
    <w:rsid w:val="00866E02"/>
    <w:rsid w:val="00866E69"/>
    <w:rsid w:val="00867A98"/>
    <w:rsid w:val="00875F12"/>
    <w:rsid w:val="00880153"/>
    <w:rsid w:val="00880F97"/>
    <w:rsid w:val="0088133A"/>
    <w:rsid w:val="00881642"/>
    <w:rsid w:val="00881CD5"/>
    <w:rsid w:val="0089285E"/>
    <w:rsid w:val="0089436C"/>
    <w:rsid w:val="00894DDF"/>
    <w:rsid w:val="008A54FF"/>
    <w:rsid w:val="008A695A"/>
    <w:rsid w:val="008B5D4F"/>
    <w:rsid w:val="008C134B"/>
    <w:rsid w:val="008C1F29"/>
    <w:rsid w:val="008C2224"/>
    <w:rsid w:val="008C3C3B"/>
    <w:rsid w:val="008C673E"/>
    <w:rsid w:val="008D324A"/>
    <w:rsid w:val="008D365C"/>
    <w:rsid w:val="008D57C1"/>
    <w:rsid w:val="008D7622"/>
    <w:rsid w:val="008E03A4"/>
    <w:rsid w:val="008F3319"/>
    <w:rsid w:val="009021A6"/>
    <w:rsid w:val="00902D7E"/>
    <w:rsid w:val="009030BF"/>
    <w:rsid w:val="00903B52"/>
    <w:rsid w:val="00907CB0"/>
    <w:rsid w:val="0091032F"/>
    <w:rsid w:val="00914368"/>
    <w:rsid w:val="00926002"/>
    <w:rsid w:val="00930E60"/>
    <w:rsid w:val="00931076"/>
    <w:rsid w:val="009345D9"/>
    <w:rsid w:val="00934B15"/>
    <w:rsid w:val="009356A3"/>
    <w:rsid w:val="00940C87"/>
    <w:rsid w:val="00942B62"/>
    <w:rsid w:val="009455BF"/>
    <w:rsid w:val="00951DA7"/>
    <w:rsid w:val="00951F39"/>
    <w:rsid w:val="0095323B"/>
    <w:rsid w:val="00954C4D"/>
    <w:rsid w:val="00956A0C"/>
    <w:rsid w:val="00956BD9"/>
    <w:rsid w:val="00962489"/>
    <w:rsid w:val="009626CD"/>
    <w:rsid w:val="00967CD3"/>
    <w:rsid w:val="00974B1F"/>
    <w:rsid w:val="0098160F"/>
    <w:rsid w:val="009840F6"/>
    <w:rsid w:val="00990C2C"/>
    <w:rsid w:val="00997D5A"/>
    <w:rsid w:val="009A0797"/>
    <w:rsid w:val="009A0F60"/>
    <w:rsid w:val="009A2F92"/>
    <w:rsid w:val="009A5171"/>
    <w:rsid w:val="009B61CD"/>
    <w:rsid w:val="009B7646"/>
    <w:rsid w:val="009C67DD"/>
    <w:rsid w:val="009D4DDC"/>
    <w:rsid w:val="009E1844"/>
    <w:rsid w:val="009E2952"/>
    <w:rsid w:val="009E4C3E"/>
    <w:rsid w:val="009F0D1B"/>
    <w:rsid w:val="009F0E8E"/>
    <w:rsid w:val="009F5BBD"/>
    <w:rsid w:val="009F696D"/>
    <w:rsid w:val="009F6BC6"/>
    <w:rsid w:val="009F74EF"/>
    <w:rsid w:val="00A02826"/>
    <w:rsid w:val="00A028A4"/>
    <w:rsid w:val="00A05A3D"/>
    <w:rsid w:val="00A11ABB"/>
    <w:rsid w:val="00A13876"/>
    <w:rsid w:val="00A15D5A"/>
    <w:rsid w:val="00A17328"/>
    <w:rsid w:val="00A23A20"/>
    <w:rsid w:val="00A24443"/>
    <w:rsid w:val="00A25C92"/>
    <w:rsid w:val="00A268B9"/>
    <w:rsid w:val="00A2703A"/>
    <w:rsid w:val="00A33DFF"/>
    <w:rsid w:val="00A35115"/>
    <w:rsid w:val="00A36D9A"/>
    <w:rsid w:val="00A451DC"/>
    <w:rsid w:val="00A5505B"/>
    <w:rsid w:val="00A554AB"/>
    <w:rsid w:val="00A57062"/>
    <w:rsid w:val="00A6379B"/>
    <w:rsid w:val="00A67781"/>
    <w:rsid w:val="00A761F9"/>
    <w:rsid w:val="00A804B4"/>
    <w:rsid w:val="00A81A39"/>
    <w:rsid w:val="00A87E91"/>
    <w:rsid w:val="00A90600"/>
    <w:rsid w:val="00A90C99"/>
    <w:rsid w:val="00A92B53"/>
    <w:rsid w:val="00A94FA6"/>
    <w:rsid w:val="00A95DA6"/>
    <w:rsid w:val="00AA063D"/>
    <w:rsid w:val="00AA1969"/>
    <w:rsid w:val="00AA49A0"/>
    <w:rsid w:val="00AA6710"/>
    <w:rsid w:val="00AB0112"/>
    <w:rsid w:val="00AB0681"/>
    <w:rsid w:val="00AB4E58"/>
    <w:rsid w:val="00AC1241"/>
    <w:rsid w:val="00AC1F6D"/>
    <w:rsid w:val="00AC3A15"/>
    <w:rsid w:val="00AD3070"/>
    <w:rsid w:val="00AD520B"/>
    <w:rsid w:val="00AD61EA"/>
    <w:rsid w:val="00AE04FF"/>
    <w:rsid w:val="00AE089F"/>
    <w:rsid w:val="00AE0C8F"/>
    <w:rsid w:val="00AE3BCC"/>
    <w:rsid w:val="00B07E8D"/>
    <w:rsid w:val="00B13B04"/>
    <w:rsid w:val="00B252CA"/>
    <w:rsid w:val="00B343A4"/>
    <w:rsid w:val="00B367CB"/>
    <w:rsid w:val="00B4217B"/>
    <w:rsid w:val="00B425C3"/>
    <w:rsid w:val="00B42A18"/>
    <w:rsid w:val="00B440AD"/>
    <w:rsid w:val="00B479BB"/>
    <w:rsid w:val="00B50A16"/>
    <w:rsid w:val="00B53E7E"/>
    <w:rsid w:val="00B540C5"/>
    <w:rsid w:val="00B61306"/>
    <w:rsid w:val="00B61DE5"/>
    <w:rsid w:val="00B6342E"/>
    <w:rsid w:val="00B70670"/>
    <w:rsid w:val="00B7113F"/>
    <w:rsid w:val="00B73D9A"/>
    <w:rsid w:val="00B82DBC"/>
    <w:rsid w:val="00B8704C"/>
    <w:rsid w:val="00B87244"/>
    <w:rsid w:val="00BA14B5"/>
    <w:rsid w:val="00BA2BCF"/>
    <w:rsid w:val="00BA3ADC"/>
    <w:rsid w:val="00BA5B14"/>
    <w:rsid w:val="00BA73B6"/>
    <w:rsid w:val="00BA7E27"/>
    <w:rsid w:val="00BB0BAD"/>
    <w:rsid w:val="00BB0E89"/>
    <w:rsid w:val="00BB12E5"/>
    <w:rsid w:val="00BB2603"/>
    <w:rsid w:val="00BB4FCD"/>
    <w:rsid w:val="00BC04E9"/>
    <w:rsid w:val="00BC1AF2"/>
    <w:rsid w:val="00BC4AEA"/>
    <w:rsid w:val="00BD13EA"/>
    <w:rsid w:val="00BD5005"/>
    <w:rsid w:val="00BE1638"/>
    <w:rsid w:val="00BE2B30"/>
    <w:rsid w:val="00BE3808"/>
    <w:rsid w:val="00BE7A1F"/>
    <w:rsid w:val="00BF066F"/>
    <w:rsid w:val="00BF270B"/>
    <w:rsid w:val="00BF2C01"/>
    <w:rsid w:val="00C03B88"/>
    <w:rsid w:val="00C062E9"/>
    <w:rsid w:val="00C07B64"/>
    <w:rsid w:val="00C11574"/>
    <w:rsid w:val="00C13721"/>
    <w:rsid w:val="00C1374C"/>
    <w:rsid w:val="00C13A3D"/>
    <w:rsid w:val="00C14FE4"/>
    <w:rsid w:val="00C16D70"/>
    <w:rsid w:val="00C26F9F"/>
    <w:rsid w:val="00C3066D"/>
    <w:rsid w:val="00C36B10"/>
    <w:rsid w:val="00C52416"/>
    <w:rsid w:val="00C53BFE"/>
    <w:rsid w:val="00C543F4"/>
    <w:rsid w:val="00C54481"/>
    <w:rsid w:val="00C564AA"/>
    <w:rsid w:val="00C56609"/>
    <w:rsid w:val="00C61D10"/>
    <w:rsid w:val="00C6283F"/>
    <w:rsid w:val="00C6291C"/>
    <w:rsid w:val="00C633CB"/>
    <w:rsid w:val="00C63947"/>
    <w:rsid w:val="00C65EFB"/>
    <w:rsid w:val="00C66240"/>
    <w:rsid w:val="00C664CD"/>
    <w:rsid w:val="00C71639"/>
    <w:rsid w:val="00C736B7"/>
    <w:rsid w:val="00C7571C"/>
    <w:rsid w:val="00C75DFD"/>
    <w:rsid w:val="00C77468"/>
    <w:rsid w:val="00C81D4A"/>
    <w:rsid w:val="00C862A2"/>
    <w:rsid w:val="00C862D9"/>
    <w:rsid w:val="00C8762C"/>
    <w:rsid w:val="00C90A4C"/>
    <w:rsid w:val="00C9171D"/>
    <w:rsid w:val="00C96221"/>
    <w:rsid w:val="00CA00F9"/>
    <w:rsid w:val="00CA2961"/>
    <w:rsid w:val="00CB1A87"/>
    <w:rsid w:val="00CB3241"/>
    <w:rsid w:val="00CB4463"/>
    <w:rsid w:val="00CB50D7"/>
    <w:rsid w:val="00CB7177"/>
    <w:rsid w:val="00CB7CED"/>
    <w:rsid w:val="00CC03FD"/>
    <w:rsid w:val="00CC070F"/>
    <w:rsid w:val="00CC1998"/>
    <w:rsid w:val="00CC1A0C"/>
    <w:rsid w:val="00CC4946"/>
    <w:rsid w:val="00CC64A1"/>
    <w:rsid w:val="00CC6872"/>
    <w:rsid w:val="00CD1872"/>
    <w:rsid w:val="00CD6629"/>
    <w:rsid w:val="00CE3F5F"/>
    <w:rsid w:val="00CE4CC2"/>
    <w:rsid w:val="00CF2F13"/>
    <w:rsid w:val="00CF33D4"/>
    <w:rsid w:val="00CF3666"/>
    <w:rsid w:val="00CF3B11"/>
    <w:rsid w:val="00CF3F01"/>
    <w:rsid w:val="00CF700A"/>
    <w:rsid w:val="00D03B42"/>
    <w:rsid w:val="00D042D5"/>
    <w:rsid w:val="00D06D8C"/>
    <w:rsid w:val="00D11037"/>
    <w:rsid w:val="00D122EF"/>
    <w:rsid w:val="00D17BB6"/>
    <w:rsid w:val="00D21324"/>
    <w:rsid w:val="00D233B7"/>
    <w:rsid w:val="00D270A4"/>
    <w:rsid w:val="00D30D65"/>
    <w:rsid w:val="00D31FE9"/>
    <w:rsid w:val="00D32941"/>
    <w:rsid w:val="00D34E1B"/>
    <w:rsid w:val="00D376BA"/>
    <w:rsid w:val="00D434A0"/>
    <w:rsid w:val="00D440B8"/>
    <w:rsid w:val="00D44764"/>
    <w:rsid w:val="00D45634"/>
    <w:rsid w:val="00D4599D"/>
    <w:rsid w:val="00D50136"/>
    <w:rsid w:val="00D503CC"/>
    <w:rsid w:val="00D536D4"/>
    <w:rsid w:val="00D5568A"/>
    <w:rsid w:val="00D55B9E"/>
    <w:rsid w:val="00D6291E"/>
    <w:rsid w:val="00D62C33"/>
    <w:rsid w:val="00D636F6"/>
    <w:rsid w:val="00D63D73"/>
    <w:rsid w:val="00D64452"/>
    <w:rsid w:val="00D66397"/>
    <w:rsid w:val="00D66E1E"/>
    <w:rsid w:val="00D70696"/>
    <w:rsid w:val="00D75722"/>
    <w:rsid w:val="00D80CF5"/>
    <w:rsid w:val="00D826AB"/>
    <w:rsid w:val="00D84DA5"/>
    <w:rsid w:val="00D91292"/>
    <w:rsid w:val="00D916C4"/>
    <w:rsid w:val="00D9463C"/>
    <w:rsid w:val="00DA4880"/>
    <w:rsid w:val="00DA5216"/>
    <w:rsid w:val="00DA5B13"/>
    <w:rsid w:val="00DA5BBA"/>
    <w:rsid w:val="00DB26D2"/>
    <w:rsid w:val="00DB38E0"/>
    <w:rsid w:val="00DB4DAC"/>
    <w:rsid w:val="00DB50E4"/>
    <w:rsid w:val="00DB67C9"/>
    <w:rsid w:val="00DC0C95"/>
    <w:rsid w:val="00DC4F0B"/>
    <w:rsid w:val="00DD6580"/>
    <w:rsid w:val="00DF5DA1"/>
    <w:rsid w:val="00E00B10"/>
    <w:rsid w:val="00E01D7F"/>
    <w:rsid w:val="00E05C03"/>
    <w:rsid w:val="00E12763"/>
    <w:rsid w:val="00E1682B"/>
    <w:rsid w:val="00E17C72"/>
    <w:rsid w:val="00E21FC6"/>
    <w:rsid w:val="00E237AE"/>
    <w:rsid w:val="00E23D5A"/>
    <w:rsid w:val="00E242BD"/>
    <w:rsid w:val="00E25854"/>
    <w:rsid w:val="00E25A48"/>
    <w:rsid w:val="00E25EC3"/>
    <w:rsid w:val="00E26EDC"/>
    <w:rsid w:val="00E329B4"/>
    <w:rsid w:val="00E34811"/>
    <w:rsid w:val="00E42447"/>
    <w:rsid w:val="00E431A9"/>
    <w:rsid w:val="00E53262"/>
    <w:rsid w:val="00E53E2B"/>
    <w:rsid w:val="00E56A06"/>
    <w:rsid w:val="00E641FA"/>
    <w:rsid w:val="00E65E69"/>
    <w:rsid w:val="00E669E2"/>
    <w:rsid w:val="00E72092"/>
    <w:rsid w:val="00E7298B"/>
    <w:rsid w:val="00E733D2"/>
    <w:rsid w:val="00E76135"/>
    <w:rsid w:val="00E82F4F"/>
    <w:rsid w:val="00E864DF"/>
    <w:rsid w:val="00E904C5"/>
    <w:rsid w:val="00E947E5"/>
    <w:rsid w:val="00EA0023"/>
    <w:rsid w:val="00EA4079"/>
    <w:rsid w:val="00EB0C9A"/>
    <w:rsid w:val="00EB2CC3"/>
    <w:rsid w:val="00EB7BC6"/>
    <w:rsid w:val="00EC0AF0"/>
    <w:rsid w:val="00EC2844"/>
    <w:rsid w:val="00EC5500"/>
    <w:rsid w:val="00EC5D8C"/>
    <w:rsid w:val="00EC6BEC"/>
    <w:rsid w:val="00ED18F8"/>
    <w:rsid w:val="00ED255C"/>
    <w:rsid w:val="00ED471E"/>
    <w:rsid w:val="00EE04C3"/>
    <w:rsid w:val="00EE0D06"/>
    <w:rsid w:val="00EE2541"/>
    <w:rsid w:val="00EE6EDA"/>
    <w:rsid w:val="00EE778E"/>
    <w:rsid w:val="00EF28EF"/>
    <w:rsid w:val="00EF3629"/>
    <w:rsid w:val="00EF6719"/>
    <w:rsid w:val="00EF6C6C"/>
    <w:rsid w:val="00EF6DA0"/>
    <w:rsid w:val="00F056FC"/>
    <w:rsid w:val="00F0632F"/>
    <w:rsid w:val="00F069AE"/>
    <w:rsid w:val="00F07811"/>
    <w:rsid w:val="00F10476"/>
    <w:rsid w:val="00F10903"/>
    <w:rsid w:val="00F135D8"/>
    <w:rsid w:val="00F14D0D"/>
    <w:rsid w:val="00F232D3"/>
    <w:rsid w:val="00F304D6"/>
    <w:rsid w:val="00F31299"/>
    <w:rsid w:val="00F31FF4"/>
    <w:rsid w:val="00F33DEA"/>
    <w:rsid w:val="00F3534A"/>
    <w:rsid w:val="00F359F4"/>
    <w:rsid w:val="00F35BFB"/>
    <w:rsid w:val="00F36ACC"/>
    <w:rsid w:val="00F40825"/>
    <w:rsid w:val="00F458C8"/>
    <w:rsid w:val="00F46C56"/>
    <w:rsid w:val="00F475C2"/>
    <w:rsid w:val="00F51609"/>
    <w:rsid w:val="00F54B1D"/>
    <w:rsid w:val="00F5544A"/>
    <w:rsid w:val="00F55C25"/>
    <w:rsid w:val="00F62146"/>
    <w:rsid w:val="00F73727"/>
    <w:rsid w:val="00F74026"/>
    <w:rsid w:val="00F766A7"/>
    <w:rsid w:val="00F767AA"/>
    <w:rsid w:val="00F81006"/>
    <w:rsid w:val="00F85325"/>
    <w:rsid w:val="00F87731"/>
    <w:rsid w:val="00F91045"/>
    <w:rsid w:val="00F94841"/>
    <w:rsid w:val="00F94D19"/>
    <w:rsid w:val="00F956CD"/>
    <w:rsid w:val="00F96025"/>
    <w:rsid w:val="00FB0F21"/>
    <w:rsid w:val="00FB4DF3"/>
    <w:rsid w:val="00FB7694"/>
    <w:rsid w:val="00FD22B1"/>
    <w:rsid w:val="00FD2BCC"/>
    <w:rsid w:val="00FD33F1"/>
    <w:rsid w:val="00FD3566"/>
    <w:rsid w:val="00FD3F07"/>
    <w:rsid w:val="00FE1E36"/>
    <w:rsid w:val="00FE5397"/>
    <w:rsid w:val="00FE574A"/>
    <w:rsid w:val="00FF5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3262"/>
    <w:rPr>
      <w:sz w:val="24"/>
      <w:szCs w:val="24"/>
    </w:rPr>
  </w:style>
  <w:style w:type="paragraph" w:styleId="Heading1">
    <w:name w:val="heading 1"/>
    <w:basedOn w:val="BodyText"/>
    <w:next w:val="BodyText"/>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customStyle="1" w:styleId="Headings">
    <w:name w:val="Headings"/>
    <w:basedOn w:val="Normal"/>
    <w:autoRedefine/>
    <w:rsid w:val="00E53262"/>
    <w:pPr>
      <w:spacing w:line="320" w:lineRule="atLeast"/>
    </w:pPr>
    <w:rPr>
      <w:rFonts w:ascii="Goudy Old Style" w:hAnsi="Goudy Old Style"/>
      <w:position w:val="2"/>
      <w:lang w:eastAsia="en-US"/>
    </w:rPr>
  </w:style>
  <w:style w:type="paragraph" w:customStyle="1" w:styleId="SectionHead">
    <w:name w:val="SectionHead"/>
    <w:basedOn w:val="Normal"/>
    <w:rsid w:val="00E53262"/>
  </w:style>
  <w:style w:type="character" w:customStyle="1" w:styleId="FootnoteTextChar">
    <w:name w:val="Footnote Text Char"/>
    <w:basedOn w:val="DefaultParagraphFont"/>
    <w:link w:val="FootnoteText"/>
    <w:rsid w:val="00E53262"/>
  </w:style>
  <w:style w:type="character" w:customStyle="1" w:styleId="CommentTextChar">
    <w:name w:val="Comment Text Char"/>
    <w:basedOn w:val="DefaultParagraphFont"/>
    <w:rsid w:val="00E53262"/>
  </w:style>
  <w:style w:type="paragraph" w:styleId="CommentSubject">
    <w:name w:val="annotation subject"/>
    <w:basedOn w:val="CommentText"/>
    <w:next w:val="CommentText"/>
    <w:link w:val="CommentSubjectChar"/>
    <w:rsid w:val="00E53262"/>
    <w:pPr>
      <w:spacing w:before="0" w:line="240" w:lineRule="auto"/>
      <w:ind w:left="0" w:firstLine="0"/>
    </w:pPr>
    <w:rPr>
      <w:b/>
      <w:bCs/>
      <w:szCs w:val="20"/>
    </w:rPr>
  </w:style>
  <w:style w:type="character" w:customStyle="1" w:styleId="CommentTextChar1">
    <w:name w:val="Comment Text Char1"/>
    <w:basedOn w:val="DefaultParagraphFont"/>
    <w:link w:val="CommentText"/>
    <w:rsid w:val="00E53262"/>
    <w:rPr>
      <w:szCs w:val="24"/>
    </w:rPr>
  </w:style>
  <w:style w:type="character" w:customStyle="1" w:styleId="CommentSubjectChar">
    <w:name w:val="Comment Subject Char"/>
    <w:basedOn w:val="CommentTextChar1"/>
    <w:link w:val="CommentSubject"/>
    <w:rsid w:val="00E53262"/>
    <w:rPr>
      <w:b/>
      <w:bCs/>
      <w:szCs w:val="24"/>
    </w:rPr>
  </w:style>
  <w:style w:type="character" w:styleId="PlaceholderText">
    <w:name w:val="Placeholder Text"/>
    <w:basedOn w:val="DefaultParagraphFont"/>
    <w:uiPriority w:val="99"/>
    <w:semiHidden/>
    <w:rsid w:val="00E53262"/>
    <w:rPr>
      <w:color w:val="808080"/>
    </w:rPr>
  </w:style>
  <w:style w:type="paragraph" w:styleId="Bibliography">
    <w:name w:val="Bibliography"/>
    <w:basedOn w:val="Normal"/>
    <w:next w:val="Normal"/>
    <w:uiPriority w:val="37"/>
    <w:unhideWhenUsed/>
    <w:rsid w:val="00E53262"/>
    <w:pPr>
      <w:spacing w:after="240"/>
      <w:ind w:left="720" w:hanging="720"/>
    </w:pPr>
  </w:style>
  <w:style w:type="character" w:customStyle="1" w:styleId="QuoteChar">
    <w:name w:val="Quote Char"/>
    <w:basedOn w:val="DefaultParagraphFont"/>
    <w:link w:val="Quote"/>
    <w:rsid w:val="00E53262"/>
    <w:rPr>
      <w:sz w:val="22"/>
    </w:rPr>
  </w:style>
  <w:style w:type="paragraph" w:styleId="NormalWeb">
    <w:name w:val="Normal (Web)"/>
    <w:basedOn w:val="Normal"/>
    <w:uiPriority w:val="99"/>
    <w:unhideWhenUsed/>
    <w:rsid w:val="00E53262"/>
    <w:pPr>
      <w:spacing w:before="100" w:beforeAutospacing="1" w:after="100" w:afterAutospacing="1"/>
    </w:pPr>
    <w:rPr>
      <w:rFonts w:eastAsiaTheme="minorEastAsia"/>
    </w:rPr>
  </w:style>
  <w:style w:type="paragraph" w:styleId="Revision">
    <w:name w:val="Revision"/>
    <w:hidden/>
    <w:uiPriority w:val="99"/>
    <w:semiHidden/>
    <w:rsid w:val="00E53262"/>
    <w:rPr>
      <w:sz w:val="24"/>
      <w:szCs w:val="24"/>
    </w:rPr>
  </w:style>
  <w:style w:type="paragraph" w:customStyle="1" w:styleId="FigureNote">
    <w:name w:val="Figure Note"/>
    <w:basedOn w:val="FigureTitle"/>
    <w:rsid w:val="007C2DA1"/>
    <w:pPr>
      <w:keepNext w:val="0"/>
      <w:spacing w:before="80" w:after="0" w:line="220" w:lineRule="exact"/>
      <w:ind w:left="0" w:firstLine="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3262"/>
    <w:rPr>
      <w:sz w:val="24"/>
      <w:szCs w:val="24"/>
    </w:rPr>
  </w:style>
  <w:style w:type="paragraph" w:styleId="Heading1">
    <w:name w:val="heading 1"/>
    <w:basedOn w:val="BodyText"/>
    <w:next w:val="BodyText"/>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customStyle="1" w:styleId="Headings">
    <w:name w:val="Headings"/>
    <w:basedOn w:val="Normal"/>
    <w:autoRedefine/>
    <w:rsid w:val="00E53262"/>
    <w:pPr>
      <w:spacing w:line="320" w:lineRule="atLeast"/>
    </w:pPr>
    <w:rPr>
      <w:rFonts w:ascii="Goudy Old Style" w:hAnsi="Goudy Old Style"/>
      <w:position w:val="2"/>
      <w:lang w:eastAsia="en-US"/>
    </w:rPr>
  </w:style>
  <w:style w:type="paragraph" w:customStyle="1" w:styleId="SectionHead">
    <w:name w:val="SectionHead"/>
    <w:basedOn w:val="Normal"/>
    <w:rsid w:val="00E53262"/>
  </w:style>
  <w:style w:type="character" w:customStyle="1" w:styleId="FootnoteTextChar">
    <w:name w:val="Footnote Text Char"/>
    <w:basedOn w:val="DefaultParagraphFont"/>
    <w:link w:val="FootnoteText"/>
    <w:rsid w:val="00E53262"/>
  </w:style>
  <w:style w:type="character" w:customStyle="1" w:styleId="CommentTextChar">
    <w:name w:val="Comment Text Char"/>
    <w:basedOn w:val="DefaultParagraphFont"/>
    <w:rsid w:val="00E53262"/>
  </w:style>
  <w:style w:type="paragraph" w:styleId="CommentSubject">
    <w:name w:val="annotation subject"/>
    <w:basedOn w:val="CommentText"/>
    <w:next w:val="CommentText"/>
    <w:link w:val="CommentSubjectChar"/>
    <w:rsid w:val="00E53262"/>
    <w:pPr>
      <w:spacing w:before="0" w:line="240" w:lineRule="auto"/>
      <w:ind w:left="0" w:firstLine="0"/>
    </w:pPr>
    <w:rPr>
      <w:b/>
      <w:bCs/>
      <w:szCs w:val="20"/>
    </w:rPr>
  </w:style>
  <w:style w:type="character" w:customStyle="1" w:styleId="CommentTextChar1">
    <w:name w:val="Comment Text Char1"/>
    <w:basedOn w:val="DefaultParagraphFont"/>
    <w:link w:val="CommentText"/>
    <w:rsid w:val="00E53262"/>
    <w:rPr>
      <w:szCs w:val="24"/>
    </w:rPr>
  </w:style>
  <w:style w:type="character" w:customStyle="1" w:styleId="CommentSubjectChar">
    <w:name w:val="Comment Subject Char"/>
    <w:basedOn w:val="CommentTextChar1"/>
    <w:link w:val="CommentSubject"/>
    <w:rsid w:val="00E53262"/>
    <w:rPr>
      <w:b/>
      <w:bCs/>
      <w:szCs w:val="24"/>
    </w:rPr>
  </w:style>
  <w:style w:type="character" w:styleId="PlaceholderText">
    <w:name w:val="Placeholder Text"/>
    <w:basedOn w:val="DefaultParagraphFont"/>
    <w:uiPriority w:val="99"/>
    <w:semiHidden/>
    <w:rsid w:val="00E53262"/>
    <w:rPr>
      <w:color w:val="808080"/>
    </w:rPr>
  </w:style>
  <w:style w:type="paragraph" w:styleId="Bibliography">
    <w:name w:val="Bibliography"/>
    <w:basedOn w:val="Normal"/>
    <w:next w:val="Normal"/>
    <w:uiPriority w:val="37"/>
    <w:unhideWhenUsed/>
    <w:rsid w:val="00E53262"/>
    <w:pPr>
      <w:spacing w:after="240"/>
      <w:ind w:left="720" w:hanging="720"/>
    </w:pPr>
  </w:style>
  <w:style w:type="character" w:customStyle="1" w:styleId="QuoteChar">
    <w:name w:val="Quote Char"/>
    <w:basedOn w:val="DefaultParagraphFont"/>
    <w:link w:val="Quote"/>
    <w:rsid w:val="00E53262"/>
    <w:rPr>
      <w:sz w:val="22"/>
    </w:rPr>
  </w:style>
  <w:style w:type="paragraph" w:styleId="NormalWeb">
    <w:name w:val="Normal (Web)"/>
    <w:basedOn w:val="Normal"/>
    <w:uiPriority w:val="99"/>
    <w:unhideWhenUsed/>
    <w:rsid w:val="00E53262"/>
    <w:pPr>
      <w:spacing w:before="100" w:beforeAutospacing="1" w:after="100" w:afterAutospacing="1"/>
    </w:pPr>
    <w:rPr>
      <w:rFonts w:eastAsiaTheme="minorEastAsia"/>
    </w:rPr>
  </w:style>
  <w:style w:type="paragraph" w:styleId="Revision">
    <w:name w:val="Revision"/>
    <w:hidden/>
    <w:uiPriority w:val="99"/>
    <w:semiHidden/>
    <w:rsid w:val="00E53262"/>
    <w:rPr>
      <w:sz w:val="24"/>
      <w:szCs w:val="24"/>
    </w:rPr>
  </w:style>
  <w:style w:type="paragraph" w:customStyle="1" w:styleId="FigureNote">
    <w:name w:val="Figure Note"/>
    <w:basedOn w:val="FigureTitle"/>
    <w:rsid w:val="007C2DA1"/>
    <w:pPr>
      <w:keepNext w:val="0"/>
      <w:spacing w:before="80" w:after="0" w:line="220" w:lineRule="exact"/>
      <w:ind w:left="0" w:firstLine="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6405">
      <w:bodyDiv w:val="1"/>
      <w:marLeft w:val="0"/>
      <w:marRight w:val="0"/>
      <w:marTop w:val="0"/>
      <w:marBottom w:val="0"/>
      <w:divBdr>
        <w:top w:val="none" w:sz="0" w:space="0" w:color="auto"/>
        <w:left w:val="none" w:sz="0" w:space="0" w:color="auto"/>
        <w:bottom w:val="none" w:sz="0" w:space="0" w:color="auto"/>
        <w:right w:val="none" w:sz="0" w:space="0" w:color="auto"/>
      </w:divBdr>
    </w:div>
    <w:div w:id="1187524727">
      <w:bodyDiv w:val="1"/>
      <w:marLeft w:val="0"/>
      <w:marRight w:val="0"/>
      <w:marTop w:val="0"/>
      <w:marBottom w:val="0"/>
      <w:divBdr>
        <w:top w:val="none" w:sz="0" w:space="0" w:color="auto"/>
        <w:left w:val="none" w:sz="0" w:space="0" w:color="auto"/>
        <w:bottom w:val="none" w:sz="0" w:space="0" w:color="auto"/>
        <w:right w:val="none" w:sz="0" w:space="0" w:color="auto"/>
      </w:divBdr>
    </w:div>
    <w:div w:id="1312826473">
      <w:bodyDiv w:val="1"/>
      <w:marLeft w:val="0"/>
      <w:marRight w:val="0"/>
      <w:marTop w:val="0"/>
      <w:marBottom w:val="0"/>
      <w:divBdr>
        <w:top w:val="none" w:sz="0" w:space="0" w:color="auto"/>
        <w:left w:val="none" w:sz="0" w:space="0" w:color="auto"/>
        <w:bottom w:val="none" w:sz="0" w:space="0" w:color="auto"/>
        <w:right w:val="none" w:sz="0" w:space="0" w:color="auto"/>
      </w:divBdr>
    </w:div>
    <w:div w:id="144377003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BA2C-7143-409D-8007-02C4260F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30</TotalTime>
  <Pages>15</Pages>
  <Words>4650</Words>
  <Characters>25416</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Effective marginal tax rates on savings</vt:lpstr>
    </vt:vector>
  </TitlesOfParts>
  <Company>Productivity Commission</Company>
  <LinksUpToDate>false</LinksUpToDate>
  <CharactersWithSpaces>30006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Marginal Tax Rates on Savings</dc:title>
  <dc:creator>Productivity Commission</dc:creator>
  <dc:description>1.</dc:description>
  <cp:lastModifiedBy>Productivity Commission</cp:lastModifiedBy>
  <cp:revision>7</cp:revision>
  <cp:lastPrinted>2014-07-13T11:30:00Z</cp:lastPrinted>
  <dcterms:created xsi:type="dcterms:W3CDTF">2015-12-09T03:16:00Z</dcterms:created>
  <dcterms:modified xsi:type="dcterms:W3CDTF">2015-12-21T01:01:00Z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id="4UlAQBJE"/&gt;&lt;style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