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7.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D19" w:rsidRDefault="00265B8D" w:rsidP="00CD5E6B">
      <w:pPr>
        <w:pStyle w:val="BodyText"/>
        <w:rPr>
          <w:b/>
          <w:szCs w:val="26"/>
        </w:rPr>
      </w:pPr>
      <w:r>
        <w:rPr>
          <w:noProof/>
          <w:lang w:eastAsia="en-AU"/>
        </w:rPr>
        <w:drawing>
          <wp:anchor distT="0" distB="0" distL="114300" distR="114300" simplePos="0" relativeHeight="251658240" behindDoc="1" locked="0" layoutInCell="1" allowOverlap="1">
            <wp:simplePos x="1146412" y="1050878"/>
            <wp:positionH relativeFrom="page">
              <wp:align>center</wp:align>
            </wp:positionH>
            <wp:positionV relativeFrom="page">
              <wp:align>bottom</wp:align>
            </wp:positionV>
            <wp:extent cx="7560000" cy="9975600"/>
            <wp:effectExtent l="0" t="0" r="3175" b="6985"/>
            <wp:wrapNone/>
            <wp:docPr id="1" name="Picture 1" descr="cover image for the Productivity Commission staff working paper titled 'Forms of Work in Australia' By Anthony Shomos, Erin Turner and Lou Will. Published April 2013. The views expressed in this paper are those of the staff involved and do not necessarily reflect the views of the Productivity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wp-work-forms-cover-WEB.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60000" cy="9975600"/>
                    </a:xfrm>
                    <a:prstGeom prst="rect">
                      <a:avLst/>
                    </a:prstGeom>
                  </pic:spPr>
                </pic:pic>
              </a:graphicData>
            </a:graphic>
            <wp14:sizeRelH relativeFrom="margin">
              <wp14:pctWidth>0</wp14:pctWidth>
            </wp14:sizeRelH>
            <wp14:sizeRelV relativeFrom="margin">
              <wp14:pctHeight>0</wp14:pctHeight>
            </wp14:sizeRelV>
          </wp:anchor>
        </w:drawing>
      </w:r>
      <w:r w:rsidR="00B04D19">
        <w:br w:type="page"/>
      </w:r>
    </w:p>
    <w:p w:rsidR="003E7802" w:rsidRDefault="003E7802" w:rsidP="001D4B1F">
      <w:pPr>
        <w:pStyle w:val="TOC1"/>
      </w:pPr>
      <w:r w:rsidRPr="008C305F">
        <w:lastRenderedPageBreak/>
        <w:fldChar w:fldCharType="begin"/>
      </w:r>
      <w:r w:rsidRPr="008C305F">
        <w:instrText>SYMBOL 227 \f "Symbol"</w:instrText>
      </w:r>
      <w:r w:rsidRPr="008C305F">
        <w:fldChar w:fldCharType="end"/>
      </w:r>
      <w:r w:rsidRPr="008C305F">
        <w:t xml:space="preserve"> Commonwealth of Australia </w:t>
      </w:r>
      <w:r w:rsidR="00766DFB">
        <w:t>2013</w:t>
      </w:r>
    </w:p>
    <w:p w:rsidR="001F65D4" w:rsidRPr="007809B8" w:rsidRDefault="001F65D4">
      <w:pPr>
        <w:pStyle w:val="BodyText"/>
        <w:tabs>
          <w:tab w:val="left" w:pos="851"/>
        </w:tabs>
        <w:spacing w:before="200" w:after="120"/>
        <w:jc w:val="left"/>
        <w:rPr>
          <w:b/>
          <w:sz w:val="24"/>
        </w:rPr>
      </w:pPr>
      <w:bookmarkStart w:id="0" w:name="ISSN"/>
      <w:bookmarkEnd w:id="0"/>
      <w:r>
        <w:rPr>
          <w:b/>
          <w:sz w:val="24"/>
        </w:rPr>
        <w:t>ISBN</w:t>
      </w:r>
      <w:r>
        <w:rPr>
          <w:b/>
          <w:sz w:val="24"/>
        </w:rPr>
        <w:tab/>
      </w:r>
      <w:r w:rsidRPr="000F3E10">
        <w:rPr>
          <w:b/>
          <w:sz w:val="24"/>
        </w:rPr>
        <w:t>978-1-74037-431-6</w:t>
      </w:r>
    </w:p>
    <w:p w:rsidR="003E7802" w:rsidRPr="00F4234E" w:rsidRDefault="003E7802" w:rsidP="00F4234E">
      <w:pPr>
        <w:pStyle w:val="BodyText"/>
      </w:pPr>
      <w:r w:rsidRPr="00F4234E">
        <w:t>This work is copyright. Apart from any use as permitted under the</w:t>
      </w:r>
      <w:r w:rsidR="00766DFB">
        <w:rPr>
          <w:i/>
        </w:rPr>
        <w:t xml:space="preserve"> Copyright Act </w:t>
      </w:r>
      <w:r w:rsidRPr="00F4234E">
        <w:rPr>
          <w:i/>
        </w:rPr>
        <w:t>1968</w:t>
      </w:r>
      <w:r w:rsidRPr="00F4234E">
        <w:t xml:space="preserve">, the work may be reproduced in whole or in part for study or training purposes, subject to the inclusion of an acknowledgment of the source. Reproduction for commercial use or sale requires prior written permission from the </w:t>
      </w:r>
      <w:r w:rsidR="009B12EF" w:rsidRPr="00F4234E">
        <w:t>Productivity Commission</w:t>
      </w:r>
      <w:r w:rsidRPr="00F4234E">
        <w:t xml:space="preserve">. Requests and inquiries concerning reproduction and rights should be addressed to </w:t>
      </w:r>
      <w:r w:rsidR="009B12EF" w:rsidRPr="00F4234E">
        <w:t>Media and Publications (see below)</w:t>
      </w:r>
      <w:r w:rsidR="00734127" w:rsidRPr="00F4234E">
        <w:t>.</w:t>
      </w:r>
    </w:p>
    <w:p w:rsidR="003E7802" w:rsidRPr="00F4234E" w:rsidRDefault="003E7802" w:rsidP="00F4234E">
      <w:pPr>
        <w:pStyle w:val="BodyText"/>
        <w:rPr>
          <w:i/>
        </w:rPr>
      </w:pPr>
      <w:r w:rsidRPr="00F4234E">
        <w:rPr>
          <w:i/>
        </w:rPr>
        <w:t>This publication is available from the Productivity Commission website at www.pc.gov.au. If you require part or all of this publication in a different format, please contact Me</w:t>
      </w:r>
      <w:r w:rsidR="00734127" w:rsidRPr="00F4234E">
        <w:rPr>
          <w:i/>
        </w:rPr>
        <w:t>dia and Publications.</w:t>
      </w:r>
    </w:p>
    <w:p w:rsidR="003E7802" w:rsidRDefault="003E7802" w:rsidP="003E7802">
      <w:pPr>
        <w:pStyle w:val="BodyText"/>
        <w:spacing w:before="320"/>
        <w:rPr>
          <w:b/>
          <w:sz w:val="24"/>
        </w:rPr>
      </w:pPr>
      <w:r>
        <w:rPr>
          <w:b/>
          <w:sz w:val="24"/>
        </w:rPr>
        <w:t>Publications Inquiries:</w:t>
      </w:r>
    </w:p>
    <w:p w:rsidR="003E7802" w:rsidRDefault="003E7802" w:rsidP="003E7802">
      <w:pPr>
        <w:pStyle w:val="BodyText"/>
        <w:spacing w:before="0" w:line="240" w:lineRule="auto"/>
        <w:rPr>
          <w:sz w:val="24"/>
        </w:rPr>
      </w:pPr>
      <w:r>
        <w:rPr>
          <w:sz w:val="24"/>
        </w:rPr>
        <w:t xml:space="preserve">Media and </w:t>
      </w:r>
      <w:r w:rsidRPr="00FD4728">
        <w:rPr>
          <w:snapToGrid w:val="0"/>
          <w:sz w:val="24"/>
        </w:rPr>
        <w:t>Publications</w:t>
      </w:r>
    </w:p>
    <w:p w:rsidR="003E7802" w:rsidRDefault="003E7802" w:rsidP="003E7802">
      <w:pPr>
        <w:pStyle w:val="BodyText"/>
        <w:spacing w:before="0" w:line="240" w:lineRule="auto"/>
        <w:rPr>
          <w:sz w:val="24"/>
        </w:rPr>
      </w:pPr>
      <w:r>
        <w:rPr>
          <w:sz w:val="24"/>
        </w:rPr>
        <w:t xml:space="preserve">Productivity </w:t>
      </w:r>
      <w:r w:rsidRPr="00FD4728">
        <w:rPr>
          <w:snapToGrid w:val="0"/>
          <w:sz w:val="24"/>
        </w:rPr>
        <w:t>Commission</w:t>
      </w:r>
    </w:p>
    <w:p w:rsidR="003E7802" w:rsidRDefault="003E7802" w:rsidP="003E7802">
      <w:pPr>
        <w:pStyle w:val="BodyText"/>
        <w:spacing w:before="0" w:line="240" w:lineRule="auto"/>
        <w:rPr>
          <w:sz w:val="24"/>
        </w:rPr>
      </w:pPr>
      <w:r>
        <w:rPr>
          <w:sz w:val="24"/>
        </w:rPr>
        <w:t xml:space="preserve">Locked Bag </w:t>
      </w:r>
      <w:smartTag w:uri="urn:schemas-microsoft-com:office:smarttags" w:element="Street">
        <w:smartTag w:uri="urn:schemas-microsoft-com:office:smarttags" w:element="address">
          <w:r>
            <w:rPr>
              <w:sz w:val="24"/>
            </w:rPr>
            <w:t xml:space="preserve">2 Collins </w:t>
          </w:r>
          <w:r w:rsidRPr="00FD4728">
            <w:rPr>
              <w:snapToGrid w:val="0"/>
              <w:sz w:val="24"/>
            </w:rPr>
            <w:t>Street</w:t>
          </w:r>
          <w:r>
            <w:rPr>
              <w:sz w:val="24"/>
            </w:rPr>
            <w:t xml:space="preserve"> East</w:t>
          </w:r>
        </w:smartTag>
      </w:smartTag>
    </w:p>
    <w:p w:rsidR="003E7802" w:rsidRDefault="003E7802" w:rsidP="003E7802">
      <w:pPr>
        <w:pStyle w:val="BodyText"/>
        <w:spacing w:before="0" w:after="120" w:line="240" w:lineRule="auto"/>
        <w:rPr>
          <w:sz w:val="24"/>
        </w:rPr>
      </w:pPr>
      <w:smartTag w:uri="urn:schemas-microsoft-com:office:smarttags" w:element="City">
        <w:smartTag w:uri="urn:schemas-microsoft-com:office:smarttags" w:element="place">
          <w:r>
            <w:rPr>
              <w:sz w:val="24"/>
            </w:rPr>
            <w:t>Melbourne</w:t>
          </w:r>
        </w:smartTag>
      </w:smartTag>
      <w:r>
        <w:rPr>
          <w:sz w:val="24"/>
        </w:rPr>
        <w:t xml:space="preserve">    VIC    </w:t>
      </w:r>
      <w:r w:rsidRPr="00FD4728">
        <w:rPr>
          <w:snapToGrid w:val="0"/>
          <w:sz w:val="24"/>
        </w:rPr>
        <w:t>8003</w:t>
      </w:r>
    </w:p>
    <w:p w:rsidR="003E7802" w:rsidRPr="00FD4728" w:rsidRDefault="003E7802" w:rsidP="003E7802">
      <w:pPr>
        <w:pStyle w:val="BodyText"/>
        <w:tabs>
          <w:tab w:val="left" w:pos="1134"/>
        </w:tabs>
        <w:spacing w:before="0" w:line="240" w:lineRule="auto"/>
        <w:rPr>
          <w:sz w:val="24"/>
          <w:szCs w:val="24"/>
        </w:rPr>
      </w:pPr>
      <w:r w:rsidRPr="00FD4728">
        <w:rPr>
          <w:sz w:val="24"/>
          <w:szCs w:val="24"/>
        </w:rPr>
        <w:t>Tel:</w:t>
      </w:r>
      <w:r w:rsidRPr="00FD4728">
        <w:rPr>
          <w:sz w:val="24"/>
          <w:szCs w:val="24"/>
        </w:rPr>
        <w:tab/>
        <w:t>(03) 9653 2244</w:t>
      </w:r>
    </w:p>
    <w:p w:rsidR="003E7802" w:rsidRDefault="003E7802" w:rsidP="003E7802">
      <w:pPr>
        <w:pStyle w:val="BodyText"/>
        <w:tabs>
          <w:tab w:val="left" w:pos="1134"/>
        </w:tabs>
        <w:spacing w:before="0" w:line="240" w:lineRule="auto"/>
        <w:jc w:val="left"/>
      </w:pPr>
      <w:r w:rsidRPr="00FD4728">
        <w:rPr>
          <w:sz w:val="24"/>
          <w:szCs w:val="24"/>
        </w:rPr>
        <w:t>Fax:</w:t>
      </w:r>
      <w:r w:rsidRPr="00FD4728">
        <w:rPr>
          <w:sz w:val="24"/>
          <w:szCs w:val="24"/>
        </w:rPr>
        <w:tab/>
        <w:t>(03) 9653 2303</w:t>
      </w:r>
      <w:r w:rsidRPr="00FD4728">
        <w:rPr>
          <w:sz w:val="24"/>
          <w:szCs w:val="24"/>
        </w:rPr>
        <w:br/>
      </w:r>
      <w:r w:rsidRPr="008F04C9">
        <w:rPr>
          <w:sz w:val="24"/>
          <w:szCs w:val="24"/>
        </w:rPr>
        <w:t>Email:</w:t>
      </w:r>
      <w:r w:rsidRPr="008F04C9">
        <w:rPr>
          <w:sz w:val="24"/>
          <w:szCs w:val="24"/>
        </w:rPr>
        <w:tab/>
        <w:t>maps@pc.gov.au</w:t>
      </w:r>
    </w:p>
    <w:p w:rsidR="003E7802" w:rsidRDefault="003E7802" w:rsidP="003E7802">
      <w:pPr>
        <w:pStyle w:val="BodyText"/>
        <w:spacing w:before="320"/>
        <w:rPr>
          <w:b/>
          <w:sz w:val="24"/>
        </w:rPr>
      </w:pPr>
      <w:r>
        <w:rPr>
          <w:b/>
          <w:sz w:val="24"/>
        </w:rPr>
        <w:t>General Inquiries:</w:t>
      </w:r>
    </w:p>
    <w:p w:rsidR="003E7802" w:rsidRPr="008F04C9" w:rsidRDefault="003E7802" w:rsidP="003E7802">
      <w:pPr>
        <w:pStyle w:val="BodyText"/>
        <w:tabs>
          <w:tab w:val="left" w:pos="1134"/>
        </w:tabs>
        <w:spacing w:before="0" w:line="240" w:lineRule="auto"/>
        <w:rPr>
          <w:sz w:val="24"/>
          <w:szCs w:val="24"/>
        </w:rPr>
      </w:pPr>
      <w:r w:rsidRPr="008F04C9">
        <w:rPr>
          <w:sz w:val="24"/>
          <w:szCs w:val="24"/>
        </w:rPr>
        <w:t>Tel:</w:t>
      </w:r>
      <w:r w:rsidRPr="008F04C9">
        <w:rPr>
          <w:sz w:val="24"/>
          <w:szCs w:val="24"/>
        </w:rPr>
        <w:tab/>
        <w:t>(03) 9653 2100 or (02) 6240 3200</w:t>
      </w:r>
    </w:p>
    <w:p w:rsidR="003E7802" w:rsidRPr="008F04C9" w:rsidRDefault="003E7802" w:rsidP="003E7802">
      <w:pPr>
        <w:pStyle w:val="BodyText"/>
        <w:spacing w:before="360" w:line="240" w:lineRule="auto"/>
        <w:rPr>
          <w:b/>
          <w:sz w:val="24"/>
          <w:szCs w:val="24"/>
        </w:rPr>
      </w:pPr>
      <w:r w:rsidRPr="008F04C9">
        <w:rPr>
          <w:b/>
          <w:sz w:val="24"/>
          <w:szCs w:val="24"/>
        </w:rPr>
        <w:t>An appropriate citation for this paper is:</w:t>
      </w:r>
    </w:p>
    <w:p w:rsidR="001F65D4" w:rsidRPr="001F65D4" w:rsidRDefault="001F65D4" w:rsidP="001F65D4">
      <w:pPr>
        <w:spacing w:before="160" w:after="120"/>
        <w:jc w:val="both"/>
        <w:rPr>
          <w:sz w:val="24"/>
          <w:szCs w:val="24"/>
        </w:rPr>
      </w:pPr>
      <w:r w:rsidRPr="001F65D4">
        <w:rPr>
          <w:sz w:val="24"/>
          <w:szCs w:val="24"/>
        </w:rPr>
        <w:t xml:space="preserve">Shomos, A., Turner, E. and Will, L. 2013, </w:t>
      </w:r>
      <w:r w:rsidRPr="001F65D4">
        <w:rPr>
          <w:i/>
          <w:sz w:val="24"/>
          <w:szCs w:val="24"/>
        </w:rPr>
        <w:t>Forms of Work in Australia</w:t>
      </w:r>
      <w:r w:rsidRPr="001F65D4">
        <w:rPr>
          <w:sz w:val="24"/>
          <w:szCs w:val="24"/>
        </w:rPr>
        <w:t>, Productivity Commission Staff Working Paper, Canberra.</w:t>
      </w:r>
    </w:p>
    <w:p w:rsidR="001F65D4" w:rsidRPr="001F65D4" w:rsidRDefault="001F65D4" w:rsidP="001F65D4">
      <w:pPr>
        <w:spacing w:before="160" w:after="120"/>
        <w:jc w:val="both"/>
        <w:rPr>
          <w:sz w:val="20"/>
        </w:rPr>
      </w:pPr>
      <w:bookmarkStart w:id="1" w:name="JEL"/>
      <w:bookmarkEnd w:id="1"/>
      <w:proofErr w:type="spellStart"/>
      <w:r w:rsidRPr="001F65D4">
        <w:rPr>
          <w:sz w:val="20"/>
        </w:rPr>
        <w:t>JEL</w:t>
      </w:r>
      <w:proofErr w:type="spellEnd"/>
      <w:r w:rsidRPr="001F65D4">
        <w:rPr>
          <w:sz w:val="20"/>
        </w:rPr>
        <w:t xml:space="preserve"> code: </w:t>
      </w:r>
      <w:proofErr w:type="spellStart"/>
      <w:r w:rsidRPr="001F65D4">
        <w:rPr>
          <w:sz w:val="20"/>
        </w:rPr>
        <w:t>J210</w:t>
      </w:r>
      <w:proofErr w:type="spellEnd"/>
    </w:p>
    <w:p w:rsidR="003E7802" w:rsidRPr="00DC75C7" w:rsidRDefault="003E7802" w:rsidP="00F4234E">
      <w:pPr>
        <w:pStyle w:val="PCBoxHeading"/>
      </w:pPr>
      <w:r w:rsidRPr="00DC75C7">
        <w:t>The Productivity Commission</w:t>
      </w:r>
    </w:p>
    <w:p w:rsidR="003E7802" w:rsidRPr="00BB5DCF" w:rsidRDefault="003E7802" w:rsidP="00F4234E">
      <w:pPr>
        <w:pStyle w:val="PCBoxtext"/>
      </w:pPr>
      <w:r w:rsidRPr="00BB5DCF">
        <w:t>The Productivity Commission is the Australian Government’s independent research and advisory body on a range of economic, social and environmental issues affecting the welfare of Australians. Its role, expressed most simply, is to help governments make better policies, in the long term interest of the Australian community.</w:t>
      </w:r>
    </w:p>
    <w:p w:rsidR="003E7802" w:rsidRPr="00BB5DCF" w:rsidRDefault="003E7802" w:rsidP="00F4234E">
      <w:pPr>
        <w:pStyle w:val="PCBoxtext"/>
      </w:pPr>
      <w:r w:rsidRPr="00BB5DCF">
        <w:t>The Commission’s independence is underpinned by an Act of Parliament. Its processes and outputs are open to public scrutiny and are driven by concern for the wellbeing of the community as a whole.</w:t>
      </w:r>
    </w:p>
    <w:p w:rsidR="00735FEA" w:rsidRPr="00BB5DCF" w:rsidRDefault="003E7802" w:rsidP="003E7802">
      <w:pPr>
        <w:pStyle w:val="BodyText"/>
        <w:pBdr>
          <w:top w:val="single" w:sz="4" w:space="5" w:color="auto"/>
          <w:left w:val="single" w:sz="4" w:space="8" w:color="auto"/>
          <w:bottom w:val="single" w:sz="4" w:space="14" w:color="auto"/>
          <w:right w:val="single" w:sz="4" w:space="8" w:color="auto"/>
        </w:pBdr>
        <w:spacing w:before="160" w:line="240" w:lineRule="auto"/>
        <w:ind w:left="284" w:right="284"/>
        <w:rPr>
          <w:sz w:val="24"/>
          <w:szCs w:val="24"/>
        </w:rPr>
      </w:pPr>
      <w:r w:rsidRPr="00BB5DCF">
        <w:rPr>
          <w:sz w:val="24"/>
          <w:szCs w:val="24"/>
        </w:rPr>
        <w:t>Further information on the Productivity Commission can be obtained from the Commission’s website (www.pc.gov.au) or by contacting Media and Publications on (03) 9653 2244 or email: maps@pc.gov.au</w:t>
      </w:r>
    </w:p>
    <w:p w:rsidR="00735FEA" w:rsidRDefault="00735FEA">
      <w:pPr>
        <w:pStyle w:val="BodyText"/>
        <w:sectPr w:rsidR="00735FEA" w:rsidSect="008F7C50">
          <w:type w:val="oddPage"/>
          <w:pgSz w:w="11907" w:h="16840" w:code="9"/>
          <w:pgMar w:top="1418" w:right="1304" w:bottom="567" w:left="1814" w:header="1701" w:footer="567" w:gutter="0"/>
          <w:pgNumType w:fmt="lowerRoman" w:start="1"/>
          <w:cols w:space="720"/>
          <w:titlePg/>
        </w:sectPr>
      </w:pPr>
      <w:bookmarkStart w:id="2" w:name="cov"/>
      <w:bookmarkEnd w:id="2"/>
    </w:p>
    <w:p w:rsidR="001F65D4" w:rsidRDefault="00735FEA" w:rsidP="001F65D4">
      <w:pPr>
        <w:pStyle w:val="Heading1NotTOC"/>
        <w:rPr>
          <w:noProof/>
        </w:rPr>
      </w:pPr>
      <w:bookmarkStart w:id="3" w:name="Contents"/>
      <w:bookmarkEnd w:id="3"/>
      <w:r w:rsidRPr="00B153C3">
        <w:lastRenderedPageBreak/>
        <w:t>Contents</w:t>
      </w:r>
      <w:bookmarkStart w:id="4" w:name="InsertContents"/>
      <w:bookmarkEnd w:id="4"/>
      <w:r w:rsidR="001F65D4" w:rsidRPr="001F65D4">
        <w:rPr>
          <w:noProof/>
        </w:rPr>
        <w:t xml:space="preserve"> </w:t>
      </w:r>
    </w:p>
    <w:p w:rsidR="001F65D4" w:rsidRDefault="001F65D4" w:rsidP="001F65D4">
      <w:pPr>
        <w:pStyle w:val="TOC1"/>
        <w:spacing w:before="100"/>
        <w:rPr>
          <w:rFonts w:asciiTheme="minorHAnsi" w:eastAsiaTheme="minorEastAsia" w:hAnsiTheme="minorHAnsi" w:cstheme="minorBidi"/>
          <w:b w:val="0"/>
          <w:noProof/>
          <w:sz w:val="22"/>
          <w:szCs w:val="22"/>
          <w:lang w:eastAsia="en-AU"/>
        </w:rPr>
      </w:pPr>
      <w:r>
        <w:rPr>
          <w:noProof/>
        </w:rPr>
        <w:t>Acknowledgments</w:t>
      </w:r>
      <w:r>
        <w:rPr>
          <w:noProof/>
        </w:rPr>
        <w:tab/>
        <w:t>v</w:t>
      </w:r>
    </w:p>
    <w:p w:rsidR="001F65D4" w:rsidRDefault="001F65D4" w:rsidP="001F65D4">
      <w:pPr>
        <w:pStyle w:val="TOC1"/>
        <w:spacing w:before="100"/>
        <w:rPr>
          <w:rFonts w:asciiTheme="minorHAnsi" w:eastAsiaTheme="minorEastAsia" w:hAnsiTheme="minorHAnsi" w:cstheme="minorBidi"/>
          <w:b w:val="0"/>
          <w:noProof/>
          <w:sz w:val="22"/>
          <w:szCs w:val="22"/>
          <w:lang w:eastAsia="en-AU"/>
        </w:rPr>
      </w:pPr>
      <w:r>
        <w:rPr>
          <w:noProof/>
        </w:rPr>
        <w:t>Abbreviations</w:t>
      </w:r>
      <w:r>
        <w:rPr>
          <w:noProof/>
        </w:rPr>
        <w:tab/>
        <w:t>vi</w:t>
      </w:r>
    </w:p>
    <w:p w:rsidR="001F65D4" w:rsidRDefault="001F65D4" w:rsidP="001F65D4">
      <w:pPr>
        <w:pStyle w:val="TOC1"/>
        <w:spacing w:before="100"/>
        <w:rPr>
          <w:rFonts w:asciiTheme="minorHAnsi" w:eastAsiaTheme="minorEastAsia" w:hAnsiTheme="minorHAnsi" w:cstheme="minorBidi"/>
          <w:b w:val="0"/>
          <w:noProof/>
          <w:sz w:val="22"/>
          <w:szCs w:val="22"/>
          <w:lang w:eastAsia="en-AU"/>
        </w:rPr>
      </w:pPr>
      <w:r>
        <w:rPr>
          <w:noProof/>
        </w:rPr>
        <w:t>Glossary</w:t>
      </w:r>
      <w:r>
        <w:rPr>
          <w:noProof/>
        </w:rPr>
        <w:tab/>
        <w:t>vii</w:t>
      </w:r>
    </w:p>
    <w:p w:rsidR="001F65D4" w:rsidRDefault="001F65D4" w:rsidP="001F65D4">
      <w:pPr>
        <w:pStyle w:val="TOC2"/>
        <w:spacing w:before="100"/>
        <w:rPr>
          <w:rFonts w:asciiTheme="minorHAnsi" w:eastAsiaTheme="minorEastAsia" w:hAnsiTheme="minorHAnsi" w:cstheme="minorBidi"/>
          <w:noProof/>
          <w:sz w:val="22"/>
          <w:szCs w:val="22"/>
          <w:lang w:eastAsia="en-AU"/>
        </w:rPr>
      </w:pPr>
      <w:r>
        <w:rPr>
          <w:noProof/>
        </w:rPr>
        <w:t>Concepts</w:t>
      </w:r>
      <w:r>
        <w:rPr>
          <w:noProof/>
        </w:rPr>
        <w:tab/>
        <w:t>vii</w:t>
      </w:r>
    </w:p>
    <w:p w:rsidR="001F65D4" w:rsidRDefault="001F65D4" w:rsidP="001F65D4">
      <w:pPr>
        <w:pStyle w:val="TOC2"/>
        <w:spacing w:before="100"/>
        <w:rPr>
          <w:rFonts w:asciiTheme="minorHAnsi" w:eastAsiaTheme="minorEastAsia" w:hAnsiTheme="minorHAnsi" w:cstheme="minorBidi"/>
          <w:noProof/>
          <w:sz w:val="22"/>
          <w:szCs w:val="22"/>
          <w:lang w:eastAsia="en-AU"/>
        </w:rPr>
      </w:pPr>
      <w:r>
        <w:rPr>
          <w:noProof/>
        </w:rPr>
        <w:t>ABS measures</w:t>
      </w:r>
      <w:r>
        <w:rPr>
          <w:noProof/>
        </w:rPr>
        <w:tab/>
        <w:t>ix</w:t>
      </w:r>
    </w:p>
    <w:p w:rsidR="001F65D4" w:rsidRPr="007C175C" w:rsidRDefault="001F65D4" w:rsidP="001F65D4">
      <w:pPr>
        <w:pStyle w:val="TOC1"/>
        <w:spacing w:before="100"/>
        <w:rPr>
          <w:noProof/>
        </w:rPr>
      </w:pPr>
      <w:r>
        <w:rPr>
          <w:noProof/>
        </w:rPr>
        <w:t>Key points</w:t>
      </w:r>
      <w:r>
        <w:rPr>
          <w:noProof/>
        </w:rPr>
        <w:tab/>
        <w:t>xii</w:t>
      </w:r>
    </w:p>
    <w:p w:rsidR="001F65D4" w:rsidRDefault="001F65D4" w:rsidP="001F65D4">
      <w:pPr>
        <w:pStyle w:val="TOC1"/>
        <w:spacing w:before="100"/>
        <w:rPr>
          <w:rFonts w:asciiTheme="minorHAnsi" w:eastAsiaTheme="minorEastAsia" w:hAnsiTheme="minorHAnsi" w:cstheme="minorBidi"/>
          <w:b w:val="0"/>
          <w:noProof/>
          <w:sz w:val="22"/>
          <w:szCs w:val="22"/>
          <w:lang w:eastAsia="en-AU"/>
        </w:rPr>
      </w:pPr>
      <w:r>
        <w:rPr>
          <w:noProof/>
        </w:rPr>
        <w:t>1</w:t>
      </w:r>
      <w:r>
        <w:rPr>
          <w:rFonts w:asciiTheme="minorHAnsi" w:eastAsiaTheme="minorEastAsia" w:hAnsiTheme="minorHAnsi" w:cstheme="minorBidi"/>
          <w:b w:val="0"/>
          <w:noProof/>
          <w:sz w:val="22"/>
          <w:szCs w:val="22"/>
          <w:lang w:eastAsia="en-AU"/>
        </w:rPr>
        <w:tab/>
      </w:r>
      <w:r>
        <w:rPr>
          <w:noProof/>
        </w:rPr>
        <w:t>Introduction</w:t>
      </w:r>
      <w:r>
        <w:rPr>
          <w:noProof/>
        </w:rPr>
        <w:tab/>
        <w:t>1</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1.1</w:t>
      </w:r>
      <w:r>
        <w:rPr>
          <w:rFonts w:asciiTheme="minorHAnsi" w:eastAsiaTheme="minorEastAsia" w:hAnsiTheme="minorHAnsi" w:cstheme="minorBidi"/>
          <w:noProof/>
          <w:sz w:val="22"/>
          <w:szCs w:val="22"/>
          <w:lang w:eastAsia="en-AU"/>
        </w:rPr>
        <w:tab/>
      </w:r>
      <w:r>
        <w:rPr>
          <w:noProof/>
        </w:rPr>
        <w:t>Why are different forms of work of interest?</w:t>
      </w:r>
      <w:r>
        <w:rPr>
          <w:noProof/>
        </w:rPr>
        <w:tab/>
        <w:t>2</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1.2</w:t>
      </w:r>
      <w:r>
        <w:rPr>
          <w:rFonts w:asciiTheme="minorHAnsi" w:eastAsiaTheme="minorEastAsia" w:hAnsiTheme="minorHAnsi" w:cstheme="minorBidi"/>
          <w:noProof/>
          <w:sz w:val="22"/>
          <w:szCs w:val="22"/>
          <w:lang w:eastAsia="en-AU"/>
        </w:rPr>
        <w:tab/>
      </w:r>
      <w:r>
        <w:rPr>
          <w:noProof/>
        </w:rPr>
        <w:t>Forms of work analysed in this paper</w:t>
      </w:r>
      <w:r>
        <w:rPr>
          <w:noProof/>
        </w:rPr>
        <w:tab/>
        <w:t>5</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1.3</w:t>
      </w:r>
      <w:r>
        <w:rPr>
          <w:rFonts w:asciiTheme="minorHAnsi" w:eastAsiaTheme="minorEastAsia" w:hAnsiTheme="minorHAnsi" w:cstheme="minorBidi"/>
          <w:noProof/>
          <w:sz w:val="22"/>
          <w:szCs w:val="22"/>
          <w:lang w:eastAsia="en-AU"/>
        </w:rPr>
        <w:tab/>
      </w:r>
      <w:r>
        <w:rPr>
          <w:noProof/>
        </w:rPr>
        <w:t>Research questions addressed in this paper</w:t>
      </w:r>
      <w:r>
        <w:rPr>
          <w:noProof/>
        </w:rPr>
        <w:tab/>
        <w:t>8</w:t>
      </w:r>
    </w:p>
    <w:p w:rsidR="001F65D4" w:rsidRDefault="001F65D4" w:rsidP="001F65D4">
      <w:pPr>
        <w:pStyle w:val="TOC1"/>
        <w:spacing w:before="100"/>
        <w:rPr>
          <w:rFonts w:asciiTheme="minorHAnsi" w:eastAsiaTheme="minorEastAsia" w:hAnsiTheme="minorHAnsi" w:cstheme="minorBidi"/>
          <w:b w:val="0"/>
          <w:noProof/>
          <w:sz w:val="22"/>
          <w:szCs w:val="22"/>
          <w:lang w:eastAsia="en-AU"/>
        </w:rPr>
      </w:pPr>
      <w:r>
        <w:rPr>
          <w:noProof/>
        </w:rPr>
        <w:t>2</w:t>
      </w:r>
      <w:r>
        <w:rPr>
          <w:rFonts w:asciiTheme="minorHAnsi" w:eastAsiaTheme="minorEastAsia" w:hAnsiTheme="minorHAnsi" w:cstheme="minorBidi"/>
          <w:b w:val="0"/>
          <w:noProof/>
          <w:sz w:val="22"/>
          <w:szCs w:val="22"/>
          <w:lang w:eastAsia="en-AU"/>
        </w:rPr>
        <w:tab/>
      </w:r>
      <w:r>
        <w:rPr>
          <w:noProof/>
        </w:rPr>
        <w:t>Determinants of forms of work</w:t>
      </w:r>
      <w:r>
        <w:rPr>
          <w:noProof/>
        </w:rPr>
        <w:tab/>
        <w:t>9</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2.1</w:t>
      </w:r>
      <w:r>
        <w:rPr>
          <w:rFonts w:asciiTheme="minorHAnsi" w:eastAsiaTheme="minorEastAsia" w:hAnsiTheme="minorHAnsi" w:cstheme="minorBidi"/>
          <w:noProof/>
          <w:sz w:val="22"/>
          <w:szCs w:val="22"/>
          <w:lang w:eastAsia="en-AU"/>
        </w:rPr>
        <w:tab/>
      </w:r>
      <w:r>
        <w:rPr>
          <w:noProof/>
        </w:rPr>
        <w:t>Labour markets</w:t>
      </w:r>
      <w:r>
        <w:rPr>
          <w:noProof/>
        </w:rPr>
        <w:tab/>
        <w:t>9</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2.2</w:t>
      </w:r>
      <w:r>
        <w:rPr>
          <w:rFonts w:asciiTheme="minorHAnsi" w:eastAsiaTheme="minorEastAsia" w:hAnsiTheme="minorHAnsi" w:cstheme="minorBidi"/>
          <w:noProof/>
          <w:sz w:val="22"/>
          <w:szCs w:val="22"/>
          <w:lang w:eastAsia="en-AU"/>
        </w:rPr>
        <w:tab/>
      </w:r>
      <w:r>
        <w:rPr>
          <w:noProof/>
        </w:rPr>
        <w:t>Demand for different FOWs</w:t>
      </w:r>
      <w:r>
        <w:rPr>
          <w:noProof/>
        </w:rPr>
        <w:tab/>
        <w:t>10</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2.3</w:t>
      </w:r>
      <w:r>
        <w:rPr>
          <w:rFonts w:asciiTheme="minorHAnsi" w:eastAsiaTheme="minorEastAsia" w:hAnsiTheme="minorHAnsi" w:cstheme="minorBidi"/>
          <w:noProof/>
          <w:sz w:val="22"/>
          <w:szCs w:val="22"/>
          <w:lang w:eastAsia="en-AU"/>
        </w:rPr>
        <w:tab/>
      </w:r>
      <w:r>
        <w:rPr>
          <w:noProof/>
        </w:rPr>
        <w:t>Supply of labour to different FOWs</w:t>
      </w:r>
      <w:r>
        <w:rPr>
          <w:noProof/>
        </w:rPr>
        <w:tab/>
        <w:t>23</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2.4</w:t>
      </w:r>
      <w:r>
        <w:rPr>
          <w:rFonts w:asciiTheme="minorHAnsi" w:eastAsiaTheme="minorEastAsia" w:hAnsiTheme="minorHAnsi" w:cstheme="minorBidi"/>
          <w:noProof/>
          <w:sz w:val="22"/>
          <w:szCs w:val="22"/>
          <w:lang w:eastAsia="en-AU"/>
        </w:rPr>
        <w:tab/>
      </w:r>
      <w:r>
        <w:rPr>
          <w:noProof/>
        </w:rPr>
        <w:t>Summary</w:t>
      </w:r>
      <w:r>
        <w:rPr>
          <w:noProof/>
        </w:rPr>
        <w:tab/>
        <w:t>29</w:t>
      </w:r>
    </w:p>
    <w:p w:rsidR="001F65D4" w:rsidRDefault="001F65D4" w:rsidP="001F65D4">
      <w:pPr>
        <w:pStyle w:val="TOC1"/>
        <w:spacing w:before="100"/>
        <w:rPr>
          <w:rFonts w:asciiTheme="minorHAnsi" w:eastAsiaTheme="minorEastAsia" w:hAnsiTheme="minorHAnsi" w:cstheme="minorBidi"/>
          <w:b w:val="0"/>
          <w:noProof/>
          <w:sz w:val="22"/>
          <w:szCs w:val="22"/>
          <w:lang w:eastAsia="en-AU"/>
        </w:rPr>
      </w:pPr>
      <w:r>
        <w:rPr>
          <w:noProof/>
        </w:rPr>
        <w:t>3</w:t>
      </w:r>
      <w:r>
        <w:rPr>
          <w:rFonts w:asciiTheme="minorHAnsi" w:eastAsiaTheme="minorEastAsia" w:hAnsiTheme="minorHAnsi" w:cstheme="minorBidi"/>
          <w:b w:val="0"/>
          <w:noProof/>
          <w:sz w:val="22"/>
          <w:szCs w:val="22"/>
          <w:lang w:eastAsia="en-AU"/>
        </w:rPr>
        <w:tab/>
      </w:r>
      <w:r>
        <w:rPr>
          <w:noProof/>
        </w:rPr>
        <w:t>The prevalence of forms of work</w:t>
      </w:r>
      <w:r>
        <w:rPr>
          <w:noProof/>
        </w:rPr>
        <w:tab/>
        <w:t>31</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3.1</w:t>
      </w:r>
      <w:r>
        <w:rPr>
          <w:rFonts w:asciiTheme="minorHAnsi" w:eastAsiaTheme="minorEastAsia" w:hAnsiTheme="minorHAnsi" w:cstheme="minorBidi"/>
          <w:noProof/>
          <w:sz w:val="22"/>
          <w:szCs w:val="22"/>
          <w:lang w:eastAsia="en-AU"/>
        </w:rPr>
        <w:tab/>
      </w:r>
      <w:r>
        <w:rPr>
          <w:noProof/>
        </w:rPr>
        <w:t>Changes in forms of work over the 30 years to 2011</w:t>
      </w:r>
      <w:r>
        <w:rPr>
          <w:noProof/>
        </w:rPr>
        <w:tab/>
        <w:t>33</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3.2</w:t>
      </w:r>
      <w:r>
        <w:rPr>
          <w:rFonts w:asciiTheme="minorHAnsi" w:eastAsiaTheme="minorEastAsia" w:hAnsiTheme="minorHAnsi" w:cstheme="minorBidi"/>
          <w:noProof/>
          <w:sz w:val="22"/>
          <w:szCs w:val="22"/>
          <w:lang w:eastAsia="en-AU"/>
        </w:rPr>
        <w:tab/>
      </w:r>
      <w:r>
        <w:rPr>
          <w:noProof/>
        </w:rPr>
        <w:t>Changes in forms of work over the decade to 2011</w:t>
      </w:r>
      <w:r>
        <w:rPr>
          <w:noProof/>
        </w:rPr>
        <w:tab/>
        <w:t>34</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3.3</w:t>
      </w:r>
      <w:r>
        <w:rPr>
          <w:rFonts w:asciiTheme="minorHAnsi" w:eastAsiaTheme="minorEastAsia" w:hAnsiTheme="minorHAnsi" w:cstheme="minorBidi"/>
          <w:noProof/>
          <w:sz w:val="22"/>
          <w:szCs w:val="22"/>
          <w:lang w:eastAsia="en-AU"/>
        </w:rPr>
        <w:tab/>
      </w:r>
      <w:r>
        <w:rPr>
          <w:noProof/>
        </w:rPr>
        <w:t>Summary</w:t>
      </w:r>
      <w:r>
        <w:rPr>
          <w:noProof/>
        </w:rPr>
        <w:tab/>
        <w:t>39</w:t>
      </w:r>
    </w:p>
    <w:p w:rsidR="001F65D4" w:rsidRDefault="001F65D4" w:rsidP="001F65D4">
      <w:pPr>
        <w:pStyle w:val="TOC1"/>
        <w:spacing w:before="100"/>
        <w:rPr>
          <w:rFonts w:asciiTheme="minorHAnsi" w:eastAsiaTheme="minorEastAsia" w:hAnsiTheme="minorHAnsi" w:cstheme="minorBidi"/>
          <w:b w:val="0"/>
          <w:noProof/>
          <w:sz w:val="22"/>
          <w:szCs w:val="22"/>
          <w:lang w:eastAsia="en-AU"/>
        </w:rPr>
      </w:pPr>
      <w:r>
        <w:rPr>
          <w:noProof/>
        </w:rPr>
        <w:t>4</w:t>
      </w:r>
      <w:r>
        <w:rPr>
          <w:rFonts w:asciiTheme="minorHAnsi" w:eastAsiaTheme="minorEastAsia" w:hAnsiTheme="minorHAnsi" w:cstheme="minorBidi"/>
          <w:b w:val="0"/>
          <w:noProof/>
          <w:sz w:val="22"/>
          <w:szCs w:val="22"/>
          <w:lang w:eastAsia="en-AU"/>
        </w:rPr>
        <w:tab/>
      </w:r>
      <w:r w:rsidRPr="001B2409">
        <w:rPr>
          <w:noProof/>
          <w:spacing w:val="-2"/>
        </w:rPr>
        <w:t>Why might the prevalence of different forms of work have changed?</w:t>
      </w:r>
      <w:r>
        <w:rPr>
          <w:noProof/>
        </w:rPr>
        <w:tab/>
        <w:t>41</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4.1</w:t>
      </w:r>
      <w:r>
        <w:rPr>
          <w:rFonts w:asciiTheme="minorHAnsi" w:eastAsiaTheme="minorEastAsia" w:hAnsiTheme="minorHAnsi" w:cstheme="minorBidi"/>
          <w:noProof/>
          <w:sz w:val="22"/>
          <w:szCs w:val="22"/>
          <w:lang w:eastAsia="en-AU"/>
        </w:rPr>
        <w:tab/>
      </w:r>
      <w:r>
        <w:rPr>
          <w:noProof/>
        </w:rPr>
        <w:t>Changes in the labour market over the 2000s</w:t>
      </w:r>
      <w:r>
        <w:rPr>
          <w:noProof/>
        </w:rPr>
        <w:tab/>
        <w:t>42</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4.2</w:t>
      </w:r>
      <w:r>
        <w:rPr>
          <w:rFonts w:asciiTheme="minorHAnsi" w:eastAsiaTheme="minorEastAsia" w:hAnsiTheme="minorHAnsi" w:cstheme="minorBidi"/>
          <w:noProof/>
          <w:sz w:val="22"/>
          <w:szCs w:val="22"/>
          <w:lang w:eastAsia="en-AU"/>
        </w:rPr>
        <w:tab/>
      </w:r>
      <w:r>
        <w:rPr>
          <w:noProof/>
        </w:rPr>
        <w:t>Some hypotheses about the determinants of changes in the prevalence of different FOWs</w:t>
      </w:r>
      <w:r>
        <w:rPr>
          <w:noProof/>
        </w:rPr>
        <w:tab/>
        <w:t>50</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4.3</w:t>
      </w:r>
      <w:r>
        <w:rPr>
          <w:rFonts w:asciiTheme="minorHAnsi" w:eastAsiaTheme="minorEastAsia" w:hAnsiTheme="minorHAnsi" w:cstheme="minorBidi"/>
          <w:noProof/>
          <w:sz w:val="22"/>
          <w:szCs w:val="22"/>
          <w:lang w:eastAsia="en-AU"/>
        </w:rPr>
        <w:tab/>
      </w:r>
      <w:r>
        <w:rPr>
          <w:noProof/>
        </w:rPr>
        <w:t>Decomposing changes in each form of work</w:t>
      </w:r>
      <w:r>
        <w:rPr>
          <w:noProof/>
        </w:rPr>
        <w:tab/>
        <w:t>53</w:t>
      </w:r>
    </w:p>
    <w:p w:rsidR="001F65D4" w:rsidRDefault="001F65D4" w:rsidP="001F65D4">
      <w:pPr>
        <w:pStyle w:val="TOC2"/>
        <w:tabs>
          <w:tab w:val="left" w:pos="1190"/>
        </w:tabs>
        <w:spacing w:before="100"/>
        <w:ind w:right="284"/>
        <w:rPr>
          <w:rFonts w:asciiTheme="minorHAnsi" w:eastAsiaTheme="minorEastAsia" w:hAnsiTheme="minorHAnsi" w:cstheme="minorBidi"/>
          <w:noProof/>
          <w:sz w:val="22"/>
          <w:szCs w:val="22"/>
          <w:lang w:eastAsia="en-AU"/>
        </w:rPr>
      </w:pPr>
      <w:r>
        <w:rPr>
          <w:noProof/>
        </w:rPr>
        <w:t>4.4</w:t>
      </w:r>
      <w:r>
        <w:rPr>
          <w:rFonts w:asciiTheme="minorHAnsi" w:eastAsiaTheme="minorEastAsia" w:hAnsiTheme="minorHAnsi" w:cstheme="minorBidi"/>
          <w:noProof/>
          <w:sz w:val="22"/>
          <w:szCs w:val="22"/>
          <w:lang w:eastAsia="en-AU"/>
        </w:rPr>
        <w:tab/>
      </w:r>
      <w:r w:rsidRPr="00CB4755">
        <w:rPr>
          <w:noProof/>
          <w:spacing w:val="-2"/>
        </w:rPr>
        <w:t>The evidence on factors that effect changes in the prevalence of FOWs</w:t>
      </w:r>
      <w:r>
        <w:rPr>
          <w:noProof/>
        </w:rPr>
        <w:tab/>
        <w:t>56</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4.5</w:t>
      </w:r>
      <w:r>
        <w:rPr>
          <w:rFonts w:asciiTheme="minorHAnsi" w:eastAsiaTheme="minorEastAsia" w:hAnsiTheme="minorHAnsi" w:cstheme="minorBidi"/>
          <w:noProof/>
          <w:sz w:val="22"/>
          <w:szCs w:val="22"/>
          <w:lang w:eastAsia="en-AU"/>
        </w:rPr>
        <w:tab/>
      </w:r>
      <w:r>
        <w:rPr>
          <w:noProof/>
        </w:rPr>
        <w:t>What could explain the observed shift effects?</w:t>
      </w:r>
      <w:r>
        <w:rPr>
          <w:noProof/>
        </w:rPr>
        <w:tab/>
        <w:t>64</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lastRenderedPageBreak/>
        <w:t>4.6</w:t>
      </w:r>
      <w:r>
        <w:rPr>
          <w:rFonts w:asciiTheme="minorHAnsi" w:eastAsiaTheme="minorEastAsia" w:hAnsiTheme="minorHAnsi" w:cstheme="minorBidi"/>
          <w:noProof/>
          <w:sz w:val="22"/>
          <w:szCs w:val="22"/>
          <w:lang w:eastAsia="en-AU"/>
        </w:rPr>
        <w:tab/>
      </w:r>
      <w:r>
        <w:rPr>
          <w:noProof/>
        </w:rPr>
        <w:t>Some directions for future research</w:t>
      </w:r>
      <w:r>
        <w:rPr>
          <w:noProof/>
        </w:rPr>
        <w:tab/>
        <w:t>67</w:t>
      </w:r>
    </w:p>
    <w:p w:rsidR="001F65D4" w:rsidRDefault="001F65D4" w:rsidP="001F65D4">
      <w:pPr>
        <w:pStyle w:val="TOC1"/>
        <w:spacing w:before="100"/>
        <w:rPr>
          <w:rFonts w:asciiTheme="minorHAnsi" w:eastAsiaTheme="minorEastAsia" w:hAnsiTheme="minorHAnsi" w:cstheme="minorBidi"/>
          <w:b w:val="0"/>
          <w:noProof/>
          <w:sz w:val="22"/>
          <w:szCs w:val="22"/>
          <w:lang w:eastAsia="en-AU"/>
        </w:rPr>
      </w:pPr>
      <w:r>
        <w:rPr>
          <w:noProof/>
        </w:rPr>
        <w:t>A</w:t>
      </w:r>
      <w:r>
        <w:rPr>
          <w:rFonts w:asciiTheme="minorHAnsi" w:eastAsiaTheme="minorEastAsia" w:hAnsiTheme="minorHAnsi" w:cstheme="minorBidi"/>
          <w:b w:val="0"/>
          <w:noProof/>
          <w:sz w:val="22"/>
          <w:szCs w:val="22"/>
          <w:lang w:eastAsia="en-AU"/>
        </w:rPr>
        <w:tab/>
      </w:r>
      <w:r>
        <w:rPr>
          <w:noProof/>
        </w:rPr>
        <w:t>Data sources</w:t>
      </w:r>
      <w:r>
        <w:rPr>
          <w:noProof/>
        </w:rPr>
        <w:tab/>
        <w:t>69</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A.1</w:t>
      </w:r>
      <w:r>
        <w:rPr>
          <w:rFonts w:asciiTheme="minorHAnsi" w:eastAsiaTheme="minorEastAsia" w:hAnsiTheme="minorHAnsi" w:cstheme="minorBidi"/>
          <w:noProof/>
          <w:sz w:val="22"/>
          <w:szCs w:val="22"/>
          <w:lang w:eastAsia="en-AU"/>
        </w:rPr>
        <w:tab/>
      </w:r>
      <w:r>
        <w:rPr>
          <w:noProof/>
        </w:rPr>
        <w:t>Data that might be used in estimating changes in prevalence</w:t>
      </w:r>
      <w:r>
        <w:rPr>
          <w:noProof/>
        </w:rPr>
        <w:tab/>
        <w:t>70</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A.2</w:t>
      </w:r>
      <w:r>
        <w:rPr>
          <w:rFonts w:asciiTheme="minorHAnsi" w:eastAsiaTheme="minorEastAsia" w:hAnsiTheme="minorHAnsi" w:cstheme="minorBidi"/>
          <w:noProof/>
          <w:sz w:val="22"/>
          <w:szCs w:val="22"/>
          <w:lang w:eastAsia="en-AU"/>
        </w:rPr>
        <w:tab/>
      </w:r>
      <w:r>
        <w:rPr>
          <w:noProof/>
        </w:rPr>
        <w:t>Data used in the shift–share analysis</w:t>
      </w:r>
      <w:r>
        <w:rPr>
          <w:noProof/>
        </w:rPr>
        <w:tab/>
        <w:t>74</w:t>
      </w:r>
    </w:p>
    <w:p w:rsidR="001F65D4" w:rsidRDefault="001F65D4" w:rsidP="001F65D4">
      <w:pPr>
        <w:pStyle w:val="TOC1"/>
        <w:spacing w:before="100"/>
        <w:rPr>
          <w:rFonts w:asciiTheme="minorHAnsi" w:eastAsiaTheme="minorEastAsia" w:hAnsiTheme="minorHAnsi" w:cstheme="minorBidi"/>
          <w:b w:val="0"/>
          <w:noProof/>
          <w:sz w:val="22"/>
          <w:szCs w:val="22"/>
          <w:lang w:eastAsia="en-AU"/>
        </w:rPr>
      </w:pPr>
      <w:r>
        <w:rPr>
          <w:noProof/>
        </w:rPr>
        <w:t>B</w:t>
      </w:r>
      <w:r>
        <w:rPr>
          <w:rFonts w:asciiTheme="minorHAnsi" w:eastAsiaTheme="minorEastAsia" w:hAnsiTheme="minorHAnsi" w:cstheme="minorBidi"/>
          <w:b w:val="0"/>
          <w:noProof/>
          <w:sz w:val="22"/>
          <w:szCs w:val="22"/>
          <w:lang w:eastAsia="en-AU"/>
        </w:rPr>
        <w:tab/>
      </w:r>
      <w:r>
        <w:rPr>
          <w:noProof/>
        </w:rPr>
        <w:t>Changes in the prevalence of forms of work</w:t>
      </w:r>
      <w:r>
        <w:rPr>
          <w:noProof/>
        </w:rPr>
        <w:tab/>
        <w:t>77</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B.1</w:t>
      </w:r>
      <w:r>
        <w:rPr>
          <w:rFonts w:asciiTheme="minorHAnsi" w:eastAsiaTheme="minorEastAsia" w:hAnsiTheme="minorHAnsi" w:cstheme="minorBidi"/>
          <w:noProof/>
          <w:sz w:val="22"/>
          <w:szCs w:val="22"/>
          <w:lang w:eastAsia="en-AU"/>
        </w:rPr>
        <w:tab/>
      </w:r>
      <w:r>
        <w:rPr>
          <w:noProof/>
        </w:rPr>
        <w:t>Prevalence changes in broad forms of work, 1982 to 2011</w:t>
      </w:r>
      <w:r>
        <w:rPr>
          <w:noProof/>
        </w:rPr>
        <w:tab/>
        <w:t>77</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B.2</w:t>
      </w:r>
      <w:r>
        <w:rPr>
          <w:rFonts w:asciiTheme="minorHAnsi" w:eastAsiaTheme="minorEastAsia" w:hAnsiTheme="minorHAnsi" w:cstheme="minorBidi"/>
          <w:noProof/>
          <w:sz w:val="22"/>
          <w:szCs w:val="22"/>
          <w:lang w:eastAsia="en-AU"/>
        </w:rPr>
        <w:tab/>
      </w:r>
      <w:r>
        <w:rPr>
          <w:noProof/>
        </w:rPr>
        <w:t>Prevalence changes in forms of work between 2001 and 2011</w:t>
      </w:r>
      <w:r>
        <w:rPr>
          <w:noProof/>
        </w:rPr>
        <w:tab/>
        <w:t>78</w:t>
      </w:r>
    </w:p>
    <w:p w:rsidR="001F65D4" w:rsidRDefault="001F65D4" w:rsidP="001F65D4">
      <w:pPr>
        <w:pStyle w:val="TOC1"/>
        <w:spacing w:before="100"/>
        <w:rPr>
          <w:rFonts w:asciiTheme="minorHAnsi" w:eastAsiaTheme="minorEastAsia" w:hAnsiTheme="minorHAnsi" w:cstheme="minorBidi"/>
          <w:b w:val="0"/>
          <w:noProof/>
          <w:sz w:val="22"/>
          <w:szCs w:val="22"/>
          <w:lang w:eastAsia="en-AU"/>
        </w:rPr>
      </w:pPr>
      <w:r>
        <w:rPr>
          <w:noProof/>
        </w:rPr>
        <w:t>C</w:t>
      </w:r>
      <w:r>
        <w:rPr>
          <w:rFonts w:asciiTheme="minorHAnsi" w:eastAsiaTheme="minorEastAsia" w:hAnsiTheme="minorHAnsi" w:cstheme="minorBidi"/>
          <w:b w:val="0"/>
          <w:noProof/>
          <w:sz w:val="22"/>
          <w:szCs w:val="22"/>
          <w:lang w:eastAsia="en-AU"/>
        </w:rPr>
        <w:tab/>
      </w:r>
      <w:r w:rsidRPr="00CB4755">
        <w:rPr>
          <w:noProof/>
          <w:spacing w:val="-2"/>
        </w:rPr>
        <w:t>Evidence for independent contractors and other business operators</w:t>
      </w:r>
      <w:r>
        <w:rPr>
          <w:noProof/>
        </w:rPr>
        <w:tab/>
        <w:t>87</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C.1</w:t>
      </w:r>
      <w:r>
        <w:rPr>
          <w:rFonts w:asciiTheme="minorHAnsi" w:eastAsiaTheme="minorEastAsia" w:hAnsiTheme="minorHAnsi" w:cstheme="minorBidi"/>
          <w:noProof/>
          <w:sz w:val="22"/>
          <w:szCs w:val="22"/>
          <w:lang w:eastAsia="en-AU"/>
        </w:rPr>
        <w:tab/>
      </w:r>
      <w:r>
        <w:rPr>
          <w:noProof/>
        </w:rPr>
        <w:t>Definitions and measurement of contractors</w:t>
      </w:r>
      <w:r>
        <w:rPr>
          <w:noProof/>
        </w:rPr>
        <w:tab/>
        <w:t>87</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C.2</w:t>
      </w:r>
      <w:r>
        <w:rPr>
          <w:rFonts w:asciiTheme="minorHAnsi" w:eastAsiaTheme="minorEastAsia" w:hAnsiTheme="minorHAnsi" w:cstheme="minorBidi"/>
          <w:noProof/>
          <w:sz w:val="22"/>
          <w:szCs w:val="22"/>
          <w:lang w:eastAsia="en-AU"/>
        </w:rPr>
        <w:tab/>
      </w:r>
      <w:r>
        <w:rPr>
          <w:noProof/>
        </w:rPr>
        <w:t>Changes in the prevalence of independent contractors and other business operators</w:t>
      </w:r>
      <w:r>
        <w:rPr>
          <w:noProof/>
        </w:rPr>
        <w:tab/>
        <w:t>88</w:t>
      </w:r>
    </w:p>
    <w:p w:rsidR="001F65D4" w:rsidRDefault="001F65D4" w:rsidP="001F65D4">
      <w:pPr>
        <w:pStyle w:val="TOC1"/>
        <w:spacing w:before="100"/>
        <w:rPr>
          <w:rFonts w:asciiTheme="minorHAnsi" w:eastAsiaTheme="minorEastAsia" w:hAnsiTheme="minorHAnsi" w:cstheme="minorBidi"/>
          <w:b w:val="0"/>
          <w:noProof/>
          <w:sz w:val="22"/>
          <w:szCs w:val="22"/>
          <w:lang w:eastAsia="en-AU"/>
        </w:rPr>
      </w:pPr>
      <w:r>
        <w:rPr>
          <w:noProof/>
        </w:rPr>
        <w:t>D</w:t>
      </w:r>
      <w:r>
        <w:rPr>
          <w:rFonts w:asciiTheme="minorHAnsi" w:eastAsiaTheme="minorEastAsia" w:hAnsiTheme="minorHAnsi" w:cstheme="minorBidi"/>
          <w:b w:val="0"/>
          <w:noProof/>
          <w:sz w:val="22"/>
          <w:szCs w:val="22"/>
          <w:lang w:eastAsia="en-AU"/>
        </w:rPr>
        <w:tab/>
      </w:r>
      <w:r>
        <w:rPr>
          <w:noProof/>
        </w:rPr>
        <w:t>Shift–share decomposition</w:t>
      </w:r>
      <w:r>
        <w:rPr>
          <w:noProof/>
        </w:rPr>
        <w:tab/>
        <w:t>91</w:t>
      </w:r>
    </w:p>
    <w:p w:rsidR="001F65D4" w:rsidRDefault="001F65D4" w:rsidP="001F65D4">
      <w:pPr>
        <w:pStyle w:val="TOC1"/>
        <w:spacing w:before="100"/>
        <w:rPr>
          <w:rFonts w:asciiTheme="minorHAnsi" w:eastAsiaTheme="minorEastAsia" w:hAnsiTheme="minorHAnsi" w:cstheme="minorBidi"/>
          <w:b w:val="0"/>
          <w:noProof/>
          <w:sz w:val="22"/>
          <w:szCs w:val="22"/>
          <w:lang w:eastAsia="en-AU"/>
        </w:rPr>
      </w:pPr>
      <w:r>
        <w:rPr>
          <w:noProof/>
        </w:rPr>
        <w:t>E</w:t>
      </w:r>
      <w:r>
        <w:rPr>
          <w:rFonts w:asciiTheme="minorHAnsi" w:eastAsiaTheme="minorEastAsia" w:hAnsiTheme="minorHAnsi" w:cstheme="minorBidi"/>
          <w:b w:val="0"/>
          <w:noProof/>
          <w:sz w:val="22"/>
          <w:szCs w:val="22"/>
          <w:lang w:eastAsia="en-AU"/>
        </w:rPr>
        <w:tab/>
      </w:r>
      <w:r>
        <w:rPr>
          <w:noProof/>
        </w:rPr>
        <w:t>Employment changes at a state level</w:t>
      </w:r>
      <w:r>
        <w:rPr>
          <w:noProof/>
        </w:rPr>
        <w:tab/>
        <w:t>93</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E.1</w:t>
      </w:r>
      <w:r>
        <w:rPr>
          <w:rFonts w:asciiTheme="minorHAnsi" w:eastAsiaTheme="minorEastAsia" w:hAnsiTheme="minorHAnsi" w:cstheme="minorBidi"/>
          <w:noProof/>
          <w:sz w:val="22"/>
          <w:szCs w:val="22"/>
          <w:lang w:eastAsia="en-AU"/>
        </w:rPr>
        <w:tab/>
      </w:r>
      <w:r>
        <w:rPr>
          <w:noProof/>
        </w:rPr>
        <w:t>Employment growth by state was uneven</w:t>
      </w:r>
      <w:r>
        <w:rPr>
          <w:noProof/>
        </w:rPr>
        <w:tab/>
        <w:t>93</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E.2</w:t>
      </w:r>
      <w:r>
        <w:rPr>
          <w:rFonts w:asciiTheme="minorHAnsi" w:eastAsiaTheme="minorEastAsia" w:hAnsiTheme="minorHAnsi" w:cstheme="minorBidi"/>
          <w:noProof/>
          <w:sz w:val="22"/>
          <w:szCs w:val="22"/>
          <w:lang w:eastAsia="en-AU"/>
        </w:rPr>
        <w:tab/>
      </w:r>
      <w:r>
        <w:rPr>
          <w:noProof/>
        </w:rPr>
        <w:t>Changes in forms of work by state</w:t>
      </w:r>
      <w:r>
        <w:rPr>
          <w:noProof/>
        </w:rPr>
        <w:tab/>
        <w:t>97</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E.3</w:t>
      </w:r>
      <w:r>
        <w:rPr>
          <w:rFonts w:asciiTheme="minorHAnsi" w:eastAsiaTheme="minorEastAsia" w:hAnsiTheme="minorHAnsi" w:cstheme="minorBidi"/>
          <w:noProof/>
          <w:sz w:val="22"/>
          <w:szCs w:val="22"/>
          <w:lang w:eastAsia="en-AU"/>
        </w:rPr>
        <w:tab/>
      </w:r>
      <w:r>
        <w:rPr>
          <w:noProof/>
        </w:rPr>
        <w:t>Patterns in FOW shift effects across the decade</w:t>
      </w:r>
      <w:r>
        <w:rPr>
          <w:noProof/>
        </w:rPr>
        <w:tab/>
        <w:t>101</w:t>
      </w:r>
    </w:p>
    <w:p w:rsidR="001F65D4" w:rsidRDefault="001F65D4" w:rsidP="001F65D4">
      <w:pPr>
        <w:pStyle w:val="TOC1"/>
        <w:spacing w:before="100"/>
        <w:rPr>
          <w:rFonts w:asciiTheme="minorHAnsi" w:eastAsiaTheme="minorEastAsia" w:hAnsiTheme="minorHAnsi" w:cstheme="minorBidi"/>
          <w:b w:val="0"/>
          <w:noProof/>
          <w:sz w:val="22"/>
          <w:szCs w:val="22"/>
          <w:lang w:eastAsia="en-AU"/>
        </w:rPr>
      </w:pPr>
      <w:r>
        <w:rPr>
          <w:noProof/>
        </w:rPr>
        <w:t>F</w:t>
      </w:r>
      <w:r>
        <w:rPr>
          <w:rFonts w:asciiTheme="minorHAnsi" w:eastAsiaTheme="minorEastAsia" w:hAnsiTheme="minorHAnsi" w:cstheme="minorBidi"/>
          <w:b w:val="0"/>
          <w:noProof/>
          <w:sz w:val="22"/>
          <w:szCs w:val="22"/>
          <w:lang w:eastAsia="en-AU"/>
        </w:rPr>
        <w:tab/>
      </w:r>
      <w:r>
        <w:rPr>
          <w:noProof/>
        </w:rPr>
        <w:t>Employment changes at an industry level</w:t>
      </w:r>
      <w:r>
        <w:rPr>
          <w:noProof/>
        </w:rPr>
        <w:tab/>
        <w:t>105</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F.1</w:t>
      </w:r>
      <w:r>
        <w:rPr>
          <w:rFonts w:asciiTheme="minorHAnsi" w:eastAsiaTheme="minorEastAsia" w:hAnsiTheme="minorHAnsi" w:cstheme="minorBidi"/>
          <w:noProof/>
          <w:sz w:val="22"/>
          <w:szCs w:val="22"/>
          <w:lang w:eastAsia="en-AU"/>
        </w:rPr>
        <w:tab/>
      </w:r>
      <w:r>
        <w:rPr>
          <w:noProof/>
        </w:rPr>
        <w:t>Industry growth was far from uniform</w:t>
      </w:r>
      <w:r>
        <w:rPr>
          <w:noProof/>
        </w:rPr>
        <w:tab/>
        <w:t>105</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F.2</w:t>
      </w:r>
      <w:r>
        <w:rPr>
          <w:rFonts w:asciiTheme="minorHAnsi" w:eastAsiaTheme="minorEastAsia" w:hAnsiTheme="minorHAnsi" w:cstheme="minorBidi"/>
          <w:noProof/>
          <w:sz w:val="22"/>
          <w:szCs w:val="22"/>
          <w:lang w:eastAsia="en-AU"/>
        </w:rPr>
        <w:tab/>
      </w:r>
      <w:r>
        <w:rPr>
          <w:noProof/>
        </w:rPr>
        <w:t>Changes in forms of work by industry</w:t>
      </w:r>
      <w:r>
        <w:rPr>
          <w:noProof/>
        </w:rPr>
        <w:tab/>
        <w:t>107</w:t>
      </w:r>
    </w:p>
    <w:p w:rsidR="001F65D4" w:rsidRDefault="001F65D4" w:rsidP="001F65D4">
      <w:pPr>
        <w:pStyle w:val="TOC1"/>
        <w:spacing w:before="100"/>
        <w:rPr>
          <w:rFonts w:asciiTheme="minorHAnsi" w:eastAsiaTheme="minorEastAsia" w:hAnsiTheme="minorHAnsi" w:cstheme="minorBidi"/>
          <w:b w:val="0"/>
          <w:noProof/>
          <w:sz w:val="22"/>
          <w:szCs w:val="22"/>
          <w:lang w:eastAsia="en-AU"/>
        </w:rPr>
      </w:pPr>
      <w:r>
        <w:rPr>
          <w:noProof/>
        </w:rPr>
        <w:t>G</w:t>
      </w:r>
      <w:r>
        <w:rPr>
          <w:rFonts w:asciiTheme="minorHAnsi" w:eastAsiaTheme="minorEastAsia" w:hAnsiTheme="minorHAnsi" w:cstheme="minorBidi"/>
          <w:b w:val="0"/>
          <w:noProof/>
          <w:sz w:val="22"/>
          <w:szCs w:val="22"/>
          <w:lang w:eastAsia="en-AU"/>
        </w:rPr>
        <w:tab/>
      </w:r>
      <w:r>
        <w:rPr>
          <w:noProof/>
        </w:rPr>
        <w:t>Employment changes at an occupation level</w:t>
      </w:r>
      <w:r>
        <w:rPr>
          <w:noProof/>
        </w:rPr>
        <w:tab/>
        <w:t>115</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G.1</w:t>
      </w:r>
      <w:r>
        <w:rPr>
          <w:rFonts w:asciiTheme="minorHAnsi" w:eastAsiaTheme="minorEastAsia" w:hAnsiTheme="minorHAnsi" w:cstheme="minorBidi"/>
          <w:noProof/>
          <w:sz w:val="22"/>
          <w:szCs w:val="22"/>
          <w:lang w:eastAsia="en-AU"/>
        </w:rPr>
        <w:tab/>
      </w:r>
      <w:r>
        <w:rPr>
          <w:noProof/>
        </w:rPr>
        <w:t>Job growth favoured more highly skilled workers</w:t>
      </w:r>
      <w:r>
        <w:rPr>
          <w:noProof/>
        </w:rPr>
        <w:tab/>
        <w:t>115</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G.2</w:t>
      </w:r>
      <w:r>
        <w:rPr>
          <w:rFonts w:asciiTheme="minorHAnsi" w:eastAsiaTheme="minorEastAsia" w:hAnsiTheme="minorHAnsi" w:cstheme="minorBidi"/>
          <w:noProof/>
          <w:sz w:val="22"/>
          <w:szCs w:val="22"/>
          <w:lang w:eastAsia="en-AU"/>
        </w:rPr>
        <w:tab/>
      </w:r>
      <w:r>
        <w:rPr>
          <w:noProof/>
        </w:rPr>
        <w:t>Changes in forms of work by occupation</w:t>
      </w:r>
      <w:r>
        <w:rPr>
          <w:noProof/>
        </w:rPr>
        <w:tab/>
        <w:t>116</w:t>
      </w:r>
    </w:p>
    <w:p w:rsidR="001F65D4" w:rsidRDefault="001F65D4" w:rsidP="001F65D4">
      <w:pPr>
        <w:pStyle w:val="TOC1"/>
        <w:spacing w:before="100"/>
        <w:rPr>
          <w:rFonts w:asciiTheme="minorHAnsi" w:eastAsiaTheme="minorEastAsia" w:hAnsiTheme="minorHAnsi" w:cstheme="minorBidi"/>
          <w:b w:val="0"/>
          <w:noProof/>
          <w:sz w:val="22"/>
          <w:szCs w:val="22"/>
          <w:lang w:eastAsia="en-AU"/>
        </w:rPr>
      </w:pPr>
      <w:r>
        <w:rPr>
          <w:noProof/>
        </w:rPr>
        <w:t>H</w:t>
      </w:r>
      <w:r>
        <w:rPr>
          <w:rFonts w:asciiTheme="minorHAnsi" w:eastAsiaTheme="minorEastAsia" w:hAnsiTheme="minorHAnsi" w:cstheme="minorBidi"/>
          <w:b w:val="0"/>
          <w:noProof/>
          <w:sz w:val="22"/>
          <w:szCs w:val="22"/>
          <w:lang w:eastAsia="en-AU"/>
        </w:rPr>
        <w:tab/>
      </w:r>
      <w:r>
        <w:rPr>
          <w:noProof/>
        </w:rPr>
        <w:t>Employment changes by gender and full</w:t>
      </w:r>
      <w:r>
        <w:rPr>
          <w:noProof/>
        </w:rPr>
        <w:noBreakHyphen/>
        <w:t xml:space="preserve"> and part</w:t>
      </w:r>
      <w:r>
        <w:rPr>
          <w:noProof/>
        </w:rPr>
        <w:noBreakHyphen/>
        <w:t>time work</w:t>
      </w:r>
      <w:r>
        <w:rPr>
          <w:noProof/>
        </w:rPr>
        <w:tab/>
        <w:t>125</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H.1</w:t>
      </w:r>
      <w:r>
        <w:rPr>
          <w:rFonts w:asciiTheme="minorHAnsi" w:eastAsiaTheme="minorEastAsia" w:hAnsiTheme="minorHAnsi" w:cstheme="minorBidi"/>
          <w:noProof/>
          <w:sz w:val="22"/>
          <w:szCs w:val="22"/>
          <w:lang w:eastAsia="en-AU"/>
        </w:rPr>
        <w:tab/>
      </w:r>
      <w:r>
        <w:rPr>
          <w:noProof/>
        </w:rPr>
        <w:t>The profile of employment by gender and full</w:t>
      </w:r>
      <w:r>
        <w:rPr>
          <w:noProof/>
        </w:rPr>
        <w:noBreakHyphen/>
        <w:t xml:space="preserve"> and part</w:t>
      </w:r>
      <w:r>
        <w:rPr>
          <w:noProof/>
        </w:rPr>
        <w:noBreakHyphen/>
        <w:t>time work</w:t>
      </w:r>
      <w:r>
        <w:rPr>
          <w:noProof/>
        </w:rPr>
        <w:tab/>
        <w:t>125</w:t>
      </w:r>
    </w:p>
    <w:p w:rsidR="001F65D4" w:rsidRDefault="001F65D4" w:rsidP="001F65D4">
      <w:pPr>
        <w:pStyle w:val="TOC2"/>
        <w:tabs>
          <w:tab w:val="left" w:pos="1190"/>
        </w:tabs>
        <w:spacing w:before="100"/>
        <w:rPr>
          <w:rFonts w:asciiTheme="minorHAnsi" w:eastAsiaTheme="minorEastAsia" w:hAnsiTheme="minorHAnsi" w:cstheme="minorBidi"/>
          <w:noProof/>
          <w:sz w:val="22"/>
          <w:szCs w:val="22"/>
          <w:lang w:eastAsia="en-AU"/>
        </w:rPr>
      </w:pPr>
      <w:r>
        <w:rPr>
          <w:noProof/>
        </w:rPr>
        <w:t>H.2</w:t>
      </w:r>
      <w:r>
        <w:rPr>
          <w:rFonts w:asciiTheme="minorHAnsi" w:eastAsiaTheme="minorEastAsia" w:hAnsiTheme="minorHAnsi" w:cstheme="minorBidi"/>
          <w:noProof/>
          <w:sz w:val="22"/>
          <w:szCs w:val="22"/>
          <w:lang w:eastAsia="en-AU"/>
        </w:rPr>
        <w:tab/>
      </w:r>
      <w:r>
        <w:rPr>
          <w:noProof/>
        </w:rPr>
        <w:t>Changes in forms of work by gender and full</w:t>
      </w:r>
      <w:r>
        <w:rPr>
          <w:noProof/>
        </w:rPr>
        <w:noBreakHyphen/>
        <w:t xml:space="preserve"> and part</w:t>
      </w:r>
      <w:r>
        <w:rPr>
          <w:noProof/>
        </w:rPr>
        <w:noBreakHyphen/>
        <w:t>time hours</w:t>
      </w:r>
      <w:r>
        <w:rPr>
          <w:noProof/>
        </w:rPr>
        <w:tab/>
        <w:t>126</w:t>
      </w:r>
    </w:p>
    <w:p w:rsidR="001F65D4" w:rsidRDefault="001F65D4" w:rsidP="001F65D4">
      <w:pPr>
        <w:pStyle w:val="TOC1"/>
        <w:spacing w:before="100"/>
        <w:rPr>
          <w:rFonts w:asciiTheme="minorHAnsi" w:eastAsiaTheme="minorEastAsia" w:hAnsiTheme="minorHAnsi" w:cstheme="minorBidi"/>
          <w:b w:val="0"/>
          <w:noProof/>
          <w:sz w:val="22"/>
          <w:szCs w:val="22"/>
          <w:lang w:eastAsia="en-AU"/>
        </w:rPr>
      </w:pPr>
      <w:r>
        <w:rPr>
          <w:noProof/>
        </w:rPr>
        <w:t>I</w:t>
      </w:r>
      <w:r>
        <w:rPr>
          <w:rFonts w:asciiTheme="minorHAnsi" w:eastAsiaTheme="minorEastAsia" w:hAnsiTheme="minorHAnsi" w:cstheme="minorBidi"/>
          <w:b w:val="0"/>
          <w:noProof/>
          <w:sz w:val="22"/>
          <w:szCs w:val="22"/>
          <w:lang w:eastAsia="en-AU"/>
        </w:rPr>
        <w:tab/>
      </w:r>
      <w:r>
        <w:rPr>
          <w:noProof/>
        </w:rPr>
        <w:t>Employment change by age cohort</w:t>
      </w:r>
      <w:r>
        <w:rPr>
          <w:noProof/>
        </w:rPr>
        <w:tab/>
        <w:t>131</w:t>
      </w:r>
    </w:p>
    <w:p w:rsidR="001F65D4" w:rsidRDefault="001F65D4" w:rsidP="001F65D4">
      <w:pPr>
        <w:pStyle w:val="TOC2"/>
        <w:tabs>
          <w:tab w:val="left" w:pos="1020"/>
        </w:tabs>
        <w:spacing w:before="100"/>
        <w:rPr>
          <w:rFonts w:asciiTheme="minorHAnsi" w:eastAsiaTheme="minorEastAsia" w:hAnsiTheme="minorHAnsi" w:cstheme="minorBidi"/>
          <w:noProof/>
          <w:sz w:val="22"/>
          <w:szCs w:val="22"/>
          <w:lang w:eastAsia="en-AU"/>
        </w:rPr>
      </w:pPr>
      <w:r>
        <w:rPr>
          <w:noProof/>
        </w:rPr>
        <w:t>I.1</w:t>
      </w:r>
      <w:r>
        <w:rPr>
          <w:rFonts w:asciiTheme="minorHAnsi" w:eastAsiaTheme="minorEastAsia" w:hAnsiTheme="minorHAnsi" w:cstheme="minorBidi"/>
          <w:noProof/>
          <w:sz w:val="22"/>
          <w:szCs w:val="22"/>
          <w:lang w:eastAsia="en-AU"/>
        </w:rPr>
        <w:tab/>
      </w:r>
      <w:r>
        <w:rPr>
          <w:noProof/>
        </w:rPr>
        <w:t>The profile of employment by age cohort</w:t>
      </w:r>
      <w:r>
        <w:rPr>
          <w:noProof/>
        </w:rPr>
        <w:tab/>
        <w:t>131</w:t>
      </w:r>
    </w:p>
    <w:p w:rsidR="001F65D4" w:rsidRDefault="001F65D4" w:rsidP="001F65D4">
      <w:pPr>
        <w:pStyle w:val="TOC2"/>
        <w:tabs>
          <w:tab w:val="left" w:pos="1020"/>
        </w:tabs>
        <w:spacing w:before="100"/>
        <w:rPr>
          <w:rFonts w:asciiTheme="minorHAnsi" w:eastAsiaTheme="minorEastAsia" w:hAnsiTheme="minorHAnsi" w:cstheme="minorBidi"/>
          <w:noProof/>
          <w:sz w:val="22"/>
          <w:szCs w:val="22"/>
          <w:lang w:eastAsia="en-AU"/>
        </w:rPr>
      </w:pPr>
      <w:r>
        <w:rPr>
          <w:noProof/>
        </w:rPr>
        <w:t>I.2</w:t>
      </w:r>
      <w:r>
        <w:rPr>
          <w:rFonts w:asciiTheme="minorHAnsi" w:eastAsiaTheme="minorEastAsia" w:hAnsiTheme="minorHAnsi" w:cstheme="minorBidi"/>
          <w:noProof/>
          <w:sz w:val="22"/>
          <w:szCs w:val="22"/>
          <w:lang w:eastAsia="en-AU"/>
        </w:rPr>
        <w:tab/>
      </w:r>
      <w:r>
        <w:rPr>
          <w:noProof/>
        </w:rPr>
        <w:t>Changes in forms of work by age cohort</w:t>
      </w:r>
      <w:r>
        <w:rPr>
          <w:noProof/>
        </w:rPr>
        <w:tab/>
        <w:t>132</w:t>
      </w:r>
    </w:p>
    <w:p w:rsidR="001F65D4" w:rsidRDefault="001F65D4" w:rsidP="001F65D4">
      <w:pPr>
        <w:pStyle w:val="TOC1"/>
        <w:spacing w:before="100"/>
        <w:rPr>
          <w:noProof/>
        </w:rPr>
      </w:pPr>
      <w:r>
        <w:rPr>
          <w:noProof/>
        </w:rPr>
        <w:t>References</w:t>
      </w:r>
      <w:r>
        <w:rPr>
          <w:noProof/>
        </w:rPr>
        <w:tab/>
        <w:t>137</w:t>
      </w:r>
    </w:p>
    <w:p w:rsidR="001F65D4" w:rsidRDefault="001F65D4" w:rsidP="001F65D4">
      <w:pPr>
        <w:pStyle w:val="BodyText"/>
        <w:rPr>
          <w:noProof/>
        </w:rPr>
      </w:pPr>
      <w:r>
        <w:rPr>
          <w:noProof/>
        </w:rPr>
        <w:t xml:space="preserve">Appendix J is referred to in parts of this paper. It is not reproduced in the report, but is available at: </w:t>
      </w:r>
      <w:hyperlink r:id="rId9" w:history="1">
        <w:r w:rsidR="001374E2" w:rsidRPr="001374E2">
          <w:rPr>
            <w:noProof/>
          </w:rPr>
          <w:t>http://www.pc.gov.au/research/staff-working/forms-of-work</w:t>
        </w:r>
      </w:hyperlink>
      <w:bookmarkStart w:id="5" w:name="_GoBack"/>
      <w:bookmarkEnd w:id="5"/>
    </w:p>
    <w:p w:rsidR="001B7F1E" w:rsidRPr="008206EE" w:rsidRDefault="001F65D4" w:rsidP="001F65D4">
      <w:pPr>
        <w:pStyle w:val="TOC1"/>
      </w:pPr>
      <w:r>
        <w:rPr>
          <w:noProof/>
        </w:rPr>
        <w:t>J</w:t>
      </w:r>
      <w:r>
        <w:rPr>
          <w:noProof/>
        </w:rPr>
        <w:tab/>
        <w:t>Data used in constructing 30-year time series</w:t>
      </w:r>
      <w:r>
        <w:fldChar w:fldCharType="begin"/>
      </w:r>
      <w:r>
        <w:instrText xml:space="preserve"> TOC \t "Part Title,1,Heading 1,1,chapter,1,Heading 2,2,2,3,3,Heading 2,3" </w:instrText>
      </w:r>
      <w:r>
        <w:fldChar w:fldCharType="end"/>
      </w:r>
    </w:p>
    <w:p w:rsidR="00735FEA" w:rsidRDefault="00735FEA">
      <w:pPr>
        <w:pStyle w:val="BodyText"/>
        <w:sectPr w:rsidR="00735FEA" w:rsidSect="005537F6">
          <w:headerReference w:type="even" r:id="rId10"/>
          <w:headerReference w:type="default" r:id="rId11"/>
          <w:footerReference w:type="even" r:id="rId12"/>
          <w:footerReference w:type="default" r:id="rId13"/>
          <w:type w:val="oddPage"/>
          <w:pgSz w:w="11907" w:h="16840" w:code="9"/>
          <w:pgMar w:top="1985" w:right="1304" w:bottom="1418" w:left="1814" w:header="1701" w:footer="567" w:gutter="0"/>
          <w:pgNumType w:fmt="lowerRoman"/>
          <w:cols w:space="720"/>
        </w:sectPr>
      </w:pPr>
    </w:p>
    <w:p w:rsidR="001F65D4" w:rsidRDefault="001F65D4">
      <w:pPr>
        <w:pStyle w:val="Heading1"/>
      </w:pPr>
      <w:bookmarkStart w:id="6" w:name="Abbreviations"/>
      <w:bookmarkStart w:id="7" w:name="RDnote"/>
      <w:bookmarkEnd w:id="6"/>
      <w:bookmarkEnd w:id="7"/>
      <w:r>
        <w:lastRenderedPageBreak/>
        <w:t>Acknowledgments</w:t>
      </w:r>
    </w:p>
    <w:p w:rsidR="001F65D4" w:rsidRDefault="001F65D4" w:rsidP="001F65D4">
      <w:pPr>
        <w:pStyle w:val="BodyText"/>
      </w:pPr>
      <w:r>
        <w:t>A number of staff from the Productivity Commission provided valuable help and advice. The authors would particularly like to thank Noel Gaston, Lisa Gropp, Patrick Jomini, Patrick Laplagne and Angela MacRae for their guidance and feedback; as well as Matt Forbes and Geoff Gilfillan for helpful comments.</w:t>
      </w:r>
    </w:p>
    <w:p w:rsidR="001F65D4" w:rsidRDefault="001F65D4" w:rsidP="001F65D4">
      <w:pPr>
        <w:pStyle w:val="BodyText"/>
      </w:pPr>
      <w:r>
        <w:t>The authors also wish to thank the external referees Mark Wooden (Melbourne Institute of Applied Economic and Social Research, University of Melbourne) and John Buchanan (Workplace Research Centre, University of Sydney) for their helpful feedback.</w:t>
      </w:r>
    </w:p>
    <w:p w:rsidR="001F65D4" w:rsidRDefault="001F65D4" w:rsidP="001F65D4">
      <w:pPr>
        <w:pStyle w:val="BodyText"/>
      </w:pPr>
      <w:r>
        <w:t xml:space="preserve">This paper used data from a number of Australian Bureau of Statistics (ABS) collections and a </w:t>
      </w:r>
      <w:proofErr w:type="spellStart"/>
      <w:r>
        <w:t>confidentialised</w:t>
      </w:r>
      <w:proofErr w:type="spellEnd"/>
      <w:r>
        <w:t xml:space="preserve"> unit record file from the Household, Income and Labour Dynamics in Australia (HILDA) survey. The HILDA project was initiated and is funded by the Australian Government Department of Families, Housing, Community Services and Indigenous Affairs (</w:t>
      </w:r>
      <w:proofErr w:type="spellStart"/>
      <w:r>
        <w:t>FaHCSIA</w:t>
      </w:r>
      <w:proofErr w:type="spellEnd"/>
      <w:r>
        <w:t>), and is managed by the Melbourne Institute of Applied Economic and Social Research (the Melbourne Institute).</w:t>
      </w:r>
    </w:p>
    <w:p w:rsidR="001F65D4" w:rsidRPr="00586C5B" w:rsidRDefault="001F65D4" w:rsidP="001F65D4">
      <w:pPr>
        <w:pStyle w:val="BodyText"/>
      </w:pPr>
      <w:r>
        <w:t xml:space="preserve">The findings and views reported in this paper are those of the authors and should not be attributed to the ABS, </w:t>
      </w:r>
      <w:proofErr w:type="spellStart"/>
      <w:r>
        <w:t>FaHCSIA</w:t>
      </w:r>
      <w:proofErr w:type="spellEnd"/>
      <w:r>
        <w:t>, the Melbourne Institute, external referees or the Productivity Commission.</w:t>
      </w:r>
    </w:p>
    <w:p w:rsidR="001F65D4" w:rsidRPr="001F65D4" w:rsidRDefault="001F65D4" w:rsidP="001F65D4">
      <w:pPr>
        <w:pStyle w:val="BodyText"/>
      </w:pPr>
    </w:p>
    <w:p w:rsidR="001F65D4" w:rsidRDefault="001F65D4">
      <w:pPr>
        <w:pStyle w:val="BodyText"/>
        <w:sectPr w:rsidR="001F65D4" w:rsidSect="00537BB4">
          <w:headerReference w:type="even" r:id="rId14"/>
          <w:headerReference w:type="default" r:id="rId15"/>
          <w:footerReference w:type="even" r:id="rId16"/>
          <w:footerReference w:type="default" r:id="rId17"/>
          <w:pgSz w:w="11906" w:h="16838" w:code="9"/>
          <w:pgMar w:top="1985" w:right="1304" w:bottom="1418" w:left="1814" w:header="1701" w:footer="567" w:gutter="0"/>
          <w:pgNumType w:fmt="lowerRoman"/>
          <w:cols w:space="708"/>
          <w:docGrid w:linePitch="360"/>
        </w:sectPr>
      </w:pPr>
    </w:p>
    <w:p w:rsidR="00735FEA" w:rsidRDefault="00735FEA" w:rsidP="00F7477E">
      <w:pPr>
        <w:pStyle w:val="Heading1"/>
      </w:pPr>
      <w:bookmarkStart w:id="8" w:name="EndContents"/>
      <w:bookmarkEnd w:id="8"/>
      <w:r>
        <w:lastRenderedPageBreak/>
        <w:t>Abbreviations and explanations</w:t>
      </w:r>
    </w:p>
    <w:p w:rsidR="001F65D4" w:rsidRDefault="001F65D4" w:rsidP="001F65D4">
      <w:pPr>
        <w:pStyle w:val="Abbreviation"/>
      </w:pPr>
      <w:r>
        <w:t>ABS</w:t>
      </w:r>
      <w:r>
        <w:tab/>
        <w:t>Australian Bureau of Statistics</w:t>
      </w:r>
    </w:p>
    <w:p w:rsidR="001F65D4" w:rsidRDefault="001F65D4" w:rsidP="001F65D4">
      <w:pPr>
        <w:pStyle w:val="Abbreviation"/>
      </w:pPr>
      <w:r>
        <w:t>ACTU</w:t>
      </w:r>
      <w:r>
        <w:tab/>
        <w:t>Australian Council of Trade Unions</w:t>
      </w:r>
    </w:p>
    <w:p w:rsidR="001F65D4" w:rsidRDefault="001F65D4" w:rsidP="001F65D4">
      <w:pPr>
        <w:pStyle w:val="Abbreviation"/>
      </w:pPr>
      <w:proofErr w:type="spellStart"/>
      <w:r>
        <w:t>AIRC</w:t>
      </w:r>
      <w:proofErr w:type="spellEnd"/>
      <w:r>
        <w:tab/>
        <w:t>Australian Industrial Relations Commission</w:t>
      </w:r>
    </w:p>
    <w:p w:rsidR="001F65D4" w:rsidRDefault="001F65D4" w:rsidP="001F65D4">
      <w:pPr>
        <w:pStyle w:val="Abbreviation"/>
      </w:pPr>
      <w:r>
        <w:t>ALMS</w:t>
      </w:r>
      <w:r>
        <w:tab/>
        <w:t>Australian Labour Market Statistics</w:t>
      </w:r>
    </w:p>
    <w:p w:rsidR="001F65D4" w:rsidRDefault="001F65D4" w:rsidP="001F65D4">
      <w:pPr>
        <w:pStyle w:val="Abbreviation"/>
      </w:pPr>
      <w:proofErr w:type="spellStart"/>
      <w:r>
        <w:t>ANZSCO</w:t>
      </w:r>
      <w:proofErr w:type="spellEnd"/>
      <w:r>
        <w:tab/>
        <w:t>Australian and New Zealand Standard Classification of Occupations</w:t>
      </w:r>
    </w:p>
    <w:p w:rsidR="001F65D4" w:rsidRPr="00C522B6" w:rsidRDefault="001F65D4" w:rsidP="001F65D4">
      <w:pPr>
        <w:pStyle w:val="Abbreviation"/>
        <w:rPr>
          <w:spacing w:val="-2"/>
        </w:rPr>
      </w:pPr>
      <w:proofErr w:type="spellStart"/>
      <w:r>
        <w:t>ANZSIC</w:t>
      </w:r>
      <w:proofErr w:type="spellEnd"/>
      <w:r>
        <w:tab/>
      </w:r>
      <w:r w:rsidRPr="00C522B6">
        <w:rPr>
          <w:spacing w:val="-2"/>
        </w:rPr>
        <w:t>Australian and New Zealand Standard Industrial Classification</w:t>
      </w:r>
    </w:p>
    <w:p w:rsidR="001F65D4" w:rsidRDefault="001F65D4" w:rsidP="001F65D4">
      <w:pPr>
        <w:pStyle w:val="Abbreviation"/>
      </w:pPr>
      <w:proofErr w:type="spellStart"/>
      <w:r>
        <w:t>ATO</w:t>
      </w:r>
      <w:proofErr w:type="spellEnd"/>
      <w:r>
        <w:tab/>
        <w:t>Australian Taxation Office</w:t>
      </w:r>
    </w:p>
    <w:p w:rsidR="001F65D4" w:rsidRDefault="001F65D4" w:rsidP="001F65D4">
      <w:pPr>
        <w:pStyle w:val="Abbreviation"/>
        <w:rPr>
          <w:rStyle w:val="BodyTextChar"/>
        </w:rPr>
      </w:pPr>
      <w:proofErr w:type="spellStart"/>
      <w:r>
        <w:t>EEBTUM</w:t>
      </w:r>
      <w:proofErr w:type="spellEnd"/>
      <w:r>
        <w:tab/>
      </w:r>
      <w:r w:rsidRPr="00C109DF">
        <w:rPr>
          <w:rStyle w:val="BodyTextChar"/>
        </w:rPr>
        <w:t>Employee Earnings, Benef</w:t>
      </w:r>
      <w:r>
        <w:rPr>
          <w:rStyle w:val="BodyTextChar"/>
        </w:rPr>
        <w:t>its and Trade Union Membership (s</w:t>
      </w:r>
      <w:r w:rsidRPr="00C109DF">
        <w:rPr>
          <w:rStyle w:val="BodyTextChar"/>
        </w:rPr>
        <w:t>urvey</w:t>
      </w:r>
      <w:r>
        <w:rPr>
          <w:rStyle w:val="BodyTextChar"/>
        </w:rPr>
        <w:t>)</w:t>
      </w:r>
    </w:p>
    <w:p w:rsidR="001F65D4" w:rsidRDefault="001F65D4" w:rsidP="001F65D4">
      <w:pPr>
        <w:pStyle w:val="Abbreviation"/>
        <w:rPr>
          <w:rStyle w:val="BodyTextChar"/>
        </w:rPr>
      </w:pPr>
      <w:proofErr w:type="spellStart"/>
      <w:r>
        <w:rPr>
          <w:rStyle w:val="BodyTextChar"/>
        </w:rPr>
        <w:t>EWLE</w:t>
      </w:r>
      <w:proofErr w:type="spellEnd"/>
      <w:r>
        <w:rPr>
          <w:rStyle w:val="BodyTextChar"/>
        </w:rPr>
        <w:tab/>
        <w:t>Employees with paid leave entitlements</w:t>
      </w:r>
    </w:p>
    <w:p w:rsidR="001F65D4" w:rsidRDefault="001F65D4" w:rsidP="001F65D4">
      <w:pPr>
        <w:pStyle w:val="Abbreviation"/>
        <w:rPr>
          <w:rStyle w:val="BodyTextChar"/>
        </w:rPr>
      </w:pPr>
      <w:proofErr w:type="spellStart"/>
      <w:r>
        <w:rPr>
          <w:rStyle w:val="BodyTextChar"/>
        </w:rPr>
        <w:t>EWOLE</w:t>
      </w:r>
      <w:proofErr w:type="spellEnd"/>
      <w:r>
        <w:rPr>
          <w:rStyle w:val="BodyTextChar"/>
        </w:rPr>
        <w:tab/>
        <w:t>Employees without paid leave entitlements</w:t>
      </w:r>
    </w:p>
    <w:p w:rsidR="001F65D4" w:rsidRDefault="001F65D4" w:rsidP="001F65D4">
      <w:pPr>
        <w:pStyle w:val="Abbreviation"/>
      </w:pPr>
      <w:r>
        <w:t>FOE</w:t>
      </w:r>
      <w:r>
        <w:tab/>
        <w:t>Forms of Employment (survey)</w:t>
      </w:r>
    </w:p>
    <w:p w:rsidR="001F65D4" w:rsidRDefault="001F65D4" w:rsidP="001F65D4">
      <w:pPr>
        <w:pStyle w:val="Abbreviation"/>
      </w:pPr>
      <w:proofErr w:type="spellStart"/>
      <w:r>
        <w:rPr>
          <w:rStyle w:val="BodyTextChar"/>
        </w:rPr>
        <w:t>FOW</w:t>
      </w:r>
      <w:proofErr w:type="spellEnd"/>
      <w:r>
        <w:rPr>
          <w:rStyle w:val="BodyTextChar"/>
        </w:rPr>
        <w:t>(s)</w:t>
      </w:r>
      <w:r>
        <w:rPr>
          <w:rStyle w:val="BodyTextChar"/>
        </w:rPr>
        <w:tab/>
        <w:t>Form(s) of work</w:t>
      </w:r>
    </w:p>
    <w:p w:rsidR="001F65D4" w:rsidRDefault="001F65D4" w:rsidP="001F65D4">
      <w:pPr>
        <w:pStyle w:val="Abbreviation"/>
      </w:pPr>
      <w:proofErr w:type="spellStart"/>
      <w:r>
        <w:t>GFC</w:t>
      </w:r>
      <w:proofErr w:type="spellEnd"/>
      <w:r>
        <w:tab/>
        <w:t>Global financial crisis</w:t>
      </w:r>
    </w:p>
    <w:p w:rsidR="001F65D4" w:rsidRDefault="001F65D4" w:rsidP="001F65D4">
      <w:pPr>
        <w:pStyle w:val="Abbreviation"/>
      </w:pPr>
      <w:r>
        <w:t>HILDA</w:t>
      </w:r>
      <w:r>
        <w:tab/>
        <w:t>Household Income and Labour Dynamics in Australia (survey)</w:t>
      </w:r>
    </w:p>
    <w:p w:rsidR="001F65D4" w:rsidRDefault="001F65D4" w:rsidP="001F65D4">
      <w:pPr>
        <w:pStyle w:val="Abbreviation"/>
      </w:pPr>
      <w:r>
        <w:t>IC(s)</w:t>
      </w:r>
      <w:r>
        <w:tab/>
        <w:t>Independent contractor(s)</w:t>
      </w:r>
    </w:p>
    <w:p w:rsidR="001F65D4" w:rsidRDefault="001F65D4" w:rsidP="001F65D4">
      <w:pPr>
        <w:pStyle w:val="Abbreviation"/>
      </w:pPr>
      <w:proofErr w:type="spellStart"/>
      <w:r>
        <w:t>LFS</w:t>
      </w:r>
      <w:proofErr w:type="spellEnd"/>
      <w:r>
        <w:tab/>
        <w:t>Labour Force Survey</w:t>
      </w:r>
    </w:p>
    <w:p w:rsidR="001F65D4" w:rsidRDefault="001F65D4" w:rsidP="001F65D4">
      <w:pPr>
        <w:pStyle w:val="Abbreviation"/>
      </w:pPr>
      <w:proofErr w:type="spellStart"/>
      <w:r>
        <w:t>NES</w:t>
      </w:r>
      <w:proofErr w:type="spellEnd"/>
      <w:r>
        <w:tab/>
        <w:t>National Employment Standards</w:t>
      </w:r>
    </w:p>
    <w:p w:rsidR="001F65D4" w:rsidRDefault="001F65D4" w:rsidP="001F65D4">
      <w:pPr>
        <w:pStyle w:val="Abbreviation"/>
      </w:pPr>
      <w:r>
        <w:t>OBO(s)</w:t>
      </w:r>
      <w:r>
        <w:tab/>
        <w:t>Other business operator(s)</w:t>
      </w:r>
    </w:p>
    <w:p w:rsidR="001F65D4" w:rsidRDefault="001F65D4" w:rsidP="001F65D4">
      <w:pPr>
        <w:pStyle w:val="Abbreviation"/>
      </w:pPr>
      <w:r>
        <w:t>OECD</w:t>
      </w:r>
      <w:r>
        <w:tab/>
        <w:t>Organisation for Economic Co-operation and Development</w:t>
      </w:r>
    </w:p>
    <w:p w:rsidR="001F65D4" w:rsidRDefault="001F65D4" w:rsidP="001F65D4">
      <w:pPr>
        <w:pStyle w:val="Abbreviation"/>
      </w:pPr>
      <w:proofErr w:type="spellStart"/>
      <w:r>
        <w:t>OMIE</w:t>
      </w:r>
      <w:proofErr w:type="spellEnd"/>
      <w:r>
        <w:t>(s)</w:t>
      </w:r>
      <w:r>
        <w:tab/>
        <w:t>Owner manager(s) of incorporated enterprise(s)</w:t>
      </w:r>
    </w:p>
    <w:p w:rsidR="001F65D4" w:rsidRDefault="001F65D4" w:rsidP="001F65D4">
      <w:pPr>
        <w:pStyle w:val="Abbreviation"/>
      </w:pPr>
      <w:proofErr w:type="spellStart"/>
      <w:r>
        <w:t>OMUE</w:t>
      </w:r>
      <w:proofErr w:type="spellEnd"/>
      <w:r>
        <w:t>(s)</w:t>
      </w:r>
      <w:r>
        <w:tab/>
        <w:t>Owner manager(s) of unincorporated enterprise(s)</w:t>
      </w:r>
    </w:p>
    <w:p w:rsidR="001F65D4" w:rsidRDefault="001F65D4" w:rsidP="001F65D4">
      <w:pPr>
        <w:pStyle w:val="Abbreviation"/>
      </w:pPr>
      <w:r>
        <w:t>PC</w:t>
      </w:r>
      <w:r>
        <w:tab/>
        <w:t>Productivity Commission</w:t>
      </w:r>
    </w:p>
    <w:p w:rsidR="001F65D4" w:rsidRDefault="001F65D4">
      <w:bookmarkStart w:id="9" w:name="Glossary"/>
      <w:bookmarkEnd w:id="9"/>
      <w:r>
        <w:br w:type="page"/>
      </w:r>
    </w:p>
    <w:p w:rsidR="001F65D4" w:rsidRDefault="001F65D4">
      <w:pPr>
        <w:pStyle w:val="Heading1"/>
        <w:sectPr w:rsidR="001F65D4" w:rsidSect="00537BB4">
          <w:headerReference w:type="even" r:id="rId18"/>
          <w:headerReference w:type="default" r:id="rId19"/>
          <w:footerReference w:type="even" r:id="rId20"/>
          <w:footerReference w:type="default" r:id="rId21"/>
          <w:pgSz w:w="11906" w:h="16838" w:code="9"/>
          <w:pgMar w:top="1985" w:right="1304" w:bottom="1418" w:left="1814" w:header="1701" w:footer="567" w:gutter="0"/>
          <w:pgNumType w:fmt="lowerRoman"/>
          <w:cols w:space="708"/>
          <w:docGrid w:linePitch="360"/>
        </w:sectPr>
      </w:pPr>
    </w:p>
    <w:p w:rsidR="001F65D4" w:rsidRDefault="001F65D4">
      <w:pPr>
        <w:pStyle w:val="Heading1"/>
      </w:pPr>
      <w:r>
        <w:lastRenderedPageBreak/>
        <w:t>Glossary</w:t>
      </w:r>
    </w:p>
    <w:p w:rsidR="001F65D4" w:rsidRDefault="001F65D4" w:rsidP="001F65D4">
      <w:pPr>
        <w:pStyle w:val="BodyText"/>
      </w:pPr>
      <w:r>
        <w:t>This glossary has two sections –– the first is for concepts used in the paper, and the second for ABS measures of the concepts described in the first section. When the concepts in the first section are equivalent to those that the ABS has used, the reader is referred to the ABS measure in the second section.</w:t>
      </w:r>
    </w:p>
    <w:p w:rsidR="001F65D4" w:rsidRPr="001F65D4" w:rsidRDefault="001F65D4" w:rsidP="001F65D4">
      <w:pPr>
        <w:pStyle w:val="Heading2"/>
      </w:pPr>
      <w:bookmarkStart w:id="10" w:name="_Toc351450025"/>
      <w:bookmarkStart w:id="11" w:name="_Toc353370507"/>
      <w:bookmarkStart w:id="12" w:name="_Toc353370610"/>
      <w:r>
        <w:t>Concepts</w:t>
      </w:r>
      <w:bookmarkEnd w:id="10"/>
      <w:bookmarkEnd w:id="11"/>
      <w:bookmarkEnd w:id="1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12"/>
        <w:gridCol w:w="6593"/>
      </w:tblGrid>
      <w:tr w:rsidR="001F65D4" w:rsidTr="00DE1430">
        <w:tc>
          <w:tcPr>
            <w:tcW w:w="2412" w:type="dxa"/>
          </w:tcPr>
          <w:p w:rsidR="001F65D4" w:rsidRPr="00E6547B" w:rsidRDefault="001F65D4" w:rsidP="00DE1430">
            <w:pPr>
              <w:pStyle w:val="BodyText"/>
              <w:jc w:val="left"/>
              <w:rPr>
                <w:b/>
              </w:rPr>
            </w:pPr>
            <w:r w:rsidRPr="00E6547B">
              <w:rPr>
                <w:b/>
              </w:rPr>
              <w:t>Casual employee</w:t>
            </w:r>
          </w:p>
        </w:tc>
        <w:tc>
          <w:tcPr>
            <w:tcW w:w="6593" w:type="dxa"/>
          </w:tcPr>
          <w:p w:rsidR="001F65D4" w:rsidRDefault="001F65D4" w:rsidP="00DE1430">
            <w:pPr>
              <w:pStyle w:val="BodyText"/>
            </w:pPr>
            <w:r>
              <w:t xml:space="preserve">Based on </w:t>
            </w:r>
            <w:proofErr w:type="spellStart"/>
            <w:r>
              <w:t>FWO</w:t>
            </w:r>
            <w:proofErr w:type="spellEnd"/>
            <w:r>
              <w:t xml:space="preserve"> (2011, </w:t>
            </w:r>
            <w:proofErr w:type="spellStart"/>
            <w:r>
              <w:t>2012d</w:t>
            </w:r>
            <w:proofErr w:type="spellEnd"/>
            <w:r>
              <w:t>) and ACTU (</w:t>
            </w:r>
            <w:proofErr w:type="spellStart"/>
            <w:r>
              <w:t>nd</w:t>
            </w:r>
            <w:proofErr w:type="spellEnd"/>
            <w:r>
              <w:t xml:space="preserve">), a casual employee typically does not accumulate paid leave and is not usually entitled to a set number of hours of work. He or she does not receive redundancy and termination entitlements, and his or her employment is not guaranteed to be ongoing. A casual tends to work irregular hours. Casual employees are paid a higher hourly rate of pay to compensate them for not receiving all of the entitlements of permanent employees. </w:t>
            </w:r>
          </w:p>
          <w:p w:rsidR="001F65D4" w:rsidRDefault="001F65D4" w:rsidP="00DE1430">
            <w:pPr>
              <w:pStyle w:val="BodyText"/>
            </w:pPr>
            <w:r>
              <w:t xml:space="preserve">In practice, </w:t>
            </w:r>
            <w:r w:rsidRPr="009539BC">
              <w:t xml:space="preserve">some </w:t>
            </w:r>
            <w:r>
              <w:t>casual employees may have an expectation of continuing work with the same employer, and can work regular hours.</w:t>
            </w:r>
          </w:p>
        </w:tc>
      </w:tr>
      <w:tr w:rsidR="001F65D4" w:rsidTr="00DE1430">
        <w:tc>
          <w:tcPr>
            <w:tcW w:w="2412" w:type="dxa"/>
          </w:tcPr>
          <w:p w:rsidR="001F65D4" w:rsidRPr="00E6547B" w:rsidRDefault="001F65D4" w:rsidP="00DE1430">
            <w:pPr>
              <w:pStyle w:val="BodyText"/>
              <w:jc w:val="left"/>
              <w:rPr>
                <w:b/>
              </w:rPr>
            </w:pPr>
            <w:r>
              <w:rPr>
                <w:b/>
              </w:rPr>
              <w:t>Employee</w:t>
            </w:r>
          </w:p>
        </w:tc>
        <w:tc>
          <w:tcPr>
            <w:tcW w:w="6593" w:type="dxa"/>
          </w:tcPr>
          <w:p w:rsidR="001F65D4" w:rsidRPr="00C42EA2" w:rsidRDefault="001F65D4" w:rsidP="00DE1430">
            <w:pPr>
              <w:pStyle w:val="BodyText"/>
              <w:rPr>
                <w:spacing w:val="-2"/>
              </w:rPr>
            </w:pPr>
            <w:r w:rsidRPr="00C42EA2">
              <w:rPr>
                <w:spacing w:val="-2"/>
              </w:rPr>
              <w:t xml:space="preserve">An employee is a person who works in someone else’s business under a contract </w:t>
            </w:r>
            <w:r w:rsidRPr="00C42EA2">
              <w:rPr>
                <w:i/>
                <w:spacing w:val="-2"/>
              </w:rPr>
              <w:t>of</w:t>
            </w:r>
            <w:r w:rsidRPr="00C42EA2">
              <w:rPr>
                <w:spacing w:val="-2"/>
              </w:rPr>
              <w:t xml:space="preserve"> service. Employees are defined to include all permanent employees, casual employees and</w:t>
            </w:r>
            <w:r>
              <w:rPr>
                <w:spacing w:val="-2"/>
              </w:rPr>
              <w:t xml:space="preserve"> fixed-</w:t>
            </w:r>
            <w:r w:rsidRPr="00C42EA2">
              <w:rPr>
                <w:spacing w:val="-2"/>
              </w:rPr>
              <w:t>term employees. In addition, some labour hire workers are also employees (typically they are employed as casual employees).</w:t>
            </w:r>
          </w:p>
        </w:tc>
      </w:tr>
      <w:tr w:rsidR="001F65D4" w:rsidTr="00DE1430">
        <w:tc>
          <w:tcPr>
            <w:tcW w:w="2412" w:type="dxa"/>
          </w:tcPr>
          <w:p w:rsidR="001F65D4" w:rsidRPr="00E6547B" w:rsidRDefault="001F65D4" w:rsidP="00DE1430">
            <w:pPr>
              <w:pStyle w:val="BodyText"/>
              <w:jc w:val="left"/>
              <w:rPr>
                <w:b/>
              </w:rPr>
            </w:pPr>
            <w:r>
              <w:rPr>
                <w:b/>
              </w:rPr>
              <w:t>Fixed</w:t>
            </w:r>
            <w:r>
              <w:rPr>
                <w:b/>
              </w:rPr>
              <w:noBreakHyphen/>
              <w:t>term employee</w:t>
            </w:r>
          </w:p>
        </w:tc>
        <w:tc>
          <w:tcPr>
            <w:tcW w:w="6593" w:type="dxa"/>
          </w:tcPr>
          <w:p w:rsidR="001F65D4" w:rsidRPr="00497EE7" w:rsidRDefault="001F65D4" w:rsidP="00DE1430">
            <w:pPr>
              <w:pStyle w:val="BodyText"/>
              <w:rPr>
                <w:spacing w:val="-2"/>
              </w:rPr>
            </w:pPr>
            <w:r w:rsidRPr="00497EE7">
              <w:rPr>
                <w:spacing w:val="-2"/>
              </w:rPr>
              <w:t xml:space="preserve">Based on </w:t>
            </w:r>
            <w:proofErr w:type="spellStart"/>
            <w:r w:rsidRPr="00497EE7">
              <w:rPr>
                <w:spacing w:val="-2"/>
              </w:rPr>
              <w:t>FWO</w:t>
            </w:r>
            <w:proofErr w:type="spellEnd"/>
            <w:r w:rsidRPr="00497EE7">
              <w:rPr>
                <w:spacing w:val="-2"/>
              </w:rPr>
              <w:t xml:space="preserve"> (2011), a fixed</w:t>
            </w:r>
            <w:r w:rsidRPr="00497EE7">
              <w:rPr>
                <w:spacing w:val="-2"/>
              </w:rPr>
              <w:noBreakHyphen/>
              <w:t xml:space="preserve">term employee has a contract </w:t>
            </w:r>
            <w:r w:rsidRPr="00497EE7">
              <w:rPr>
                <w:i/>
                <w:spacing w:val="-2"/>
              </w:rPr>
              <w:t>of</w:t>
            </w:r>
            <w:r w:rsidRPr="00497EE7">
              <w:rPr>
                <w:spacing w:val="-2"/>
              </w:rPr>
              <w:t xml:space="preserve"> service that specifies that his or her employment will end on a particular date, or with a particular event. Fixed-term employees’ conditions of employment tend to be similar to those of permanent employees, but they do not qualify for termination or redundancy benefits at the end of their contract.</w:t>
            </w:r>
          </w:p>
        </w:tc>
      </w:tr>
      <w:tr w:rsidR="001F65D4" w:rsidTr="00DE1430">
        <w:tc>
          <w:tcPr>
            <w:tcW w:w="2412" w:type="dxa"/>
          </w:tcPr>
          <w:p w:rsidR="001F65D4" w:rsidRDefault="001F65D4" w:rsidP="00DE1430">
            <w:pPr>
              <w:pStyle w:val="BodyText"/>
              <w:jc w:val="left"/>
              <w:rPr>
                <w:b/>
              </w:rPr>
            </w:pPr>
            <w:r>
              <w:rPr>
                <w:b/>
              </w:rPr>
              <w:lastRenderedPageBreak/>
              <w:t>Form of work</w:t>
            </w:r>
          </w:p>
        </w:tc>
        <w:tc>
          <w:tcPr>
            <w:tcW w:w="6593" w:type="dxa"/>
          </w:tcPr>
          <w:p w:rsidR="001F65D4" w:rsidRDefault="001F65D4" w:rsidP="00DE1430">
            <w:pPr>
              <w:pStyle w:val="BodyText"/>
            </w:pPr>
            <w:r>
              <w:t xml:space="preserve">A form of work is the type of employment arrangement under which a person works. Terms for </w:t>
            </w:r>
            <w:proofErr w:type="spellStart"/>
            <w:r>
              <w:t>FOWs</w:t>
            </w:r>
            <w:proofErr w:type="spellEnd"/>
            <w:r>
              <w:t xml:space="preserve"> used in this paper include permanent employees, casual employees, fixed-term employees, independent contractors, other business operators, owner managers and labour hire workers.</w:t>
            </w:r>
          </w:p>
        </w:tc>
      </w:tr>
      <w:tr w:rsidR="001F65D4" w:rsidTr="00DE1430">
        <w:tc>
          <w:tcPr>
            <w:tcW w:w="2412" w:type="dxa"/>
          </w:tcPr>
          <w:p w:rsidR="001F65D4" w:rsidRPr="00E6547B" w:rsidRDefault="001F65D4" w:rsidP="00DE1430">
            <w:pPr>
              <w:pStyle w:val="BodyText"/>
              <w:jc w:val="left"/>
              <w:rPr>
                <w:b/>
              </w:rPr>
            </w:pPr>
            <w:r>
              <w:rPr>
                <w:b/>
              </w:rPr>
              <w:t>Incorporated enterprise</w:t>
            </w:r>
          </w:p>
        </w:tc>
        <w:tc>
          <w:tcPr>
            <w:tcW w:w="6593" w:type="dxa"/>
          </w:tcPr>
          <w:p w:rsidR="001F65D4" w:rsidRDefault="001F65D4" w:rsidP="00DE1430">
            <w:pPr>
              <w:pStyle w:val="BodyText"/>
            </w:pPr>
            <w:r>
              <w:t>See ABS measure.</w:t>
            </w:r>
          </w:p>
        </w:tc>
      </w:tr>
      <w:tr w:rsidR="001F65D4" w:rsidTr="00DE1430">
        <w:tc>
          <w:tcPr>
            <w:tcW w:w="2412" w:type="dxa"/>
          </w:tcPr>
          <w:p w:rsidR="001F65D4" w:rsidRPr="00E6547B" w:rsidRDefault="001F65D4" w:rsidP="00DE1430">
            <w:pPr>
              <w:pStyle w:val="BodyText"/>
              <w:jc w:val="left"/>
              <w:rPr>
                <w:b/>
              </w:rPr>
            </w:pPr>
            <w:r>
              <w:rPr>
                <w:b/>
              </w:rPr>
              <w:t>Independent contractor</w:t>
            </w:r>
          </w:p>
        </w:tc>
        <w:tc>
          <w:tcPr>
            <w:tcW w:w="6593" w:type="dxa"/>
          </w:tcPr>
          <w:p w:rsidR="001F65D4" w:rsidRDefault="001F65D4" w:rsidP="00DE1430">
            <w:pPr>
              <w:pStyle w:val="BodyText"/>
            </w:pPr>
            <w:r>
              <w:t>See ABS measure.</w:t>
            </w:r>
          </w:p>
        </w:tc>
      </w:tr>
      <w:tr w:rsidR="001F65D4" w:rsidTr="00DE1430">
        <w:tc>
          <w:tcPr>
            <w:tcW w:w="2412" w:type="dxa"/>
          </w:tcPr>
          <w:p w:rsidR="001F65D4" w:rsidRDefault="001F65D4" w:rsidP="00DE1430">
            <w:pPr>
              <w:pStyle w:val="BodyText"/>
              <w:jc w:val="left"/>
              <w:rPr>
                <w:b/>
              </w:rPr>
            </w:pPr>
            <w:r>
              <w:rPr>
                <w:b/>
              </w:rPr>
              <w:t>Labour hire firm</w:t>
            </w:r>
          </w:p>
        </w:tc>
        <w:tc>
          <w:tcPr>
            <w:tcW w:w="6593" w:type="dxa"/>
          </w:tcPr>
          <w:p w:rsidR="001F65D4" w:rsidDel="002662A3" w:rsidRDefault="001F65D4" w:rsidP="00DE1430">
            <w:pPr>
              <w:pStyle w:val="BodyText"/>
            </w:pPr>
            <w:r>
              <w:t>See ABS measure.</w:t>
            </w:r>
          </w:p>
        </w:tc>
      </w:tr>
      <w:tr w:rsidR="001F65D4" w:rsidTr="00DE1430">
        <w:tc>
          <w:tcPr>
            <w:tcW w:w="2412" w:type="dxa"/>
          </w:tcPr>
          <w:p w:rsidR="001F65D4" w:rsidRPr="00E6547B" w:rsidRDefault="001F65D4" w:rsidP="00DE1430">
            <w:pPr>
              <w:pStyle w:val="BodyText"/>
              <w:jc w:val="left"/>
              <w:rPr>
                <w:b/>
              </w:rPr>
            </w:pPr>
            <w:r>
              <w:rPr>
                <w:b/>
              </w:rPr>
              <w:t>Labour hire worker</w:t>
            </w:r>
          </w:p>
        </w:tc>
        <w:tc>
          <w:tcPr>
            <w:tcW w:w="6593" w:type="dxa"/>
          </w:tcPr>
          <w:p w:rsidR="001F65D4" w:rsidRDefault="001F65D4" w:rsidP="00DE1430">
            <w:pPr>
              <w:pStyle w:val="BodyText"/>
            </w:pPr>
            <w:r>
              <w:t>A worker paid by a labour hire or employment (recruitment) agency while working in another business. Although typically employed as casual employees, labour hire workers can also be employed as fixed-term employees or independent contractors.</w:t>
            </w:r>
          </w:p>
        </w:tc>
      </w:tr>
      <w:tr w:rsidR="001F65D4" w:rsidTr="00DE1430">
        <w:tc>
          <w:tcPr>
            <w:tcW w:w="2412" w:type="dxa"/>
          </w:tcPr>
          <w:p w:rsidR="001F65D4" w:rsidRDefault="001F65D4" w:rsidP="00DE1430">
            <w:pPr>
              <w:pStyle w:val="BodyText"/>
              <w:jc w:val="left"/>
              <w:rPr>
                <w:b/>
              </w:rPr>
            </w:pPr>
            <w:r>
              <w:rPr>
                <w:b/>
              </w:rPr>
              <w:t>Occupation</w:t>
            </w:r>
          </w:p>
        </w:tc>
        <w:tc>
          <w:tcPr>
            <w:tcW w:w="6593" w:type="dxa"/>
          </w:tcPr>
          <w:p w:rsidR="001F65D4" w:rsidRDefault="001F65D4" w:rsidP="00DE1430">
            <w:pPr>
              <w:pStyle w:val="BodyText"/>
            </w:pPr>
            <w:r>
              <w:t>See ABS measure.</w:t>
            </w:r>
          </w:p>
        </w:tc>
      </w:tr>
      <w:tr w:rsidR="001F65D4" w:rsidTr="00DE1430">
        <w:tc>
          <w:tcPr>
            <w:tcW w:w="2412" w:type="dxa"/>
          </w:tcPr>
          <w:p w:rsidR="001F65D4" w:rsidRDefault="001F65D4" w:rsidP="00DE1430">
            <w:pPr>
              <w:pStyle w:val="BodyText"/>
              <w:jc w:val="left"/>
              <w:rPr>
                <w:b/>
              </w:rPr>
            </w:pPr>
            <w:r>
              <w:rPr>
                <w:b/>
              </w:rPr>
              <w:t>Permanent employee</w:t>
            </w:r>
          </w:p>
        </w:tc>
        <w:tc>
          <w:tcPr>
            <w:tcW w:w="6593" w:type="dxa"/>
          </w:tcPr>
          <w:p w:rsidR="001F65D4" w:rsidRPr="00497EE7" w:rsidRDefault="001F65D4" w:rsidP="00DE1430">
            <w:pPr>
              <w:pStyle w:val="BodyText"/>
              <w:rPr>
                <w:spacing w:val="-2"/>
              </w:rPr>
            </w:pPr>
            <w:r w:rsidRPr="00497EE7">
              <w:rPr>
                <w:spacing w:val="-2"/>
              </w:rPr>
              <w:t xml:space="preserve">Based on </w:t>
            </w:r>
            <w:proofErr w:type="spellStart"/>
            <w:r w:rsidRPr="00497EE7">
              <w:rPr>
                <w:spacing w:val="-2"/>
              </w:rPr>
              <w:t>FWO</w:t>
            </w:r>
            <w:proofErr w:type="spellEnd"/>
            <w:r w:rsidRPr="00497EE7">
              <w:rPr>
                <w:spacing w:val="-2"/>
              </w:rPr>
              <w:t xml:space="preserve"> (2011, </w:t>
            </w:r>
            <w:proofErr w:type="spellStart"/>
            <w:r w:rsidRPr="00497EE7">
              <w:rPr>
                <w:spacing w:val="-2"/>
              </w:rPr>
              <w:t>2012c</w:t>
            </w:r>
            <w:proofErr w:type="spellEnd"/>
            <w:r w:rsidRPr="00497EE7">
              <w:rPr>
                <w:spacing w:val="-2"/>
              </w:rPr>
              <w:t xml:space="preserve">, </w:t>
            </w:r>
            <w:proofErr w:type="spellStart"/>
            <w:r w:rsidRPr="00497EE7">
              <w:rPr>
                <w:spacing w:val="-2"/>
              </w:rPr>
              <w:t>2012d</w:t>
            </w:r>
            <w:proofErr w:type="spellEnd"/>
            <w:r w:rsidRPr="00497EE7">
              <w:rPr>
                <w:spacing w:val="-2"/>
              </w:rPr>
              <w:t xml:space="preserve">), a permanent employee is engaged under a contract </w:t>
            </w:r>
            <w:r w:rsidRPr="00497EE7">
              <w:rPr>
                <w:i/>
                <w:spacing w:val="-2"/>
              </w:rPr>
              <w:t>of</w:t>
            </w:r>
            <w:r w:rsidRPr="00497EE7">
              <w:rPr>
                <w:spacing w:val="-2"/>
              </w:rPr>
              <w:t xml:space="preserve"> service for an indefinite period and is not a labour hire employee. Permanent employees typically receive paid leave and termination and redundancy entitlements. They are sometimes referred to as ‘ongoing’ employees –– although they may leave a job after giving notice (if notice is required).</w:t>
            </w:r>
          </w:p>
        </w:tc>
      </w:tr>
      <w:tr w:rsidR="001F65D4" w:rsidTr="00DE1430">
        <w:tc>
          <w:tcPr>
            <w:tcW w:w="2412" w:type="dxa"/>
          </w:tcPr>
          <w:p w:rsidR="001F65D4" w:rsidRDefault="001F65D4" w:rsidP="00DE1430">
            <w:pPr>
              <w:pStyle w:val="BodyText"/>
              <w:jc w:val="left"/>
              <w:rPr>
                <w:b/>
              </w:rPr>
            </w:pPr>
            <w:r>
              <w:rPr>
                <w:b/>
              </w:rPr>
              <w:t>Other business operator</w:t>
            </w:r>
          </w:p>
        </w:tc>
        <w:tc>
          <w:tcPr>
            <w:tcW w:w="6593" w:type="dxa"/>
          </w:tcPr>
          <w:p w:rsidR="001F65D4" w:rsidRPr="003E4A86" w:rsidRDefault="001F65D4" w:rsidP="00DE1430">
            <w:pPr>
              <w:pStyle w:val="BodyText"/>
              <w:keepNext/>
              <w:keepLines/>
              <w:spacing w:after="40"/>
              <w:ind w:left="6" w:right="113"/>
              <w:rPr>
                <w:b/>
                <w:bCs/>
              </w:rPr>
            </w:pPr>
            <w:r w:rsidRPr="003E4A86">
              <w:t>See ABS measure</w:t>
            </w:r>
            <w:r>
              <w:t>.</w:t>
            </w:r>
          </w:p>
        </w:tc>
      </w:tr>
      <w:tr w:rsidR="001F65D4" w:rsidTr="00DE1430">
        <w:tc>
          <w:tcPr>
            <w:tcW w:w="2412" w:type="dxa"/>
          </w:tcPr>
          <w:p w:rsidR="001F65D4" w:rsidRPr="00E6547B" w:rsidRDefault="001F65D4" w:rsidP="00DE1430">
            <w:pPr>
              <w:pStyle w:val="BodyText"/>
              <w:jc w:val="left"/>
              <w:rPr>
                <w:b/>
              </w:rPr>
            </w:pPr>
            <w:r>
              <w:rPr>
                <w:b/>
              </w:rPr>
              <w:t>Owner manager</w:t>
            </w:r>
          </w:p>
        </w:tc>
        <w:tc>
          <w:tcPr>
            <w:tcW w:w="6593" w:type="dxa"/>
          </w:tcPr>
          <w:p w:rsidR="001F65D4" w:rsidRDefault="001F65D4" w:rsidP="00DE1430">
            <w:pPr>
              <w:pStyle w:val="BodyText"/>
            </w:pPr>
            <w:r>
              <w:t>See ABS measure.</w:t>
            </w:r>
          </w:p>
        </w:tc>
      </w:tr>
      <w:tr w:rsidR="001F65D4" w:rsidRPr="006B351B" w:rsidTr="00DE1430">
        <w:tc>
          <w:tcPr>
            <w:tcW w:w="2412" w:type="dxa"/>
          </w:tcPr>
          <w:p w:rsidR="001F65D4" w:rsidRDefault="001F65D4" w:rsidP="00DE1430">
            <w:pPr>
              <w:pStyle w:val="BodyText"/>
              <w:jc w:val="left"/>
              <w:rPr>
                <w:b/>
              </w:rPr>
            </w:pPr>
            <w:r>
              <w:rPr>
                <w:b/>
              </w:rPr>
              <w:t>Owner manager of incorporated enterprise</w:t>
            </w:r>
          </w:p>
        </w:tc>
        <w:tc>
          <w:tcPr>
            <w:tcW w:w="6593" w:type="dxa"/>
          </w:tcPr>
          <w:p w:rsidR="001F65D4" w:rsidRPr="00C42EA2" w:rsidDel="00BE066C" w:rsidRDefault="001F65D4" w:rsidP="00DE1430">
            <w:pPr>
              <w:pStyle w:val="BodyText"/>
              <w:keepNext/>
              <w:keepLines/>
              <w:spacing w:after="40"/>
              <w:ind w:left="6" w:right="113"/>
              <w:rPr>
                <w:b/>
              </w:rPr>
            </w:pPr>
            <w:r>
              <w:t>See ABS measure.</w:t>
            </w:r>
          </w:p>
        </w:tc>
      </w:tr>
      <w:tr w:rsidR="001F65D4" w:rsidTr="00DE1430">
        <w:tc>
          <w:tcPr>
            <w:tcW w:w="2412" w:type="dxa"/>
          </w:tcPr>
          <w:p w:rsidR="001F65D4" w:rsidRDefault="001F65D4" w:rsidP="00DE1430">
            <w:pPr>
              <w:pStyle w:val="BodyText"/>
              <w:jc w:val="left"/>
              <w:rPr>
                <w:b/>
              </w:rPr>
            </w:pPr>
            <w:r>
              <w:rPr>
                <w:b/>
              </w:rPr>
              <w:t>Owner manager of unincorporated enterprise</w:t>
            </w:r>
          </w:p>
        </w:tc>
        <w:tc>
          <w:tcPr>
            <w:tcW w:w="6593" w:type="dxa"/>
          </w:tcPr>
          <w:p w:rsidR="001F65D4" w:rsidDel="00BE066C" w:rsidRDefault="001F65D4" w:rsidP="00DE1430">
            <w:pPr>
              <w:pStyle w:val="BodyText"/>
            </w:pPr>
            <w:r>
              <w:t>See ABS measure.</w:t>
            </w:r>
          </w:p>
        </w:tc>
      </w:tr>
      <w:tr w:rsidR="001F65D4" w:rsidTr="00DE1430">
        <w:tc>
          <w:tcPr>
            <w:tcW w:w="2412" w:type="dxa"/>
          </w:tcPr>
          <w:p w:rsidR="001F65D4" w:rsidRPr="00E6547B" w:rsidRDefault="001F65D4" w:rsidP="00DE1430">
            <w:pPr>
              <w:pStyle w:val="BodyText"/>
              <w:jc w:val="left"/>
              <w:rPr>
                <w:b/>
              </w:rPr>
            </w:pPr>
            <w:r>
              <w:rPr>
                <w:b/>
              </w:rPr>
              <w:lastRenderedPageBreak/>
              <w:t>Prevalence</w:t>
            </w:r>
          </w:p>
        </w:tc>
        <w:tc>
          <w:tcPr>
            <w:tcW w:w="6593" w:type="dxa"/>
          </w:tcPr>
          <w:p w:rsidR="001F65D4" w:rsidRDefault="001F65D4" w:rsidP="00DE1430">
            <w:pPr>
              <w:pStyle w:val="BodyText"/>
            </w:pPr>
            <w:r>
              <w:t>The share that one group represents of a larger group. For example, the percentage of permanent employees in total employment.</w:t>
            </w:r>
          </w:p>
        </w:tc>
      </w:tr>
      <w:tr w:rsidR="001F65D4" w:rsidTr="00DE1430">
        <w:tc>
          <w:tcPr>
            <w:tcW w:w="2412" w:type="dxa"/>
          </w:tcPr>
          <w:p w:rsidR="001F65D4" w:rsidRDefault="001F65D4" w:rsidP="00DE1430">
            <w:pPr>
              <w:pStyle w:val="BodyText"/>
              <w:jc w:val="left"/>
              <w:rPr>
                <w:b/>
              </w:rPr>
            </w:pPr>
            <w:r>
              <w:rPr>
                <w:b/>
              </w:rPr>
              <w:t xml:space="preserve">Self-employed </w:t>
            </w:r>
          </w:p>
        </w:tc>
        <w:tc>
          <w:tcPr>
            <w:tcW w:w="6593" w:type="dxa"/>
          </w:tcPr>
          <w:p w:rsidR="001F65D4" w:rsidRPr="00CA5771" w:rsidRDefault="001F65D4" w:rsidP="00DE1430">
            <w:pPr>
              <w:pStyle w:val="BodyText"/>
              <w:rPr>
                <w:spacing w:val="-2"/>
              </w:rPr>
            </w:pPr>
            <w:r w:rsidRPr="00CA5771">
              <w:rPr>
                <w:spacing w:val="-2"/>
              </w:rPr>
              <w:t xml:space="preserve">A self-employed person is someone who works in his or her own business. Forms of work discussed in the context of </w:t>
            </w:r>
            <w:r>
              <w:rPr>
                <w:spacing w:val="-2"/>
              </w:rPr>
              <w:br/>
            </w:r>
            <w:r w:rsidRPr="00CA5771">
              <w:rPr>
                <w:spacing w:val="-2"/>
              </w:rPr>
              <w:t>s</w:t>
            </w:r>
            <w:r>
              <w:rPr>
                <w:spacing w:val="-2"/>
              </w:rPr>
              <w:t>elf-</w:t>
            </w:r>
            <w:r w:rsidRPr="00CA5771">
              <w:rPr>
                <w:spacing w:val="-2"/>
              </w:rPr>
              <w:t xml:space="preserve">employed workers include: independent contractors, other business operators and owner managers (of incorporated or unincorporated enterprises). In addition, some labour hire </w:t>
            </w:r>
            <w:r>
              <w:rPr>
                <w:spacing w:val="-2"/>
              </w:rPr>
              <w:t>workers are also self-employed as independent contractors</w:t>
            </w:r>
            <w:r w:rsidRPr="00CA5771">
              <w:rPr>
                <w:spacing w:val="-2"/>
              </w:rPr>
              <w:t>.</w:t>
            </w:r>
          </w:p>
        </w:tc>
      </w:tr>
      <w:tr w:rsidR="001F65D4" w:rsidTr="00DE1430">
        <w:tc>
          <w:tcPr>
            <w:tcW w:w="2412" w:type="dxa"/>
          </w:tcPr>
          <w:p w:rsidR="001F65D4" w:rsidRDefault="001F65D4" w:rsidP="00DE1430">
            <w:pPr>
              <w:pStyle w:val="BodyText"/>
              <w:jc w:val="left"/>
              <w:rPr>
                <w:b/>
              </w:rPr>
            </w:pPr>
            <w:r>
              <w:rPr>
                <w:b/>
              </w:rPr>
              <w:t>Unincorporated enterprise</w:t>
            </w:r>
          </w:p>
        </w:tc>
        <w:tc>
          <w:tcPr>
            <w:tcW w:w="6593" w:type="dxa"/>
          </w:tcPr>
          <w:p w:rsidR="001F65D4" w:rsidRDefault="001F65D4" w:rsidP="00DE1430">
            <w:pPr>
              <w:pStyle w:val="BodyText"/>
            </w:pPr>
            <w:r>
              <w:t>See ABS measure.</w:t>
            </w:r>
          </w:p>
        </w:tc>
      </w:tr>
      <w:tr w:rsidR="001F65D4" w:rsidTr="00DE1430">
        <w:tc>
          <w:tcPr>
            <w:tcW w:w="2412" w:type="dxa"/>
          </w:tcPr>
          <w:p w:rsidR="001F65D4" w:rsidRPr="00E6547B" w:rsidRDefault="001F65D4" w:rsidP="00DE1430">
            <w:pPr>
              <w:pStyle w:val="BodyText"/>
              <w:jc w:val="left"/>
              <w:rPr>
                <w:b/>
              </w:rPr>
            </w:pPr>
            <w:r>
              <w:rPr>
                <w:b/>
              </w:rPr>
              <w:t>Work arrangements</w:t>
            </w:r>
          </w:p>
        </w:tc>
        <w:tc>
          <w:tcPr>
            <w:tcW w:w="6593" w:type="dxa"/>
          </w:tcPr>
          <w:p w:rsidR="001F65D4" w:rsidRDefault="001F65D4" w:rsidP="00DE1430">
            <w:pPr>
              <w:pStyle w:val="BodyText"/>
            </w:pPr>
            <w:r>
              <w:t>The conditions, entitlements or characteristics of work, such as the number and timing of hours worked and leave provisions.</w:t>
            </w:r>
          </w:p>
        </w:tc>
      </w:tr>
      <w:tr w:rsidR="001F65D4" w:rsidTr="00DE1430">
        <w:tc>
          <w:tcPr>
            <w:tcW w:w="2412" w:type="dxa"/>
          </w:tcPr>
          <w:p w:rsidR="001F65D4" w:rsidRPr="00E6547B" w:rsidRDefault="001F65D4" w:rsidP="00DE1430">
            <w:pPr>
              <w:pStyle w:val="BodyText"/>
              <w:jc w:val="left"/>
              <w:rPr>
                <w:b/>
              </w:rPr>
            </w:pPr>
            <w:r>
              <w:rPr>
                <w:b/>
              </w:rPr>
              <w:t>Worker</w:t>
            </w:r>
          </w:p>
        </w:tc>
        <w:tc>
          <w:tcPr>
            <w:tcW w:w="6593" w:type="dxa"/>
          </w:tcPr>
          <w:p w:rsidR="001F65D4" w:rsidRDefault="001F65D4" w:rsidP="00DE1430">
            <w:pPr>
              <w:pStyle w:val="BodyText"/>
            </w:pPr>
            <w:r>
              <w:t>Any employee or self-employed person.</w:t>
            </w:r>
          </w:p>
        </w:tc>
      </w:tr>
    </w:tbl>
    <w:p w:rsidR="001F65D4" w:rsidRDefault="001F65D4" w:rsidP="001F65D4">
      <w:pPr>
        <w:pStyle w:val="Heading2"/>
      </w:pPr>
      <w:bookmarkStart w:id="13" w:name="_Toc351450026"/>
      <w:bookmarkStart w:id="14" w:name="_Toc353370508"/>
      <w:bookmarkStart w:id="15" w:name="_Toc353370611"/>
      <w:r>
        <w:t>ABS measures</w:t>
      </w:r>
      <w:bookmarkEnd w:id="13"/>
      <w:bookmarkEnd w:id="14"/>
      <w:bookmarkEnd w:id="1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55"/>
        <w:gridCol w:w="6634"/>
      </w:tblGrid>
      <w:tr w:rsidR="001F65D4" w:rsidTr="00DE1430">
        <w:tc>
          <w:tcPr>
            <w:tcW w:w="2155" w:type="dxa"/>
          </w:tcPr>
          <w:p w:rsidR="001F65D4" w:rsidRPr="00E6547B" w:rsidRDefault="001F65D4" w:rsidP="00DE1430">
            <w:pPr>
              <w:pStyle w:val="BodyText"/>
              <w:jc w:val="left"/>
              <w:rPr>
                <w:b/>
              </w:rPr>
            </w:pPr>
            <w:r>
              <w:rPr>
                <w:b/>
              </w:rPr>
              <w:t>Employee</w:t>
            </w:r>
          </w:p>
        </w:tc>
        <w:tc>
          <w:tcPr>
            <w:tcW w:w="6634" w:type="dxa"/>
          </w:tcPr>
          <w:p w:rsidR="001F65D4" w:rsidRDefault="001F65D4" w:rsidP="00DE1430">
            <w:pPr>
              <w:pStyle w:val="BodyText"/>
            </w:pPr>
            <w:r>
              <w:t>Based on ABS (</w:t>
            </w:r>
            <w:proofErr w:type="spellStart"/>
            <w:r>
              <w:t>2012g</w:t>
            </w:r>
            <w:proofErr w:type="spellEnd"/>
            <w:r>
              <w:t xml:space="preserve">), an employee is a person who works for a public or private employer and receives remuneration in wages or salary. Employees are engaged under a contract </w:t>
            </w:r>
            <w:r w:rsidRPr="00540822">
              <w:rPr>
                <w:i/>
              </w:rPr>
              <w:t>of</w:t>
            </w:r>
            <w:r>
              <w:t xml:space="preserve"> service (employment contract) and take directions from their employer/supervisor/manager/foreman on how the work is performed.</w:t>
            </w:r>
          </w:p>
        </w:tc>
      </w:tr>
      <w:tr w:rsidR="001F65D4" w:rsidTr="00DE1430">
        <w:tc>
          <w:tcPr>
            <w:tcW w:w="2155" w:type="dxa"/>
          </w:tcPr>
          <w:p w:rsidR="001F65D4" w:rsidRDefault="001F65D4" w:rsidP="00DE1430">
            <w:pPr>
              <w:pStyle w:val="BodyText"/>
              <w:jc w:val="left"/>
              <w:rPr>
                <w:b/>
              </w:rPr>
            </w:pPr>
            <w:r>
              <w:rPr>
                <w:b/>
              </w:rPr>
              <w:t>Employees with paid leave entitlements</w:t>
            </w:r>
          </w:p>
        </w:tc>
        <w:tc>
          <w:tcPr>
            <w:tcW w:w="6634" w:type="dxa"/>
          </w:tcPr>
          <w:p w:rsidR="001F65D4" w:rsidRDefault="001F65D4" w:rsidP="00DE1430">
            <w:pPr>
              <w:pStyle w:val="BodyText"/>
            </w:pPr>
            <w:r>
              <w:t>Based on ABS (</w:t>
            </w:r>
            <w:proofErr w:type="spellStart"/>
            <w:r>
              <w:t>2012g</w:t>
            </w:r>
            <w:proofErr w:type="spellEnd"/>
            <w:r>
              <w:t>), these are e</w:t>
            </w:r>
            <w:r w:rsidRPr="009539BC">
              <w:t xml:space="preserve">mployees who </w:t>
            </w:r>
            <w:r>
              <w:t>are</w:t>
            </w:r>
            <w:r w:rsidRPr="009539BC">
              <w:t xml:space="preserve"> entitled to either paid holiday leave </w:t>
            </w:r>
            <w:r w:rsidRPr="00141E32">
              <w:t>or paid sick leave (or both) in</w:t>
            </w:r>
            <w:r>
              <w:t xml:space="preserve"> </w:t>
            </w:r>
            <w:r w:rsidRPr="009539BC">
              <w:t>their main job</w:t>
            </w:r>
            <w:r>
              <w:t>.</w:t>
            </w:r>
          </w:p>
        </w:tc>
      </w:tr>
      <w:tr w:rsidR="001F65D4" w:rsidTr="00DE1430">
        <w:tc>
          <w:tcPr>
            <w:tcW w:w="2155" w:type="dxa"/>
          </w:tcPr>
          <w:p w:rsidR="001F65D4" w:rsidRDefault="001F65D4" w:rsidP="00DE1430">
            <w:pPr>
              <w:pStyle w:val="BodyText"/>
              <w:jc w:val="left"/>
              <w:rPr>
                <w:b/>
              </w:rPr>
            </w:pPr>
            <w:r>
              <w:rPr>
                <w:b/>
              </w:rPr>
              <w:t>Employees without paid leave entitlements</w:t>
            </w:r>
          </w:p>
        </w:tc>
        <w:tc>
          <w:tcPr>
            <w:tcW w:w="6634" w:type="dxa"/>
          </w:tcPr>
          <w:p w:rsidR="001F65D4" w:rsidRDefault="001F65D4" w:rsidP="00DE1430">
            <w:pPr>
              <w:pStyle w:val="BodyText"/>
            </w:pPr>
            <w:r>
              <w:t>Based on ABS (</w:t>
            </w:r>
            <w:proofErr w:type="spellStart"/>
            <w:r>
              <w:t>2012g</w:t>
            </w:r>
            <w:proofErr w:type="spellEnd"/>
            <w:r>
              <w:t>), these are employees who are entitled to neither paid holiday or sick leave, or do not know whether they are entitled to paid holiday leave or paid sick leave in their main job.</w:t>
            </w:r>
          </w:p>
        </w:tc>
      </w:tr>
      <w:tr w:rsidR="001F65D4" w:rsidTr="00DE1430">
        <w:tc>
          <w:tcPr>
            <w:tcW w:w="2155" w:type="dxa"/>
          </w:tcPr>
          <w:p w:rsidR="001F65D4" w:rsidRPr="00E6547B" w:rsidRDefault="001F65D4" w:rsidP="00DE1430">
            <w:pPr>
              <w:pStyle w:val="BodyText"/>
              <w:jc w:val="left"/>
              <w:rPr>
                <w:b/>
              </w:rPr>
            </w:pPr>
            <w:r>
              <w:rPr>
                <w:b/>
              </w:rPr>
              <w:t>Fixed</w:t>
            </w:r>
            <w:r>
              <w:rPr>
                <w:b/>
              </w:rPr>
              <w:noBreakHyphen/>
              <w:t>term contract</w:t>
            </w:r>
          </w:p>
        </w:tc>
        <w:tc>
          <w:tcPr>
            <w:tcW w:w="6634" w:type="dxa"/>
          </w:tcPr>
          <w:p w:rsidR="001F65D4" w:rsidRPr="000B0EBA" w:rsidRDefault="001F65D4" w:rsidP="00DE1430">
            <w:pPr>
              <w:pStyle w:val="BodyText"/>
              <w:rPr>
                <w:rStyle w:val="DraftingNote"/>
                <w:b w:val="0"/>
                <w:color w:val="auto"/>
                <w:sz w:val="26"/>
                <w:u w:val="none"/>
              </w:rPr>
            </w:pPr>
            <w:r>
              <w:t>‘</w:t>
            </w:r>
            <w:r w:rsidRPr="000B0EBA">
              <w:t>A contract of employment which specifies that the employment will be terminated on a particular date/event</w:t>
            </w:r>
            <w:r>
              <w:t>’</w:t>
            </w:r>
            <w:r w:rsidRPr="000B0EBA">
              <w:t xml:space="preserve"> (ABS </w:t>
            </w:r>
            <w:proofErr w:type="spellStart"/>
            <w:r>
              <w:t>2012g</w:t>
            </w:r>
            <w:proofErr w:type="spellEnd"/>
            <w:r w:rsidRPr="000B0EBA">
              <w:t>, p. 73).</w:t>
            </w:r>
          </w:p>
        </w:tc>
      </w:tr>
      <w:tr w:rsidR="001F65D4" w:rsidTr="00DE1430">
        <w:tc>
          <w:tcPr>
            <w:tcW w:w="2155" w:type="dxa"/>
          </w:tcPr>
          <w:p w:rsidR="001F65D4" w:rsidRPr="00E6547B" w:rsidRDefault="001F65D4" w:rsidP="00DE1430">
            <w:pPr>
              <w:pStyle w:val="BodyText"/>
              <w:jc w:val="left"/>
              <w:rPr>
                <w:b/>
              </w:rPr>
            </w:pPr>
            <w:r>
              <w:rPr>
                <w:b/>
              </w:rPr>
              <w:lastRenderedPageBreak/>
              <w:t>Incorporated enterprise</w:t>
            </w:r>
          </w:p>
        </w:tc>
        <w:tc>
          <w:tcPr>
            <w:tcW w:w="6634" w:type="dxa"/>
          </w:tcPr>
          <w:p w:rsidR="001F65D4" w:rsidRDefault="001F65D4" w:rsidP="00DE1430">
            <w:pPr>
              <w:pStyle w:val="BodyText"/>
            </w:pPr>
            <w:r>
              <w:t>Based on ABS (</w:t>
            </w:r>
            <w:proofErr w:type="spellStart"/>
            <w:r>
              <w:t>2012g</w:t>
            </w:r>
            <w:proofErr w:type="spellEnd"/>
            <w:r>
              <w:t>), an enterprise that is registered as a legal entity separate from its owners (also known as a limited liability company).</w:t>
            </w:r>
          </w:p>
        </w:tc>
      </w:tr>
      <w:tr w:rsidR="001F65D4" w:rsidTr="00DE1430">
        <w:tc>
          <w:tcPr>
            <w:tcW w:w="2155" w:type="dxa"/>
          </w:tcPr>
          <w:p w:rsidR="001F65D4" w:rsidRPr="00E6547B" w:rsidRDefault="001F65D4" w:rsidP="00DE1430">
            <w:pPr>
              <w:pStyle w:val="BodyText"/>
              <w:jc w:val="left"/>
              <w:rPr>
                <w:b/>
              </w:rPr>
            </w:pPr>
            <w:r>
              <w:rPr>
                <w:b/>
              </w:rPr>
              <w:t>Independent contractor</w:t>
            </w:r>
          </w:p>
        </w:tc>
        <w:tc>
          <w:tcPr>
            <w:tcW w:w="6634" w:type="dxa"/>
          </w:tcPr>
          <w:p w:rsidR="001F65D4" w:rsidRDefault="001F65D4" w:rsidP="00DE1430">
            <w:pPr>
              <w:pStyle w:val="BodyText"/>
            </w:pPr>
            <w:r>
              <w:t>Based on ABS (</w:t>
            </w:r>
            <w:proofErr w:type="spellStart"/>
            <w:r>
              <w:t>2012g</w:t>
            </w:r>
            <w:proofErr w:type="spellEnd"/>
            <w:r>
              <w:t>), an i</w:t>
            </w:r>
            <w:r w:rsidRPr="00E46B6B">
              <w:t>ndepen</w:t>
            </w:r>
            <w:r w:rsidRPr="00FE7235">
              <w:t>dent contractor</w:t>
            </w:r>
            <w:r w:rsidRPr="00E46B6B">
              <w:t xml:space="preserve"> </w:t>
            </w:r>
            <w:r>
              <w:t xml:space="preserve">is a person who </w:t>
            </w:r>
            <w:r w:rsidRPr="003E4A86">
              <w:t>operate</w:t>
            </w:r>
            <w:r>
              <w:t>s</w:t>
            </w:r>
            <w:r w:rsidRPr="003E4A86">
              <w:t xml:space="preserve"> </w:t>
            </w:r>
            <w:r>
              <w:t>his or her</w:t>
            </w:r>
            <w:r w:rsidRPr="00FE7235">
              <w:t xml:space="preserve"> own business and</w:t>
            </w:r>
            <w:r>
              <w:t xml:space="preserve"> who </w:t>
            </w:r>
            <w:r w:rsidRPr="00FE7235">
              <w:t>contract</w:t>
            </w:r>
            <w:r>
              <w:t xml:space="preserve">s </w:t>
            </w:r>
            <w:r w:rsidRPr="003E4A86">
              <w:t xml:space="preserve">to perform services for others without having </w:t>
            </w:r>
            <w:r w:rsidRPr="00FE7235">
              <w:t>the legal status of an employee</w:t>
            </w:r>
            <w:r w:rsidRPr="003E4A86">
              <w:t xml:space="preserve"> </w:t>
            </w:r>
            <w:r>
              <w:t>(an independent contractor is en</w:t>
            </w:r>
            <w:r w:rsidRPr="003E4A86">
              <w:t>gaged by a client, rather than an employer</w:t>
            </w:r>
            <w:r>
              <w:t>)</w:t>
            </w:r>
            <w:r w:rsidRPr="003E4A86">
              <w:t>. Independent contractors</w:t>
            </w:r>
            <w:r>
              <w:t xml:space="preserve"> </w:t>
            </w:r>
            <w:r w:rsidRPr="003E4A86">
              <w:t xml:space="preserve">are engaged under a contract </w:t>
            </w:r>
            <w:r w:rsidRPr="000B0EBA">
              <w:rPr>
                <w:i/>
              </w:rPr>
              <w:t>for</w:t>
            </w:r>
            <w:r w:rsidRPr="003E4A86">
              <w:t xml:space="preserve"> services</w:t>
            </w:r>
            <w:r>
              <w:t xml:space="preserve"> (a commercial contract)</w:t>
            </w:r>
            <w:r w:rsidRPr="00FE7235">
              <w:t>, whereas employees</w:t>
            </w:r>
            <w:r>
              <w:t xml:space="preserve"> </w:t>
            </w:r>
            <w:r w:rsidRPr="003E4A86">
              <w:t xml:space="preserve">are engaged under a contract </w:t>
            </w:r>
            <w:r w:rsidRPr="000B0EBA">
              <w:rPr>
                <w:i/>
              </w:rPr>
              <w:t>of</w:t>
            </w:r>
            <w:r w:rsidRPr="003E4A86">
              <w:t xml:space="preserve"> </w:t>
            </w:r>
            <w:r w:rsidRPr="00FE7235">
              <w:t>service</w:t>
            </w:r>
            <w:r>
              <w:t xml:space="preserve"> (an employment contract)</w:t>
            </w:r>
            <w:r w:rsidRPr="003E4A86">
              <w:t>. Independent</w:t>
            </w:r>
            <w:r>
              <w:t xml:space="preserve"> </w:t>
            </w:r>
            <w:r w:rsidRPr="00FE7235">
              <w:t>contractors</w:t>
            </w:r>
            <w:r>
              <w:t>’</w:t>
            </w:r>
            <w:r w:rsidRPr="003E4A86">
              <w:t xml:space="preserve"> </w:t>
            </w:r>
            <w:r w:rsidRPr="00FE7235">
              <w:t>may have a direct</w:t>
            </w:r>
            <w:r>
              <w:t xml:space="preserve"> </w:t>
            </w:r>
            <w:r w:rsidRPr="003E4A86">
              <w:t>relationship with a client or work through an intermediary. Independent contractors may</w:t>
            </w:r>
            <w:r>
              <w:t xml:space="preserve"> </w:t>
            </w:r>
            <w:r w:rsidRPr="003E4A86">
              <w:t>have employees, however they spend most of their time d</w:t>
            </w:r>
            <w:r w:rsidRPr="00FE7235">
              <w:t>irectly engaged with clients or</w:t>
            </w:r>
            <w:r>
              <w:t xml:space="preserve"> </w:t>
            </w:r>
            <w:r w:rsidRPr="003E4A86">
              <w:t>on client tasks, rather than managing their staff.</w:t>
            </w:r>
          </w:p>
        </w:tc>
      </w:tr>
      <w:tr w:rsidR="001F65D4" w:rsidTr="00DE1430">
        <w:tc>
          <w:tcPr>
            <w:tcW w:w="2155" w:type="dxa"/>
          </w:tcPr>
          <w:p w:rsidR="001F65D4" w:rsidRDefault="001F65D4" w:rsidP="00DE1430">
            <w:pPr>
              <w:pStyle w:val="BodyText"/>
              <w:jc w:val="left"/>
              <w:rPr>
                <w:b/>
              </w:rPr>
            </w:pPr>
            <w:r>
              <w:rPr>
                <w:b/>
              </w:rPr>
              <w:t>Labour hire firm</w:t>
            </w:r>
          </w:p>
        </w:tc>
        <w:tc>
          <w:tcPr>
            <w:tcW w:w="6634" w:type="dxa"/>
          </w:tcPr>
          <w:p w:rsidR="001F65D4" w:rsidRDefault="001F65D4" w:rsidP="00DE1430">
            <w:pPr>
              <w:pStyle w:val="BodyText"/>
            </w:pPr>
            <w:r>
              <w:t>Based on ABS (</w:t>
            </w:r>
            <w:proofErr w:type="spellStart"/>
            <w:r>
              <w:t>2012g</w:t>
            </w:r>
            <w:proofErr w:type="spellEnd"/>
            <w:r>
              <w:t>, p. 74), a ‘labour hire firm is an organisation which is engaged in personnel search, or selection and placement of people for an employing organisation. The agency or firm may also be engaged in supply of their own employees to other employers, usually on a short-term basis’.</w:t>
            </w:r>
          </w:p>
        </w:tc>
      </w:tr>
      <w:tr w:rsidR="001F65D4" w:rsidTr="00DE1430">
        <w:tc>
          <w:tcPr>
            <w:tcW w:w="2155" w:type="dxa"/>
          </w:tcPr>
          <w:p w:rsidR="001F65D4" w:rsidRPr="00E6547B" w:rsidRDefault="001F65D4" w:rsidP="00DE1430">
            <w:pPr>
              <w:pStyle w:val="BodyText"/>
              <w:jc w:val="left"/>
              <w:rPr>
                <w:b/>
              </w:rPr>
            </w:pPr>
            <w:r>
              <w:rPr>
                <w:b/>
              </w:rPr>
              <w:t>Labour hire worker</w:t>
            </w:r>
          </w:p>
        </w:tc>
        <w:tc>
          <w:tcPr>
            <w:tcW w:w="6634" w:type="dxa"/>
          </w:tcPr>
          <w:p w:rsidR="001F65D4" w:rsidRDefault="001F65D4" w:rsidP="00DE1430">
            <w:pPr>
              <w:pStyle w:val="BodyText"/>
            </w:pPr>
            <w:r>
              <w:t>Based on ABS (</w:t>
            </w:r>
            <w:proofErr w:type="spellStart"/>
            <w:r>
              <w:t>2012g</w:t>
            </w:r>
            <w:proofErr w:type="spellEnd"/>
            <w:r>
              <w:t>), a labour hire worker is a person who found his or her job through a labour hire/employment agency and is paid by the labour hire firm/employment agency.</w:t>
            </w:r>
          </w:p>
        </w:tc>
      </w:tr>
      <w:tr w:rsidR="001F65D4" w:rsidTr="00DE1430">
        <w:tc>
          <w:tcPr>
            <w:tcW w:w="2155" w:type="dxa"/>
          </w:tcPr>
          <w:p w:rsidR="001F65D4" w:rsidRDefault="001F65D4" w:rsidP="00DE1430">
            <w:pPr>
              <w:pStyle w:val="BodyText"/>
              <w:jc w:val="left"/>
              <w:rPr>
                <w:b/>
              </w:rPr>
            </w:pPr>
            <w:r>
              <w:rPr>
                <w:b/>
              </w:rPr>
              <w:t>Main job</w:t>
            </w:r>
          </w:p>
        </w:tc>
        <w:tc>
          <w:tcPr>
            <w:tcW w:w="6634" w:type="dxa"/>
          </w:tcPr>
          <w:p w:rsidR="001F65D4" w:rsidRDefault="001F65D4" w:rsidP="00DE1430">
            <w:pPr>
              <w:pStyle w:val="BodyText"/>
            </w:pPr>
            <w:r>
              <w:t>Based on ABS (</w:t>
            </w:r>
            <w:proofErr w:type="spellStart"/>
            <w:r>
              <w:t>2012g</w:t>
            </w:r>
            <w:proofErr w:type="spellEnd"/>
            <w:r>
              <w:t>), the job in which a person with multiple jobs worked the most hours.</w:t>
            </w:r>
          </w:p>
        </w:tc>
      </w:tr>
      <w:tr w:rsidR="001F65D4" w:rsidTr="00DE1430">
        <w:tc>
          <w:tcPr>
            <w:tcW w:w="2155" w:type="dxa"/>
          </w:tcPr>
          <w:p w:rsidR="001F65D4" w:rsidRDefault="001F65D4" w:rsidP="00DE1430">
            <w:pPr>
              <w:pStyle w:val="BodyText"/>
              <w:jc w:val="left"/>
              <w:rPr>
                <w:b/>
              </w:rPr>
            </w:pPr>
            <w:r>
              <w:rPr>
                <w:b/>
              </w:rPr>
              <w:t>Occupation</w:t>
            </w:r>
          </w:p>
        </w:tc>
        <w:tc>
          <w:tcPr>
            <w:tcW w:w="6634" w:type="dxa"/>
          </w:tcPr>
          <w:p w:rsidR="001F65D4" w:rsidRDefault="001F65D4" w:rsidP="00DE1430">
            <w:pPr>
              <w:pStyle w:val="BodyText"/>
            </w:pPr>
            <w:r>
              <w:t>Based on ABS (</w:t>
            </w:r>
            <w:proofErr w:type="spellStart"/>
            <w:r>
              <w:t>2012g</w:t>
            </w:r>
            <w:proofErr w:type="spellEnd"/>
            <w:r>
              <w:t xml:space="preserve">), an occupation is a collection of jobs that are sufficiently similar in their title, tasks, skill level and skill specialisation, which are grouped together for the purposes of classification. In this paper, occupation refers to the Major Group category within the </w:t>
            </w:r>
            <w:r w:rsidRPr="00D02716">
              <w:rPr>
                <w:i/>
              </w:rPr>
              <w:t>Australia and New Zealand Standard Classification of Occupations</w:t>
            </w:r>
            <w:r>
              <w:t xml:space="preserve"> (</w:t>
            </w:r>
            <w:proofErr w:type="spellStart"/>
            <w:r>
              <w:t>ANZSCO</w:t>
            </w:r>
            <w:proofErr w:type="spellEnd"/>
            <w:r>
              <w:t>).</w:t>
            </w:r>
          </w:p>
        </w:tc>
      </w:tr>
      <w:tr w:rsidR="001F65D4" w:rsidTr="00DE1430">
        <w:tc>
          <w:tcPr>
            <w:tcW w:w="2155" w:type="dxa"/>
          </w:tcPr>
          <w:p w:rsidR="001F65D4" w:rsidRDefault="001F65D4" w:rsidP="00DE1430">
            <w:pPr>
              <w:pStyle w:val="BodyText"/>
              <w:jc w:val="left"/>
              <w:rPr>
                <w:b/>
              </w:rPr>
            </w:pPr>
          </w:p>
          <w:p w:rsidR="001F65D4" w:rsidRDefault="001F65D4" w:rsidP="00DE1430">
            <w:pPr>
              <w:pStyle w:val="BodyText"/>
              <w:jc w:val="left"/>
              <w:rPr>
                <w:b/>
              </w:rPr>
            </w:pPr>
            <w:r>
              <w:rPr>
                <w:b/>
              </w:rPr>
              <w:lastRenderedPageBreak/>
              <w:t>Other business operator</w:t>
            </w:r>
          </w:p>
        </w:tc>
        <w:tc>
          <w:tcPr>
            <w:tcW w:w="6634" w:type="dxa"/>
          </w:tcPr>
          <w:p w:rsidR="001F65D4" w:rsidRDefault="001F65D4" w:rsidP="00DE1430">
            <w:pPr>
              <w:pStyle w:val="BodyText"/>
            </w:pPr>
          </w:p>
          <w:p w:rsidR="001F65D4" w:rsidRDefault="001F65D4" w:rsidP="00DE1430">
            <w:pPr>
              <w:pStyle w:val="BodyText"/>
            </w:pPr>
            <w:r>
              <w:lastRenderedPageBreak/>
              <w:t>Based on ABS (</w:t>
            </w:r>
            <w:proofErr w:type="spellStart"/>
            <w:r>
              <w:t>2012g</w:t>
            </w:r>
            <w:proofErr w:type="spellEnd"/>
            <w:r>
              <w:t>), a person who operates his or her own business, with or without employees, but does not operate as an independent contractor. Other business operators are distinguished from independent contractors in that they tend to generate their income from managing their staff or from selling goods or services to the public, rather than providing a labour service directly to a client. Other business operators spend little time working on client tasks with most of their time spent on managing their employees and/or business.</w:t>
            </w:r>
          </w:p>
        </w:tc>
      </w:tr>
      <w:tr w:rsidR="001F65D4" w:rsidTr="00DE1430">
        <w:tc>
          <w:tcPr>
            <w:tcW w:w="2155" w:type="dxa"/>
          </w:tcPr>
          <w:p w:rsidR="001F65D4" w:rsidRDefault="001F65D4" w:rsidP="00DE1430">
            <w:pPr>
              <w:pStyle w:val="BodyText"/>
              <w:jc w:val="left"/>
              <w:rPr>
                <w:b/>
              </w:rPr>
            </w:pPr>
            <w:r>
              <w:rPr>
                <w:b/>
              </w:rPr>
              <w:lastRenderedPageBreak/>
              <w:t>Owner manager</w:t>
            </w:r>
          </w:p>
        </w:tc>
        <w:tc>
          <w:tcPr>
            <w:tcW w:w="6634" w:type="dxa"/>
          </w:tcPr>
          <w:p w:rsidR="001F65D4" w:rsidRDefault="001F65D4" w:rsidP="00DE1430">
            <w:pPr>
              <w:pStyle w:val="BodyText"/>
            </w:pPr>
            <w:r>
              <w:t>Based on ABS (</w:t>
            </w:r>
            <w:proofErr w:type="spellStart"/>
            <w:r>
              <w:t>2012g</w:t>
            </w:r>
            <w:proofErr w:type="spellEnd"/>
            <w:r>
              <w:t xml:space="preserve">), a person who works in his or her own incorporated or unincorporated enterprise </w:t>
            </w:r>
          </w:p>
        </w:tc>
      </w:tr>
      <w:tr w:rsidR="001F65D4" w:rsidTr="00DE1430">
        <w:tc>
          <w:tcPr>
            <w:tcW w:w="2155" w:type="dxa"/>
          </w:tcPr>
          <w:p w:rsidR="001F65D4" w:rsidRDefault="001F65D4" w:rsidP="00DE1430">
            <w:pPr>
              <w:pStyle w:val="BodyText"/>
              <w:jc w:val="left"/>
              <w:rPr>
                <w:b/>
              </w:rPr>
            </w:pPr>
            <w:r>
              <w:rPr>
                <w:b/>
              </w:rPr>
              <w:t>Owner managers of incorporated enterprises</w:t>
            </w:r>
          </w:p>
        </w:tc>
        <w:tc>
          <w:tcPr>
            <w:tcW w:w="6634" w:type="dxa"/>
          </w:tcPr>
          <w:p w:rsidR="001F65D4" w:rsidRDefault="001F65D4" w:rsidP="00DE1430">
            <w:pPr>
              <w:pStyle w:val="BodyText"/>
            </w:pPr>
            <w:r>
              <w:t>Based on ABS (</w:t>
            </w:r>
            <w:proofErr w:type="spellStart"/>
            <w:r>
              <w:t>2007b</w:t>
            </w:r>
            <w:proofErr w:type="spellEnd"/>
            <w:r>
              <w:t>, section 4.46), ‘</w:t>
            </w:r>
            <w:r w:rsidRPr="006A570F">
              <w:t>persons who</w:t>
            </w:r>
            <w:r>
              <w:t xml:space="preserve"> </w:t>
            </w:r>
            <w:r w:rsidRPr="003E4A86">
              <w:t>work in their own incorporated enterprise.</w:t>
            </w:r>
            <w:r>
              <w:t xml:space="preserve"> This group includes persons who draw a wage or salary for their work in their own incorporated enterprise’.</w:t>
            </w:r>
          </w:p>
        </w:tc>
      </w:tr>
      <w:tr w:rsidR="001F65D4" w:rsidTr="00DE1430">
        <w:tc>
          <w:tcPr>
            <w:tcW w:w="2155" w:type="dxa"/>
          </w:tcPr>
          <w:p w:rsidR="001F65D4" w:rsidRDefault="001F65D4" w:rsidP="00DE1430">
            <w:pPr>
              <w:pStyle w:val="BodyText"/>
              <w:jc w:val="left"/>
              <w:rPr>
                <w:b/>
              </w:rPr>
            </w:pPr>
            <w:r>
              <w:rPr>
                <w:b/>
              </w:rPr>
              <w:t>Owner managers of unincorporated enterprises</w:t>
            </w:r>
          </w:p>
        </w:tc>
        <w:tc>
          <w:tcPr>
            <w:tcW w:w="6634" w:type="dxa"/>
          </w:tcPr>
          <w:p w:rsidR="001F65D4" w:rsidRDefault="001F65D4" w:rsidP="00DE1430">
            <w:pPr>
              <w:pStyle w:val="BodyText"/>
            </w:pPr>
            <w:r>
              <w:t>Based on ABS (</w:t>
            </w:r>
            <w:proofErr w:type="spellStart"/>
            <w:r>
              <w:t>2007b</w:t>
            </w:r>
            <w:proofErr w:type="spellEnd"/>
            <w:r>
              <w:t>, section 4.46), ‘</w:t>
            </w:r>
            <w:r w:rsidRPr="006A570F">
              <w:t>persons who</w:t>
            </w:r>
            <w:r>
              <w:t xml:space="preserve"> </w:t>
            </w:r>
            <w:r w:rsidRPr="003E4A86">
              <w:t>operate their own unincorp</w:t>
            </w:r>
            <w:r w:rsidRPr="00385789">
              <w:t>orated enterprise</w:t>
            </w:r>
            <w:r>
              <w:t>,</w:t>
            </w:r>
            <w:r w:rsidRPr="00385789">
              <w:t xml:space="preserve"> includ</w:t>
            </w:r>
            <w:r>
              <w:t>ing</w:t>
            </w:r>
            <w:r w:rsidRPr="003E4A86">
              <w:t xml:space="preserve"> those engaged</w:t>
            </w:r>
            <w:r>
              <w:t xml:space="preserve"> </w:t>
            </w:r>
            <w:r w:rsidRPr="003E4A86">
              <w:t>independently in a trade or profession</w:t>
            </w:r>
            <w:r>
              <w:t>’</w:t>
            </w:r>
            <w:r w:rsidRPr="003E4A86">
              <w:t>.</w:t>
            </w:r>
          </w:p>
        </w:tc>
      </w:tr>
      <w:tr w:rsidR="001F65D4" w:rsidTr="00DE1430">
        <w:tc>
          <w:tcPr>
            <w:tcW w:w="2155" w:type="dxa"/>
          </w:tcPr>
          <w:p w:rsidR="001F65D4" w:rsidRDefault="001F65D4" w:rsidP="00DE1430">
            <w:pPr>
              <w:pStyle w:val="BodyText"/>
              <w:jc w:val="left"/>
              <w:rPr>
                <w:b/>
              </w:rPr>
            </w:pPr>
            <w:r>
              <w:rPr>
                <w:b/>
              </w:rPr>
              <w:t>Unincorporated enterprise</w:t>
            </w:r>
          </w:p>
        </w:tc>
        <w:tc>
          <w:tcPr>
            <w:tcW w:w="6634" w:type="dxa"/>
          </w:tcPr>
          <w:p w:rsidR="001F65D4" w:rsidRDefault="001F65D4" w:rsidP="00DE1430">
            <w:pPr>
              <w:pStyle w:val="BodyText"/>
            </w:pPr>
            <w:r>
              <w:t>Based on ABS (</w:t>
            </w:r>
            <w:proofErr w:type="spellStart"/>
            <w:r>
              <w:t>2012g</w:t>
            </w:r>
            <w:proofErr w:type="spellEnd"/>
            <w:r>
              <w:t>, p. 55), ‘a business entity in which the owner and the business are legally inseparable, so that the owner is liable for any business debts incurred’.</w:t>
            </w:r>
          </w:p>
        </w:tc>
      </w:tr>
    </w:tbl>
    <w:p w:rsidR="001F65D4" w:rsidRPr="00623567" w:rsidRDefault="001F65D4" w:rsidP="001F65D4">
      <w:pPr>
        <w:pStyle w:val="BodyText"/>
        <w:rPr>
          <w:rStyle w:val="CommentReference"/>
        </w:rPr>
      </w:pPr>
    </w:p>
    <w:p w:rsidR="000F2F5F" w:rsidRDefault="000F2F5F" w:rsidP="00743A27">
      <w:pPr>
        <w:pStyle w:val="BodyText"/>
      </w:pPr>
    </w:p>
    <w:sectPr w:rsidR="000F2F5F" w:rsidSect="00C55A45">
      <w:headerReference w:type="even" r:id="rId22"/>
      <w:headerReference w:type="default" r:id="rId23"/>
      <w:footerReference w:type="even" r:id="rId24"/>
      <w:footerReference w:type="default" r:id="rId25"/>
      <w:pgSz w:w="11907" w:h="16840" w:code="9"/>
      <w:pgMar w:top="1332" w:right="1304" w:bottom="1418" w:left="1814" w:header="1701" w:footer="567" w:gutter="0"/>
      <w:pgNumType w:fmt="lowerRoman"/>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5D4" w:rsidRDefault="001F65D4">
      <w:r>
        <w:separator/>
      </w:r>
    </w:p>
    <w:p w:rsidR="001F65D4" w:rsidRDefault="001F65D4"/>
    <w:p w:rsidR="001F65D4" w:rsidRDefault="001F65D4"/>
  </w:endnote>
  <w:endnote w:type="continuationSeparator" w:id="0">
    <w:p w:rsidR="001F65D4" w:rsidRDefault="001F65D4">
      <w:r>
        <w:continuationSeparator/>
      </w:r>
    </w:p>
    <w:p w:rsidR="001F65D4" w:rsidRDefault="001F65D4"/>
    <w:p w:rsidR="001F65D4" w:rsidRDefault="001F65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oudyOlSt BT">
    <w:altName w:val="Georgia"/>
    <w:panose1 w:val="02020502050305020303"/>
    <w:charset w:val="00"/>
    <w:family w:val="roman"/>
    <w:pitch w:val="variable"/>
    <w:sig w:usb0="00000087"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D37AC2">
      <w:trPr>
        <w:trHeight w:hRule="exact" w:val="740"/>
      </w:trPr>
      <w:tc>
        <w:tcPr>
          <w:tcW w:w="510" w:type="dxa"/>
          <w:tcBorders>
            <w:top w:val="single" w:sz="6" w:space="0" w:color="auto"/>
          </w:tcBorders>
        </w:tcPr>
        <w:p w:rsidR="00D37AC2" w:rsidRPr="008206EE" w:rsidRDefault="00D37AC2">
          <w:pPr>
            <w:pStyle w:val="Footer"/>
            <w:rPr>
              <w:rStyle w:val="PageNumber"/>
              <w:caps w:val="0"/>
            </w:rPr>
          </w:pPr>
          <w:r w:rsidRPr="008206EE">
            <w:rPr>
              <w:rStyle w:val="PageNumber"/>
              <w:caps w:val="0"/>
            </w:rPr>
            <w:fldChar w:fldCharType="begin"/>
          </w:r>
          <w:r w:rsidRPr="008206EE">
            <w:rPr>
              <w:rStyle w:val="PageNumber"/>
              <w:caps w:val="0"/>
            </w:rPr>
            <w:instrText xml:space="preserve"> PAGE   \* MERGEFORMAT </w:instrText>
          </w:r>
          <w:r w:rsidRPr="008206EE">
            <w:rPr>
              <w:rStyle w:val="PageNumber"/>
              <w:caps w:val="0"/>
            </w:rPr>
            <w:fldChar w:fldCharType="separate"/>
          </w:r>
          <w:r w:rsidR="001374E2">
            <w:rPr>
              <w:rStyle w:val="PageNumber"/>
              <w:caps w:val="0"/>
              <w:noProof/>
            </w:rPr>
            <w:t>iv</w:t>
          </w:r>
          <w:r w:rsidRPr="008206EE">
            <w:rPr>
              <w:rStyle w:val="PageNumber"/>
              <w:caps w:val="0"/>
              <w:noProof/>
            </w:rPr>
            <w:fldChar w:fldCharType="end"/>
          </w:r>
        </w:p>
      </w:tc>
      <w:tc>
        <w:tcPr>
          <w:tcW w:w="1644" w:type="dxa"/>
          <w:tcBorders>
            <w:top w:val="single" w:sz="6" w:space="0" w:color="auto"/>
          </w:tcBorders>
        </w:tcPr>
        <w:p w:rsidR="00D37AC2" w:rsidRDefault="001374E2">
          <w:pPr>
            <w:pStyle w:val="Footer"/>
          </w:pPr>
          <w:r>
            <w:fldChar w:fldCharType="begin"/>
          </w:r>
          <w:r>
            <w:instrText xml:space="preserve"> STYLEREF "Heading 1 Not TOC" \* MERGEFORMAT </w:instrText>
          </w:r>
          <w:r>
            <w:fldChar w:fldCharType="separate"/>
          </w:r>
          <w:r>
            <w:rPr>
              <w:noProof/>
            </w:rPr>
            <w:t>Contents</w:t>
          </w:r>
          <w:r>
            <w:rPr>
              <w:noProof/>
            </w:rPr>
            <w:fldChar w:fldCharType="end"/>
          </w:r>
        </w:p>
      </w:tc>
      <w:tc>
        <w:tcPr>
          <w:tcW w:w="6634" w:type="dxa"/>
        </w:tcPr>
        <w:p w:rsidR="00D37AC2" w:rsidRDefault="00D37AC2">
          <w:pPr>
            <w:pStyle w:val="Footer"/>
            <w:rPr>
              <w:caps w:val="0"/>
            </w:rPr>
          </w:pPr>
        </w:p>
      </w:tc>
    </w:tr>
  </w:tbl>
  <w:p w:rsidR="00D37AC2" w:rsidRDefault="00D37AC2">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D37AC2" w:rsidTr="008F7DB7">
      <w:trPr>
        <w:trHeight w:hRule="exact" w:val="740"/>
      </w:trPr>
      <w:tc>
        <w:tcPr>
          <w:tcW w:w="6634" w:type="dxa"/>
        </w:tcPr>
        <w:p w:rsidR="00D37AC2" w:rsidRDefault="00D37AC2">
          <w:pPr>
            <w:pStyle w:val="Footer"/>
          </w:pPr>
        </w:p>
      </w:tc>
      <w:tc>
        <w:tcPr>
          <w:tcW w:w="1644" w:type="dxa"/>
          <w:tcBorders>
            <w:top w:val="single" w:sz="6" w:space="0" w:color="auto"/>
          </w:tcBorders>
        </w:tcPr>
        <w:p w:rsidR="00D37AC2" w:rsidRPr="008F7DB7" w:rsidRDefault="00D37AC2">
          <w:pPr>
            <w:pStyle w:val="Footer"/>
            <w:rPr>
              <w:rStyle w:val="PageNumber"/>
              <w:noProof/>
            </w:rPr>
          </w:pPr>
          <w:r w:rsidRPr="008F7DB7">
            <w:rPr>
              <w:noProof/>
            </w:rPr>
            <w:fldChar w:fldCharType="begin"/>
          </w:r>
          <w:r w:rsidRPr="008F7DB7">
            <w:rPr>
              <w:noProof/>
            </w:rPr>
            <w:instrText xml:space="preserve"> STYLEREF "Heading 1 Not TOC" \* MERGEFORMAT </w:instrText>
          </w:r>
          <w:r w:rsidRPr="008F7DB7">
            <w:rPr>
              <w:noProof/>
            </w:rPr>
            <w:fldChar w:fldCharType="separate"/>
          </w:r>
          <w:r w:rsidR="001374E2">
            <w:rPr>
              <w:noProof/>
            </w:rPr>
            <w:t>Contents</w:t>
          </w:r>
          <w:r w:rsidRPr="008F7DB7">
            <w:rPr>
              <w:noProof/>
            </w:rPr>
            <w:fldChar w:fldCharType="end"/>
          </w:r>
        </w:p>
      </w:tc>
      <w:tc>
        <w:tcPr>
          <w:tcW w:w="510" w:type="dxa"/>
          <w:tcBorders>
            <w:top w:val="single" w:sz="6" w:space="0" w:color="auto"/>
          </w:tcBorders>
        </w:tcPr>
        <w:p w:rsidR="00D37AC2" w:rsidRPr="00C55A45" w:rsidRDefault="00D37AC2">
          <w:pPr>
            <w:pStyle w:val="Footer"/>
            <w:jc w:val="right"/>
            <w:rPr>
              <w:rStyle w:val="PageNumber"/>
              <w:caps w:val="0"/>
              <w:noProof/>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1374E2">
            <w:rPr>
              <w:rStyle w:val="PageNumber"/>
              <w:caps w:val="0"/>
              <w:noProof/>
            </w:rPr>
            <w:t>iii</w:t>
          </w:r>
          <w:r w:rsidRPr="00C55A45">
            <w:rPr>
              <w:rStyle w:val="PageNumber"/>
              <w:caps w:val="0"/>
              <w:noProof/>
            </w:rPr>
            <w:fldChar w:fldCharType="end"/>
          </w:r>
        </w:p>
      </w:tc>
    </w:tr>
  </w:tbl>
  <w:p w:rsidR="00D37AC2" w:rsidRDefault="00D37AC2">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830"/>
      <w:gridCol w:w="6448"/>
    </w:tblGrid>
    <w:tr w:rsidR="001F65D4">
      <w:trPr>
        <w:trHeight w:hRule="exact" w:val="740"/>
      </w:trPr>
      <w:tc>
        <w:tcPr>
          <w:tcW w:w="510" w:type="dxa"/>
          <w:tcBorders>
            <w:top w:val="single" w:sz="4" w:space="0" w:color="auto"/>
          </w:tcBorders>
        </w:tcPr>
        <w:p w:rsidR="001F65D4" w:rsidRDefault="001F65D4">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vi</w:t>
          </w:r>
          <w:r>
            <w:rPr>
              <w:rStyle w:val="PageNumber"/>
            </w:rPr>
            <w:fldChar w:fldCharType="end"/>
          </w:r>
        </w:p>
      </w:tc>
      <w:tc>
        <w:tcPr>
          <w:tcW w:w="1830" w:type="dxa"/>
          <w:tcBorders>
            <w:top w:val="single" w:sz="6" w:space="0" w:color="auto"/>
          </w:tcBorders>
        </w:tcPr>
        <w:p w:rsidR="001F65D4" w:rsidRDefault="001374E2">
          <w:pPr>
            <w:pStyle w:val="Footer"/>
          </w:pPr>
          <w:r>
            <w:fldChar w:fldCharType="begin"/>
          </w:r>
          <w:r>
            <w:instrText xml:space="preserve"> STYLEREF "Heading 1" \* MERGEFORMAT </w:instrText>
          </w:r>
          <w:r>
            <w:fldChar w:fldCharType="separate"/>
          </w:r>
          <w:r w:rsidR="001F65D4">
            <w:rPr>
              <w:noProof/>
            </w:rPr>
            <w:t>Acknowledgments</w:t>
          </w:r>
          <w:r>
            <w:rPr>
              <w:noProof/>
            </w:rPr>
            <w:fldChar w:fldCharType="end"/>
          </w:r>
        </w:p>
      </w:tc>
      <w:tc>
        <w:tcPr>
          <w:tcW w:w="6448" w:type="dxa"/>
        </w:tcPr>
        <w:p w:rsidR="001F65D4" w:rsidRDefault="001F65D4">
          <w:pPr>
            <w:pStyle w:val="Footer"/>
          </w:pPr>
        </w:p>
      </w:tc>
    </w:tr>
  </w:tbl>
  <w:p w:rsidR="001F65D4" w:rsidRDefault="001F65D4">
    <w:pPr>
      <w:pStyle w:val="FooterEn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480"/>
      <w:gridCol w:w="1798"/>
      <w:gridCol w:w="510"/>
    </w:tblGrid>
    <w:tr w:rsidR="001F65D4">
      <w:trPr>
        <w:trHeight w:hRule="exact" w:val="740"/>
      </w:trPr>
      <w:tc>
        <w:tcPr>
          <w:tcW w:w="6480" w:type="dxa"/>
        </w:tcPr>
        <w:p w:rsidR="001F65D4" w:rsidRDefault="001F65D4">
          <w:pPr>
            <w:pStyle w:val="Footer"/>
          </w:pPr>
        </w:p>
      </w:tc>
      <w:tc>
        <w:tcPr>
          <w:tcW w:w="1798" w:type="dxa"/>
          <w:tcBorders>
            <w:top w:val="single" w:sz="6" w:space="0" w:color="auto"/>
          </w:tcBorders>
        </w:tcPr>
        <w:p w:rsidR="001F65D4" w:rsidRDefault="001374E2">
          <w:pPr>
            <w:pStyle w:val="Footer"/>
            <w:rPr>
              <w:rStyle w:val="PageNumber"/>
              <w:b w:val="0"/>
            </w:rPr>
          </w:pPr>
          <w:r>
            <w:fldChar w:fldCharType="begin"/>
          </w:r>
          <w:r>
            <w:instrText xml:space="preserve"> STYLEREF "Heading 1" \* MERGEFORMAT </w:instrText>
          </w:r>
          <w:r>
            <w:fldChar w:fldCharType="separate"/>
          </w:r>
          <w:r>
            <w:rPr>
              <w:noProof/>
            </w:rPr>
            <w:t>Acknowledgments</w:t>
          </w:r>
          <w:r>
            <w:rPr>
              <w:noProof/>
            </w:rPr>
            <w:fldChar w:fldCharType="end"/>
          </w:r>
        </w:p>
      </w:tc>
      <w:tc>
        <w:tcPr>
          <w:tcW w:w="510" w:type="dxa"/>
          <w:tcBorders>
            <w:top w:val="single" w:sz="6" w:space="0" w:color="auto"/>
          </w:tcBorders>
        </w:tcPr>
        <w:p w:rsidR="001F65D4" w:rsidRPr="00A10FFE" w:rsidRDefault="001F65D4" w:rsidP="00537BB4">
          <w:pPr>
            <w:pStyle w:val="PartTitle"/>
            <w:spacing w:before="80" w:after="0" w:line="200" w:lineRule="exact"/>
            <w:ind w:right="6"/>
            <w:rPr>
              <w:rStyle w:val="PageNumber"/>
              <w:smallCaps w:val="0"/>
            </w:rPr>
          </w:pPr>
          <w:r w:rsidRPr="00A10FFE">
            <w:rPr>
              <w:rStyle w:val="PageNumber"/>
              <w:smallCaps w:val="0"/>
            </w:rPr>
            <w:fldChar w:fldCharType="begin"/>
          </w:r>
          <w:r w:rsidRPr="00A10FFE">
            <w:rPr>
              <w:rStyle w:val="PageNumber"/>
              <w:smallCaps w:val="0"/>
            </w:rPr>
            <w:instrText xml:space="preserve">PAGE  </w:instrText>
          </w:r>
          <w:r w:rsidRPr="00A10FFE">
            <w:rPr>
              <w:rStyle w:val="PageNumber"/>
              <w:smallCaps w:val="0"/>
            </w:rPr>
            <w:fldChar w:fldCharType="separate"/>
          </w:r>
          <w:r w:rsidR="001374E2">
            <w:rPr>
              <w:rStyle w:val="PageNumber"/>
              <w:smallCaps w:val="0"/>
              <w:noProof/>
            </w:rPr>
            <w:t>v</w:t>
          </w:r>
          <w:r w:rsidRPr="00A10FFE">
            <w:rPr>
              <w:rStyle w:val="PageNumber"/>
              <w:smallCaps w:val="0"/>
            </w:rPr>
            <w:fldChar w:fldCharType="end"/>
          </w:r>
        </w:p>
      </w:tc>
    </w:tr>
  </w:tbl>
  <w:p w:rsidR="001F65D4" w:rsidRDefault="001F65D4">
    <w:pPr>
      <w:pStyle w:val="FooterEn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830"/>
      <w:gridCol w:w="6448"/>
    </w:tblGrid>
    <w:tr w:rsidR="001F65D4">
      <w:trPr>
        <w:trHeight w:hRule="exact" w:val="740"/>
      </w:trPr>
      <w:tc>
        <w:tcPr>
          <w:tcW w:w="510" w:type="dxa"/>
          <w:tcBorders>
            <w:top w:val="single" w:sz="6" w:space="0" w:color="auto"/>
          </w:tcBorders>
        </w:tcPr>
        <w:p w:rsidR="001F65D4" w:rsidRPr="00F47D84" w:rsidRDefault="001F65D4">
          <w:pPr>
            <w:pStyle w:val="Footer"/>
            <w:tabs>
              <w:tab w:val="left" w:pos="0"/>
            </w:tabs>
            <w:ind w:right="0"/>
            <w:rPr>
              <w:rStyle w:val="PageNumber"/>
              <w:caps w:val="0"/>
            </w:rPr>
          </w:pPr>
          <w:r w:rsidRPr="00F47D84">
            <w:rPr>
              <w:rStyle w:val="PageNumber"/>
              <w:caps w:val="0"/>
            </w:rPr>
            <w:fldChar w:fldCharType="begin"/>
          </w:r>
          <w:r w:rsidRPr="00F47D84">
            <w:rPr>
              <w:rStyle w:val="PageNumber"/>
              <w:caps w:val="0"/>
            </w:rPr>
            <w:instrText xml:space="preserve">PAGE  </w:instrText>
          </w:r>
          <w:r w:rsidRPr="00F47D84">
            <w:rPr>
              <w:rStyle w:val="PageNumber"/>
              <w:caps w:val="0"/>
            </w:rPr>
            <w:fldChar w:fldCharType="separate"/>
          </w:r>
          <w:r w:rsidR="001374E2">
            <w:rPr>
              <w:rStyle w:val="PageNumber"/>
              <w:caps w:val="0"/>
              <w:noProof/>
            </w:rPr>
            <w:t>vi</w:t>
          </w:r>
          <w:r w:rsidRPr="00F47D84">
            <w:rPr>
              <w:rStyle w:val="PageNumber"/>
              <w:caps w:val="0"/>
            </w:rPr>
            <w:fldChar w:fldCharType="end"/>
          </w:r>
        </w:p>
      </w:tc>
      <w:tc>
        <w:tcPr>
          <w:tcW w:w="1830" w:type="dxa"/>
          <w:tcBorders>
            <w:top w:val="single" w:sz="6" w:space="0" w:color="auto"/>
          </w:tcBorders>
        </w:tcPr>
        <w:p w:rsidR="001F65D4" w:rsidRDefault="001374E2">
          <w:pPr>
            <w:pStyle w:val="Footer"/>
          </w:pPr>
          <w:r>
            <w:fldChar w:fldCharType="begin"/>
          </w:r>
          <w:r>
            <w:instrText xml:space="preserve"> STYLEREF "Heading 1" \* MERGEFORMAT </w:instrText>
          </w:r>
          <w:r>
            <w:fldChar w:fldCharType="separate"/>
          </w:r>
          <w:r>
            <w:rPr>
              <w:noProof/>
            </w:rPr>
            <w:t>Abbreviations and explanations</w:t>
          </w:r>
          <w:r>
            <w:rPr>
              <w:noProof/>
            </w:rPr>
            <w:fldChar w:fldCharType="end"/>
          </w:r>
        </w:p>
      </w:tc>
      <w:tc>
        <w:tcPr>
          <w:tcW w:w="6448" w:type="dxa"/>
        </w:tcPr>
        <w:p w:rsidR="001F65D4" w:rsidRDefault="001F65D4">
          <w:pPr>
            <w:pStyle w:val="Footer"/>
          </w:pPr>
        </w:p>
      </w:tc>
    </w:tr>
  </w:tbl>
  <w:p w:rsidR="001F65D4" w:rsidRDefault="001F65D4">
    <w:pPr>
      <w:pStyle w:val="FooterEn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480"/>
      <w:gridCol w:w="1798"/>
      <w:gridCol w:w="510"/>
    </w:tblGrid>
    <w:tr w:rsidR="001F65D4">
      <w:trPr>
        <w:trHeight w:hRule="exact" w:val="740"/>
      </w:trPr>
      <w:tc>
        <w:tcPr>
          <w:tcW w:w="6480" w:type="dxa"/>
        </w:tcPr>
        <w:p w:rsidR="001F65D4" w:rsidRDefault="001F65D4">
          <w:pPr>
            <w:pStyle w:val="Footer"/>
          </w:pPr>
        </w:p>
      </w:tc>
      <w:tc>
        <w:tcPr>
          <w:tcW w:w="1798" w:type="dxa"/>
          <w:tcBorders>
            <w:top w:val="single" w:sz="6" w:space="0" w:color="auto"/>
          </w:tcBorders>
        </w:tcPr>
        <w:p w:rsidR="001F65D4" w:rsidRDefault="001374E2">
          <w:pPr>
            <w:pStyle w:val="Footer"/>
            <w:rPr>
              <w:rStyle w:val="PageNumber"/>
              <w:b w:val="0"/>
            </w:rPr>
          </w:pPr>
          <w:r>
            <w:fldChar w:fldCharType="begin"/>
          </w:r>
          <w:r>
            <w:instrText xml:space="preserve"> STYLEREF "Heading 1" \* MERGEFORMAT </w:instrText>
          </w:r>
          <w:r>
            <w:fldChar w:fldCharType="separate"/>
          </w:r>
          <w:r w:rsidR="001F65D4">
            <w:rPr>
              <w:noProof/>
            </w:rPr>
            <w:t>Abbreviations and explanations</w:t>
          </w:r>
          <w:r>
            <w:rPr>
              <w:noProof/>
            </w:rPr>
            <w:fldChar w:fldCharType="end"/>
          </w:r>
        </w:p>
      </w:tc>
      <w:tc>
        <w:tcPr>
          <w:tcW w:w="510" w:type="dxa"/>
          <w:tcBorders>
            <w:top w:val="single" w:sz="6" w:space="0" w:color="auto"/>
          </w:tcBorders>
        </w:tcPr>
        <w:p w:rsidR="001F65D4" w:rsidRPr="00425B99" w:rsidRDefault="001F65D4" w:rsidP="00537BB4">
          <w:pPr>
            <w:pStyle w:val="PartTitle"/>
            <w:spacing w:before="80" w:after="0" w:line="200" w:lineRule="exact"/>
            <w:ind w:right="6"/>
            <w:rPr>
              <w:rStyle w:val="PageNumber"/>
              <w:smallCaps w:val="0"/>
            </w:rPr>
          </w:pPr>
          <w:r w:rsidRPr="00425B99">
            <w:rPr>
              <w:rStyle w:val="PageNumber"/>
              <w:smallCaps w:val="0"/>
            </w:rPr>
            <w:fldChar w:fldCharType="begin"/>
          </w:r>
          <w:r w:rsidRPr="00425B99">
            <w:rPr>
              <w:rStyle w:val="PageNumber"/>
              <w:smallCaps w:val="0"/>
            </w:rPr>
            <w:instrText xml:space="preserve">PAGE  </w:instrText>
          </w:r>
          <w:r w:rsidRPr="00425B99">
            <w:rPr>
              <w:rStyle w:val="PageNumber"/>
              <w:smallCaps w:val="0"/>
            </w:rPr>
            <w:fldChar w:fldCharType="separate"/>
          </w:r>
          <w:r>
            <w:rPr>
              <w:rStyle w:val="PageNumber"/>
              <w:smallCaps w:val="0"/>
              <w:noProof/>
            </w:rPr>
            <w:t>vii</w:t>
          </w:r>
          <w:r w:rsidRPr="00425B99">
            <w:rPr>
              <w:rStyle w:val="PageNumber"/>
              <w:smallCaps w:val="0"/>
            </w:rPr>
            <w:fldChar w:fldCharType="end"/>
          </w:r>
        </w:p>
      </w:tc>
    </w:tr>
  </w:tbl>
  <w:p w:rsidR="001F65D4" w:rsidRDefault="001F65D4">
    <w:pPr>
      <w:pStyle w:val="FooterEnd"/>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758"/>
      <w:gridCol w:w="6634"/>
    </w:tblGrid>
    <w:tr w:rsidR="00D37AC2" w:rsidTr="008F7DB7">
      <w:trPr>
        <w:trHeight w:hRule="exact" w:val="740"/>
      </w:trPr>
      <w:tc>
        <w:tcPr>
          <w:tcW w:w="510" w:type="dxa"/>
          <w:tcBorders>
            <w:top w:val="single" w:sz="6" w:space="0" w:color="auto"/>
          </w:tcBorders>
        </w:tcPr>
        <w:p w:rsidR="00D37AC2" w:rsidRPr="00C55A45" w:rsidRDefault="00D37AC2">
          <w:pPr>
            <w:pStyle w:val="Footer"/>
            <w:rPr>
              <w:rStyle w:val="PageNumber"/>
              <w:caps w:val="0"/>
              <w:noProof/>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1374E2">
            <w:rPr>
              <w:rStyle w:val="PageNumber"/>
              <w:caps w:val="0"/>
              <w:noProof/>
            </w:rPr>
            <w:t>viii</w:t>
          </w:r>
          <w:r w:rsidRPr="00C55A45">
            <w:rPr>
              <w:rStyle w:val="PageNumber"/>
              <w:caps w:val="0"/>
              <w:noProof/>
            </w:rPr>
            <w:fldChar w:fldCharType="end"/>
          </w:r>
        </w:p>
      </w:tc>
      <w:tc>
        <w:tcPr>
          <w:tcW w:w="1758" w:type="dxa"/>
          <w:tcBorders>
            <w:top w:val="single" w:sz="6" w:space="0" w:color="auto"/>
          </w:tcBorders>
        </w:tcPr>
        <w:p w:rsidR="00D37AC2" w:rsidRDefault="00D37AC2">
          <w:pPr>
            <w:pStyle w:val="Footer"/>
            <w:rPr>
              <w:noProof/>
            </w:rPr>
          </w:pPr>
          <w:r>
            <w:rPr>
              <w:noProof/>
            </w:rPr>
            <w:fldChar w:fldCharType="begin"/>
          </w:r>
          <w:r>
            <w:rPr>
              <w:noProof/>
            </w:rPr>
            <w:instrText xml:space="preserve"> STYLEREF "Heading 1" \* MERGEFORMAT </w:instrText>
          </w:r>
          <w:r>
            <w:rPr>
              <w:noProof/>
            </w:rPr>
            <w:fldChar w:fldCharType="separate"/>
          </w:r>
          <w:r w:rsidR="001374E2">
            <w:rPr>
              <w:noProof/>
            </w:rPr>
            <w:t>Glossary</w:t>
          </w:r>
          <w:r>
            <w:rPr>
              <w:noProof/>
            </w:rPr>
            <w:fldChar w:fldCharType="end"/>
          </w:r>
        </w:p>
      </w:tc>
      <w:tc>
        <w:tcPr>
          <w:tcW w:w="6634" w:type="dxa"/>
        </w:tcPr>
        <w:p w:rsidR="00D37AC2" w:rsidRDefault="00D37AC2">
          <w:pPr>
            <w:pStyle w:val="Footer"/>
            <w:rPr>
              <w:caps w:val="0"/>
            </w:rPr>
          </w:pPr>
        </w:p>
      </w:tc>
    </w:tr>
  </w:tbl>
  <w:p w:rsidR="00D37AC2" w:rsidRDefault="00D37AC2">
    <w:pPr>
      <w:pStyle w:val="FooterEnd"/>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63"/>
      <w:gridCol w:w="1615"/>
      <w:gridCol w:w="510"/>
    </w:tblGrid>
    <w:tr w:rsidR="00D37AC2">
      <w:trPr>
        <w:trHeight w:hRule="exact" w:val="740"/>
      </w:trPr>
      <w:tc>
        <w:tcPr>
          <w:tcW w:w="6663" w:type="dxa"/>
        </w:tcPr>
        <w:p w:rsidR="00D37AC2" w:rsidRDefault="00D37AC2">
          <w:pPr>
            <w:pStyle w:val="Footer"/>
          </w:pPr>
        </w:p>
      </w:tc>
      <w:tc>
        <w:tcPr>
          <w:tcW w:w="1615" w:type="dxa"/>
          <w:tcBorders>
            <w:top w:val="single" w:sz="6" w:space="0" w:color="auto"/>
          </w:tcBorders>
        </w:tcPr>
        <w:p w:rsidR="00D37AC2" w:rsidRDefault="00265B8D">
          <w:pPr>
            <w:pStyle w:val="Footer"/>
            <w:rPr>
              <w:rStyle w:val="PageNumber"/>
              <w:b w:val="0"/>
            </w:rPr>
          </w:pPr>
          <w:fldSimple w:instr=" STYLEREF &quot;Heading 1&quot; \* MERGEFORMAT ">
            <w:r w:rsidR="001374E2">
              <w:rPr>
                <w:noProof/>
              </w:rPr>
              <w:t>Glossary</w:t>
            </w:r>
          </w:fldSimple>
        </w:p>
      </w:tc>
      <w:tc>
        <w:tcPr>
          <w:tcW w:w="510" w:type="dxa"/>
          <w:tcBorders>
            <w:top w:val="single" w:sz="6" w:space="0" w:color="auto"/>
          </w:tcBorders>
        </w:tcPr>
        <w:p w:rsidR="00D37AC2" w:rsidRPr="00E15FDC" w:rsidRDefault="00D37AC2">
          <w:pPr>
            <w:pStyle w:val="Footer"/>
            <w:jc w:val="right"/>
            <w:rPr>
              <w:rStyle w:val="PageNumber"/>
              <w:caps w:val="0"/>
            </w:rPr>
          </w:pPr>
          <w:r w:rsidRPr="00E15FDC">
            <w:rPr>
              <w:rStyle w:val="PageNumber"/>
              <w:caps w:val="0"/>
            </w:rPr>
            <w:fldChar w:fldCharType="begin"/>
          </w:r>
          <w:r w:rsidRPr="00E15FDC">
            <w:rPr>
              <w:rStyle w:val="PageNumber"/>
              <w:caps w:val="0"/>
            </w:rPr>
            <w:instrText xml:space="preserve"> PAGE   \* MERGEFORMAT </w:instrText>
          </w:r>
          <w:r w:rsidRPr="00E15FDC">
            <w:rPr>
              <w:rStyle w:val="PageNumber"/>
              <w:caps w:val="0"/>
            </w:rPr>
            <w:fldChar w:fldCharType="separate"/>
          </w:r>
          <w:r w:rsidR="001374E2">
            <w:rPr>
              <w:rStyle w:val="PageNumber"/>
              <w:caps w:val="0"/>
              <w:noProof/>
            </w:rPr>
            <w:t>xi</w:t>
          </w:r>
          <w:r w:rsidRPr="00E15FDC">
            <w:rPr>
              <w:rStyle w:val="PageNumber"/>
              <w:caps w:val="0"/>
              <w:noProof/>
            </w:rPr>
            <w:fldChar w:fldCharType="end"/>
          </w:r>
        </w:p>
      </w:tc>
    </w:tr>
  </w:tbl>
  <w:p w:rsidR="00D37AC2" w:rsidRDefault="00D37AC2" w:rsidP="00B9533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5D4" w:rsidRDefault="001F65D4">
      <w:r>
        <w:separator/>
      </w:r>
    </w:p>
    <w:p w:rsidR="001F65D4" w:rsidRDefault="001F65D4"/>
    <w:p w:rsidR="001F65D4" w:rsidRDefault="001F65D4"/>
  </w:footnote>
  <w:footnote w:type="continuationSeparator" w:id="0">
    <w:p w:rsidR="001F65D4" w:rsidRDefault="001F65D4">
      <w:r>
        <w:continuationSeparator/>
      </w:r>
    </w:p>
    <w:p w:rsidR="001F65D4" w:rsidRDefault="001F65D4"/>
    <w:p w:rsidR="001F65D4" w:rsidRDefault="001F65D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D37AC2">
      <w:tc>
        <w:tcPr>
          <w:tcW w:w="2155" w:type="dxa"/>
          <w:tcBorders>
            <w:top w:val="single" w:sz="24" w:space="0" w:color="auto"/>
          </w:tcBorders>
        </w:tcPr>
        <w:p w:rsidR="00D37AC2" w:rsidRDefault="00D37AC2">
          <w:pPr>
            <w:pStyle w:val="Header"/>
          </w:pPr>
        </w:p>
      </w:tc>
      <w:tc>
        <w:tcPr>
          <w:tcW w:w="6634" w:type="dxa"/>
          <w:tcBorders>
            <w:top w:val="single" w:sz="6" w:space="0" w:color="auto"/>
          </w:tcBorders>
        </w:tcPr>
        <w:p w:rsidR="00D37AC2" w:rsidRDefault="00D37AC2">
          <w:pPr>
            <w:pStyle w:val="Header"/>
          </w:pPr>
        </w:p>
      </w:tc>
    </w:tr>
  </w:tbl>
  <w:p w:rsidR="00D37AC2" w:rsidRDefault="00D37AC2">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D37AC2" w:rsidTr="005C68FE">
      <w:tc>
        <w:tcPr>
          <w:tcW w:w="6634" w:type="dxa"/>
          <w:tcBorders>
            <w:top w:val="single" w:sz="6" w:space="0" w:color="auto"/>
          </w:tcBorders>
        </w:tcPr>
        <w:p w:rsidR="00D37AC2" w:rsidRDefault="00D37AC2" w:rsidP="005C68FE">
          <w:pPr>
            <w:pStyle w:val="HeaderOdd"/>
          </w:pPr>
        </w:p>
      </w:tc>
      <w:tc>
        <w:tcPr>
          <w:tcW w:w="2155" w:type="dxa"/>
          <w:tcBorders>
            <w:top w:val="single" w:sz="24" w:space="0" w:color="auto"/>
          </w:tcBorders>
        </w:tcPr>
        <w:p w:rsidR="00D37AC2" w:rsidRDefault="00D37AC2" w:rsidP="005C68FE">
          <w:pPr>
            <w:pStyle w:val="HeaderOdd"/>
          </w:pPr>
        </w:p>
      </w:tc>
    </w:tr>
  </w:tbl>
  <w:p w:rsidR="00D37AC2" w:rsidRPr="005C68FE" w:rsidRDefault="00D37AC2" w:rsidP="005C68FE">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1F65D4">
      <w:tc>
        <w:tcPr>
          <w:tcW w:w="2155" w:type="dxa"/>
          <w:tcBorders>
            <w:top w:val="single" w:sz="24" w:space="0" w:color="auto"/>
          </w:tcBorders>
        </w:tcPr>
        <w:p w:rsidR="001F65D4" w:rsidRDefault="001F65D4">
          <w:pPr>
            <w:pStyle w:val="HeaderEven"/>
          </w:pPr>
        </w:p>
      </w:tc>
      <w:tc>
        <w:tcPr>
          <w:tcW w:w="6634" w:type="dxa"/>
          <w:tcBorders>
            <w:top w:val="single" w:sz="6" w:space="0" w:color="auto"/>
          </w:tcBorders>
        </w:tcPr>
        <w:p w:rsidR="001F65D4" w:rsidRDefault="001F65D4">
          <w:pPr>
            <w:pStyle w:val="HeaderEven"/>
          </w:pPr>
        </w:p>
      </w:tc>
    </w:tr>
  </w:tbl>
  <w:p w:rsidR="001F65D4" w:rsidRDefault="001F65D4">
    <w:pPr>
      <w:pStyle w:val="HeaderE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1F65D4">
      <w:tc>
        <w:tcPr>
          <w:tcW w:w="6634" w:type="dxa"/>
          <w:tcBorders>
            <w:top w:val="single" w:sz="6" w:space="0" w:color="auto"/>
          </w:tcBorders>
        </w:tcPr>
        <w:p w:rsidR="001F65D4" w:rsidRDefault="001F65D4">
          <w:pPr>
            <w:pStyle w:val="HeaderOdd"/>
          </w:pPr>
        </w:p>
      </w:tc>
      <w:tc>
        <w:tcPr>
          <w:tcW w:w="2155" w:type="dxa"/>
          <w:tcBorders>
            <w:top w:val="single" w:sz="24" w:space="0" w:color="auto"/>
            <w:bottom w:val="nil"/>
          </w:tcBorders>
        </w:tcPr>
        <w:p w:rsidR="001F65D4" w:rsidRDefault="001F65D4">
          <w:pPr>
            <w:pStyle w:val="HeaderOdd"/>
          </w:pPr>
        </w:p>
      </w:tc>
    </w:tr>
  </w:tbl>
  <w:p w:rsidR="001F65D4" w:rsidRDefault="001F65D4">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1F65D4">
      <w:tc>
        <w:tcPr>
          <w:tcW w:w="2155" w:type="dxa"/>
          <w:tcBorders>
            <w:top w:val="single" w:sz="24" w:space="0" w:color="auto"/>
          </w:tcBorders>
        </w:tcPr>
        <w:p w:rsidR="001F65D4" w:rsidRDefault="001F65D4">
          <w:pPr>
            <w:pStyle w:val="HeaderEven"/>
          </w:pPr>
        </w:p>
      </w:tc>
      <w:tc>
        <w:tcPr>
          <w:tcW w:w="6634" w:type="dxa"/>
          <w:tcBorders>
            <w:top w:val="single" w:sz="6" w:space="0" w:color="auto"/>
          </w:tcBorders>
        </w:tcPr>
        <w:p w:rsidR="001F65D4" w:rsidRDefault="001F65D4">
          <w:pPr>
            <w:pStyle w:val="HeaderEven"/>
          </w:pPr>
        </w:p>
      </w:tc>
    </w:tr>
  </w:tbl>
  <w:p w:rsidR="001F65D4" w:rsidRDefault="001F65D4">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1F65D4">
      <w:tc>
        <w:tcPr>
          <w:tcW w:w="6634" w:type="dxa"/>
          <w:tcBorders>
            <w:top w:val="single" w:sz="6" w:space="0" w:color="auto"/>
          </w:tcBorders>
        </w:tcPr>
        <w:p w:rsidR="001F65D4" w:rsidRDefault="001F65D4">
          <w:pPr>
            <w:pStyle w:val="HeaderOdd"/>
          </w:pPr>
        </w:p>
      </w:tc>
      <w:tc>
        <w:tcPr>
          <w:tcW w:w="2155" w:type="dxa"/>
          <w:tcBorders>
            <w:top w:val="single" w:sz="24" w:space="0" w:color="auto"/>
          </w:tcBorders>
        </w:tcPr>
        <w:p w:rsidR="001F65D4" w:rsidRDefault="001F65D4">
          <w:pPr>
            <w:pStyle w:val="HeaderOdd"/>
          </w:pPr>
        </w:p>
      </w:tc>
    </w:tr>
  </w:tbl>
  <w:p w:rsidR="001F65D4" w:rsidRDefault="001F65D4">
    <w:pPr>
      <w:pStyle w:val="HeaderEn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D37AC2" w:rsidTr="005C68FE">
      <w:tc>
        <w:tcPr>
          <w:tcW w:w="2155" w:type="dxa"/>
          <w:tcBorders>
            <w:top w:val="single" w:sz="24" w:space="0" w:color="auto"/>
          </w:tcBorders>
        </w:tcPr>
        <w:p w:rsidR="00D37AC2" w:rsidRDefault="00D37AC2" w:rsidP="005C68FE">
          <w:pPr>
            <w:pStyle w:val="HeaderEven"/>
          </w:pPr>
        </w:p>
      </w:tc>
      <w:tc>
        <w:tcPr>
          <w:tcW w:w="6634" w:type="dxa"/>
          <w:tcBorders>
            <w:top w:val="single" w:sz="6" w:space="0" w:color="auto"/>
          </w:tcBorders>
        </w:tcPr>
        <w:p w:rsidR="00D37AC2" w:rsidRDefault="00D37AC2" w:rsidP="005C68FE">
          <w:pPr>
            <w:pStyle w:val="HeaderEven"/>
          </w:pPr>
        </w:p>
      </w:tc>
    </w:tr>
  </w:tbl>
  <w:p w:rsidR="00D37AC2" w:rsidRDefault="00D37AC2" w:rsidP="00D732FE">
    <w:pPr>
      <w:pStyle w:val="HeaderEnd"/>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D37AC2">
      <w:tc>
        <w:tcPr>
          <w:tcW w:w="6634" w:type="dxa"/>
          <w:tcBorders>
            <w:top w:val="single" w:sz="6" w:space="0" w:color="auto"/>
          </w:tcBorders>
        </w:tcPr>
        <w:p w:rsidR="00D37AC2" w:rsidRDefault="00D37AC2">
          <w:pPr>
            <w:pStyle w:val="HeaderOdd"/>
          </w:pPr>
        </w:p>
      </w:tc>
      <w:tc>
        <w:tcPr>
          <w:tcW w:w="2155" w:type="dxa"/>
          <w:tcBorders>
            <w:top w:val="single" w:sz="24" w:space="0" w:color="auto"/>
          </w:tcBorders>
        </w:tcPr>
        <w:p w:rsidR="00D37AC2" w:rsidRDefault="00D37AC2">
          <w:pPr>
            <w:pStyle w:val="HeaderOdd"/>
          </w:pPr>
        </w:p>
      </w:tc>
    </w:tr>
  </w:tbl>
  <w:p w:rsidR="00D37AC2" w:rsidRDefault="00D37AC2" w:rsidP="00B95339">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2E4A210"/>
    <w:lvl w:ilvl="0">
      <w:start w:val="1"/>
      <w:numFmt w:val="decimal"/>
      <w:lvlText w:val="%1."/>
      <w:lvlJc w:val="left"/>
      <w:pPr>
        <w:tabs>
          <w:tab w:val="num" w:pos="926"/>
        </w:tabs>
        <w:ind w:left="926" w:hanging="360"/>
      </w:pPr>
    </w:lvl>
  </w:abstractNum>
  <w:abstractNum w:abstractNumId="1">
    <w:nsid w:val="FFFFFF7F"/>
    <w:multiLevelType w:val="singleLevel"/>
    <w:tmpl w:val="A3C2DCF6"/>
    <w:lvl w:ilvl="0">
      <w:start w:val="1"/>
      <w:numFmt w:val="decimal"/>
      <w:lvlText w:val="%1."/>
      <w:lvlJc w:val="left"/>
      <w:pPr>
        <w:tabs>
          <w:tab w:val="num" w:pos="643"/>
        </w:tabs>
        <w:ind w:left="643" w:hanging="360"/>
      </w:pPr>
    </w:lvl>
  </w:abstractNum>
  <w:abstractNum w:abstractNumId="2">
    <w:nsid w:val="FFFFFF82"/>
    <w:multiLevelType w:val="singleLevel"/>
    <w:tmpl w:val="695EB052"/>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43DA5D68"/>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B58078F8"/>
    <w:lvl w:ilvl="0">
      <w:start w:val="1"/>
      <w:numFmt w:val="decimal"/>
      <w:lvlText w:val="%1."/>
      <w:lvlJc w:val="left"/>
      <w:pPr>
        <w:tabs>
          <w:tab w:val="num" w:pos="360"/>
        </w:tabs>
        <w:ind w:left="360" w:hanging="360"/>
      </w:pPr>
    </w:lvl>
  </w:abstractNum>
  <w:abstractNum w:abstractNumId="5">
    <w:nsid w:val="FFFFFF89"/>
    <w:multiLevelType w:val="singleLevel"/>
    <w:tmpl w:val="6AD25FCC"/>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47A7C39"/>
    <w:multiLevelType w:val="singleLevel"/>
    <w:tmpl w:val="DEC02068"/>
    <w:lvl w:ilvl="0">
      <w:numFmt w:val="bullet"/>
      <w:pStyle w:val="ListBullet2"/>
      <w:lvlText w:val="–"/>
      <w:lvlJc w:val="left"/>
      <w:pPr>
        <w:tabs>
          <w:tab w:val="num" w:pos="644"/>
        </w:tabs>
        <w:ind w:left="340" w:hanging="56"/>
      </w:pPr>
      <w:rPr>
        <w:rFonts w:ascii="Times New Roman" w:hAnsi="Times New Roman" w:hint="default"/>
      </w:rPr>
    </w:lvl>
  </w:abstractNum>
  <w:abstractNum w:abstractNumId="8">
    <w:nsid w:val="06214B87"/>
    <w:multiLevelType w:val="singleLevel"/>
    <w:tmpl w:val="E7705C56"/>
    <w:lvl w:ilvl="0">
      <w:numFmt w:val="bullet"/>
      <w:pStyle w:val="BoxListBullet2"/>
      <w:lvlText w:val="–"/>
      <w:lvlJc w:val="left"/>
      <w:pPr>
        <w:tabs>
          <w:tab w:val="num" w:pos="360"/>
        </w:tabs>
        <w:ind w:left="284" w:hanging="284"/>
      </w:pPr>
      <w:rPr>
        <w:rFonts w:ascii="Times New Roman" w:hAnsi="Times New Roman" w:hint="default"/>
      </w:rPr>
    </w:lvl>
  </w:abstractNum>
  <w:abstractNum w:abstractNumId="9">
    <w:nsid w:val="0E116344"/>
    <w:multiLevelType w:val="multilevel"/>
    <w:tmpl w:val="3B188B36"/>
    <w:lvl w:ilvl="0">
      <w:start w:val="1"/>
      <w:numFmt w:val="decimal"/>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2">
    <w:nsid w:val="1AB25CDE"/>
    <w:multiLevelType w:val="singleLevel"/>
    <w:tmpl w:val="3086CA22"/>
    <w:lvl w:ilvl="0">
      <w:start w:val="1"/>
      <w:numFmt w:val="decimal"/>
      <w:lvlText w:val="%1."/>
      <w:legacy w:legacy="1" w:legacySpace="0" w:legacyIndent="340"/>
      <w:lvlJc w:val="left"/>
      <w:pPr>
        <w:ind w:left="340" w:hanging="340"/>
      </w:pPr>
    </w:lvl>
  </w:abstractNum>
  <w:abstractNum w:abstractNumId="13">
    <w:nsid w:val="23FF358D"/>
    <w:multiLevelType w:val="singleLevel"/>
    <w:tmpl w:val="849CD80E"/>
    <w:lvl w:ilvl="0">
      <w:start w:val="1"/>
      <w:numFmt w:val="bullet"/>
      <w:pStyle w:val="RecBBullet"/>
      <w:lvlText w:val=""/>
      <w:lvlJc w:val="left"/>
      <w:pPr>
        <w:tabs>
          <w:tab w:val="num" w:pos="360"/>
        </w:tabs>
        <w:ind w:left="340" w:hanging="340"/>
      </w:pPr>
      <w:rPr>
        <w:rFonts w:ascii="Symbol" w:hAnsi="Symbol" w:hint="default"/>
        <w:b w:val="0"/>
        <w:i w:val="0"/>
        <w:sz w:val="18"/>
      </w:rPr>
    </w:lvl>
  </w:abstractNum>
  <w:abstractNum w:abstractNumId="14">
    <w:nsid w:val="2F1F7586"/>
    <w:multiLevelType w:val="hybridMultilevel"/>
    <w:tmpl w:val="C956622A"/>
    <w:lvl w:ilvl="0" w:tplc="8D90534E">
      <w:start w:val="1"/>
      <w:numFmt w:val="decimal"/>
      <w:pStyle w:val="BoxListNumb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30E90CE4"/>
    <w:multiLevelType w:val="singleLevel"/>
    <w:tmpl w:val="5FA21F84"/>
    <w:lvl w:ilvl="0">
      <w:start w:val="1"/>
      <w:numFmt w:val="bullet"/>
      <w:pStyle w:val="BoxListBullet"/>
      <w:lvlText w:val=""/>
      <w:lvlJc w:val="left"/>
      <w:pPr>
        <w:tabs>
          <w:tab w:val="num" w:pos="360"/>
        </w:tabs>
        <w:ind w:left="284" w:hanging="284"/>
      </w:pPr>
      <w:rPr>
        <w:rFonts w:ascii="Symbol" w:hAnsi="Symbol" w:hint="default"/>
        <w:sz w:val="18"/>
      </w:rPr>
    </w:lvl>
  </w:abstractNum>
  <w:abstractNum w:abstractNumId="16">
    <w:nsid w:val="54382D6E"/>
    <w:multiLevelType w:val="singleLevel"/>
    <w:tmpl w:val="B7BC21DE"/>
    <w:lvl w:ilvl="0">
      <w:numFmt w:val="bullet"/>
      <w:pStyle w:val="ListBullet"/>
      <w:lvlText w:val=""/>
      <w:lvlJc w:val="left"/>
      <w:pPr>
        <w:tabs>
          <w:tab w:val="num" w:pos="360"/>
        </w:tabs>
        <w:ind w:left="340" w:hanging="340"/>
      </w:pPr>
      <w:rPr>
        <w:rFonts w:ascii="Symbol" w:hAnsi="Symbol" w:hint="default"/>
        <w:sz w:val="18"/>
      </w:rPr>
    </w:lvl>
  </w:abstractNum>
  <w:abstractNum w:abstractNumId="17">
    <w:nsid w:val="543E1FD6"/>
    <w:multiLevelType w:val="singleLevel"/>
    <w:tmpl w:val="D4A092D6"/>
    <w:lvl w:ilvl="0">
      <w:start w:val="1"/>
      <w:numFmt w:val="bullet"/>
      <w:pStyle w:val="TableBullet"/>
      <w:lvlText w:val=""/>
      <w:lvlJc w:val="left"/>
      <w:pPr>
        <w:tabs>
          <w:tab w:val="num" w:pos="360"/>
        </w:tabs>
        <w:ind w:left="170" w:hanging="170"/>
      </w:pPr>
      <w:rPr>
        <w:rFonts w:ascii="Symbol" w:hAnsi="Symbol" w:hint="default"/>
        <w:b w:val="0"/>
        <w:i w:val="0"/>
        <w:sz w:val="18"/>
      </w:rPr>
    </w:lvl>
  </w:abstractNum>
  <w:abstractNum w:abstractNumId="18">
    <w:nsid w:val="56107838"/>
    <w:multiLevelType w:val="singleLevel"/>
    <w:tmpl w:val="98765266"/>
    <w:lvl w:ilvl="0">
      <w:start w:val="1"/>
      <w:numFmt w:val="bullet"/>
      <w:pStyle w:val="QuoteBullet"/>
      <w:lvlText w:val=""/>
      <w:lvlJc w:val="left"/>
      <w:pPr>
        <w:tabs>
          <w:tab w:val="num" w:pos="360"/>
        </w:tabs>
        <w:ind w:left="360" w:hanging="360"/>
      </w:pPr>
      <w:rPr>
        <w:rFonts w:ascii="Symbol" w:hAnsi="Symbol" w:hint="default"/>
        <w:sz w:val="18"/>
      </w:rPr>
    </w:lvl>
  </w:abstractNum>
  <w:abstractNum w:abstractNumId="19">
    <w:nsid w:val="643516F3"/>
    <w:multiLevelType w:val="singleLevel"/>
    <w:tmpl w:val="456CB25C"/>
    <w:lvl w:ilvl="0">
      <w:start w:val="1"/>
      <w:numFmt w:val="bullet"/>
      <w:pStyle w:val="ListBullet3"/>
      <w:lvlText w:val=""/>
      <w:lvlJc w:val="left"/>
      <w:pPr>
        <w:tabs>
          <w:tab w:val="num" w:pos="360"/>
        </w:tabs>
        <w:ind w:left="340" w:hanging="340"/>
      </w:pPr>
      <w:rPr>
        <w:rFonts w:ascii="MT Extra" w:hAnsi="MT Extra" w:hint="default"/>
        <w:b w:val="0"/>
        <w:i w:val="0"/>
        <w:sz w:val="16"/>
      </w:rPr>
    </w:lvl>
  </w:abstractNum>
  <w:abstractNum w:abstractNumId="20">
    <w:nsid w:val="6B740744"/>
    <w:multiLevelType w:val="singleLevel"/>
    <w:tmpl w:val="B4744B66"/>
    <w:lvl w:ilvl="0">
      <w:start w:val="1"/>
      <w:numFmt w:val="decimal"/>
      <w:lvlText w:val="%1."/>
      <w:legacy w:legacy="1" w:legacySpace="0" w:legacyIndent="340"/>
      <w:lvlJc w:val="left"/>
      <w:pPr>
        <w:ind w:left="340" w:hanging="340"/>
      </w:pPr>
    </w:lvl>
  </w:abstractNum>
  <w:abstractNum w:abstractNumId="21">
    <w:nsid w:val="7A1373DF"/>
    <w:multiLevelType w:val="singleLevel"/>
    <w:tmpl w:val="798200E0"/>
    <w:lvl w:ilvl="0">
      <w:start w:val="1"/>
      <w:numFmt w:val="bullet"/>
      <w:pStyle w:val="FindingBullet"/>
      <w:lvlText w:val=""/>
      <w:lvlJc w:val="left"/>
      <w:pPr>
        <w:tabs>
          <w:tab w:val="num" w:pos="360"/>
        </w:tabs>
        <w:ind w:left="340" w:hanging="340"/>
      </w:pPr>
      <w:rPr>
        <w:rFonts w:ascii="Symbol" w:hAnsi="Symbol" w:hint="default"/>
        <w:b w:val="0"/>
        <w:i w:val="0"/>
        <w:sz w:val="18"/>
      </w:rPr>
    </w:lvl>
  </w:abstractNum>
  <w:abstractNum w:abstractNumId="22">
    <w:nsid w:val="7BFA7D75"/>
    <w:multiLevelType w:val="singleLevel"/>
    <w:tmpl w:val="FE48DC38"/>
    <w:lvl w:ilvl="0">
      <w:start w:val="1"/>
      <w:numFmt w:val="bullet"/>
      <w:pStyle w:val="RecBullet"/>
      <w:lvlText w:val=""/>
      <w:lvlJc w:val="left"/>
      <w:pPr>
        <w:tabs>
          <w:tab w:val="num" w:pos="360"/>
        </w:tabs>
        <w:ind w:left="340" w:hanging="340"/>
      </w:pPr>
      <w:rPr>
        <w:rFonts w:ascii="Symbol" w:hAnsi="Symbol" w:hint="default"/>
        <w:b w:val="0"/>
        <w:i w:val="0"/>
        <w:sz w:val="18"/>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8">
    <w:abstractNumId w:val="6"/>
    <w:lvlOverride w:ilvl="0">
      <w:lvl w:ilvl="0">
        <w:start w:val="1"/>
        <w:numFmt w:val="bullet"/>
        <w:lvlText w:val=""/>
        <w:legacy w:legacy="1" w:legacySpace="0" w:legacyIndent="340"/>
        <w:lvlJc w:val="left"/>
        <w:pPr>
          <w:ind w:left="680" w:hanging="340"/>
        </w:pPr>
        <w:rPr>
          <w:rFonts w:ascii="Symbol" w:hAnsi="Symbol" w:hint="default"/>
        </w:rPr>
      </w:lvl>
    </w:lvlOverride>
  </w:num>
  <w:num w:numId="9">
    <w:abstractNumId w:val="6"/>
    <w:lvlOverride w:ilvl="0">
      <w:lvl w:ilvl="0">
        <w:start w:val="1"/>
        <w:numFmt w:val="bullet"/>
        <w:lvlText w:val=""/>
        <w:legacy w:legacy="1" w:legacySpace="0" w:legacyIndent="340"/>
        <w:lvlJc w:val="left"/>
        <w:pPr>
          <w:ind w:left="1020" w:hanging="340"/>
        </w:pPr>
        <w:rPr>
          <w:rFonts w:ascii="MT Extra" w:hAnsi="MT Extra" w:hint="default"/>
        </w:rPr>
      </w:lvl>
    </w:lvlOverride>
  </w:num>
  <w:num w:numId="10">
    <w:abstractNumId w:val="6"/>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11">
    <w:abstractNumId w:val="6"/>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20"/>
  </w:num>
  <w:num w:numId="13">
    <w:abstractNumId w:val="15"/>
  </w:num>
  <w:num w:numId="14">
    <w:abstractNumId w:val="8"/>
  </w:num>
  <w:num w:numId="15">
    <w:abstractNumId w:val="21"/>
  </w:num>
  <w:num w:numId="16">
    <w:abstractNumId w:val="16"/>
  </w:num>
  <w:num w:numId="17">
    <w:abstractNumId w:val="7"/>
  </w:num>
  <w:num w:numId="18">
    <w:abstractNumId w:val="19"/>
  </w:num>
  <w:num w:numId="19">
    <w:abstractNumId w:val="18"/>
  </w:num>
  <w:num w:numId="20">
    <w:abstractNumId w:val="22"/>
  </w:num>
  <w:num w:numId="21">
    <w:abstractNumId w:val="13"/>
  </w:num>
  <w:num w:numId="22">
    <w:abstractNumId w:val="11"/>
  </w:num>
  <w:num w:numId="23">
    <w:abstractNumId w:val="17"/>
  </w:num>
  <w:num w:numId="24">
    <w:abstractNumId w:val="12"/>
  </w:num>
  <w:num w:numId="25">
    <w:abstractNumId w:val="10"/>
  </w:num>
  <w:num w:numId="26">
    <w:abstractNumId w:val="10"/>
  </w:num>
  <w:num w:numId="27">
    <w:abstractNumId w:val="10"/>
  </w:num>
  <w:num w:numId="28">
    <w:abstractNumId w:val="10"/>
  </w:num>
  <w:num w:numId="29">
    <w:abstractNumId w:val="14"/>
  </w:num>
  <w:num w:numId="30">
    <w:abstractNumId w:val="9"/>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mirrorMargins/>
  <w:proofState w:spelling="clean"/>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5D4"/>
    <w:rsid w:val="00017AFC"/>
    <w:rsid w:val="00025878"/>
    <w:rsid w:val="00026B38"/>
    <w:rsid w:val="000502D3"/>
    <w:rsid w:val="000623BF"/>
    <w:rsid w:val="00095EEA"/>
    <w:rsid w:val="00097C15"/>
    <w:rsid w:val="000B416E"/>
    <w:rsid w:val="000F185F"/>
    <w:rsid w:val="000F2F5F"/>
    <w:rsid w:val="00106041"/>
    <w:rsid w:val="0013399B"/>
    <w:rsid w:val="001374E2"/>
    <w:rsid w:val="00181F4B"/>
    <w:rsid w:val="00196FB3"/>
    <w:rsid w:val="001A5071"/>
    <w:rsid w:val="001B4E73"/>
    <w:rsid w:val="001B7F1E"/>
    <w:rsid w:val="001D4B1F"/>
    <w:rsid w:val="001D6629"/>
    <w:rsid w:val="001F2270"/>
    <w:rsid w:val="001F65D4"/>
    <w:rsid w:val="00205A82"/>
    <w:rsid w:val="00211BEE"/>
    <w:rsid w:val="002179C6"/>
    <w:rsid w:val="00261607"/>
    <w:rsid w:val="00263DD1"/>
    <w:rsid w:val="00264D3B"/>
    <w:rsid w:val="00265685"/>
    <w:rsid w:val="00265B8D"/>
    <w:rsid w:val="00281D5F"/>
    <w:rsid w:val="002923AD"/>
    <w:rsid w:val="00296592"/>
    <w:rsid w:val="002A0A4B"/>
    <w:rsid w:val="002B636E"/>
    <w:rsid w:val="002B64D6"/>
    <w:rsid w:val="002C12F5"/>
    <w:rsid w:val="002D6FCE"/>
    <w:rsid w:val="003B41E0"/>
    <w:rsid w:val="003D624D"/>
    <w:rsid w:val="003E7802"/>
    <w:rsid w:val="00433C81"/>
    <w:rsid w:val="00446D6B"/>
    <w:rsid w:val="00457B3F"/>
    <w:rsid w:val="00463022"/>
    <w:rsid w:val="00481CF0"/>
    <w:rsid w:val="004B492A"/>
    <w:rsid w:val="004C0B0C"/>
    <w:rsid w:val="004E52E2"/>
    <w:rsid w:val="004E6BB4"/>
    <w:rsid w:val="00515D43"/>
    <w:rsid w:val="0052544D"/>
    <w:rsid w:val="00551FB8"/>
    <w:rsid w:val="005537F6"/>
    <w:rsid w:val="00560F43"/>
    <w:rsid w:val="005654D0"/>
    <w:rsid w:val="005B17AB"/>
    <w:rsid w:val="005C68FE"/>
    <w:rsid w:val="00602523"/>
    <w:rsid w:val="00604351"/>
    <w:rsid w:val="00607D8A"/>
    <w:rsid w:val="0061590F"/>
    <w:rsid w:val="00636497"/>
    <w:rsid w:val="00641AE2"/>
    <w:rsid w:val="0064456A"/>
    <w:rsid w:val="00650DDA"/>
    <w:rsid w:val="0065126A"/>
    <w:rsid w:val="006802D4"/>
    <w:rsid w:val="00683849"/>
    <w:rsid w:val="00691AB5"/>
    <w:rsid w:val="006E1E6B"/>
    <w:rsid w:val="006F0EAC"/>
    <w:rsid w:val="006F6A85"/>
    <w:rsid w:val="0070328D"/>
    <w:rsid w:val="00731F96"/>
    <w:rsid w:val="00734127"/>
    <w:rsid w:val="00735FEA"/>
    <w:rsid w:val="00743460"/>
    <w:rsid w:val="00743A27"/>
    <w:rsid w:val="00753DC6"/>
    <w:rsid w:val="0075578C"/>
    <w:rsid w:val="00766DFB"/>
    <w:rsid w:val="007734B5"/>
    <w:rsid w:val="007809B8"/>
    <w:rsid w:val="00806E54"/>
    <w:rsid w:val="008206EE"/>
    <w:rsid w:val="008214B1"/>
    <w:rsid w:val="00836ED7"/>
    <w:rsid w:val="008453AC"/>
    <w:rsid w:val="00860D09"/>
    <w:rsid w:val="00862044"/>
    <w:rsid w:val="008C305F"/>
    <w:rsid w:val="008C3AD2"/>
    <w:rsid w:val="008C7C3D"/>
    <w:rsid w:val="008D6F66"/>
    <w:rsid w:val="008E1BEA"/>
    <w:rsid w:val="008E43D2"/>
    <w:rsid w:val="008F04C9"/>
    <w:rsid w:val="008F7C50"/>
    <w:rsid w:val="008F7DB7"/>
    <w:rsid w:val="009064D3"/>
    <w:rsid w:val="00915300"/>
    <w:rsid w:val="00933B0C"/>
    <w:rsid w:val="00935676"/>
    <w:rsid w:val="0098401D"/>
    <w:rsid w:val="009A789F"/>
    <w:rsid w:val="009B12EF"/>
    <w:rsid w:val="009B6185"/>
    <w:rsid w:val="009E1E78"/>
    <w:rsid w:val="00A1597D"/>
    <w:rsid w:val="00A46989"/>
    <w:rsid w:val="00A71CE9"/>
    <w:rsid w:val="00A72A19"/>
    <w:rsid w:val="00A75A30"/>
    <w:rsid w:val="00A93C82"/>
    <w:rsid w:val="00AB2A48"/>
    <w:rsid w:val="00AC3236"/>
    <w:rsid w:val="00AD4874"/>
    <w:rsid w:val="00AE1F8A"/>
    <w:rsid w:val="00B036B2"/>
    <w:rsid w:val="00B04D19"/>
    <w:rsid w:val="00B153C3"/>
    <w:rsid w:val="00B22087"/>
    <w:rsid w:val="00B722F2"/>
    <w:rsid w:val="00B95339"/>
    <w:rsid w:val="00BB334E"/>
    <w:rsid w:val="00BB5DCF"/>
    <w:rsid w:val="00BF59EA"/>
    <w:rsid w:val="00BF79CD"/>
    <w:rsid w:val="00C0721B"/>
    <w:rsid w:val="00C34C8C"/>
    <w:rsid w:val="00C50792"/>
    <w:rsid w:val="00C55A45"/>
    <w:rsid w:val="00C904D9"/>
    <w:rsid w:val="00C94C06"/>
    <w:rsid w:val="00CA48BF"/>
    <w:rsid w:val="00CB3ACC"/>
    <w:rsid w:val="00CB4745"/>
    <w:rsid w:val="00CD2163"/>
    <w:rsid w:val="00CD4FE7"/>
    <w:rsid w:val="00CD5E6B"/>
    <w:rsid w:val="00CE5D96"/>
    <w:rsid w:val="00CE7344"/>
    <w:rsid w:val="00CF26EE"/>
    <w:rsid w:val="00D310F0"/>
    <w:rsid w:val="00D37AC2"/>
    <w:rsid w:val="00D500A9"/>
    <w:rsid w:val="00D64121"/>
    <w:rsid w:val="00D732FE"/>
    <w:rsid w:val="00D772E9"/>
    <w:rsid w:val="00DA31AB"/>
    <w:rsid w:val="00DA3281"/>
    <w:rsid w:val="00DA6D3E"/>
    <w:rsid w:val="00DC02E8"/>
    <w:rsid w:val="00DC75C7"/>
    <w:rsid w:val="00DC78D3"/>
    <w:rsid w:val="00DF4592"/>
    <w:rsid w:val="00E15FDC"/>
    <w:rsid w:val="00E2651B"/>
    <w:rsid w:val="00E6632E"/>
    <w:rsid w:val="00E90CF2"/>
    <w:rsid w:val="00ED0F61"/>
    <w:rsid w:val="00EE73E1"/>
    <w:rsid w:val="00F12107"/>
    <w:rsid w:val="00F13165"/>
    <w:rsid w:val="00F4234E"/>
    <w:rsid w:val="00F7477E"/>
    <w:rsid w:val="00F85393"/>
    <w:rsid w:val="00FA4A24"/>
    <w:rsid w:val="00FC41B4"/>
    <w:rsid w:val="00FC5A6B"/>
    <w:rsid w:val="00FD4728"/>
    <w:rsid w:val="00FF67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D37AC2"/>
    <w:pPr>
      <w:spacing w:before="240" w:line="320" w:lineRule="atLeast"/>
      <w:jc w:val="both"/>
    </w:pPr>
    <w:rPr>
      <w:sz w:val="26"/>
      <w:lang w:eastAsia="en-US"/>
    </w:rPr>
  </w:style>
  <w:style w:type="paragraph" w:customStyle="1" w:styleId="Abbreviation">
    <w:name w:val="Abbreviation"/>
    <w:basedOn w:val="BodyText"/>
    <w:pPr>
      <w:spacing w:before="120"/>
      <w:ind w:left="2381" w:hanging="2381"/>
      <w:jc w:val="left"/>
    </w:pPr>
  </w:style>
  <w:style w:type="paragraph" w:customStyle="1" w:styleId="Box">
    <w:name w:val="Box"/>
    <w:basedOn w:val="BodyText"/>
    <w:pPr>
      <w:keepNext/>
      <w:spacing w:before="120" w:line="280" w:lineRule="atLeast"/>
    </w:pPr>
    <w:rPr>
      <w:rFonts w:ascii="Arial" w:hAnsi="Arial"/>
      <w:sz w:val="22"/>
    </w:rPr>
  </w:style>
  <w:style w:type="paragraph" w:customStyle="1" w:styleId="Note">
    <w:name w:val="Note"/>
    <w:basedOn w:val="BodyText"/>
    <w:next w:val="Normal"/>
    <w:pPr>
      <w:keepLines/>
      <w:spacing w:before="80" w:line="220" w:lineRule="exact"/>
    </w:pPr>
    <w:rPr>
      <w:rFonts w:ascii="Arial" w:hAnsi="Arial"/>
      <w:sz w:val="18"/>
    </w:rPr>
  </w:style>
  <w:style w:type="paragraph" w:customStyle="1" w:styleId="Source">
    <w:name w:val="Source"/>
    <w:basedOn w:val="Note"/>
    <w:next w:val="BodyText"/>
    <w:pPr>
      <w:spacing w:after="120"/>
    </w:pPr>
  </w:style>
  <w:style w:type="paragraph" w:customStyle="1" w:styleId="BoxSource">
    <w:name w:val="Box Source"/>
    <w:basedOn w:val="Source"/>
    <w:next w:val="BodyText"/>
    <w:pPr>
      <w:spacing w:before="180" w:after="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x"/>
    <w:next w:val="Box"/>
    <w:pPr>
      <w:spacing w:before="200"/>
    </w:pPr>
    <w:rPr>
      <w:b/>
    </w:rPr>
  </w:style>
  <w:style w:type="paragraph" w:customStyle="1" w:styleId="BoxHeading2">
    <w:name w:val="Box Heading 2"/>
    <w:basedOn w:val="BoxHeading1"/>
    <w:next w:val="Box"/>
    <w:rPr>
      <w:b w:val="0"/>
      <w:i/>
    </w:rPr>
  </w:style>
  <w:style w:type="paragraph" w:customStyle="1" w:styleId="BoxListBullet">
    <w:name w:val="Box List Bullet"/>
    <w:basedOn w:val="Box"/>
    <w:rsid w:val="00DC78D3"/>
    <w:pPr>
      <w:numPr>
        <w:numId w:val="13"/>
      </w:numPr>
      <w:tabs>
        <w:tab w:val="clear" w:pos="360"/>
        <w:tab w:val="left" w:pos="284"/>
      </w:tabs>
      <w:spacing w:before="60"/>
    </w:pPr>
  </w:style>
  <w:style w:type="paragraph" w:customStyle="1" w:styleId="BoxListBullet2">
    <w:name w:val="Box List Bullet 2"/>
    <w:basedOn w:val="Box"/>
    <w:pPr>
      <w:numPr>
        <w:numId w:val="14"/>
      </w:numPr>
      <w:tabs>
        <w:tab w:val="left" w:pos="284"/>
        <w:tab w:val="left" w:pos="567"/>
      </w:tabs>
      <w:spacing w:before="60"/>
      <w:ind w:left="568"/>
    </w:pPr>
  </w:style>
  <w:style w:type="paragraph" w:customStyle="1" w:styleId="BoxListNumber">
    <w:name w:val="Box List Number"/>
    <w:basedOn w:val="Box"/>
    <w:rsid w:val="00DC78D3"/>
    <w:pPr>
      <w:numPr>
        <w:numId w:val="29"/>
      </w:numPr>
      <w:spacing w:before="60"/>
      <w:ind w:left="357" w:hanging="357"/>
    </w:pPr>
  </w:style>
  <w:style w:type="paragraph" w:customStyle="1" w:styleId="BoxListNumber2">
    <w:name w:val="Box List Number 2"/>
    <w:basedOn w:val="Normal"/>
    <w:rsid w:val="00743A27"/>
    <w:pPr>
      <w:keepNext/>
      <w:numPr>
        <w:ilvl w:val="1"/>
        <w:numId w:val="30"/>
      </w:numPr>
      <w:spacing w:before="60" w:line="280" w:lineRule="atLeast"/>
      <w:jc w:val="both"/>
    </w:pPr>
    <w:rPr>
      <w:rFonts w:ascii="Arial" w:hAnsi="Arial"/>
      <w:sz w:val="22"/>
      <w:lang w:eastAsia="en-AU"/>
    </w:rPr>
  </w:style>
  <w:style w:type="paragraph" w:customStyle="1" w:styleId="BoxQuote">
    <w:name w:val="Box Quote"/>
    <w:basedOn w:val="Box"/>
    <w:next w:val="Box"/>
    <w:pPr>
      <w:spacing w:before="60" w:line="260" w:lineRule="exact"/>
      <w:ind w:left="284"/>
    </w:pPr>
    <w:rPr>
      <w:sz w:val="20"/>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041"/>
    <w:pPr>
      <w:spacing w:before="120" w:after="0"/>
      <w:ind w:left="1304" w:hanging="1304"/>
    </w:pPr>
    <w:rPr>
      <w:b w:val="0"/>
    </w:rPr>
  </w:style>
  <w:style w:type="paragraph" w:customStyle="1" w:styleId="BoxSubtitle">
    <w:name w:val="Box Subtitle"/>
    <w:basedOn w:val="BoxTitle"/>
    <w:next w:val="Box"/>
    <w:pPr>
      <w:spacing w:after="80" w:line="200" w:lineRule="exact"/>
      <w:ind w:firstLine="0"/>
    </w:pPr>
    <w:rPr>
      <w:b/>
      <w:sz w:val="20"/>
    </w:rPr>
  </w:style>
  <w:style w:type="paragraph" w:customStyle="1" w:styleId="Chapter">
    <w:name w:val="Chapter"/>
    <w:basedOn w:val="Heading1"/>
    <w:next w:val="BodyText"/>
    <w:semiHidden/>
    <w:pPr>
      <w:ind w:left="0" w:firstLine="0"/>
      <w:outlineLvl w:val="9"/>
    </w:pPr>
  </w:style>
  <w:style w:type="paragraph" w:customStyle="1" w:styleId="ChapterSummary">
    <w:name w:val="Chapter Summary"/>
    <w:basedOn w:val="BodyText"/>
    <w:semiHidden/>
    <w:pPr>
      <w:ind w:left="907"/>
    </w:pPr>
    <w:rPr>
      <w:rFonts w:ascii="Arial" w:hAnsi="Arial"/>
      <w:b/>
      <w:sz w:val="22"/>
    </w:rPr>
  </w:style>
  <w:style w:type="character" w:styleId="CommentReference">
    <w:name w:val="annotation reference"/>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BoxContinued"/>
    <w:next w:val="BodyText"/>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pPr>
      <w:spacing w:before="80" w:line="200" w:lineRule="exact"/>
      <w:ind w:right="6"/>
    </w:pPr>
    <w:rPr>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041"/>
    <w:rPr>
      <w:b w:val="0"/>
    </w:rPr>
  </w:style>
  <w:style w:type="paragraph" w:styleId="Subtitle">
    <w:name w:val="Subtitle"/>
    <w:basedOn w:val="Caption"/>
    <w:qFormat/>
    <w:pPr>
      <w:spacing w:before="0" w:line="200" w:lineRule="exact"/>
      <w:ind w:firstLine="0"/>
    </w:pPr>
    <w:rPr>
      <w:b w:val="0"/>
      <w:sz w:val="20"/>
    </w:rPr>
  </w:style>
  <w:style w:type="paragraph" w:customStyle="1" w:styleId="Finding">
    <w:name w:val="Finding"/>
    <w:basedOn w:val="BodyText"/>
    <w:pPr>
      <w:spacing w:before="180"/>
    </w:pPr>
    <w:rPr>
      <w:i/>
    </w:rPr>
  </w:style>
  <w:style w:type="paragraph" w:customStyle="1" w:styleId="FindingBullet">
    <w:name w:val="Finding Bullet"/>
    <w:basedOn w:val="Finding"/>
    <w:pPr>
      <w:numPr>
        <w:numId w:val="15"/>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pPr>
      <w:keepNext/>
      <w:framePr w:hSpace="181" w:wrap="notBeside" w:vAnchor="text" w:hAnchor="text" w:xAlign="outside" w:y="1"/>
    </w:pPr>
    <w:rPr>
      <w:caps/>
      <w:sz w:val="16"/>
    </w:rPr>
  </w:style>
  <w:style w:type="paragraph" w:customStyle="1" w:styleId="FindingTitle">
    <w:name w:val="Finding Title"/>
    <w:basedOn w:val="RecTitle"/>
    <w:next w:val="Finding"/>
    <w:pPr>
      <w:framePr w:wrap="notBeside"/>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semiHidden/>
    <w:pPr>
      <w:spacing w:before="360" w:after="120"/>
    </w:pPr>
    <w:rPr>
      <w:rFonts w:ascii="Arial" w:hAnsi="Arial"/>
      <w:sz w:val="24"/>
    </w:rPr>
  </w:style>
  <w:style w:type="paragraph" w:styleId="ListBullet">
    <w:name w:val="List Bullet"/>
    <w:basedOn w:val="BodyText"/>
    <w:rsid w:val="00D37AC2"/>
    <w:pPr>
      <w:numPr>
        <w:numId w:val="16"/>
      </w:numPr>
      <w:spacing w:before="120"/>
    </w:pPr>
  </w:style>
  <w:style w:type="paragraph" w:styleId="ListBullet2">
    <w:name w:val="List Bullet 2"/>
    <w:basedOn w:val="BodyText"/>
    <w:rsid w:val="00D37AC2"/>
    <w:pPr>
      <w:numPr>
        <w:numId w:val="17"/>
      </w:numPr>
      <w:tabs>
        <w:tab w:val="clear" w:pos="644"/>
        <w:tab w:val="left" w:pos="680"/>
      </w:tabs>
      <w:spacing w:before="120"/>
      <w:ind w:left="680" w:hanging="340"/>
    </w:pPr>
  </w:style>
  <w:style w:type="paragraph" w:styleId="ListBullet3">
    <w:name w:val="List Bullet 3"/>
    <w:basedOn w:val="BodyText"/>
    <w:rsid w:val="00D37AC2"/>
    <w:pPr>
      <w:numPr>
        <w:numId w:val="18"/>
      </w:numPr>
      <w:tabs>
        <w:tab w:val="clear" w:pos="360"/>
        <w:tab w:val="left" w:pos="1021"/>
      </w:tabs>
      <w:spacing w:before="120"/>
      <w:ind w:left="1020"/>
    </w:pPr>
  </w:style>
  <w:style w:type="paragraph" w:styleId="ListNumber">
    <w:name w:val="List Number"/>
    <w:basedOn w:val="BodyText"/>
    <w:rsid w:val="005654D0"/>
    <w:pPr>
      <w:numPr>
        <w:numId w:val="28"/>
      </w:numPr>
      <w:spacing w:before="120"/>
    </w:pPr>
    <w:rPr>
      <w:lang w:eastAsia="en-AU"/>
    </w:rPr>
  </w:style>
  <w:style w:type="paragraph" w:styleId="ListNumber2">
    <w:name w:val="List Number 2"/>
    <w:basedOn w:val="ListNumber"/>
    <w:rsid w:val="000F2F5F"/>
    <w:pPr>
      <w:numPr>
        <w:ilvl w:val="1"/>
      </w:numPr>
      <w:tabs>
        <w:tab w:val="left" w:pos="794"/>
      </w:tabs>
    </w:pPr>
  </w:style>
  <w:style w:type="paragraph" w:styleId="ListNumber3">
    <w:name w:val="List Number 3"/>
    <w:basedOn w:val="ListNumber2"/>
    <w:rsid w:val="00D37AC2"/>
    <w:pPr>
      <w:numPr>
        <w:ilvl w:val="2"/>
      </w:numPr>
      <w:tabs>
        <w:tab w:val="clear" w:pos="794"/>
      </w:tabs>
    </w:pPr>
  </w:style>
  <w:style w:type="character" w:customStyle="1" w:styleId="NoteLabel">
    <w:name w:val="Note Label"/>
    <w:rPr>
      <w:rFonts w:ascii="Arial" w:hAnsi="Arial"/>
      <w:b/>
      <w:position w:val="6"/>
      <w:sz w:val="18"/>
    </w:rPr>
  </w:style>
  <w:style w:type="character" w:styleId="PageNumber">
    <w:name w:val="page number"/>
    <w:rsid w:val="00C0721B"/>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qFormat/>
    <w:pPr>
      <w:spacing w:before="120" w:line="280" w:lineRule="exact"/>
      <w:ind w:left="340"/>
    </w:pPr>
    <w:rPr>
      <w:sz w:val="24"/>
    </w:rPr>
  </w:style>
  <w:style w:type="paragraph" w:customStyle="1" w:styleId="Rec">
    <w:name w:val="Rec"/>
    <w:basedOn w:val="BodyText"/>
    <w:pPr>
      <w:spacing w:before="180"/>
    </w:pPr>
    <w:rPr>
      <w:b/>
      <w:i/>
    </w:rPr>
  </w:style>
  <w:style w:type="paragraph" w:customStyle="1" w:styleId="RecBullet">
    <w:name w:val="Rec Bullet"/>
    <w:basedOn w:val="Rec"/>
    <w:pPr>
      <w:numPr>
        <w:numId w:val="20"/>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pPr>
      <w:numPr>
        <w:numId w:val="23"/>
      </w:numPr>
      <w:tabs>
        <w:tab w:val="left" w:pos="170"/>
      </w:tabs>
      <w:jc w:val="left"/>
    </w:pPr>
  </w:style>
  <w:style w:type="paragraph" w:customStyle="1" w:styleId="TableColumnHeading">
    <w:name w:val="Table Column Heading"/>
    <w:basedOn w:val="TableBodyText"/>
    <w:pPr>
      <w:spacing w:before="80" w:after="80"/>
    </w:pPr>
    <w:rPr>
      <w:i/>
    </w:rPr>
  </w:style>
  <w:style w:type="paragraph" w:styleId="TOC2">
    <w:name w:val="toc 2"/>
    <w:basedOn w:val="TOC1"/>
    <w:rsid w:val="00433C81"/>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rsid w:val="00106041"/>
    <w:rPr>
      <w:b w:val="0"/>
    </w:rPr>
  </w:style>
  <w:style w:type="paragraph" w:customStyle="1" w:styleId="TableUnitsRow">
    <w:name w:val="Table Units Row"/>
    <w:basedOn w:val="TableBodyText"/>
    <w:pPr>
      <w:spacing w:before="80" w:after="80"/>
    </w:pPr>
  </w:style>
  <w:style w:type="paragraph" w:styleId="TOC1">
    <w:name w:val="toc 1"/>
    <w:basedOn w:val="Normal"/>
    <w:next w:val="TOC2"/>
    <w:rsid w:val="00D772E9"/>
    <w:pPr>
      <w:tabs>
        <w:tab w:val="right" w:pos="8789"/>
      </w:tabs>
      <w:spacing w:before="120" w:line="320" w:lineRule="exact"/>
      <w:ind w:left="510" w:right="851" w:hanging="510"/>
    </w:pPr>
    <w:rPr>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pPr>
      <w:numPr>
        <w:numId w:val="19"/>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link w:val="BodyText"/>
    <w:locked/>
    <w:rsid w:val="00D37AC2"/>
    <w:rPr>
      <w:sz w:val="26"/>
      <w:lang w:eastAsia="en-US"/>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3B41E0"/>
    <w:pPr>
      <w:tabs>
        <w:tab w:val="left" w:pos="866"/>
      </w:tabs>
      <w:spacing w:after="60"/>
    </w:pPr>
    <w:rPr>
      <w:rFonts w:ascii="GoudyOlSt BT" w:hAnsi="GoudyOlSt BT"/>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rPr>
      <w:sz w:val="24"/>
      <w:lang w:eastAsia="en-AU"/>
    </w:rPr>
  </w:style>
  <w:style w:type="paragraph" w:customStyle="1" w:styleId="LetterAddress">
    <w:name w:val="Letter Address"/>
    <w:basedOn w:val="BodyText"/>
    <w:rsid w:val="003B41E0"/>
    <w:pPr>
      <w:spacing w:before="0" w:line="240" w:lineRule="auto"/>
      <w:jc w:val="left"/>
    </w:pPr>
    <w:rPr>
      <w:sz w:val="24"/>
      <w:lang w:eastAsia="en-AU"/>
    </w:rPr>
  </w:style>
  <w:style w:type="paragraph" w:customStyle="1" w:styleId="PCBoxHeading">
    <w:name w:val="PC Box Heading"/>
    <w:basedOn w:val="BodyText"/>
    <w:link w:val="PCBoxHeadingChar"/>
    <w:qFormat/>
    <w:rsid w:val="00F4234E"/>
    <w:pPr>
      <w:pBdr>
        <w:top w:val="single" w:sz="4" w:space="5" w:color="auto"/>
        <w:left w:val="single" w:sz="4" w:space="8" w:color="auto"/>
        <w:bottom w:val="single" w:sz="4" w:space="14" w:color="auto"/>
        <w:right w:val="single" w:sz="4" w:space="8" w:color="auto"/>
      </w:pBdr>
      <w:spacing w:before="120" w:line="240" w:lineRule="auto"/>
      <w:ind w:left="284" w:right="284"/>
    </w:pPr>
    <w:rPr>
      <w:b/>
      <w:i/>
      <w:sz w:val="24"/>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 w:val="24"/>
      <w:szCs w:val="24"/>
    </w:rPr>
  </w:style>
  <w:style w:type="character" w:customStyle="1" w:styleId="PCBoxHeadingChar">
    <w:name w:val="PC Box Heading Char"/>
    <w:basedOn w:val="BodyTextChar"/>
    <w:link w:val="PCBoxHeading"/>
    <w:rsid w:val="00F4234E"/>
    <w:rPr>
      <w:b/>
      <w:i/>
      <w:sz w:val="24"/>
      <w:szCs w:val="24"/>
      <w:lang w:eastAsia="en-US"/>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iPriority w:val="99"/>
    <w:unhideWhenUsed/>
    <w:rsid w:val="00CD5E6B"/>
    <w:rPr>
      <w:rFonts w:ascii="Times New Roman" w:hAnsi="Times New Roman" w:cs="Times New Roman" w:hint="default"/>
      <w:color w:val="000000"/>
      <w:u w:val="single"/>
    </w:rPr>
  </w:style>
  <w:style w:type="character" w:customStyle="1" w:styleId="FooterChar">
    <w:name w:val="Footer Char"/>
    <w:basedOn w:val="DefaultParagraphFont"/>
    <w:link w:val="Footer"/>
    <w:rsid w:val="001F65D4"/>
    <w:rPr>
      <w:caps/>
      <w:spacing w:val="-4"/>
      <w:sz w:val="16"/>
      <w:lang w:eastAsia="en-US"/>
    </w:rPr>
  </w:style>
  <w:style w:type="character" w:customStyle="1" w:styleId="Heading1Char">
    <w:name w:val="Heading 1 Char"/>
    <w:basedOn w:val="DefaultParagraphFont"/>
    <w:link w:val="Heading1"/>
    <w:rsid w:val="001F65D4"/>
    <w:rPr>
      <w:kern w:val="28"/>
      <w:sz w:val="52"/>
      <w:lang w:eastAsia="en-US"/>
    </w:rPr>
  </w:style>
  <w:style w:type="table" w:styleId="TableGrid">
    <w:name w:val="Table Grid"/>
    <w:basedOn w:val="TableNormal"/>
    <w:rsid w:val="001F65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D37AC2"/>
    <w:pPr>
      <w:spacing w:before="240" w:line="320" w:lineRule="atLeast"/>
      <w:jc w:val="both"/>
    </w:pPr>
    <w:rPr>
      <w:sz w:val="26"/>
      <w:lang w:eastAsia="en-US"/>
    </w:rPr>
  </w:style>
  <w:style w:type="paragraph" w:customStyle="1" w:styleId="Abbreviation">
    <w:name w:val="Abbreviation"/>
    <w:basedOn w:val="BodyText"/>
    <w:pPr>
      <w:spacing w:before="120"/>
      <w:ind w:left="2381" w:hanging="2381"/>
      <w:jc w:val="left"/>
    </w:pPr>
  </w:style>
  <w:style w:type="paragraph" w:customStyle="1" w:styleId="Box">
    <w:name w:val="Box"/>
    <w:basedOn w:val="BodyText"/>
    <w:pPr>
      <w:keepNext/>
      <w:spacing w:before="120" w:line="280" w:lineRule="atLeast"/>
    </w:pPr>
    <w:rPr>
      <w:rFonts w:ascii="Arial" w:hAnsi="Arial"/>
      <w:sz w:val="22"/>
    </w:rPr>
  </w:style>
  <w:style w:type="paragraph" w:customStyle="1" w:styleId="Note">
    <w:name w:val="Note"/>
    <w:basedOn w:val="BodyText"/>
    <w:next w:val="Normal"/>
    <w:pPr>
      <w:keepLines/>
      <w:spacing w:before="80" w:line="220" w:lineRule="exact"/>
    </w:pPr>
    <w:rPr>
      <w:rFonts w:ascii="Arial" w:hAnsi="Arial"/>
      <w:sz w:val="18"/>
    </w:rPr>
  </w:style>
  <w:style w:type="paragraph" w:customStyle="1" w:styleId="Source">
    <w:name w:val="Source"/>
    <w:basedOn w:val="Note"/>
    <w:next w:val="BodyText"/>
    <w:pPr>
      <w:spacing w:after="120"/>
    </w:pPr>
  </w:style>
  <w:style w:type="paragraph" w:customStyle="1" w:styleId="BoxSource">
    <w:name w:val="Box Source"/>
    <w:basedOn w:val="Source"/>
    <w:next w:val="BodyText"/>
    <w:pPr>
      <w:spacing w:before="180" w:after="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x"/>
    <w:next w:val="Box"/>
    <w:pPr>
      <w:spacing w:before="200"/>
    </w:pPr>
    <w:rPr>
      <w:b/>
    </w:rPr>
  </w:style>
  <w:style w:type="paragraph" w:customStyle="1" w:styleId="BoxHeading2">
    <w:name w:val="Box Heading 2"/>
    <w:basedOn w:val="BoxHeading1"/>
    <w:next w:val="Box"/>
    <w:rPr>
      <w:b w:val="0"/>
      <w:i/>
    </w:rPr>
  </w:style>
  <w:style w:type="paragraph" w:customStyle="1" w:styleId="BoxListBullet">
    <w:name w:val="Box List Bullet"/>
    <w:basedOn w:val="Box"/>
    <w:rsid w:val="00DC78D3"/>
    <w:pPr>
      <w:numPr>
        <w:numId w:val="13"/>
      </w:numPr>
      <w:tabs>
        <w:tab w:val="clear" w:pos="360"/>
        <w:tab w:val="left" w:pos="284"/>
      </w:tabs>
      <w:spacing w:before="60"/>
    </w:pPr>
  </w:style>
  <w:style w:type="paragraph" w:customStyle="1" w:styleId="BoxListBullet2">
    <w:name w:val="Box List Bullet 2"/>
    <w:basedOn w:val="Box"/>
    <w:pPr>
      <w:numPr>
        <w:numId w:val="14"/>
      </w:numPr>
      <w:tabs>
        <w:tab w:val="left" w:pos="284"/>
        <w:tab w:val="left" w:pos="567"/>
      </w:tabs>
      <w:spacing w:before="60"/>
      <w:ind w:left="568"/>
    </w:pPr>
  </w:style>
  <w:style w:type="paragraph" w:customStyle="1" w:styleId="BoxListNumber">
    <w:name w:val="Box List Number"/>
    <w:basedOn w:val="Box"/>
    <w:rsid w:val="00DC78D3"/>
    <w:pPr>
      <w:numPr>
        <w:numId w:val="29"/>
      </w:numPr>
      <w:spacing w:before="60"/>
      <w:ind w:left="357" w:hanging="357"/>
    </w:pPr>
  </w:style>
  <w:style w:type="paragraph" w:customStyle="1" w:styleId="BoxListNumber2">
    <w:name w:val="Box List Number 2"/>
    <w:basedOn w:val="Normal"/>
    <w:rsid w:val="00743A27"/>
    <w:pPr>
      <w:keepNext/>
      <w:numPr>
        <w:ilvl w:val="1"/>
        <w:numId w:val="30"/>
      </w:numPr>
      <w:spacing w:before="60" w:line="280" w:lineRule="atLeast"/>
      <w:jc w:val="both"/>
    </w:pPr>
    <w:rPr>
      <w:rFonts w:ascii="Arial" w:hAnsi="Arial"/>
      <w:sz w:val="22"/>
      <w:lang w:eastAsia="en-AU"/>
    </w:rPr>
  </w:style>
  <w:style w:type="paragraph" w:customStyle="1" w:styleId="BoxQuote">
    <w:name w:val="Box Quote"/>
    <w:basedOn w:val="Box"/>
    <w:next w:val="Box"/>
    <w:pPr>
      <w:spacing w:before="60" w:line="260" w:lineRule="exact"/>
      <w:ind w:left="284"/>
    </w:pPr>
    <w:rPr>
      <w:sz w:val="20"/>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041"/>
    <w:pPr>
      <w:spacing w:before="120" w:after="0"/>
      <w:ind w:left="1304" w:hanging="1304"/>
    </w:pPr>
    <w:rPr>
      <w:b w:val="0"/>
    </w:rPr>
  </w:style>
  <w:style w:type="paragraph" w:customStyle="1" w:styleId="BoxSubtitle">
    <w:name w:val="Box Subtitle"/>
    <w:basedOn w:val="BoxTitle"/>
    <w:next w:val="Box"/>
    <w:pPr>
      <w:spacing w:after="80" w:line="200" w:lineRule="exact"/>
      <w:ind w:firstLine="0"/>
    </w:pPr>
    <w:rPr>
      <w:b/>
      <w:sz w:val="20"/>
    </w:rPr>
  </w:style>
  <w:style w:type="paragraph" w:customStyle="1" w:styleId="Chapter">
    <w:name w:val="Chapter"/>
    <w:basedOn w:val="Heading1"/>
    <w:next w:val="BodyText"/>
    <w:semiHidden/>
    <w:pPr>
      <w:ind w:left="0" w:firstLine="0"/>
      <w:outlineLvl w:val="9"/>
    </w:pPr>
  </w:style>
  <w:style w:type="paragraph" w:customStyle="1" w:styleId="ChapterSummary">
    <w:name w:val="Chapter Summary"/>
    <w:basedOn w:val="BodyText"/>
    <w:semiHidden/>
    <w:pPr>
      <w:ind w:left="907"/>
    </w:pPr>
    <w:rPr>
      <w:rFonts w:ascii="Arial" w:hAnsi="Arial"/>
      <w:b/>
      <w:sz w:val="22"/>
    </w:rPr>
  </w:style>
  <w:style w:type="character" w:styleId="CommentReference">
    <w:name w:val="annotation reference"/>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BoxContinued"/>
    <w:next w:val="BodyText"/>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pPr>
      <w:spacing w:before="80" w:line="200" w:lineRule="exact"/>
      <w:ind w:right="6"/>
    </w:pPr>
    <w:rPr>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041"/>
    <w:rPr>
      <w:b w:val="0"/>
    </w:rPr>
  </w:style>
  <w:style w:type="paragraph" w:styleId="Subtitle">
    <w:name w:val="Subtitle"/>
    <w:basedOn w:val="Caption"/>
    <w:qFormat/>
    <w:pPr>
      <w:spacing w:before="0" w:line="200" w:lineRule="exact"/>
      <w:ind w:firstLine="0"/>
    </w:pPr>
    <w:rPr>
      <w:b w:val="0"/>
      <w:sz w:val="20"/>
    </w:rPr>
  </w:style>
  <w:style w:type="paragraph" w:customStyle="1" w:styleId="Finding">
    <w:name w:val="Finding"/>
    <w:basedOn w:val="BodyText"/>
    <w:pPr>
      <w:spacing w:before="180"/>
    </w:pPr>
    <w:rPr>
      <w:i/>
    </w:rPr>
  </w:style>
  <w:style w:type="paragraph" w:customStyle="1" w:styleId="FindingBullet">
    <w:name w:val="Finding Bullet"/>
    <w:basedOn w:val="Finding"/>
    <w:pPr>
      <w:numPr>
        <w:numId w:val="15"/>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pPr>
      <w:keepNext/>
      <w:framePr w:hSpace="181" w:wrap="notBeside" w:vAnchor="text" w:hAnchor="text" w:xAlign="outside" w:y="1"/>
    </w:pPr>
    <w:rPr>
      <w:caps/>
      <w:sz w:val="16"/>
    </w:rPr>
  </w:style>
  <w:style w:type="paragraph" w:customStyle="1" w:styleId="FindingTitle">
    <w:name w:val="Finding Title"/>
    <w:basedOn w:val="RecTitle"/>
    <w:next w:val="Finding"/>
    <w:pPr>
      <w:framePr w:wrap="notBeside"/>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semiHidden/>
    <w:pPr>
      <w:spacing w:before="360" w:after="120"/>
    </w:pPr>
    <w:rPr>
      <w:rFonts w:ascii="Arial" w:hAnsi="Arial"/>
      <w:sz w:val="24"/>
    </w:rPr>
  </w:style>
  <w:style w:type="paragraph" w:styleId="ListBullet">
    <w:name w:val="List Bullet"/>
    <w:basedOn w:val="BodyText"/>
    <w:rsid w:val="00D37AC2"/>
    <w:pPr>
      <w:numPr>
        <w:numId w:val="16"/>
      </w:numPr>
      <w:spacing w:before="120"/>
    </w:pPr>
  </w:style>
  <w:style w:type="paragraph" w:styleId="ListBullet2">
    <w:name w:val="List Bullet 2"/>
    <w:basedOn w:val="BodyText"/>
    <w:rsid w:val="00D37AC2"/>
    <w:pPr>
      <w:numPr>
        <w:numId w:val="17"/>
      </w:numPr>
      <w:tabs>
        <w:tab w:val="clear" w:pos="644"/>
        <w:tab w:val="left" w:pos="680"/>
      </w:tabs>
      <w:spacing w:before="120"/>
      <w:ind w:left="680" w:hanging="340"/>
    </w:pPr>
  </w:style>
  <w:style w:type="paragraph" w:styleId="ListBullet3">
    <w:name w:val="List Bullet 3"/>
    <w:basedOn w:val="BodyText"/>
    <w:rsid w:val="00D37AC2"/>
    <w:pPr>
      <w:numPr>
        <w:numId w:val="18"/>
      </w:numPr>
      <w:tabs>
        <w:tab w:val="clear" w:pos="360"/>
        <w:tab w:val="left" w:pos="1021"/>
      </w:tabs>
      <w:spacing w:before="120"/>
      <w:ind w:left="1020"/>
    </w:pPr>
  </w:style>
  <w:style w:type="paragraph" w:styleId="ListNumber">
    <w:name w:val="List Number"/>
    <w:basedOn w:val="BodyText"/>
    <w:rsid w:val="005654D0"/>
    <w:pPr>
      <w:numPr>
        <w:numId w:val="28"/>
      </w:numPr>
      <w:spacing w:before="120"/>
    </w:pPr>
    <w:rPr>
      <w:lang w:eastAsia="en-AU"/>
    </w:rPr>
  </w:style>
  <w:style w:type="paragraph" w:styleId="ListNumber2">
    <w:name w:val="List Number 2"/>
    <w:basedOn w:val="ListNumber"/>
    <w:rsid w:val="000F2F5F"/>
    <w:pPr>
      <w:numPr>
        <w:ilvl w:val="1"/>
      </w:numPr>
      <w:tabs>
        <w:tab w:val="left" w:pos="794"/>
      </w:tabs>
    </w:pPr>
  </w:style>
  <w:style w:type="paragraph" w:styleId="ListNumber3">
    <w:name w:val="List Number 3"/>
    <w:basedOn w:val="ListNumber2"/>
    <w:rsid w:val="00D37AC2"/>
    <w:pPr>
      <w:numPr>
        <w:ilvl w:val="2"/>
      </w:numPr>
      <w:tabs>
        <w:tab w:val="clear" w:pos="794"/>
      </w:tabs>
    </w:pPr>
  </w:style>
  <w:style w:type="character" w:customStyle="1" w:styleId="NoteLabel">
    <w:name w:val="Note Label"/>
    <w:rPr>
      <w:rFonts w:ascii="Arial" w:hAnsi="Arial"/>
      <w:b/>
      <w:position w:val="6"/>
      <w:sz w:val="18"/>
    </w:rPr>
  </w:style>
  <w:style w:type="character" w:styleId="PageNumber">
    <w:name w:val="page number"/>
    <w:rsid w:val="00C0721B"/>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qFormat/>
    <w:pPr>
      <w:spacing w:before="120" w:line="280" w:lineRule="exact"/>
      <w:ind w:left="340"/>
    </w:pPr>
    <w:rPr>
      <w:sz w:val="24"/>
    </w:rPr>
  </w:style>
  <w:style w:type="paragraph" w:customStyle="1" w:styleId="Rec">
    <w:name w:val="Rec"/>
    <w:basedOn w:val="BodyText"/>
    <w:pPr>
      <w:spacing w:before="180"/>
    </w:pPr>
    <w:rPr>
      <w:b/>
      <w:i/>
    </w:rPr>
  </w:style>
  <w:style w:type="paragraph" w:customStyle="1" w:styleId="RecBullet">
    <w:name w:val="Rec Bullet"/>
    <w:basedOn w:val="Rec"/>
    <w:pPr>
      <w:numPr>
        <w:numId w:val="20"/>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pPr>
      <w:numPr>
        <w:numId w:val="23"/>
      </w:numPr>
      <w:tabs>
        <w:tab w:val="left" w:pos="170"/>
      </w:tabs>
      <w:jc w:val="left"/>
    </w:pPr>
  </w:style>
  <w:style w:type="paragraph" w:customStyle="1" w:styleId="TableColumnHeading">
    <w:name w:val="Table Column Heading"/>
    <w:basedOn w:val="TableBodyText"/>
    <w:pPr>
      <w:spacing w:before="80" w:after="80"/>
    </w:pPr>
    <w:rPr>
      <w:i/>
    </w:rPr>
  </w:style>
  <w:style w:type="paragraph" w:styleId="TOC2">
    <w:name w:val="toc 2"/>
    <w:basedOn w:val="TOC1"/>
    <w:rsid w:val="00433C81"/>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rsid w:val="00106041"/>
    <w:rPr>
      <w:b w:val="0"/>
    </w:rPr>
  </w:style>
  <w:style w:type="paragraph" w:customStyle="1" w:styleId="TableUnitsRow">
    <w:name w:val="Table Units Row"/>
    <w:basedOn w:val="TableBodyText"/>
    <w:pPr>
      <w:spacing w:before="80" w:after="80"/>
    </w:pPr>
  </w:style>
  <w:style w:type="paragraph" w:styleId="TOC1">
    <w:name w:val="toc 1"/>
    <w:basedOn w:val="Normal"/>
    <w:next w:val="TOC2"/>
    <w:rsid w:val="00D772E9"/>
    <w:pPr>
      <w:tabs>
        <w:tab w:val="right" w:pos="8789"/>
      </w:tabs>
      <w:spacing w:before="120" w:line="320" w:lineRule="exact"/>
      <w:ind w:left="510" w:right="851" w:hanging="510"/>
    </w:pPr>
    <w:rPr>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pPr>
      <w:numPr>
        <w:numId w:val="19"/>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link w:val="BodyText"/>
    <w:locked/>
    <w:rsid w:val="00D37AC2"/>
    <w:rPr>
      <w:sz w:val="26"/>
      <w:lang w:eastAsia="en-US"/>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3B41E0"/>
    <w:pPr>
      <w:tabs>
        <w:tab w:val="left" w:pos="866"/>
      </w:tabs>
      <w:spacing w:after="60"/>
    </w:pPr>
    <w:rPr>
      <w:rFonts w:ascii="GoudyOlSt BT" w:hAnsi="GoudyOlSt BT"/>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rPr>
      <w:sz w:val="24"/>
      <w:lang w:eastAsia="en-AU"/>
    </w:rPr>
  </w:style>
  <w:style w:type="paragraph" w:customStyle="1" w:styleId="LetterAddress">
    <w:name w:val="Letter Address"/>
    <w:basedOn w:val="BodyText"/>
    <w:rsid w:val="003B41E0"/>
    <w:pPr>
      <w:spacing w:before="0" w:line="240" w:lineRule="auto"/>
      <w:jc w:val="left"/>
    </w:pPr>
    <w:rPr>
      <w:sz w:val="24"/>
      <w:lang w:eastAsia="en-AU"/>
    </w:rPr>
  </w:style>
  <w:style w:type="paragraph" w:customStyle="1" w:styleId="PCBoxHeading">
    <w:name w:val="PC Box Heading"/>
    <w:basedOn w:val="BodyText"/>
    <w:link w:val="PCBoxHeadingChar"/>
    <w:qFormat/>
    <w:rsid w:val="00F4234E"/>
    <w:pPr>
      <w:pBdr>
        <w:top w:val="single" w:sz="4" w:space="5" w:color="auto"/>
        <w:left w:val="single" w:sz="4" w:space="8" w:color="auto"/>
        <w:bottom w:val="single" w:sz="4" w:space="14" w:color="auto"/>
        <w:right w:val="single" w:sz="4" w:space="8" w:color="auto"/>
      </w:pBdr>
      <w:spacing w:before="120" w:line="240" w:lineRule="auto"/>
      <w:ind w:left="284" w:right="284"/>
    </w:pPr>
    <w:rPr>
      <w:b/>
      <w:i/>
      <w:sz w:val="24"/>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 w:val="24"/>
      <w:szCs w:val="24"/>
    </w:rPr>
  </w:style>
  <w:style w:type="character" w:customStyle="1" w:styleId="PCBoxHeadingChar">
    <w:name w:val="PC Box Heading Char"/>
    <w:basedOn w:val="BodyTextChar"/>
    <w:link w:val="PCBoxHeading"/>
    <w:rsid w:val="00F4234E"/>
    <w:rPr>
      <w:b/>
      <w:i/>
      <w:sz w:val="24"/>
      <w:szCs w:val="24"/>
      <w:lang w:eastAsia="en-US"/>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iPriority w:val="99"/>
    <w:unhideWhenUsed/>
    <w:rsid w:val="00CD5E6B"/>
    <w:rPr>
      <w:rFonts w:ascii="Times New Roman" w:hAnsi="Times New Roman" w:cs="Times New Roman" w:hint="default"/>
      <w:color w:val="000000"/>
      <w:u w:val="single"/>
    </w:rPr>
  </w:style>
  <w:style w:type="character" w:customStyle="1" w:styleId="FooterChar">
    <w:name w:val="Footer Char"/>
    <w:basedOn w:val="DefaultParagraphFont"/>
    <w:link w:val="Footer"/>
    <w:rsid w:val="001F65D4"/>
    <w:rPr>
      <w:caps/>
      <w:spacing w:val="-4"/>
      <w:sz w:val="16"/>
      <w:lang w:eastAsia="en-US"/>
    </w:rPr>
  </w:style>
  <w:style w:type="character" w:customStyle="1" w:styleId="Heading1Char">
    <w:name w:val="Heading 1 Char"/>
    <w:basedOn w:val="DefaultParagraphFont"/>
    <w:link w:val="Heading1"/>
    <w:rsid w:val="001F65D4"/>
    <w:rPr>
      <w:kern w:val="28"/>
      <w:sz w:val="52"/>
      <w:lang w:eastAsia="en-US"/>
    </w:rPr>
  </w:style>
  <w:style w:type="table" w:styleId="TableGrid">
    <w:name w:val="Table Grid"/>
    <w:basedOn w:val="TableNormal"/>
    <w:rsid w:val="001F65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8255">
      <w:bodyDiv w:val="1"/>
      <w:marLeft w:val="0"/>
      <w:marRight w:val="0"/>
      <w:marTop w:val="0"/>
      <w:marBottom w:val="0"/>
      <w:divBdr>
        <w:top w:val="none" w:sz="0" w:space="0" w:color="auto"/>
        <w:left w:val="none" w:sz="0" w:space="0" w:color="auto"/>
        <w:bottom w:val="none" w:sz="0" w:space="0" w:color="auto"/>
        <w:right w:val="none" w:sz="0" w:space="0" w:color="auto"/>
      </w:divBdr>
    </w:div>
    <w:div w:id="739518461">
      <w:bodyDiv w:val="1"/>
      <w:marLeft w:val="0"/>
      <w:marRight w:val="0"/>
      <w:marTop w:val="0"/>
      <w:marBottom w:val="0"/>
      <w:divBdr>
        <w:top w:val="none" w:sz="0" w:space="0" w:color="auto"/>
        <w:left w:val="none" w:sz="0" w:space="0" w:color="auto"/>
        <w:bottom w:val="none" w:sz="0" w:space="0" w:color="auto"/>
        <w:right w:val="none" w:sz="0" w:space="0" w:color="auto"/>
      </w:divBdr>
    </w:div>
    <w:div w:id="87674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pc.gov.au/research/staff-working/forms-of-work" TargetMode="Externa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prelim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prelims.dotm</Template>
  <TotalTime>10</TotalTime>
  <Pages>11</Pages>
  <Words>2259</Words>
  <Characters>12439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Productivity Commission</vt:lpstr>
    </vt:vector>
  </TitlesOfParts>
  <Company>Productivity Commission</Company>
  <LinksUpToDate>false</LinksUpToDate>
  <CharactersWithSpaces>14669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Productivity Commission</dc:title>
  <dc:creator>Productivity Commission</dc:creator>
  <cp:lastModifiedBy>Louise Jordan</cp:lastModifiedBy>
  <cp:revision>3</cp:revision>
  <cp:lastPrinted>2009-07-15T23:41:00Z</cp:lastPrinted>
  <dcterms:created xsi:type="dcterms:W3CDTF">2013-04-12T07:18:00Z</dcterms:created>
  <dcterms:modified xsi:type="dcterms:W3CDTF">2013-04-15T01:56:00Z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-1338660053</vt:i4>
  </property>
  <property fmtid="{D5CDD505-2E9C-101B-9397-08002B2CF9AE}" pid="3" name="_NewReviewCycle">
    <vt:lpwstr/>
  </property>
  <property fmtid="{D5CDD505-2E9C-101B-9397-08002B2CF9AE}" pid="4" name="_EmailSubject">
    <vt:lpwstr>WEB FILES - forms of work [SEC=UNCLASSIFIED]</vt:lpwstr>
  </property>
  <property fmtid="{D5CDD505-2E9C-101B-9397-08002B2CF9AE}" pid="5" name="_AuthorEmail">
    <vt:lpwstr>Louise.Jordan@pc.gov.au</vt:lpwstr>
  </property>
  <property fmtid="{D5CDD505-2E9C-101B-9397-08002B2CF9AE}" pid="6" name="_AuthorEmailDisplayName">
    <vt:lpwstr>Jordan, Louise</vt:lpwstr>
  </property>
</Properties>
</file>