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9D754C" w:rsidP="009D754C">
      <w:pPr>
        <w:pStyle w:val="Heading1"/>
        <w:spacing w:before="0"/>
      </w:pPr>
      <w:bookmarkStart w:id="0" w:name="ChapterNumber"/>
      <w:r>
        <w:t>1</w:t>
      </w:r>
      <w:bookmarkEnd w:id="0"/>
      <w:r>
        <w:tab/>
      </w:r>
      <w:bookmarkStart w:id="1" w:name="ChapterTitle"/>
      <w:r>
        <w:t>Introduction</w:t>
      </w:r>
      <w:bookmarkEnd w:id="1"/>
    </w:p>
    <w:p w:rsidR="009D754C" w:rsidRPr="00A30824" w:rsidRDefault="00DC6652" w:rsidP="009D754C">
      <w:pPr>
        <w:pStyle w:val="BodyText"/>
      </w:pPr>
      <w:bookmarkStart w:id="2" w:name="begin"/>
      <w:bookmarkEnd w:id="2"/>
      <w:r>
        <w:t>T</w:t>
      </w:r>
      <w:r w:rsidR="00DA4F45">
        <w:t>here have been many changes in l</w:t>
      </w:r>
      <w:r w:rsidR="009D754C" w:rsidRPr="00A30824">
        <w:t xml:space="preserve">abour markets </w:t>
      </w:r>
      <w:r w:rsidR="00A30824" w:rsidRPr="00A30824">
        <w:t>in industrialised countries</w:t>
      </w:r>
      <w:r>
        <w:t xml:space="preserve"> over the past 30–40 years</w:t>
      </w:r>
      <w:r w:rsidR="006700DB">
        <w:t>. Changes include increases</w:t>
      </w:r>
      <w:r w:rsidR="009D754C" w:rsidRPr="00A30824">
        <w:t xml:space="preserve"> in the participation rates of women, the prevalence of part</w:t>
      </w:r>
      <w:r w:rsidR="009D754C" w:rsidRPr="00A30824">
        <w:noBreakHyphen/>
        <w:t>time work and the skill content of jobs.</w:t>
      </w:r>
      <w:r w:rsidR="009441CE" w:rsidRPr="00A30824">
        <w:t xml:space="preserve"> </w:t>
      </w:r>
      <w:r w:rsidR="009D754C" w:rsidRPr="00A30824">
        <w:t>There have also been changes in the employment arrangements under which people work. A number of forms of work (FOWs) including casual, labour hire and self</w:t>
      </w:r>
      <w:r w:rsidR="009D754C" w:rsidRPr="00A30824">
        <w:noBreakHyphen/>
        <w:t xml:space="preserve">employment began to grow relatively quickly </w:t>
      </w:r>
      <w:r w:rsidR="009441CE" w:rsidRPr="00A30824">
        <w:t xml:space="preserve">in the </w:t>
      </w:r>
      <w:proofErr w:type="spellStart"/>
      <w:r w:rsidR="009441CE" w:rsidRPr="00A30824">
        <w:t>1980s</w:t>
      </w:r>
      <w:proofErr w:type="spellEnd"/>
      <w:r w:rsidR="000B311B" w:rsidRPr="00A30824">
        <w:t xml:space="preserve"> (Richardson</w:t>
      </w:r>
      <w:r w:rsidR="006700DB">
        <w:t>,</w:t>
      </w:r>
      <w:r w:rsidR="000B311B" w:rsidRPr="00A30824">
        <w:t xml:space="preserve"> </w:t>
      </w:r>
      <w:r w:rsidR="006700DB">
        <w:t>Lester and Zhang</w:t>
      </w:r>
      <w:r w:rsidR="000B311B" w:rsidRPr="00A30824">
        <w:t> 2012)</w:t>
      </w:r>
      <w:r w:rsidR="009D754C" w:rsidRPr="00A30824">
        <w:t>.</w:t>
      </w:r>
    </w:p>
    <w:p w:rsidR="009D754C" w:rsidRPr="00012932" w:rsidRDefault="009D754C" w:rsidP="009D754C">
      <w:pPr>
        <w:pStyle w:val="BodyText"/>
        <w:rPr>
          <w:spacing w:val="-2"/>
        </w:rPr>
      </w:pPr>
      <w:r w:rsidRPr="00012932">
        <w:rPr>
          <w:spacing w:val="-2"/>
        </w:rPr>
        <w:t>There has been much research on different FOWs in Australia.</w:t>
      </w:r>
      <w:r w:rsidRPr="00012932">
        <w:rPr>
          <w:rStyle w:val="FootnoteReference"/>
          <w:spacing w:val="-2"/>
        </w:rPr>
        <w:footnoteReference w:id="1"/>
      </w:r>
      <w:r w:rsidRPr="00012932">
        <w:rPr>
          <w:spacing w:val="-2"/>
        </w:rPr>
        <w:t xml:space="preserve"> Studies of casual, fixed</w:t>
      </w:r>
      <w:r w:rsidRPr="00012932">
        <w:rPr>
          <w:spacing w:val="-2"/>
        </w:rPr>
        <w:noBreakHyphen/>
        <w:t>term and labour hire employees and self</w:t>
      </w:r>
      <w:r w:rsidRPr="00012932">
        <w:rPr>
          <w:spacing w:val="-2"/>
        </w:rPr>
        <w:noBreakHyphen/>
        <w:t xml:space="preserve">employed contractors, have generally concluded that the prevalence of these FOWs increased during the </w:t>
      </w:r>
      <w:proofErr w:type="spellStart"/>
      <w:r w:rsidRPr="00012932">
        <w:rPr>
          <w:spacing w:val="-2"/>
        </w:rPr>
        <w:t>1990s</w:t>
      </w:r>
      <w:proofErr w:type="spellEnd"/>
      <w:r w:rsidRPr="00012932">
        <w:rPr>
          <w:spacing w:val="-2"/>
        </w:rPr>
        <w:t xml:space="preserve"> and early </w:t>
      </w:r>
      <w:proofErr w:type="spellStart"/>
      <w:r w:rsidRPr="00012932">
        <w:rPr>
          <w:spacing w:val="-2"/>
        </w:rPr>
        <w:t>2000s</w:t>
      </w:r>
      <w:proofErr w:type="spellEnd"/>
      <w:r w:rsidRPr="00012932">
        <w:rPr>
          <w:spacing w:val="-2"/>
        </w:rPr>
        <w:t xml:space="preserve">, </w:t>
      </w:r>
      <w:r w:rsidR="006700DB">
        <w:rPr>
          <w:spacing w:val="-2"/>
        </w:rPr>
        <w:t>and</w:t>
      </w:r>
      <w:r w:rsidRPr="00012932">
        <w:rPr>
          <w:spacing w:val="-2"/>
        </w:rPr>
        <w:t xml:space="preserve"> then abated. For example, Richardson and Law (2009) concluded that Australia had one of the fastest growth rates of casual employment among OECD countries in the 1990s, but that growth in this FOW had moderated from 2001.</w:t>
      </w:r>
      <w:r w:rsidRPr="00012932">
        <w:rPr>
          <w:rStyle w:val="FootnoteReference"/>
          <w:spacing w:val="-2"/>
        </w:rPr>
        <w:footnoteReference w:id="2"/>
      </w:r>
      <w:r w:rsidRPr="00012932">
        <w:rPr>
          <w:spacing w:val="-2"/>
        </w:rPr>
        <w:t xml:space="preserve"> More generally, these authors concluded that the prevalence of casual, fixed</w:t>
      </w:r>
      <w:r w:rsidRPr="00012932">
        <w:rPr>
          <w:spacing w:val="-2"/>
        </w:rPr>
        <w:noBreakHyphen/>
        <w:t>term, labour hire and self</w:t>
      </w:r>
      <w:r w:rsidRPr="00012932">
        <w:rPr>
          <w:spacing w:val="-2"/>
        </w:rPr>
        <w:noBreakHyphen/>
        <w:t xml:space="preserve">employed contract workers did not increase much in the early part of the 2000s. Similarly, the </w:t>
      </w:r>
      <w:r w:rsidR="00694E09">
        <w:rPr>
          <w:spacing w:val="-2"/>
        </w:rPr>
        <w:t>Commission (2006</w:t>
      </w:r>
      <w:r w:rsidRPr="00012932">
        <w:rPr>
          <w:spacing w:val="-2"/>
        </w:rPr>
        <w:t>, p. 23) concluded that:</w:t>
      </w:r>
    </w:p>
    <w:p w:rsidR="009D754C" w:rsidRDefault="009D754C" w:rsidP="009D754C">
      <w:pPr>
        <w:pStyle w:val="Quote"/>
      </w:pPr>
      <w:r>
        <w:t>Without exception, the workforce shares of the major forms of non-traditional work [defined to include casual, fixed</w:t>
      </w:r>
      <w:r>
        <w:noBreakHyphen/>
        <w:t>term and labour hire employees and self</w:t>
      </w:r>
      <w:r>
        <w:noBreakHyphen/>
        <w:t>employed contractors] have either levelled off or declined since 2001.</w:t>
      </w:r>
    </w:p>
    <w:p w:rsidR="009D754C" w:rsidRDefault="009D754C" w:rsidP="009D754C">
      <w:pPr>
        <w:pStyle w:val="BodyText"/>
      </w:pPr>
      <w:r>
        <w:t>Evans and Sikora (2004), in a study of self</w:t>
      </w:r>
      <w:r>
        <w:noBreakHyphen/>
        <w:t>employment (including both contractors and other business operators), found that the prevalence of this FOW increased in Australia between the mid</w:t>
      </w:r>
      <w:r>
        <w:noBreakHyphen/>
        <w:t>1980s and late 1990s. More recent research (</w:t>
      </w:r>
      <w:proofErr w:type="spellStart"/>
      <w:r w:rsidR="006700DB">
        <w:t>Atalay</w:t>
      </w:r>
      <w:proofErr w:type="spellEnd"/>
      <w:r w:rsidR="006700DB">
        <w:t>, Kim and Whelan</w:t>
      </w:r>
      <w:r w:rsidRPr="00687D5E">
        <w:t xml:space="preserve"> 2013</w:t>
      </w:r>
      <w:r>
        <w:t>; OECD 2011</w:t>
      </w:r>
      <w:r w:rsidRPr="00687D5E">
        <w:t>)</w:t>
      </w:r>
      <w:r w:rsidRPr="00F05949">
        <w:t xml:space="preserve"> </w:t>
      </w:r>
      <w:r>
        <w:t xml:space="preserve">suggests that the prevalence </w:t>
      </w:r>
      <w:r w:rsidRPr="00687D5E">
        <w:t xml:space="preserve">of self-employment </w:t>
      </w:r>
      <w:r>
        <w:t xml:space="preserve">in Australia </w:t>
      </w:r>
      <w:r w:rsidRPr="00687D5E">
        <w:t>declined in the 2000s.</w:t>
      </w:r>
      <w:r>
        <w:rPr>
          <w:rStyle w:val="FootnoteReference"/>
        </w:rPr>
        <w:footnoteReference w:id="3"/>
      </w:r>
    </w:p>
    <w:p w:rsidR="009D754C" w:rsidRDefault="009D754C" w:rsidP="009D754C">
      <w:pPr>
        <w:pStyle w:val="BodyText"/>
      </w:pPr>
      <w:r>
        <w:lastRenderedPageBreak/>
        <w:t>Since the mid</w:t>
      </w:r>
      <w:r w:rsidR="00177DDF">
        <w:t>-</w:t>
      </w:r>
      <w:r>
        <w:t xml:space="preserve">2000s, it is possible that structural change (such as the increase in the mining industry’s share of output), changes in regulatory settings and the global financial crisis have influenced the prevalence of different FOWs in Australia. This paper presents an analysis of changes in the prevalence of different FOWs between 2001 and 2011, and discussion of possible explanations for observed changes. With the exception of the recent study </w:t>
      </w:r>
      <w:r w:rsidR="00DC6652">
        <w:t>of self</w:t>
      </w:r>
      <w:r w:rsidR="00DC6652">
        <w:noBreakHyphen/>
        <w:t xml:space="preserve">employment </w:t>
      </w:r>
      <w:r>
        <w:t xml:space="preserve">by Atalay et al. (2013), the authors have </w:t>
      </w:r>
      <w:r w:rsidR="00177DDF">
        <w:t>been unable to fin</w:t>
      </w:r>
      <w:r>
        <w:t xml:space="preserve">d </w:t>
      </w:r>
      <w:r w:rsidR="00177DDF">
        <w:t>any</w:t>
      </w:r>
      <w:r>
        <w:t xml:space="preserve"> paper </w:t>
      </w:r>
      <w:r w:rsidR="00D27E92">
        <w:t xml:space="preserve">that both </w:t>
      </w:r>
      <w:r>
        <w:t>document</w:t>
      </w:r>
      <w:r w:rsidR="00D27E92">
        <w:t>s</w:t>
      </w:r>
      <w:r>
        <w:t xml:space="preserve"> changes in the prevalence of FOWs in Australia over the decade to 2011 and explain</w:t>
      </w:r>
      <w:r w:rsidR="00D27E92">
        <w:t>s</w:t>
      </w:r>
      <w:r>
        <w:t xml:space="preserve"> why those changes might have occurred.</w:t>
      </w:r>
    </w:p>
    <w:p w:rsidR="00DB26D2" w:rsidRDefault="009D754C" w:rsidP="00120072">
      <w:pPr>
        <w:pStyle w:val="BodyText"/>
      </w:pPr>
      <w:r w:rsidRPr="00C9701A">
        <w:rPr>
          <w:spacing w:val="-2"/>
        </w:rPr>
        <w:t>The remainder of this chapter includes: discussion of why different FOWs are of interest (section </w:t>
      </w:r>
      <w:r>
        <w:rPr>
          <w:spacing w:val="-2"/>
        </w:rPr>
        <w:t>1.1</w:t>
      </w:r>
      <w:r w:rsidR="009B6825">
        <w:rPr>
          <w:spacing w:val="-2"/>
        </w:rPr>
        <w:t>)</w:t>
      </w:r>
      <w:r>
        <w:rPr>
          <w:spacing w:val="-2"/>
        </w:rPr>
        <w:t xml:space="preserve">, </w:t>
      </w:r>
      <w:r w:rsidRPr="00C9701A">
        <w:rPr>
          <w:spacing w:val="-2"/>
        </w:rPr>
        <w:t>definitions of the FOWs analysed in this paper (section</w:t>
      </w:r>
      <w:r>
        <w:rPr>
          <w:spacing w:val="-2"/>
        </w:rPr>
        <w:t xml:space="preserve"> 1.2), </w:t>
      </w:r>
      <w:r w:rsidRPr="00C9701A">
        <w:rPr>
          <w:spacing w:val="-2"/>
        </w:rPr>
        <w:t xml:space="preserve">and a description of the </w:t>
      </w:r>
      <w:r>
        <w:rPr>
          <w:spacing w:val="-2"/>
        </w:rPr>
        <w:t xml:space="preserve">research </w:t>
      </w:r>
      <w:r w:rsidRPr="00C9701A">
        <w:rPr>
          <w:spacing w:val="-2"/>
        </w:rPr>
        <w:t xml:space="preserve">questions </w:t>
      </w:r>
      <w:r>
        <w:rPr>
          <w:spacing w:val="-2"/>
        </w:rPr>
        <w:t xml:space="preserve">that are </w:t>
      </w:r>
      <w:r w:rsidRPr="00C9701A">
        <w:rPr>
          <w:spacing w:val="-2"/>
        </w:rPr>
        <w:t>addressed (sectio</w:t>
      </w:r>
      <w:r>
        <w:rPr>
          <w:spacing w:val="-2"/>
        </w:rPr>
        <w:t>n 1.3).</w:t>
      </w:r>
    </w:p>
    <w:p w:rsidR="009E1844" w:rsidRDefault="001E64F7" w:rsidP="009D754C">
      <w:pPr>
        <w:pStyle w:val="Heading2"/>
      </w:pPr>
      <w:fldSimple w:instr=" COMMENTS  \* MERGEFORMAT ">
        <w:r w:rsidR="009D754C">
          <w:t>1.</w:t>
        </w:r>
      </w:fldSimple>
      <w:fldSimple w:instr=" SEQ Heading2 ">
        <w:r w:rsidR="00240643">
          <w:rPr>
            <w:noProof/>
          </w:rPr>
          <w:t>1</w:t>
        </w:r>
      </w:fldSimple>
      <w:r w:rsidR="009D754C">
        <w:tab/>
        <w:t>Why are different forms of work of interest?</w:t>
      </w:r>
    </w:p>
    <w:p w:rsidR="009D754C" w:rsidRDefault="009D754C" w:rsidP="009D754C">
      <w:pPr>
        <w:pStyle w:val="BodyText"/>
        <w:rPr>
          <w:spacing w:val="-2"/>
        </w:rPr>
      </w:pPr>
      <w:r>
        <w:rPr>
          <w:spacing w:val="-2"/>
        </w:rPr>
        <w:t>The pros and cons of different FOWs</w:t>
      </w:r>
      <w:r w:rsidRPr="00375612">
        <w:rPr>
          <w:spacing w:val="-2"/>
        </w:rPr>
        <w:t xml:space="preserve"> </w:t>
      </w:r>
      <w:r>
        <w:rPr>
          <w:spacing w:val="-2"/>
        </w:rPr>
        <w:t>have</w:t>
      </w:r>
      <w:r w:rsidRPr="00375612">
        <w:rPr>
          <w:spacing w:val="-2"/>
        </w:rPr>
        <w:t xml:space="preserve"> </w:t>
      </w:r>
      <w:r>
        <w:rPr>
          <w:spacing w:val="-2"/>
        </w:rPr>
        <w:t>been the subject of public</w:t>
      </w:r>
      <w:r w:rsidRPr="00375612">
        <w:rPr>
          <w:spacing w:val="-2"/>
        </w:rPr>
        <w:t xml:space="preserve"> debate. </w:t>
      </w:r>
      <w:r>
        <w:rPr>
          <w:spacing w:val="-2"/>
        </w:rPr>
        <w:t xml:space="preserve">It is not the goal of this paper to </w:t>
      </w:r>
      <w:r w:rsidR="002E0FE5">
        <w:rPr>
          <w:spacing w:val="-2"/>
        </w:rPr>
        <w:t xml:space="preserve">comment on </w:t>
      </w:r>
      <w:r>
        <w:rPr>
          <w:spacing w:val="-2"/>
        </w:rPr>
        <w:t>those debates. A brief discussion of some of the arguments is provided below as context for the analysis of prevalence changes in the past decade.</w:t>
      </w:r>
    </w:p>
    <w:p w:rsidR="009D754C" w:rsidRDefault="009D754C" w:rsidP="009D754C">
      <w:pPr>
        <w:pStyle w:val="BodyText"/>
      </w:pPr>
      <w:r>
        <w:rPr>
          <w:spacing w:val="-2"/>
        </w:rPr>
        <w:t>The effects of the greater flexibility associated with some FOWs (and casual work in particular) ha</w:t>
      </w:r>
      <w:r w:rsidR="002E0FE5">
        <w:rPr>
          <w:spacing w:val="-2"/>
        </w:rPr>
        <w:t>ve</w:t>
      </w:r>
      <w:r>
        <w:rPr>
          <w:spacing w:val="-2"/>
        </w:rPr>
        <w:t xml:space="preserve"> been one subject of d</w:t>
      </w:r>
      <w:r w:rsidR="00DC6652">
        <w:rPr>
          <w:spacing w:val="-2"/>
        </w:rPr>
        <w:t>iscussion</w:t>
      </w:r>
      <w:r>
        <w:rPr>
          <w:spacing w:val="-2"/>
        </w:rPr>
        <w:t xml:space="preserve">. </w:t>
      </w:r>
      <w:r w:rsidRPr="00375612">
        <w:rPr>
          <w:spacing w:val="-2"/>
        </w:rPr>
        <w:t xml:space="preserve">On the one hand, advocates highlight the </w:t>
      </w:r>
      <w:r>
        <w:rPr>
          <w:spacing w:val="-2"/>
        </w:rPr>
        <w:t xml:space="preserve">benefits of </w:t>
      </w:r>
      <w:r w:rsidRPr="00375612">
        <w:rPr>
          <w:spacing w:val="-2"/>
        </w:rPr>
        <w:t xml:space="preserve">flexibility </w:t>
      </w:r>
      <w:r>
        <w:rPr>
          <w:spacing w:val="-2"/>
        </w:rPr>
        <w:t>for</w:t>
      </w:r>
      <w:r w:rsidRPr="00375612">
        <w:rPr>
          <w:spacing w:val="-2"/>
        </w:rPr>
        <w:t xml:space="preserve"> workers, employers and the economy more broadly. On the other</w:t>
      </w:r>
      <w:r>
        <w:rPr>
          <w:spacing w:val="-2"/>
        </w:rPr>
        <w:t xml:space="preserve"> hand</w:t>
      </w:r>
      <w:r w:rsidRPr="00375612">
        <w:rPr>
          <w:spacing w:val="-2"/>
        </w:rPr>
        <w:t xml:space="preserve">, </w:t>
      </w:r>
      <w:r>
        <w:rPr>
          <w:spacing w:val="-2"/>
        </w:rPr>
        <w:t>more flexible FOWs</w:t>
      </w:r>
      <w:r w:rsidRPr="00375612">
        <w:rPr>
          <w:spacing w:val="-2"/>
        </w:rPr>
        <w:t xml:space="preserve"> work </w:t>
      </w:r>
      <w:r>
        <w:rPr>
          <w:spacing w:val="-2"/>
        </w:rPr>
        <w:t>have</w:t>
      </w:r>
      <w:r w:rsidRPr="00375612">
        <w:rPr>
          <w:spacing w:val="-2"/>
        </w:rPr>
        <w:t xml:space="preserve"> been criticised for </w:t>
      </w:r>
      <w:r>
        <w:rPr>
          <w:spacing w:val="-2"/>
        </w:rPr>
        <w:t>their</w:t>
      </w:r>
      <w:r w:rsidR="009441CE">
        <w:rPr>
          <w:spacing w:val="-2"/>
        </w:rPr>
        <w:t xml:space="preserve"> </w:t>
      </w:r>
      <w:r w:rsidR="00177DDF">
        <w:rPr>
          <w:spacing w:val="-2"/>
        </w:rPr>
        <w:t xml:space="preserve">potentially </w:t>
      </w:r>
      <w:r w:rsidR="006700DB">
        <w:rPr>
          <w:spacing w:val="-2"/>
        </w:rPr>
        <w:t>adverse</w:t>
      </w:r>
      <w:r w:rsidRPr="00375612">
        <w:rPr>
          <w:spacing w:val="-2"/>
        </w:rPr>
        <w:t xml:space="preserve"> effects on workers, their families and the community</w:t>
      </w:r>
      <w:r>
        <w:rPr>
          <w:spacing w:val="-2"/>
        </w:rPr>
        <w:t xml:space="preserve"> — for example, in a recent inquiry commissioned by the Australian Council </w:t>
      </w:r>
      <w:r w:rsidRPr="00C1158C">
        <w:t>of Trade Unions (box</w:t>
      </w:r>
      <w:r>
        <w:t xml:space="preserve"> 1.1).</w:t>
      </w:r>
    </w:p>
    <w:p w:rsidR="009D754C" w:rsidRPr="00591F0F" w:rsidRDefault="009D754C" w:rsidP="009D754C">
      <w:pPr>
        <w:pStyle w:val="BodyText"/>
        <w:rPr>
          <w:spacing w:val="-2"/>
        </w:rPr>
      </w:pPr>
      <w:r w:rsidRPr="00591F0F">
        <w:rPr>
          <w:spacing w:val="-2"/>
        </w:rPr>
        <w:t xml:space="preserve">Proponents of more flexible </w:t>
      </w:r>
      <w:proofErr w:type="spellStart"/>
      <w:r w:rsidR="006700DB">
        <w:rPr>
          <w:spacing w:val="-2"/>
        </w:rPr>
        <w:t>FOWs</w:t>
      </w:r>
      <w:proofErr w:type="spellEnd"/>
      <w:r w:rsidRPr="00591F0F">
        <w:rPr>
          <w:spacing w:val="-2"/>
        </w:rPr>
        <w:t xml:space="preserve"> argue that </w:t>
      </w:r>
      <w:r w:rsidR="006700DB">
        <w:rPr>
          <w:spacing w:val="-2"/>
        </w:rPr>
        <w:t>they</w:t>
      </w:r>
      <w:r w:rsidRPr="00591F0F">
        <w:rPr>
          <w:spacing w:val="-2"/>
        </w:rPr>
        <w:t xml:space="preserve"> can be used to meet varying levels of demand (Houseman 2001). For example, in the retail industry, Campbell and Chalmers (2008) note that compared to permanent part-time work, casual employment offers employers more scope to match hours with demand as casual arrangements have fewer restrictions on hours than part-time arrangements. For workers, the greater flexibility in hours associated with some FOWs (particularly casual and self</w:t>
      </w:r>
      <w:r w:rsidRPr="00591F0F">
        <w:rPr>
          <w:spacing w:val="-2"/>
        </w:rPr>
        <w:noBreakHyphen/>
        <w:t>employment) is potentially valued by people with parenting or caring duties, or those who prefer hours outside of the traditional norm</w:t>
      </w:r>
      <w:r>
        <w:rPr>
          <w:spacing w:val="-2"/>
        </w:rPr>
        <w:t xml:space="preserve"> (Buddelmeyer et al. 2006; Budig 2006)</w:t>
      </w:r>
      <w:r w:rsidRPr="00591F0F">
        <w:rPr>
          <w:spacing w:val="-2"/>
        </w:rPr>
        <w:t>.</w:t>
      </w:r>
    </w:p>
    <w:p w:rsidR="009D754C" w:rsidRDefault="009D754C">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9D754C">
        <w:tc>
          <w:tcPr>
            <w:tcW w:w="8771" w:type="dxa"/>
            <w:tcBorders>
              <w:top w:val="single" w:sz="6" w:space="0" w:color="auto"/>
              <w:bottom w:val="nil"/>
            </w:tcBorders>
          </w:tcPr>
          <w:p w:rsidR="009D754C" w:rsidRDefault="009D754C" w:rsidP="002E0FE5">
            <w:pPr>
              <w:pStyle w:val="BoxTitle"/>
            </w:pPr>
            <w:r>
              <w:rPr>
                <w:b w:val="0"/>
              </w:rPr>
              <w:t xml:space="preserve">Box </w:t>
            </w:r>
            <w:r>
              <w:rPr>
                <w:b w:val="0"/>
              </w:rPr>
              <w:fldChar w:fldCharType="begin"/>
            </w:r>
            <w:r>
              <w:rPr>
                <w:b w:val="0"/>
              </w:rPr>
              <w:instrText xml:space="preserve"> COMMENTS  \* MERGEFORMAT </w:instrText>
            </w:r>
            <w:r>
              <w:rPr>
                <w:b w:val="0"/>
              </w:rPr>
              <w:fldChar w:fldCharType="separate"/>
            </w:r>
            <w:r>
              <w:rPr>
                <w:b w:val="0"/>
              </w:rPr>
              <w:t>1.</w:t>
            </w:r>
            <w:r>
              <w:rPr>
                <w:b w:val="0"/>
              </w:rPr>
              <w:fldChar w:fldCharType="end"/>
            </w:r>
            <w:r>
              <w:rPr>
                <w:b w:val="0"/>
              </w:rPr>
              <w:fldChar w:fldCharType="begin"/>
            </w:r>
            <w:r>
              <w:rPr>
                <w:b w:val="0"/>
              </w:rPr>
              <w:instrText xml:space="preserve"> SEQ Box \* ARABIC </w:instrText>
            </w:r>
            <w:r>
              <w:rPr>
                <w:b w:val="0"/>
              </w:rPr>
              <w:fldChar w:fldCharType="separate"/>
            </w:r>
            <w:r w:rsidR="00240643">
              <w:rPr>
                <w:b w:val="0"/>
                <w:noProof/>
              </w:rPr>
              <w:t>1</w:t>
            </w:r>
            <w:r>
              <w:rPr>
                <w:b w:val="0"/>
              </w:rPr>
              <w:fldChar w:fldCharType="end"/>
            </w:r>
            <w:r>
              <w:tab/>
              <w:t xml:space="preserve">Recent views on the </w:t>
            </w:r>
            <w:r w:rsidR="002E0FE5">
              <w:t xml:space="preserve">pros and cons </w:t>
            </w:r>
            <w:r>
              <w:t>of different forms of work</w:t>
            </w:r>
          </w:p>
        </w:tc>
      </w:tr>
      <w:tr w:rsidR="009D754C">
        <w:trPr>
          <w:cantSplit/>
        </w:trPr>
        <w:tc>
          <w:tcPr>
            <w:tcW w:w="8771" w:type="dxa"/>
            <w:tcBorders>
              <w:top w:val="nil"/>
              <w:left w:val="single" w:sz="6" w:space="0" w:color="auto"/>
              <w:bottom w:val="nil"/>
              <w:right w:val="single" w:sz="6" w:space="0" w:color="auto"/>
            </w:tcBorders>
          </w:tcPr>
          <w:p w:rsidR="009D754C" w:rsidRPr="003F5664" w:rsidRDefault="009D754C" w:rsidP="009D754C">
            <w:pPr>
              <w:pStyle w:val="Box"/>
              <w:rPr>
                <w:spacing w:val="-2"/>
              </w:rPr>
            </w:pPr>
            <w:r w:rsidRPr="003F5664">
              <w:rPr>
                <w:spacing w:val="-2"/>
              </w:rPr>
              <w:t xml:space="preserve">The Australian Council of Trade Unions (ACTU) commissioned an inquiry to investigate the extent of what it terms ‘insecure work’ in Australia and its impact on workers, their families and the community. The </w:t>
            </w:r>
            <w:r w:rsidR="002E0FE5">
              <w:rPr>
                <w:spacing w:val="-2"/>
              </w:rPr>
              <w:t xml:space="preserve">resulting </w:t>
            </w:r>
            <w:r w:rsidRPr="003F5664">
              <w:rPr>
                <w:spacing w:val="-2"/>
              </w:rPr>
              <w:t xml:space="preserve">report, </w:t>
            </w:r>
            <w:r w:rsidR="002625D7">
              <w:rPr>
                <w:i/>
                <w:spacing w:val="-2"/>
              </w:rPr>
              <w:t>Lives on Hold: U</w:t>
            </w:r>
            <w:bookmarkStart w:id="3" w:name="_GoBack"/>
            <w:bookmarkEnd w:id="3"/>
            <w:r w:rsidRPr="003F5664">
              <w:rPr>
                <w:i/>
                <w:spacing w:val="-2"/>
              </w:rPr>
              <w:t>nlocking the potential of Australia’s workforce</w:t>
            </w:r>
            <w:r w:rsidRPr="003F5664">
              <w:rPr>
                <w:spacing w:val="-2"/>
              </w:rPr>
              <w:t xml:space="preserve"> (Howe et al. 2012)</w:t>
            </w:r>
            <w:r w:rsidR="002E0FE5">
              <w:rPr>
                <w:spacing w:val="-2"/>
              </w:rPr>
              <w:t xml:space="preserve"> described insecure work arrangements as those including</w:t>
            </w:r>
            <w:r w:rsidRPr="003F5664">
              <w:rPr>
                <w:spacing w:val="-2"/>
              </w:rPr>
              <w:t>:</w:t>
            </w:r>
          </w:p>
          <w:p w:rsidR="009D754C" w:rsidRDefault="009D754C" w:rsidP="009D754C">
            <w:pPr>
              <w:pStyle w:val="BoxQuote"/>
            </w:pPr>
            <w:r>
              <w:t>… unpredictable and fluctuating pay; inferior rights and entitlements; limited or no access to paid leave; irregular and unpredictable working hours; a lack of security and/or uncertainty over the length of the job; and a lack of any say at work over wages, conditions and work organisation. (Howe et al. 2012, p. 14)</w:t>
            </w:r>
          </w:p>
          <w:p w:rsidR="009D754C" w:rsidRDefault="009D754C" w:rsidP="009D754C">
            <w:pPr>
              <w:pStyle w:val="Box"/>
            </w:pPr>
            <w:r>
              <w:t xml:space="preserve">The authors </w:t>
            </w:r>
            <w:r w:rsidR="000A302F">
              <w:t xml:space="preserve">observed </w:t>
            </w:r>
            <w:r>
              <w:t>that these characteristics:</w:t>
            </w:r>
          </w:p>
          <w:p w:rsidR="009D754C" w:rsidRDefault="009D754C" w:rsidP="009D754C">
            <w:pPr>
              <w:pStyle w:val="BoxQuote"/>
            </w:pPr>
            <w:r>
              <w:t>… are most often associated with non-permanent forms of employment like casual work, fixed-term contracts, independent contracting and labour hire — all of which are growing. (Howe et al. 2012, p. 14)</w:t>
            </w:r>
          </w:p>
          <w:p w:rsidR="001961F6" w:rsidRDefault="001961F6" w:rsidP="009D754C">
            <w:pPr>
              <w:pStyle w:val="Box"/>
            </w:pPr>
            <w:r>
              <w:t>Forty per cent of Australian workers were deemed to be in insecure employment —</w:t>
            </w:r>
            <w:r w:rsidR="0053248D">
              <w:t xml:space="preserve"> equating to</w:t>
            </w:r>
            <w:r>
              <w:t xml:space="preserve"> all workers not in permanent employee roles</w:t>
            </w:r>
            <w:r w:rsidR="002E0FE5">
              <w:t>,</w:t>
            </w:r>
            <w:r w:rsidR="000A302F">
              <w:t xml:space="preserve"> such as independent c</w:t>
            </w:r>
            <w:r w:rsidR="00D27E92">
              <w:t>ontractors, other business operators and casual employees</w:t>
            </w:r>
            <w:r>
              <w:t>.</w:t>
            </w:r>
          </w:p>
          <w:p w:rsidR="009D754C" w:rsidRPr="00327F75" w:rsidRDefault="009D754C" w:rsidP="009D754C">
            <w:pPr>
              <w:pStyle w:val="Box"/>
            </w:pPr>
            <w:r>
              <w:t xml:space="preserve">The ACTU has also highlighted </w:t>
            </w:r>
            <w:r w:rsidR="002E0FE5">
              <w:t xml:space="preserve">other </w:t>
            </w:r>
            <w:r>
              <w:t xml:space="preserve">concerns </w:t>
            </w:r>
            <w:r w:rsidR="002E0FE5">
              <w:t>about these forms of work</w:t>
            </w:r>
            <w:r>
              <w:t>:</w:t>
            </w:r>
          </w:p>
          <w:p w:rsidR="009D754C" w:rsidRDefault="009D754C" w:rsidP="009D754C">
            <w:pPr>
              <w:pStyle w:val="BoxQuote"/>
            </w:pPr>
            <w:r w:rsidRPr="00CA6FAB">
              <w:t>Evidence also suggests that many workers in insecure work, such as those engaged in casual employment and labour hire workers, are less likely to have access to skill and career development opportunities and are at greater risk of occu</w:t>
            </w:r>
            <w:r>
              <w:t>pational injuries and illnesses. (ACTU 2011, p. 11.)</w:t>
            </w:r>
          </w:p>
          <w:p w:rsidR="009D754C" w:rsidRDefault="009D754C" w:rsidP="009D754C">
            <w:pPr>
              <w:pStyle w:val="Box"/>
            </w:pPr>
            <w:r>
              <w:t>The</w:t>
            </w:r>
            <w:r w:rsidR="00694E09">
              <w:t xml:space="preserve"> Australian Industry Group</w:t>
            </w:r>
            <w:r>
              <w:t xml:space="preserve"> (Willox 2012) has </w:t>
            </w:r>
            <w:r w:rsidR="00177DDF">
              <w:t xml:space="preserve">countered </w:t>
            </w:r>
            <w:r w:rsidR="004C7A21">
              <w:t xml:space="preserve">that the prevalence of </w:t>
            </w:r>
            <w:r>
              <w:t xml:space="preserve">casual work is </w:t>
            </w:r>
            <w:r w:rsidR="004C7A21">
              <w:t>not growing, noting</w:t>
            </w:r>
            <w:r>
              <w:t xml:space="preserve"> that many casuals do not choose to convert to permanent employment, even though numerous industrial awards since 2000 have permitted this:</w:t>
            </w:r>
          </w:p>
          <w:p w:rsidR="009D754C" w:rsidRDefault="009D754C" w:rsidP="00F30B6D">
            <w:pPr>
              <w:pStyle w:val="BoxQuote"/>
            </w:pPr>
            <w:r>
              <w:t>… employers report that whenever they give employees the option to convert to permanent employment, almost none (less than 1 per cent) want to. Casuals do not want to lose their flexibility or their casual loading.</w:t>
            </w:r>
          </w:p>
        </w:tc>
      </w:tr>
      <w:tr w:rsidR="009D754C">
        <w:trPr>
          <w:cantSplit/>
        </w:trPr>
        <w:tc>
          <w:tcPr>
            <w:tcW w:w="8771" w:type="dxa"/>
            <w:tcBorders>
              <w:top w:val="nil"/>
              <w:left w:val="single" w:sz="6" w:space="0" w:color="auto"/>
              <w:bottom w:val="single" w:sz="6" w:space="0" w:color="auto"/>
              <w:right w:val="single" w:sz="6" w:space="0" w:color="auto"/>
            </w:tcBorders>
          </w:tcPr>
          <w:p w:rsidR="009D754C" w:rsidRDefault="009D754C">
            <w:pPr>
              <w:pStyle w:val="Box"/>
              <w:spacing w:before="0" w:line="120" w:lineRule="exact"/>
            </w:pPr>
          </w:p>
        </w:tc>
      </w:tr>
      <w:tr w:rsidR="009D754C" w:rsidRPr="000863A5">
        <w:tc>
          <w:tcPr>
            <w:tcW w:w="8771" w:type="dxa"/>
            <w:tcBorders>
              <w:top w:val="nil"/>
              <w:left w:val="nil"/>
              <w:bottom w:val="nil"/>
              <w:right w:val="nil"/>
            </w:tcBorders>
          </w:tcPr>
          <w:p w:rsidR="009D754C" w:rsidRPr="00626D32" w:rsidRDefault="009D754C" w:rsidP="00177DDF">
            <w:pPr>
              <w:pStyle w:val="BoxSpaceBelow"/>
            </w:pPr>
          </w:p>
        </w:tc>
      </w:tr>
    </w:tbl>
    <w:p w:rsidR="009D754C" w:rsidRDefault="009D754C" w:rsidP="009D754C">
      <w:pPr>
        <w:pStyle w:val="BodyText"/>
        <w:rPr>
          <w:spacing w:val="-2"/>
        </w:rPr>
      </w:pPr>
      <w:r w:rsidRPr="005642DA">
        <w:rPr>
          <w:spacing w:val="-2"/>
        </w:rPr>
        <w:t>Critics point to a range of negative consequences of some FOWs, including for workers’ health, access to training and job satisfaction</w:t>
      </w:r>
      <w:r>
        <w:rPr>
          <w:spacing w:val="-2"/>
        </w:rPr>
        <w:t xml:space="preserve">. </w:t>
      </w:r>
      <w:r w:rsidR="006700DB">
        <w:rPr>
          <w:spacing w:val="-2"/>
        </w:rPr>
        <w:t>However, t</w:t>
      </w:r>
      <w:r>
        <w:rPr>
          <w:spacing w:val="-2"/>
        </w:rPr>
        <w:t>he empirical evidence on some of these consequence</w:t>
      </w:r>
      <w:r w:rsidR="004C7A21">
        <w:rPr>
          <w:spacing w:val="-2"/>
        </w:rPr>
        <w:t>s</w:t>
      </w:r>
      <w:r w:rsidR="00177DDF">
        <w:rPr>
          <w:spacing w:val="-2"/>
        </w:rPr>
        <w:t xml:space="preserve"> </w:t>
      </w:r>
      <w:r>
        <w:rPr>
          <w:spacing w:val="-2"/>
        </w:rPr>
        <w:t>is mixed</w:t>
      </w:r>
      <w:r w:rsidR="00177DDF">
        <w:rPr>
          <w:spacing w:val="-2"/>
        </w:rPr>
        <w:t>:</w:t>
      </w:r>
    </w:p>
    <w:p w:rsidR="009D754C" w:rsidRDefault="009D754C" w:rsidP="00D27E92">
      <w:pPr>
        <w:pStyle w:val="ListBullet"/>
      </w:pPr>
      <w:r w:rsidRPr="005642DA">
        <w:t>In a review of the literature examining health and FOWs, Virtanen et al. (2005) found an association between temporary employment and psychological morbidity, but noted that more evidence was needed to explain that association. Mor</w:t>
      </w:r>
      <w:r w:rsidR="006700DB">
        <w:t>e recently, however, Richardson, Lester and Zhang</w:t>
      </w:r>
      <w:r w:rsidRPr="005642DA">
        <w:t> (2012) found no evidence of negative mental health consequences for casual and contract employees in Australia.</w:t>
      </w:r>
    </w:p>
    <w:p w:rsidR="009D754C" w:rsidRDefault="009D754C" w:rsidP="00D27E92">
      <w:pPr>
        <w:pStyle w:val="ListBullet"/>
      </w:pPr>
      <w:r>
        <w:lastRenderedPageBreak/>
        <w:t>With regard to training opportunities, Richardson and Law (2009) found that casuals were less likely to undertake employment</w:t>
      </w:r>
      <w:r>
        <w:noBreakHyphen/>
        <w:t>based training, and received fewer hours of instruction when they did train, than permanent employees.</w:t>
      </w:r>
      <w:r>
        <w:rPr>
          <w:rStyle w:val="FootnoteReference"/>
        </w:rPr>
        <w:footnoteReference w:id="4"/>
      </w:r>
    </w:p>
    <w:p w:rsidR="009D754C" w:rsidRPr="00B73745" w:rsidRDefault="00DA4F45" w:rsidP="00D27E92">
      <w:pPr>
        <w:pStyle w:val="ListBullet"/>
      </w:pPr>
      <w:r>
        <w:t>S</w:t>
      </w:r>
      <w:r w:rsidR="009D754C">
        <w:t>ome studies of the relationship betwe</w:t>
      </w:r>
      <w:r>
        <w:t>en FOWs and job satisfaction have found that job satisfaction i</w:t>
      </w:r>
      <w:r w:rsidR="009D754C">
        <w:t>s lower for more flexible FOWs than for permanent employees. Other</w:t>
      </w:r>
      <w:r>
        <w:t>s</w:t>
      </w:r>
      <w:r w:rsidR="009D754C">
        <w:t xml:space="preserve"> </w:t>
      </w:r>
      <w:r>
        <w:t xml:space="preserve">have </w:t>
      </w:r>
      <w:r w:rsidR="009D754C">
        <w:t>reach</w:t>
      </w:r>
      <w:r>
        <w:t>ed</w:t>
      </w:r>
      <w:r w:rsidR="009D754C">
        <w:t xml:space="preserve"> the opposite conclusion. </w:t>
      </w:r>
      <w:r>
        <w:t>A recent</w:t>
      </w:r>
      <w:r w:rsidR="009D754C" w:rsidRPr="00B73745">
        <w:t xml:space="preserve"> meta-analysis of 72 studies</w:t>
      </w:r>
      <w:r>
        <w:t xml:space="preserve"> (Wilkin </w:t>
      </w:r>
      <w:r w:rsidRPr="00B73745">
        <w:t>2013)</w:t>
      </w:r>
      <w:r w:rsidR="009D754C" w:rsidRPr="00B73745">
        <w:t>, concluded that self</w:t>
      </w:r>
      <w:r w:rsidR="009D754C" w:rsidRPr="00B73745">
        <w:noBreakHyphen/>
        <w:t xml:space="preserve">employed contractors </w:t>
      </w:r>
      <w:r w:rsidR="009D754C">
        <w:t>and</w:t>
      </w:r>
      <w:r w:rsidR="009D754C" w:rsidRPr="00B73745">
        <w:t xml:space="preserve"> permanent employees</w:t>
      </w:r>
      <w:r w:rsidR="009D754C">
        <w:t xml:space="preserve"> had similar levels of job satisfaction</w:t>
      </w:r>
      <w:r w:rsidR="009D754C" w:rsidRPr="00B73745">
        <w:t>. Workers in temporary positions (for example, casual and labour hire workers), however, were slightly less satisfied than permanent employees.</w:t>
      </w:r>
    </w:p>
    <w:p w:rsidR="009D754C" w:rsidRPr="00FD4896" w:rsidRDefault="009D754C">
      <w:pPr>
        <w:pStyle w:val="BodyText"/>
        <w:rPr>
          <w:spacing w:val="-2"/>
        </w:rPr>
      </w:pPr>
      <w:r w:rsidRPr="00FD4896">
        <w:rPr>
          <w:spacing w:val="-2"/>
        </w:rPr>
        <w:t>Researchers have also come to differing conclusions about the extent to which casual work can act as a stepping stone to a permanent employee role. For example, Buddelmeyer and Wooden (2011) found</w:t>
      </w:r>
      <w:r w:rsidR="006700DB">
        <w:rPr>
          <w:spacing w:val="-2"/>
        </w:rPr>
        <w:t xml:space="preserve"> that, for men, </w:t>
      </w:r>
      <w:r w:rsidRPr="00FD4896">
        <w:rPr>
          <w:spacing w:val="-2"/>
        </w:rPr>
        <w:t xml:space="preserve">casuals were more likely to move into </w:t>
      </w:r>
      <w:r w:rsidR="006700DB">
        <w:rPr>
          <w:spacing w:val="-2"/>
        </w:rPr>
        <w:t xml:space="preserve">non-casual employment than were the </w:t>
      </w:r>
      <w:r w:rsidRPr="00FD4896">
        <w:rPr>
          <w:spacing w:val="-2"/>
        </w:rPr>
        <w:t xml:space="preserve">unemployed. </w:t>
      </w:r>
      <w:r w:rsidR="000A302F" w:rsidRPr="00FD4896">
        <w:rPr>
          <w:spacing w:val="-2"/>
        </w:rPr>
        <w:t>In contrast, w</w:t>
      </w:r>
      <w:r w:rsidRPr="00FD4896">
        <w:rPr>
          <w:spacing w:val="-2"/>
        </w:rPr>
        <w:t xml:space="preserve">omen </w:t>
      </w:r>
      <w:r w:rsidR="00FD4896" w:rsidRPr="00FD4896">
        <w:rPr>
          <w:spacing w:val="-2"/>
        </w:rPr>
        <w:t>were slightly more likely to move to a permanent employee role from unemployment than from casual employment</w:t>
      </w:r>
      <w:r w:rsidRPr="00FD4896">
        <w:rPr>
          <w:spacing w:val="-2"/>
        </w:rPr>
        <w:t>. Chalmers and Waddoups (2007) found that about 40 per cent of workers who were casual employees in 2001 remained in this FOW for at least four years, but that 50 per cent of people who entered casual employment in 2002 became permanent employees within a few years. Watson (2013) concluded that the likelihood of a worker transitioning from a casual to a permanent employee role was influenced by a number of factors including their age, years in employment and location.</w:t>
      </w:r>
    </w:p>
    <w:p w:rsidR="009D754C" w:rsidRPr="003556F0" w:rsidRDefault="00A871F3" w:rsidP="009D754C">
      <w:pPr>
        <w:pStyle w:val="BodyText"/>
      </w:pPr>
      <w:r>
        <w:t xml:space="preserve">Notwithstanding that </w:t>
      </w:r>
      <w:r w:rsidR="009D754C" w:rsidRPr="003556F0">
        <w:t xml:space="preserve">some workers who want to move from casual to permanent employment might find that transition difficult, a casual job might </w:t>
      </w:r>
      <w:r w:rsidR="009D754C">
        <w:t xml:space="preserve">be </w:t>
      </w:r>
      <w:r w:rsidR="009D754C" w:rsidRPr="003556F0">
        <w:t>preferable to unemployment. As Budd</w:t>
      </w:r>
      <w:r w:rsidR="009D754C">
        <w:t>elmeyer and Wooden (2011, p. 113) note ‘…</w:t>
      </w:r>
      <w:r w:rsidR="00D27E92">
        <w:t> </w:t>
      </w:r>
      <w:r w:rsidR="009D754C" w:rsidRPr="003556F0">
        <w:t>even seemingly pessimistic findings indicating that most temporary workers will not obtain permanent jobs is not necessarily evidence of an adverse outcome if the alternative is</w:t>
      </w:r>
      <w:r w:rsidR="009D754C">
        <w:t xml:space="preserve"> </w:t>
      </w:r>
      <w:r w:rsidR="009D754C" w:rsidRPr="003556F0">
        <w:t>unemployment</w:t>
      </w:r>
      <w:r w:rsidR="009D754C">
        <w:t>’</w:t>
      </w:r>
      <w:r w:rsidR="009D754C" w:rsidRPr="003556F0">
        <w:t>.</w:t>
      </w:r>
    </w:p>
    <w:p w:rsidR="009D754C" w:rsidRDefault="006700DB" w:rsidP="009D754C">
      <w:pPr>
        <w:pStyle w:val="BodyText"/>
      </w:pPr>
      <w:r>
        <w:t>There is also a debate related to the self-employed that focuses on</w:t>
      </w:r>
      <w:r w:rsidR="009D754C">
        <w:t xml:space="preserve"> the contribution of small businesses to job creation. </w:t>
      </w:r>
      <w:r w:rsidR="00775136">
        <w:t>Some r</w:t>
      </w:r>
      <w:r w:rsidR="009D754C">
        <w:t>esearch on some industrialised economies has concluded that small firms make a disproportionate</w:t>
      </w:r>
      <w:r w:rsidR="00775136">
        <w:t>ly large</w:t>
      </w:r>
      <w:r w:rsidR="009D754C">
        <w:t xml:space="preserve"> contribution to net job creat</w:t>
      </w:r>
      <w:r w:rsidR="00533119">
        <w:t xml:space="preserve">ion (for example, </w:t>
      </w:r>
      <w:proofErr w:type="spellStart"/>
      <w:r w:rsidR="00533119">
        <w:t>Neumark</w:t>
      </w:r>
      <w:proofErr w:type="spellEnd"/>
      <w:r w:rsidR="00533119">
        <w:t>, Wall and Zhang</w:t>
      </w:r>
      <w:r w:rsidR="009D754C">
        <w:t xml:space="preserve"> 2011)</w:t>
      </w:r>
      <w:r w:rsidR="002347EE">
        <w:t xml:space="preserve">, although </w:t>
      </w:r>
      <w:r w:rsidR="009D754C">
        <w:t>other</w:t>
      </w:r>
      <w:r w:rsidR="00775136">
        <w:t xml:space="preserve"> studies </w:t>
      </w:r>
      <w:r w:rsidR="002347EE">
        <w:t>have found</w:t>
      </w:r>
      <w:r w:rsidR="00775136">
        <w:t xml:space="preserve"> </w:t>
      </w:r>
      <w:r w:rsidR="00C649CB">
        <w:t>no systematic relationship between firm size and employment growth</w:t>
      </w:r>
      <w:r w:rsidR="009D754C">
        <w:t xml:space="preserve"> (for example, </w:t>
      </w:r>
      <w:proofErr w:type="spellStart"/>
      <w:r w:rsidR="009D754C">
        <w:t>Haltiwanger</w:t>
      </w:r>
      <w:proofErr w:type="spellEnd"/>
      <w:r w:rsidR="00533119">
        <w:t xml:space="preserve">, </w:t>
      </w:r>
      <w:proofErr w:type="spellStart"/>
      <w:r w:rsidR="00533119">
        <w:t>Jarmin</w:t>
      </w:r>
      <w:proofErr w:type="spellEnd"/>
      <w:r w:rsidR="00533119">
        <w:t xml:space="preserve"> and Miranda </w:t>
      </w:r>
      <w:r w:rsidR="009D754C">
        <w:t>2010).</w:t>
      </w:r>
    </w:p>
    <w:p w:rsidR="009D754C" w:rsidRDefault="001E64F7" w:rsidP="009D754C">
      <w:pPr>
        <w:pStyle w:val="Heading2"/>
      </w:pPr>
      <w:fldSimple w:instr=" COMMENTS  \* MERGEFORMAT ">
        <w:r w:rsidR="009D754C">
          <w:t>1.</w:t>
        </w:r>
      </w:fldSimple>
      <w:fldSimple w:instr=" SEQ Heading2 ">
        <w:r w:rsidR="00240643">
          <w:rPr>
            <w:noProof/>
          </w:rPr>
          <w:t>2</w:t>
        </w:r>
      </w:fldSimple>
      <w:r w:rsidR="009D754C">
        <w:tab/>
        <w:t>Forms of work analysed in this paper</w:t>
      </w:r>
    </w:p>
    <w:p w:rsidR="009D754C" w:rsidRDefault="009D754C" w:rsidP="009D754C">
      <w:pPr>
        <w:pStyle w:val="BodyText"/>
      </w:pPr>
      <w:r>
        <w:t>A number of FOWs are analysed in this paper (figure 1.1). Definitions of these FOWs are presented in table 1.1.</w:t>
      </w:r>
    </w:p>
    <w:p w:rsidR="009D754C" w:rsidRDefault="009D754C">
      <w:pPr>
        <w:pStyle w:val="FigureTitle"/>
      </w:pPr>
      <w:r>
        <w:rPr>
          <w:b w:val="0"/>
        </w:rPr>
        <w:t xml:space="preserve">Figure </w:t>
      </w:r>
      <w:r>
        <w:rPr>
          <w:b w:val="0"/>
        </w:rPr>
        <w:fldChar w:fldCharType="begin"/>
      </w:r>
      <w:r>
        <w:rPr>
          <w:b w:val="0"/>
        </w:rPr>
        <w:instrText xml:space="preserve"> COMMENTS  \* MERGEFORMAT </w:instrText>
      </w:r>
      <w:r>
        <w:rPr>
          <w:b w:val="0"/>
        </w:rPr>
        <w:fldChar w:fldCharType="separate"/>
      </w:r>
      <w:r>
        <w:rPr>
          <w:b w:val="0"/>
        </w:rPr>
        <w:t>1.</w:t>
      </w:r>
      <w:r>
        <w:rPr>
          <w:b w:val="0"/>
        </w:rPr>
        <w:fldChar w:fldCharType="end"/>
      </w:r>
      <w:r>
        <w:rPr>
          <w:b w:val="0"/>
        </w:rPr>
        <w:fldChar w:fldCharType="begin"/>
      </w:r>
      <w:r>
        <w:rPr>
          <w:b w:val="0"/>
        </w:rPr>
        <w:instrText xml:space="preserve"> SEQ Figure \* ARABIC </w:instrText>
      </w:r>
      <w:r>
        <w:rPr>
          <w:b w:val="0"/>
        </w:rPr>
        <w:fldChar w:fldCharType="separate"/>
      </w:r>
      <w:r w:rsidR="00240643">
        <w:rPr>
          <w:b w:val="0"/>
          <w:noProof/>
        </w:rPr>
        <w:t>1</w:t>
      </w:r>
      <w:r>
        <w:rPr>
          <w:b w:val="0"/>
        </w:rPr>
        <w:fldChar w:fldCharType="end"/>
      </w:r>
      <w:r>
        <w:tab/>
        <w:t>Forms of work analysed in this paper</w:t>
      </w:r>
      <w:r w:rsidR="00A30824" w:rsidRPr="00A30824">
        <w:rPr>
          <w:rStyle w:val="NoteLabel"/>
          <w:b/>
        </w:rPr>
        <w:t>a</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9D754C">
        <w:tc>
          <w:tcPr>
            <w:tcW w:w="8777" w:type="dxa"/>
          </w:tcPr>
          <w:p w:rsidR="009D754C" w:rsidRDefault="009D754C">
            <w:pPr>
              <w:pStyle w:val="Figure"/>
            </w:pPr>
            <w:r>
              <w:object w:dxaOrig="10006" w:dyaOrig="6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pt;height:266.25pt" o:ole="">
                  <v:imagedata r:id="rId9" o:title=""/>
                </v:shape>
                <o:OLEObject Type="Embed" ProgID="Visio.Drawing.11" ShapeID="_x0000_i1025" DrawAspect="Content" ObjectID="_1427117878" r:id="rId10"/>
              </w:object>
            </w:r>
          </w:p>
        </w:tc>
      </w:tr>
    </w:tbl>
    <w:p w:rsidR="00A30824" w:rsidRPr="00A30824" w:rsidRDefault="00A30824" w:rsidP="00A30824">
      <w:pPr>
        <w:pStyle w:val="Note"/>
      </w:pPr>
      <w:r w:rsidRPr="00A30824">
        <w:rPr>
          <w:rStyle w:val="NoteLabel"/>
        </w:rPr>
        <w:t>a</w:t>
      </w:r>
      <w:r w:rsidRPr="00A30824">
        <w:t xml:space="preserve"> </w:t>
      </w:r>
      <w:r>
        <w:t xml:space="preserve">All FOWs </w:t>
      </w:r>
      <w:r w:rsidR="002347EE">
        <w:t xml:space="preserve">in the figure </w:t>
      </w:r>
      <w:r>
        <w:t>include both people who work on a full</w:t>
      </w:r>
      <w:r>
        <w:noBreakHyphen/>
        <w:t>time and a part</w:t>
      </w:r>
      <w:r>
        <w:noBreakHyphen/>
        <w:t>time basis.</w:t>
      </w:r>
    </w:p>
    <w:p w:rsidR="001961F6" w:rsidRPr="00916565" w:rsidRDefault="001961F6" w:rsidP="001961F6">
      <w:pPr>
        <w:pStyle w:val="BodyText"/>
      </w:pPr>
      <w:r w:rsidRPr="00916565">
        <w:t>The workforce is defined to include people who work as employees in someone else’s business and the self-employed. Labour hire workers can either be employees (typically on a casual or fixed-term basis) or self</w:t>
      </w:r>
      <w:r w:rsidRPr="00916565">
        <w:noBreakHyphen/>
        <w:t>employed (</w:t>
      </w:r>
      <w:r>
        <w:t xml:space="preserve">as </w:t>
      </w:r>
      <w:r w:rsidRPr="00916565">
        <w:t>independent contractors).</w:t>
      </w:r>
    </w:p>
    <w:p w:rsidR="009D754C" w:rsidRPr="00E510FF" w:rsidRDefault="009D754C" w:rsidP="009D754C">
      <w:pPr>
        <w:pStyle w:val="BodyText"/>
        <w:rPr>
          <w:spacing w:val="-2"/>
        </w:rPr>
      </w:pPr>
      <w:r w:rsidRPr="00E510FF">
        <w:rPr>
          <w:spacing w:val="-2"/>
        </w:rPr>
        <w:t>Characteristics of available data sets led to the use of two different classifications of the self</w:t>
      </w:r>
      <w:r w:rsidRPr="00E510FF">
        <w:rPr>
          <w:spacing w:val="-2"/>
        </w:rPr>
        <w:noBreakHyphen/>
        <w:t>employed. Data on independent contractors and other business operators are available only from 2008 onwards. Much longer time</w:t>
      </w:r>
      <w:r w:rsidR="00992E28">
        <w:rPr>
          <w:spacing w:val="-2"/>
        </w:rPr>
        <w:t xml:space="preserve"> series are available for owner </w:t>
      </w:r>
      <w:r w:rsidRPr="00E510FF">
        <w:rPr>
          <w:spacing w:val="-2"/>
        </w:rPr>
        <w:t xml:space="preserve">managers of incorporated and </w:t>
      </w:r>
      <w:r w:rsidR="00694E09">
        <w:rPr>
          <w:spacing w:val="-2"/>
        </w:rPr>
        <w:t xml:space="preserve">of </w:t>
      </w:r>
      <w:r w:rsidRPr="00E510FF">
        <w:rPr>
          <w:spacing w:val="-2"/>
        </w:rPr>
        <w:t>unincorporated enterprises (OMIEs and OMUEs, respectively). In 2011, just over one</w:t>
      </w:r>
      <w:r w:rsidRPr="00E510FF">
        <w:rPr>
          <w:spacing w:val="-2"/>
        </w:rPr>
        <w:noBreakHyphen/>
        <w:t xml:space="preserve">third of OMIEs and about 60 per cent of OMUEs were independent contractors. </w:t>
      </w:r>
      <w:r>
        <w:rPr>
          <w:spacing w:val="-2"/>
        </w:rPr>
        <w:t>Conversely, a</w:t>
      </w:r>
      <w:r w:rsidRPr="00E510FF">
        <w:rPr>
          <w:spacing w:val="-2"/>
        </w:rPr>
        <w:t>bout two</w:t>
      </w:r>
      <w:r w:rsidRPr="00E510FF">
        <w:rPr>
          <w:spacing w:val="-2"/>
        </w:rPr>
        <w:noBreakHyphen/>
        <w:t>thirds of OMIEs and 40 per cent of OMUEs</w:t>
      </w:r>
      <w:r>
        <w:rPr>
          <w:spacing w:val="-2"/>
        </w:rPr>
        <w:t xml:space="preserve"> </w:t>
      </w:r>
      <w:r w:rsidRPr="00E510FF">
        <w:rPr>
          <w:spacing w:val="-2"/>
        </w:rPr>
        <w:t>were other business operators (table </w:t>
      </w:r>
      <w:proofErr w:type="spellStart"/>
      <w:r w:rsidRPr="00E510FF">
        <w:rPr>
          <w:spacing w:val="-2"/>
        </w:rPr>
        <w:t>C.1</w:t>
      </w:r>
      <w:proofErr w:type="spellEnd"/>
      <w:r w:rsidRPr="00E510FF">
        <w:rPr>
          <w:spacing w:val="-2"/>
        </w:rPr>
        <w:t>).</w:t>
      </w:r>
    </w:p>
    <w:p w:rsidR="009D754C" w:rsidRPr="00A46ACF" w:rsidRDefault="00533119" w:rsidP="009D754C">
      <w:pPr>
        <w:pStyle w:val="BodyText"/>
      </w:pPr>
      <w:r w:rsidRPr="00A46ACF">
        <w:t xml:space="preserve">Information about </w:t>
      </w:r>
      <w:proofErr w:type="spellStart"/>
      <w:r>
        <w:t>OMIEs</w:t>
      </w:r>
      <w:proofErr w:type="spellEnd"/>
      <w:r>
        <w:t xml:space="preserve"> and </w:t>
      </w:r>
      <w:proofErr w:type="spellStart"/>
      <w:r>
        <w:t>OMUEs</w:t>
      </w:r>
      <w:proofErr w:type="spellEnd"/>
      <w:r w:rsidRPr="00A46ACF">
        <w:t xml:space="preserve"> provides insight into small business employment.</w:t>
      </w:r>
      <w:r>
        <w:t xml:space="preserve"> </w:t>
      </w:r>
      <w:r w:rsidR="009D754C" w:rsidRPr="00A46ACF">
        <w:t xml:space="preserve">In 2008, just over </w:t>
      </w:r>
      <w:r>
        <w:t>75 per cent</w:t>
      </w:r>
      <w:r w:rsidR="009D754C" w:rsidRPr="00A46ACF">
        <w:t xml:space="preserve"> of </w:t>
      </w:r>
      <w:proofErr w:type="spellStart"/>
      <w:r w:rsidR="009D754C" w:rsidRPr="00A46ACF">
        <w:t>OMUEs</w:t>
      </w:r>
      <w:proofErr w:type="spellEnd"/>
      <w:r w:rsidR="009D754C" w:rsidRPr="00A46ACF">
        <w:t xml:space="preserve"> had no </w:t>
      </w:r>
      <w:r w:rsidR="00E05A87">
        <w:t>employees, and a further 20 per </w:t>
      </w:r>
      <w:r w:rsidR="009D754C" w:rsidRPr="00A46ACF">
        <w:t>cent had fewer than 10 employees. For O</w:t>
      </w:r>
      <w:r w:rsidR="00E05A87">
        <w:t xml:space="preserve">MIEs, the shares were 40 </w:t>
      </w:r>
      <w:r w:rsidR="00E05A87">
        <w:lastRenderedPageBreak/>
        <w:t>and 45 </w:t>
      </w:r>
      <w:r w:rsidR="009D754C" w:rsidRPr="00A46ACF">
        <w:t>per cent, respectively</w:t>
      </w:r>
      <w:r>
        <w:t>.</w:t>
      </w:r>
      <w:r w:rsidR="009D754C" w:rsidRPr="00A46ACF">
        <w:t xml:space="preserve"> (</w:t>
      </w:r>
      <w:r>
        <w:t>Authors’</w:t>
      </w:r>
      <w:r w:rsidR="009D754C" w:rsidRPr="00A46ACF">
        <w:t xml:space="preserve"> estimates based on unpublished data from ABS 2010). </w:t>
      </w:r>
    </w:p>
    <w:p w:rsidR="009D754C" w:rsidRDefault="009D754C">
      <w:pPr>
        <w:pStyle w:val="TableTitle"/>
      </w:pPr>
      <w:r>
        <w:rPr>
          <w:b w:val="0"/>
        </w:rPr>
        <w:t xml:space="preserve">Table </w:t>
      </w:r>
      <w:r>
        <w:rPr>
          <w:b w:val="0"/>
        </w:rPr>
        <w:fldChar w:fldCharType="begin"/>
      </w:r>
      <w:r>
        <w:rPr>
          <w:b w:val="0"/>
        </w:rPr>
        <w:instrText xml:space="preserve"> COMMENTS  \* MERGEFORMAT </w:instrText>
      </w:r>
      <w:r>
        <w:rPr>
          <w:b w:val="0"/>
        </w:rPr>
        <w:fldChar w:fldCharType="separate"/>
      </w:r>
      <w:r>
        <w:rPr>
          <w:b w:val="0"/>
        </w:rPr>
        <w:t>1.</w:t>
      </w:r>
      <w:r>
        <w:rPr>
          <w:b w:val="0"/>
        </w:rPr>
        <w:fldChar w:fldCharType="end"/>
      </w:r>
      <w:r>
        <w:rPr>
          <w:b w:val="0"/>
        </w:rPr>
        <w:fldChar w:fldCharType="begin"/>
      </w:r>
      <w:r>
        <w:rPr>
          <w:b w:val="0"/>
        </w:rPr>
        <w:instrText xml:space="preserve"> SEQ Table \* ARABIC </w:instrText>
      </w:r>
      <w:r>
        <w:rPr>
          <w:b w:val="0"/>
        </w:rPr>
        <w:fldChar w:fldCharType="separate"/>
      </w:r>
      <w:r w:rsidR="00240643">
        <w:rPr>
          <w:b w:val="0"/>
          <w:noProof/>
        </w:rPr>
        <w:t>1</w:t>
      </w:r>
      <w:r>
        <w:rPr>
          <w:b w:val="0"/>
        </w:rPr>
        <w:fldChar w:fldCharType="end"/>
      </w:r>
      <w:r>
        <w:tab/>
        <w:t>Definitions of forms of work examined in this paper</w:t>
      </w:r>
    </w:p>
    <w:tbl>
      <w:tblPr>
        <w:tblW w:w="5000" w:type="pct"/>
        <w:tblCellMar>
          <w:left w:w="0" w:type="dxa"/>
          <w:right w:w="0" w:type="dxa"/>
        </w:tblCellMar>
        <w:tblLook w:val="0000" w:firstRow="0" w:lastRow="0" w:firstColumn="0" w:lastColumn="0" w:noHBand="0" w:noVBand="0"/>
      </w:tblPr>
      <w:tblGrid>
        <w:gridCol w:w="1591"/>
        <w:gridCol w:w="6235"/>
        <w:gridCol w:w="963"/>
      </w:tblGrid>
      <w:tr w:rsidR="009D754C" w:rsidTr="00177DDF">
        <w:tc>
          <w:tcPr>
            <w:tcW w:w="905" w:type="pct"/>
            <w:tcBorders>
              <w:top w:val="single" w:sz="6" w:space="0" w:color="auto"/>
              <w:bottom w:val="single" w:sz="4" w:space="0" w:color="auto"/>
            </w:tcBorders>
            <w:shd w:val="clear" w:color="auto" w:fill="auto"/>
          </w:tcPr>
          <w:p w:rsidR="009D754C" w:rsidRDefault="009D754C" w:rsidP="00177DDF">
            <w:pPr>
              <w:pStyle w:val="TableColumnHeading"/>
              <w:jc w:val="left"/>
            </w:pPr>
            <w:r>
              <w:t>Form of work</w:t>
            </w:r>
          </w:p>
        </w:tc>
        <w:tc>
          <w:tcPr>
            <w:tcW w:w="3547" w:type="pct"/>
            <w:tcBorders>
              <w:top w:val="single" w:sz="6" w:space="0" w:color="auto"/>
              <w:bottom w:val="single" w:sz="4" w:space="0" w:color="auto"/>
            </w:tcBorders>
            <w:shd w:val="clear" w:color="auto" w:fill="auto"/>
          </w:tcPr>
          <w:p w:rsidR="009D754C" w:rsidRDefault="009D754C" w:rsidP="00177DDF">
            <w:pPr>
              <w:pStyle w:val="TableColumnHeading"/>
              <w:jc w:val="left"/>
            </w:pPr>
            <w:r>
              <w:t>Definition</w:t>
            </w:r>
          </w:p>
        </w:tc>
        <w:tc>
          <w:tcPr>
            <w:tcW w:w="548" w:type="pct"/>
            <w:tcBorders>
              <w:top w:val="single" w:sz="6" w:space="0" w:color="auto"/>
              <w:bottom w:val="single" w:sz="4" w:space="0" w:color="auto"/>
            </w:tcBorders>
          </w:tcPr>
          <w:p w:rsidR="009D754C" w:rsidRDefault="009D754C" w:rsidP="00177DDF">
            <w:pPr>
              <w:pStyle w:val="TableColumnHeading"/>
              <w:jc w:val="left"/>
            </w:pPr>
          </w:p>
        </w:tc>
      </w:tr>
      <w:tr w:rsidR="009D754C" w:rsidTr="00177DDF">
        <w:tc>
          <w:tcPr>
            <w:tcW w:w="905" w:type="pct"/>
            <w:tcBorders>
              <w:top w:val="single" w:sz="4" w:space="0" w:color="auto"/>
            </w:tcBorders>
          </w:tcPr>
          <w:p w:rsidR="009D754C" w:rsidRDefault="009D754C" w:rsidP="00533119">
            <w:pPr>
              <w:pStyle w:val="TableUnitsRow"/>
              <w:jc w:val="left"/>
            </w:pPr>
            <w:r>
              <w:t>Employees</w:t>
            </w:r>
          </w:p>
        </w:tc>
        <w:tc>
          <w:tcPr>
            <w:tcW w:w="4095" w:type="pct"/>
            <w:gridSpan w:val="2"/>
            <w:tcBorders>
              <w:top w:val="single" w:sz="4" w:space="0" w:color="auto"/>
            </w:tcBorders>
          </w:tcPr>
          <w:p w:rsidR="009D754C" w:rsidRDefault="002E39CC" w:rsidP="00360454">
            <w:pPr>
              <w:pStyle w:val="TableBodyText"/>
              <w:spacing w:before="80" w:after="80"/>
              <w:ind w:right="28"/>
              <w:jc w:val="left"/>
            </w:pPr>
            <w:r>
              <w:t>An employee</w:t>
            </w:r>
            <w:r w:rsidR="009D754C">
              <w:t xml:space="preserve"> work</w:t>
            </w:r>
            <w:r>
              <w:t>s</w:t>
            </w:r>
            <w:r w:rsidR="009D754C">
              <w:t xml:space="preserve"> under a contract </w:t>
            </w:r>
            <w:r w:rsidR="009D754C" w:rsidRPr="002D2CE6">
              <w:rPr>
                <w:i/>
              </w:rPr>
              <w:t>of</w:t>
            </w:r>
            <w:r w:rsidR="009D754C">
              <w:t xml:space="preserve"> service in </w:t>
            </w:r>
            <w:r w:rsidR="00360454">
              <w:t>someone else’s</w:t>
            </w:r>
            <w:r>
              <w:t xml:space="preserve"> business</w:t>
            </w:r>
            <w:r w:rsidR="009D754C">
              <w:t>.</w:t>
            </w:r>
          </w:p>
        </w:tc>
      </w:tr>
      <w:tr w:rsidR="009D754C" w:rsidTr="00177DDF">
        <w:tc>
          <w:tcPr>
            <w:tcW w:w="905" w:type="pct"/>
          </w:tcPr>
          <w:p w:rsidR="009D754C" w:rsidRDefault="009D754C" w:rsidP="00177DDF">
            <w:pPr>
              <w:pStyle w:val="TableBodyText"/>
              <w:ind w:left="142"/>
              <w:jc w:val="left"/>
            </w:pPr>
            <w:r>
              <w:t>Permanent employees</w:t>
            </w:r>
          </w:p>
        </w:tc>
        <w:tc>
          <w:tcPr>
            <w:tcW w:w="4095" w:type="pct"/>
            <w:gridSpan w:val="2"/>
          </w:tcPr>
          <w:p w:rsidR="009D754C" w:rsidRDefault="009D754C" w:rsidP="00177DDF">
            <w:pPr>
              <w:pStyle w:val="TableBodyText"/>
              <w:jc w:val="left"/>
              <w:rPr>
                <w:lang w:val="en"/>
              </w:rPr>
            </w:pPr>
            <w:r>
              <w:t xml:space="preserve">A permanent employee is one who is engaged to work indefinitely and is not a labour hire worker. According to the </w:t>
            </w:r>
            <w:r>
              <w:rPr>
                <w:lang w:val="en"/>
              </w:rPr>
              <w:t>Fair Work Ombudsman, a permanent employee:</w:t>
            </w:r>
          </w:p>
          <w:p w:rsidR="009D754C" w:rsidRPr="00C0692E" w:rsidRDefault="009D754C" w:rsidP="00177DDF">
            <w:pPr>
              <w:pStyle w:val="TableBullet"/>
            </w:pPr>
            <w:r>
              <w:rPr>
                <w:lang w:val="en"/>
              </w:rPr>
              <w:t>‘… is hired on a part-time or full-time basis. Permanent employees get paid leave and usually have a regular set of hours of work’ (</w:t>
            </w:r>
            <w:r w:rsidR="0027791D">
              <w:rPr>
                <w:lang w:val="en"/>
              </w:rPr>
              <w:t xml:space="preserve">FWO </w:t>
            </w:r>
            <w:r>
              <w:rPr>
                <w:lang w:val="en"/>
              </w:rPr>
              <w:t>2012</w:t>
            </w:r>
            <w:r w:rsidR="002621B2">
              <w:rPr>
                <w:lang w:val="en"/>
              </w:rPr>
              <w:t>e</w:t>
            </w:r>
            <w:r>
              <w:rPr>
                <w:lang w:val="en"/>
              </w:rPr>
              <w:t>, p. 1)</w:t>
            </w:r>
          </w:p>
          <w:p w:rsidR="009D754C" w:rsidRDefault="00E05A87" w:rsidP="00177DDF">
            <w:pPr>
              <w:pStyle w:val="TableBullet"/>
            </w:pPr>
            <w:r>
              <w:t>is</w:t>
            </w:r>
            <w:r w:rsidR="009D754C">
              <w:t xml:space="preserve"> entitled to termination and redundancy payments (</w:t>
            </w:r>
            <w:proofErr w:type="spellStart"/>
            <w:r w:rsidR="0027791D">
              <w:t>FWO</w:t>
            </w:r>
            <w:proofErr w:type="spellEnd"/>
            <w:r w:rsidR="0027791D">
              <w:t xml:space="preserve"> </w:t>
            </w:r>
            <w:r w:rsidR="009D754C">
              <w:t>2011)</w:t>
            </w:r>
          </w:p>
          <w:p w:rsidR="009D754C" w:rsidRDefault="009D754C" w:rsidP="00177DDF">
            <w:pPr>
              <w:pStyle w:val="TableBullet"/>
            </w:pPr>
            <w:r>
              <w:t xml:space="preserve">can be required to </w:t>
            </w:r>
            <w:r w:rsidR="002621B2">
              <w:t>give notice (</w:t>
            </w:r>
            <w:proofErr w:type="spellStart"/>
            <w:r w:rsidR="0027791D">
              <w:t>FWO</w:t>
            </w:r>
            <w:proofErr w:type="spellEnd"/>
            <w:r w:rsidR="0027791D">
              <w:t xml:space="preserve"> </w:t>
            </w:r>
            <w:proofErr w:type="spellStart"/>
            <w:r w:rsidR="002621B2">
              <w:t>2012d</w:t>
            </w:r>
            <w:proofErr w:type="spellEnd"/>
            <w:r>
              <w:t>).</w:t>
            </w:r>
          </w:p>
          <w:p w:rsidR="009D754C" w:rsidRDefault="002347EE" w:rsidP="00177DDF">
            <w:pPr>
              <w:pStyle w:val="TableBodyText"/>
              <w:jc w:val="left"/>
            </w:pPr>
            <w:r>
              <w:t>Although</w:t>
            </w:r>
            <w:r w:rsidR="009D754C">
              <w:t xml:space="preserve"> permanent employees are engaged to work indefinitely, they are not bonded to their employers, and are free to leave a job </w:t>
            </w:r>
            <w:r w:rsidR="000F1498">
              <w:t xml:space="preserve">at any tenure </w:t>
            </w:r>
            <w:r w:rsidR="009D754C">
              <w:t>after giving notice (if required).</w:t>
            </w:r>
          </w:p>
          <w:p w:rsidR="009D754C" w:rsidRDefault="009D754C" w:rsidP="00177DDF">
            <w:pPr>
              <w:pStyle w:val="TableBodyText"/>
              <w:jc w:val="left"/>
            </w:pPr>
            <w:r>
              <w:t>These workers are also referred to as ‘ongoing employees’.</w:t>
            </w:r>
          </w:p>
        </w:tc>
      </w:tr>
      <w:tr w:rsidR="009D754C" w:rsidTr="00177DDF">
        <w:tc>
          <w:tcPr>
            <w:tcW w:w="905" w:type="pct"/>
          </w:tcPr>
          <w:p w:rsidR="009D754C" w:rsidRDefault="009D754C" w:rsidP="00177DDF">
            <w:pPr>
              <w:pStyle w:val="TableBodyText"/>
              <w:ind w:left="142"/>
              <w:jc w:val="left"/>
            </w:pPr>
            <w:r>
              <w:t>Casual employees</w:t>
            </w:r>
          </w:p>
        </w:tc>
        <w:tc>
          <w:tcPr>
            <w:tcW w:w="4095" w:type="pct"/>
            <w:gridSpan w:val="2"/>
          </w:tcPr>
          <w:p w:rsidR="009D754C" w:rsidRDefault="009D754C" w:rsidP="00177DDF">
            <w:pPr>
              <w:pStyle w:val="TableBodyText"/>
              <w:jc w:val="left"/>
            </w:pPr>
            <w:r>
              <w:t xml:space="preserve">There is no standard definition of a casual employee, and the </w:t>
            </w:r>
            <w:r w:rsidRPr="0025338A">
              <w:rPr>
                <w:i/>
              </w:rPr>
              <w:t>Fair Work Act 2009</w:t>
            </w:r>
            <w:r>
              <w:t xml:space="preserve"> </w:t>
            </w:r>
            <w:r w:rsidR="00306BDF">
              <w:t xml:space="preserve">(Cwlth) </w:t>
            </w:r>
            <w:r>
              <w:t xml:space="preserve">does not define this FOW. Modern awards and enterprise agreements often describe casuals as employees who are engaged and paid as such. This FOW is, therefore, defined through reference to the typical working arrangements of people engaged as casuals. According to the </w:t>
            </w:r>
            <w:r w:rsidR="0027791D">
              <w:rPr>
                <w:lang w:val="en"/>
              </w:rPr>
              <w:t>Fair Work Ombudsman</w:t>
            </w:r>
            <w:r>
              <w:rPr>
                <w:lang w:val="en"/>
              </w:rPr>
              <w:t>, casual employees:</w:t>
            </w:r>
          </w:p>
          <w:p w:rsidR="009D754C" w:rsidRDefault="009D754C" w:rsidP="00177DDF">
            <w:pPr>
              <w:pStyle w:val="TableBullet"/>
              <w:rPr>
                <w:lang w:val="en"/>
              </w:rPr>
            </w:pPr>
            <w:r>
              <w:rPr>
                <w:lang w:val="en"/>
              </w:rPr>
              <w:t>‘… aren’t usually entitled to a set amount of hours of work and don’t usually accumulate paid leave. Instead, casuals are paid a higher hourly rate of pay to compensate them for not getting these entitlements. Casuals can work regular hours, but that doesn’t mean they are permanent employees’ (</w:t>
            </w:r>
            <w:r w:rsidR="0027791D">
              <w:rPr>
                <w:lang w:val="en"/>
              </w:rPr>
              <w:t xml:space="preserve">FWO </w:t>
            </w:r>
            <w:r>
              <w:rPr>
                <w:lang w:val="en"/>
              </w:rPr>
              <w:t>2012</w:t>
            </w:r>
            <w:r w:rsidR="002621B2">
              <w:rPr>
                <w:lang w:val="en"/>
              </w:rPr>
              <w:t>e</w:t>
            </w:r>
            <w:r>
              <w:rPr>
                <w:lang w:val="en"/>
              </w:rPr>
              <w:t>, p. 1)</w:t>
            </w:r>
          </w:p>
          <w:p w:rsidR="009D754C" w:rsidRDefault="009D754C" w:rsidP="00177DDF">
            <w:pPr>
              <w:pStyle w:val="TableBullet"/>
            </w:pPr>
            <w:r w:rsidRPr="00772AA5">
              <w:t>are not entitled to termination and redundancy payments</w:t>
            </w:r>
            <w:r>
              <w:t xml:space="preserve"> (</w:t>
            </w:r>
            <w:proofErr w:type="spellStart"/>
            <w:r w:rsidR="001E64F7">
              <w:t>FWO</w:t>
            </w:r>
            <w:proofErr w:type="spellEnd"/>
            <w:r w:rsidR="001E64F7">
              <w:t xml:space="preserve"> </w:t>
            </w:r>
            <w:r w:rsidRPr="00772AA5">
              <w:t>2011).</w:t>
            </w:r>
          </w:p>
          <w:p w:rsidR="009D754C" w:rsidRPr="00772AA5" w:rsidRDefault="009D754C" w:rsidP="00177DDF">
            <w:pPr>
              <w:pStyle w:val="TableBodyText"/>
              <w:jc w:val="left"/>
              <w:rPr>
                <w:spacing w:val="-2"/>
              </w:rPr>
            </w:pPr>
            <w:r w:rsidRPr="00772AA5">
              <w:rPr>
                <w:spacing w:val="-2"/>
              </w:rPr>
              <w:t>Casuals usually work in jobs ‘</w:t>
            </w:r>
            <w:r w:rsidRPr="00772AA5">
              <w:rPr>
                <w:rStyle w:val="articletemplatetext"/>
                <w:spacing w:val="-2"/>
              </w:rPr>
              <w:t>that are temporary, have irregular hours and are not guaranteed to be ongoing’ (ACTU nd, p. 1).</w:t>
            </w:r>
          </w:p>
          <w:p w:rsidR="009D754C" w:rsidRDefault="009D754C" w:rsidP="00177DDF">
            <w:pPr>
              <w:pStyle w:val="TableBodyText"/>
              <w:jc w:val="left"/>
            </w:pPr>
            <w:r>
              <w:t>In practice, some casuals have an expectation of continuing work with the same employer and a small proportion receive</w:t>
            </w:r>
            <w:r w:rsidR="004C7A21">
              <w:t>s</w:t>
            </w:r>
            <w:r>
              <w:t xml:space="preserve"> paid leave entitlements.</w:t>
            </w:r>
          </w:p>
        </w:tc>
      </w:tr>
      <w:tr w:rsidR="009D754C" w:rsidTr="00177DDF">
        <w:tc>
          <w:tcPr>
            <w:tcW w:w="905" w:type="pct"/>
            <w:tcBorders>
              <w:bottom w:val="single" w:sz="4" w:space="0" w:color="auto"/>
            </w:tcBorders>
          </w:tcPr>
          <w:p w:rsidR="009D754C" w:rsidRDefault="009D754C" w:rsidP="00177DDF">
            <w:pPr>
              <w:pStyle w:val="TableBodyText"/>
              <w:ind w:left="142"/>
              <w:jc w:val="left"/>
            </w:pPr>
            <w:r>
              <w:t>Fixed-term employees</w:t>
            </w:r>
          </w:p>
        </w:tc>
        <w:tc>
          <w:tcPr>
            <w:tcW w:w="4095" w:type="pct"/>
            <w:gridSpan w:val="2"/>
            <w:tcBorders>
              <w:bottom w:val="single" w:sz="4" w:space="0" w:color="auto"/>
            </w:tcBorders>
          </w:tcPr>
          <w:p w:rsidR="009D754C" w:rsidRPr="00772AA5" w:rsidRDefault="009D754C" w:rsidP="00C13592">
            <w:pPr>
              <w:pStyle w:val="TableBodyText"/>
              <w:jc w:val="left"/>
              <w:rPr>
                <w:spacing w:val="-2"/>
              </w:rPr>
            </w:pPr>
            <w:r>
              <w:rPr>
                <w:spacing w:val="-2"/>
              </w:rPr>
              <w:t>A f</w:t>
            </w:r>
            <w:r w:rsidRPr="00772AA5">
              <w:rPr>
                <w:spacing w:val="-2"/>
              </w:rPr>
              <w:t xml:space="preserve">ixed-term employee </w:t>
            </w:r>
            <w:r>
              <w:rPr>
                <w:spacing w:val="-2"/>
              </w:rPr>
              <w:t>is one who has a</w:t>
            </w:r>
            <w:r w:rsidRPr="00772AA5">
              <w:rPr>
                <w:spacing w:val="-2"/>
              </w:rPr>
              <w:t xml:space="preserve"> contract that specifies </w:t>
            </w:r>
            <w:r>
              <w:rPr>
                <w:spacing w:val="-2"/>
              </w:rPr>
              <w:t>that his or her</w:t>
            </w:r>
            <w:r w:rsidRPr="00772AA5">
              <w:rPr>
                <w:spacing w:val="-2"/>
              </w:rPr>
              <w:t xml:space="preserve"> employment will end on a particular date, or with a particular event. In other respects, </w:t>
            </w:r>
            <w:r>
              <w:rPr>
                <w:spacing w:val="-2"/>
              </w:rPr>
              <w:t>fixed</w:t>
            </w:r>
            <w:r>
              <w:rPr>
                <w:spacing w:val="-2"/>
              </w:rPr>
              <w:noBreakHyphen/>
              <w:t>term employees’</w:t>
            </w:r>
            <w:r w:rsidRPr="00772AA5">
              <w:rPr>
                <w:spacing w:val="-2"/>
              </w:rPr>
              <w:t xml:space="preserve"> conditions of employment tend to be similar to those of permanent employees, but they do not qualify for termination or redundancy benefits </w:t>
            </w:r>
            <w:r>
              <w:rPr>
                <w:spacing w:val="-2"/>
              </w:rPr>
              <w:t xml:space="preserve"> </w:t>
            </w:r>
            <w:r w:rsidRPr="00772AA5">
              <w:rPr>
                <w:spacing w:val="-2"/>
              </w:rPr>
              <w:t>at the end of their contract</w:t>
            </w:r>
            <w:r w:rsidR="00533119">
              <w:rPr>
                <w:spacing w:val="-2"/>
              </w:rPr>
              <w:t xml:space="preserve"> </w:t>
            </w:r>
            <w:r w:rsidR="00C13592">
              <w:rPr>
                <w:spacing w:val="-2"/>
              </w:rPr>
              <w:t>(</w:t>
            </w:r>
            <w:proofErr w:type="spellStart"/>
            <w:r w:rsidR="00C13592">
              <w:rPr>
                <w:spacing w:val="-2"/>
              </w:rPr>
              <w:t>FWO</w:t>
            </w:r>
            <w:proofErr w:type="spellEnd"/>
            <w:r w:rsidR="00C13592">
              <w:rPr>
                <w:spacing w:val="-2"/>
              </w:rPr>
              <w:t xml:space="preserve"> </w:t>
            </w:r>
            <w:r w:rsidR="00533119" w:rsidRPr="00772AA5">
              <w:rPr>
                <w:spacing w:val="-2"/>
              </w:rPr>
              <w:t>2011)</w:t>
            </w:r>
            <w:r w:rsidRPr="00772AA5">
              <w:rPr>
                <w:spacing w:val="-2"/>
              </w:rPr>
              <w:t>.</w:t>
            </w:r>
          </w:p>
        </w:tc>
      </w:tr>
    </w:tbl>
    <w:p w:rsidR="009D754C" w:rsidRPr="009D754C" w:rsidRDefault="00E05A87" w:rsidP="00E05A87">
      <w:pPr>
        <w:pStyle w:val="Continued"/>
      </w:pPr>
      <w:r>
        <w:t>(</w:t>
      </w:r>
      <w:r w:rsidR="009D754C" w:rsidRPr="00E05A87">
        <w:t>Continued</w:t>
      </w:r>
      <w:r w:rsidR="009D754C">
        <w:t xml:space="preserve"> next page</w:t>
      </w:r>
      <w:r>
        <w:t>)</w:t>
      </w:r>
    </w:p>
    <w:p w:rsidR="009D754C" w:rsidRPr="0056668A" w:rsidRDefault="009D754C" w:rsidP="009D754C">
      <w:pPr>
        <w:pStyle w:val="TableTitle"/>
        <w:rPr>
          <w:b w:val="0"/>
          <w:sz w:val="18"/>
          <w:szCs w:val="18"/>
        </w:rPr>
      </w:pPr>
      <w:r>
        <w:rPr>
          <w:b w:val="0"/>
        </w:rPr>
        <w:lastRenderedPageBreak/>
        <w:t>Table 1.1</w:t>
      </w:r>
      <w:r>
        <w:tab/>
      </w:r>
      <w:r w:rsidRPr="0056668A">
        <w:rPr>
          <w:b w:val="0"/>
          <w:sz w:val="18"/>
          <w:szCs w:val="18"/>
        </w:rPr>
        <w:t>(continued</w:t>
      </w:r>
      <w:r>
        <w:rPr>
          <w:b w:val="0"/>
          <w:sz w:val="18"/>
          <w:szCs w:val="18"/>
        </w:rPr>
        <w:t>)</w:t>
      </w:r>
    </w:p>
    <w:tbl>
      <w:tblPr>
        <w:tblW w:w="5000" w:type="pct"/>
        <w:tblCellMar>
          <w:left w:w="0" w:type="dxa"/>
          <w:right w:w="0" w:type="dxa"/>
        </w:tblCellMar>
        <w:tblLook w:val="0000" w:firstRow="0" w:lastRow="0" w:firstColumn="0" w:lastColumn="0" w:noHBand="0" w:noVBand="0"/>
      </w:tblPr>
      <w:tblGrid>
        <w:gridCol w:w="1591"/>
        <w:gridCol w:w="6235"/>
        <w:gridCol w:w="963"/>
      </w:tblGrid>
      <w:tr w:rsidR="009D754C" w:rsidTr="00177DDF">
        <w:tc>
          <w:tcPr>
            <w:tcW w:w="905" w:type="pct"/>
            <w:tcBorders>
              <w:top w:val="single" w:sz="6" w:space="0" w:color="auto"/>
              <w:bottom w:val="single" w:sz="4" w:space="0" w:color="auto"/>
            </w:tcBorders>
            <w:shd w:val="clear" w:color="auto" w:fill="auto"/>
          </w:tcPr>
          <w:p w:rsidR="009D754C" w:rsidRDefault="009D754C" w:rsidP="00177DDF">
            <w:pPr>
              <w:pStyle w:val="TableColumnHeading"/>
              <w:jc w:val="left"/>
            </w:pPr>
            <w:r>
              <w:t>Form of work</w:t>
            </w:r>
          </w:p>
        </w:tc>
        <w:tc>
          <w:tcPr>
            <w:tcW w:w="3547" w:type="pct"/>
            <w:tcBorders>
              <w:top w:val="single" w:sz="6" w:space="0" w:color="auto"/>
              <w:bottom w:val="single" w:sz="4" w:space="0" w:color="auto"/>
            </w:tcBorders>
            <w:shd w:val="clear" w:color="auto" w:fill="auto"/>
          </w:tcPr>
          <w:p w:rsidR="009D754C" w:rsidRDefault="009D754C" w:rsidP="00177DDF">
            <w:pPr>
              <w:pStyle w:val="TableColumnHeading"/>
              <w:ind w:right="28"/>
              <w:jc w:val="left"/>
            </w:pPr>
            <w:r>
              <w:t>Definition</w:t>
            </w:r>
          </w:p>
        </w:tc>
        <w:tc>
          <w:tcPr>
            <w:tcW w:w="548" w:type="pct"/>
            <w:tcBorders>
              <w:top w:val="single" w:sz="6" w:space="0" w:color="auto"/>
              <w:bottom w:val="single" w:sz="4" w:space="0" w:color="auto"/>
            </w:tcBorders>
          </w:tcPr>
          <w:p w:rsidR="009D754C" w:rsidRDefault="009D754C" w:rsidP="00177DDF">
            <w:pPr>
              <w:pStyle w:val="TableColumnHeading"/>
              <w:ind w:right="28"/>
            </w:pPr>
          </w:p>
        </w:tc>
      </w:tr>
      <w:tr w:rsidR="009D754C" w:rsidTr="00177DDF">
        <w:tc>
          <w:tcPr>
            <w:tcW w:w="905" w:type="pct"/>
          </w:tcPr>
          <w:p w:rsidR="009D754C" w:rsidRDefault="009D754C" w:rsidP="00177DDF">
            <w:pPr>
              <w:pStyle w:val="TableUnitsRow"/>
              <w:jc w:val="left"/>
            </w:pPr>
            <w:r>
              <w:t>Self</w:t>
            </w:r>
            <w:r>
              <w:noBreakHyphen/>
              <w:t>employed</w:t>
            </w:r>
          </w:p>
        </w:tc>
        <w:tc>
          <w:tcPr>
            <w:tcW w:w="4095" w:type="pct"/>
            <w:gridSpan w:val="2"/>
          </w:tcPr>
          <w:p w:rsidR="009D754C" w:rsidRDefault="009D754C" w:rsidP="00177DDF">
            <w:pPr>
              <w:pStyle w:val="TableBodyText"/>
              <w:spacing w:before="80" w:after="80"/>
              <w:ind w:right="28"/>
              <w:jc w:val="left"/>
              <w:rPr>
                <w:i/>
              </w:rPr>
            </w:pPr>
            <w:r>
              <w:t>A self</w:t>
            </w:r>
            <w:r>
              <w:noBreakHyphen/>
              <w:t>employed person works in his or her own business.</w:t>
            </w:r>
          </w:p>
        </w:tc>
      </w:tr>
      <w:tr w:rsidR="009D754C" w:rsidTr="00177DDF">
        <w:tc>
          <w:tcPr>
            <w:tcW w:w="905" w:type="pct"/>
          </w:tcPr>
          <w:p w:rsidR="009D754C" w:rsidRDefault="009D754C" w:rsidP="00177DDF">
            <w:pPr>
              <w:pStyle w:val="TableUnitsRow"/>
              <w:ind w:left="142"/>
              <w:jc w:val="left"/>
            </w:pPr>
            <w:r>
              <w:t>Of incorporated enterprises</w:t>
            </w:r>
          </w:p>
        </w:tc>
        <w:tc>
          <w:tcPr>
            <w:tcW w:w="4095" w:type="pct"/>
            <w:gridSpan w:val="2"/>
          </w:tcPr>
          <w:p w:rsidR="009D754C" w:rsidRDefault="00992E28" w:rsidP="00177DDF">
            <w:pPr>
              <w:pStyle w:val="TableBodyText"/>
              <w:spacing w:before="80" w:after="80"/>
              <w:ind w:right="28"/>
              <w:jc w:val="left"/>
              <w:rPr>
                <w:i/>
              </w:rPr>
            </w:pPr>
            <w:r>
              <w:t xml:space="preserve">Owner </w:t>
            </w:r>
            <w:r w:rsidR="009D754C">
              <w:t xml:space="preserve">managers of incorporated enterprises run companies formed under the </w:t>
            </w:r>
            <w:r w:rsidR="009D754C" w:rsidRPr="00183BDB">
              <w:rPr>
                <w:i/>
              </w:rPr>
              <w:t>Corporations Act 2001</w:t>
            </w:r>
            <w:r w:rsidR="009D754C" w:rsidRPr="00183BDB">
              <w:t xml:space="preserve"> (Cwlth)</w:t>
            </w:r>
            <w:r w:rsidR="009D754C">
              <w:t>, and can work alone, or employ others. In terms of the nature of their work, they can be independent contractors or other business operators.</w:t>
            </w:r>
          </w:p>
        </w:tc>
      </w:tr>
      <w:tr w:rsidR="009D754C" w:rsidTr="00177DDF">
        <w:tc>
          <w:tcPr>
            <w:tcW w:w="905" w:type="pct"/>
          </w:tcPr>
          <w:p w:rsidR="009D754C" w:rsidRDefault="009D754C" w:rsidP="00177DDF">
            <w:pPr>
              <w:pStyle w:val="TableUnitsRow"/>
              <w:ind w:left="142"/>
              <w:jc w:val="left"/>
            </w:pPr>
            <w:r>
              <w:t>Of unincorporated enterprises</w:t>
            </w:r>
          </w:p>
        </w:tc>
        <w:tc>
          <w:tcPr>
            <w:tcW w:w="4095" w:type="pct"/>
            <w:gridSpan w:val="2"/>
          </w:tcPr>
          <w:p w:rsidR="009D754C" w:rsidRDefault="00992E28" w:rsidP="00177DDF">
            <w:pPr>
              <w:pStyle w:val="TableBodyText"/>
              <w:spacing w:before="80" w:after="80"/>
              <w:ind w:right="28"/>
              <w:jc w:val="left"/>
              <w:rPr>
                <w:i/>
              </w:rPr>
            </w:pPr>
            <w:r>
              <w:t xml:space="preserve">Owner </w:t>
            </w:r>
            <w:r w:rsidR="009D754C">
              <w:t>managers of unincorporated enterprises work as either sole traders or in a partnership, and can work alone, or employ others. In terms of the nature of their work, they can be independent contractors or other business operators.</w:t>
            </w:r>
          </w:p>
        </w:tc>
      </w:tr>
      <w:tr w:rsidR="009D754C" w:rsidTr="00177DDF">
        <w:tc>
          <w:tcPr>
            <w:tcW w:w="905" w:type="pct"/>
          </w:tcPr>
          <w:p w:rsidR="009D754C" w:rsidRDefault="009D754C" w:rsidP="00177DDF">
            <w:pPr>
              <w:pStyle w:val="TableUnitsRow"/>
              <w:ind w:left="142"/>
              <w:jc w:val="left"/>
            </w:pPr>
            <w:r>
              <w:t>Independent contractors</w:t>
            </w:r>
          </w:p>
        </w:tc>
        <w:tc>
          <w:tcPr>
            <w:tcW w:w="4095" w:type="pct"/>
            <w:gridSpan w:val="2"/>
          </w:tcPr>
          <w:p w:rsidR="009D754C" w:rsidRDefault="009D754C" w:rsidP="00177DDF">
            <w:pPr>
              <w:pStyle w:val="TableBodyText"/>
              <w:spacing w:before="80" w:after="80"/>
              <w:ind w:right="28"/>
              <w:jc w:val="left"/>
              <w:rPr>
                <w:spacing w:val="-2"/>
              </w:rPr>
            </w:pPr>
            <w:r>
              <w:rPr>
                <w:spacing w:val="-2"/>
              </w:rPr>
              <w:t>Independent contractors run ‘their</w:t>
            </w:r>
            <w:r w:rsidRPr="004539C1">
              <w:rPr>
                <w:spacing w:val="-2"/>
              </w:rPr>
              <w:t xml:space="preserve"> own business </w:t>
            </w:r>
            <w:r>
              <w:rPr>
                <w:spacing w:val="-2"/>
              </w:rPr>
              <w:t>[</w:t>
            </w:r>
            <w:r w:rsidRPr="004539C1">
              <w:rPr>
                <w:spacing w:val="-2"/>
              </w:rPr>
              <w:t>either incorporated or unincorporated</w:t>
            </w:r>
            <w:r>
              <w:rPr>
                <w:spacing w:val="-2"/>
              </w:rPr>
              <w:t xml:space="preserve">] and … contract to perform services for others without having the legal status of an employee … [they are] </w:t>
            </w:r>
            <w:r w:rsidRPr="004539C1">
              <w:rPr>
                <w:spacing w:val="-2"/>
              </w:rPr>
              <w:t xml:space="preserve">engaged under </w:t>
            </w:r>
            <w:r>
              <w:rPr>
                <w:spacing w:val="-2"/>
              </w:rPr>
              <w:t xml:space="preserve">a </w:t>
            </w:r>
            <w:r w:rsidRPr="004539C1">
              <w:rPr>
                <w:spacing w:val="-2"/>
              </w:rPr>
              <w:t xml:space="preserve">contract </w:t>
            </w:r>
            <w:r w:rsidRPr="002D2CE6">
              <w:rPr>
                <w:i/>
                <w:spacing w:val="-2"/>
              </w:rPr>
              <w:t>for</w:t>
            </w:r>
            <w:r w:rsidRPr="004539C1">
              <w:rPr>
                <w:spacing w:val="-2"/>
              </w:rPr>
              <w:t xml:space="preserve"> services</w:t>
            </w:r>
            <w:r>
              <w:rPr>
                <w:spacing w:val="-2"/>
              </w:rPr>
              <w:t xml:space="preserve"> (a commercial contract), whereas employees are engaged under a contract </w:t>
            </w:r>
            <w:r w:rsidRPr="002D2CE6">
              <w:rPr>
                <w:i/>
                <w:spacing w:val="-2"/>
              </w:rPr>
              <w:t>of</w:t>
            </w:r>
            <w:r>
              <w:rPr>
                <w:spacing w:val="-2"/>
              </w:rPr>
              <w:t xml:space="preserve"> service (an employment contract’ (ABS 2012f, p. 74)</w:t>
            </w:r>
            <w:r w:rsidRPr="004539C1">
              <w:rPr>
                <w:spacing w:val="-2"/>
              </w:rPr>
              <w:t>. Some contractors have employees, but typically spend most of their time directly engaged in work for clients rather than managing staff.</w:t>
            </w:r>
          </w:p>
          <w:p w:rsidR="009D754C" w:rsidRDefault="009D754C" w:rsidP="00177DDF">
            <w:pPr>
              <w:pStyle w:val="TableBodyText"/>
              <w:spacing w:before="80" w:after="80"/>
              <w:ind w:right="28"/>
              <w:jc w:val="left"/>
              <w:rPr>
                <w:spacing w:val="-2"/>
              </w:rPr>
            </w:pPr>
            <w:r w:rsidRPr="004539C1">
              <w:rPr>
                <w:spacing w:val="-2"/>
              </w:rPr>
              <w:t>As self</w:t>
            </w:r>
            <w:r w:rsidRPr="004539C1">
              <w:rPr>
                <w:spacing w:val="-2"/>
              </w:rPr>
              <w:noBreakHyphen/>
              <w:t>employed workers, contractors are responsible for their own recreation and personal leave, and termination and redundancy provisions do not apply to them.</w:t>
            </w:r>
            <w:r>
              <w:rPr>
                <w:spacing w:val="-2"/>
              </w:rPr>
              <w:t xml:space="preserve"> </w:t>
            </w:r>
          </w:p>
          <w:p w:rsidR="009D754C" w:rsidRDefault="009D754C" w:rsidP="00177DDF">
            <w:pPr>
              <w:pStyle w:val="TableBodyText"/>
              <w:spacing w:before="80" w:after="80"/>
              <w:ind w:right="28"/>
              <w:jc w:val="left"/>
              <w:rPr>
                <w:i/>
              </w:rPr>
            </w:pPr>
            <w:r>
              <w:rPr>
                <w:spacing w:val="-2"/>
              </w:rPr>
              <w:t>Researchers have identified a number of sub</w:t>
            </w:r>
            <w:r>
              <w:rPr>
                <w:spacing w:val="-2"/>
              </w:rPr>
              <w:noBreakHyphen/>
              <w:t>categories of independent contractor, variously labelled self</w:t>
            </w:r>
            <w:r>
              <w:rPr>
                <w:spacing w:val="-2"/>
              </w:rPr>
              <w:noBreakHyphen/>
              <w:t>employed, dependent and sham contractors. These groups are not a focus of the paper, but are discussed in appendix C.</w:t>
            </w:r>
          </w:p>
        </w:tc>
      </w:tr>
      <w:tr w:rsidR="009D754C" w:rsidTr="00177DDF">
        <w:tc>
          <w:tcPr>
            <w:tcW w:w="905" w:type="pct"/>
            <w:shd w:val="clear" w:color="auto" w:fill="auto"/>
          </w:tcPr>
          <w:p w:rsidR="009D754C" w:rsidRDefault="009D754C" w:rsidP="00177DDF">
            <w:pPr>
              <w:pStyle w:val="TableUnitsRow"/>
              <w:ind w:left="142"/>
              <w:jc w:val="left"/>
            </w:pPr>
            <w:r>
              <w:t>Other business operators</w:t>
            </w:r>
          </w:p>
        </w:tc>
        <w:tc>
          <w:tcPr>
            <w:tcW w:w="4095" w:type="pct"/>
            <w:gridSpan w:val="2"/>
            <w:shd w:val="clear" w:color="auto" w:fill="auto"/>
          </w:tcPr>
          <w:p w:rsidR="009D754C" w:rsidRDefault="009D754C" w:rsidP="00177DDF">
            <w:pPr>
              <w:pStyle w:val="TableBodyText"/>
              <w:spacing w:before="80" w:after="80"/>
              <w:ind w:right="28"/>
              <w:jc w:val="left"/>
              <w:rPr>
                <w:i/>
              </w:rPr>
            </w:pPr>
            <w:r>
              <w:t>Other business operators run ‘their own business [either incorporated or unincorporated], with or without employees … [and] tend to generate their income from managing their staff or selling goods and services to the public, rather than providing a labour service directly to a client (ABS 2012f, p. 75).</w:t>
            </w:r>
          </w:p>
        </w:tc>
      </w:tr>
      <w:tr w:rsidR="009D754C" w:rsidTr="00177DDF">
        <w:tc>
          <w:tcPr>
            <w:tcW w:w="905" w:type="pct"/>
            <w:tcBorders>
              <w:bottom w:val="single" w:sz="4" w:space="0" w:color="auto"/>
            </w:tcBorders>
            <w:shd w:val="clear" w:color="auto" w:fill="auto"/>
          </w:tcPr>
          <w:p w:rsidR="009D754C" w:rsidRDefault="009D754C" w:rsidP="00177DDF">
            <w:pPr>
              <w:pStyle w:val="TableUnitsRow"/>
              <w:jc w:val="left"/>
            </w:pPr>
            <w:r>
              <w:t>Labour hire workers</w:t>
            </w:r>
          </w:p>
        </w:tc>
        <w:tc>
          <w:tcPr>
            <w:tcW w:w="4095" w:type="pct"/>
            <w:gridSpan w:val="2"/>
            <w:tcBorders>
              <w:bottom w:val="single" w:sz="4" w:space="0" w:color="auto"/>
            </w:tcBorders>
            <w:shd w:val="clear" w:color="auto" w:fill="auto"/>
          </w:tcPr>
          <w:p w:rsidR="009D754C" w:rsidRDefault="009D754C" w:rsidP="00177DDF">
            <w:pPr>
              <w:pStyle w:val="TableBodyText"/>
              <w:spacing w:before="80" w:after="80"/>
              <w:ind w:right="28"/>
              <w:jc w:val="left"/>
              <w:rPr>
                <w:i/>
              </w:rPr>
            </w:pPr>
            <w:r>
              <w:t>Labour hire workers are paid by a labour hire or employment (recruitment) agency while working in another business. They are typically employed by the agency as casual employees, but can also be fixed</w:t>
            </w:r>
            <w:r>
              <w:noBreakHyphen/>
              <w:t>term employees or independent contractors.</w:t>
            </w:r>
          </w:p>
        </w:tc>
      </w:tr>
    </w:tbl>
    <w:p w:rsidR="009D754C" w:rsidRDefault="009D754C" w:rsidP="009D754C">
      <w:pPr>
        <w:pStyle w:val="BodyText"/>
        <w:rPr>
          <w:spacing w:val="-2"/>
        </w:rPr>
      </w:pPr>
      <w:r>
        <w:rPr>
          <w:spacing w:val="-2"/>
        </w:rPr>
        <w:t>Prevalence estimates illustrate the relative shares of</w:t>
      </w:r>
      <w:r w:rsidRPr="00B01A91">
        <w:rPr>
          <w:spacing w:val="-2"/>
        </w:rPr>
        <w:t xml:space="preserve"> </w:t>
      </w:r>
      <w:r>
        <w:rPr>
          <w:spacing w:val="-2"/>
        </w:rPr>
        <w:t xml:space="preserve">different FOWs in </w:t>
      </w:r>
      <w:r w:rsidRPr="00B01A91">
        <w:rPr>
          <w:spacing w:val="-2"/>
        </w:rPr>
        <w:t xml:space="preserve">Australian employment </w:t>
      </w:r>
      <w:r>
        <w:rPr>
          <w:spacing w:val="-2"/>
        </w:rPr>
        <w:t>(</w:t>
      </w:r>
      <w:r w:rsidRPr="00B01A91">
        <w:rPr>
          <w:spacing w:val="-2"/>
        </w:rPr>
        <w:t>table</w:t>
      </w:r>
      <w:r>
        <w:rPr>
          <w:spacing w:val="-2"/>
        </w:rPr>
        <w:t> 1.2). In 2011, t</w:t>
      </w:r>
      <w:r w:rsidRPr="00B01A91">
        <w:rPr>
          <w:spacing w:val="-2"/>
        </w:rPr>
        <w:t xml:space="preserve">he </w:t>
      </w:r>
      <w:r>
        <w:rPr>
          <w:spacing w:val="-2"/>
        </w:rPr>
        <w:t xml:space="preserve">large </w:t>
      </w:r>
      <w:r w:rsidRPr="00B01A91">
        <w:rPr>
          <w:spacing w:val="-2"/>
        </w:rPr>
        <w:t>majority</w:t>
      </w:r>
      <w:r>
        <w:rPr>
          <w:spacing w:val="-2"/>
        </w:rPr>
        <w:t xml:space="preserve"> (more than 80 per cent)</w:t>
      </w:r>
      <w:r w:rsidRPr="00B01A91">
        <w:rPr>
          <w:spacing w:val="-2"/>
        </w:rPr>
        <w:t xml:space="preserve"> of </w:t>
      </w:r>
      <w:r>
        <w:rPr>
          <w:spacing w:val="-2"/>
        </w:rPr>
        <w:t>Australians worked as employees. Among</w:t>
      </w:r>
      <w:r w:rsidRPr="00B01A91">
        <w:rPr>
          <w:spacing w:val="-2"/>
        </w:rPr>
        <w:t xml:space="preserve"> employees, </w:t>
      </w:r>
      <w:r>
        <w:rPr>
          <w:spacing w:val="-2"/>
        </w:rPr>
        <w:t>permanent</w:t>
      </w:r>
      <w:r w:rsidRPr="00B01A91">
        <w:rPr>
          <w:spacing w:val="-2"/>
        </w:rPr>
        <w:t xml:space="preserve"> </w:t>
      </w:r>
      <w:r w:rsidR="000E470B">
        <w:rPr>
          <w:spacing w:val="-2"/>
        </w:rPr>
        <w:t>employment was</w:t>
      </w:r>
      <w:r>
        <w:rPr>
          <w:spacing w:val="-2"/>
        </w:rPr>
        <w:t xml:space="preserve"> </w:t>
      </w:r>
      <w:r w:rsidRPr="00B01A91">
        <w:rPr>
          <w:spacing w:val="-2"/>
        </w:rPr>
        <w:t xml:space="preserve">the most common FOW. Casual </w:t>
      </w:r>
      <w:r>
        <w:rPr>
          <w:spacing w:val="-2"/>
        </w:rPr>
        <w:t>employees</w:t>
      </w:r>
      <w:r w:rsidRPr="00B01A91">
        <w:rPr>
          <w:spacing w:val="-2"/>
        </w:rPr>
        <w:t xml:space="preserve"> also account</w:t>
      </w:r>
      <w:r>
        <w:rPr>
          <w:spacing w:val="-2"/>
        </w:rPr>
        <w:t>ed</w:t>
      </w:r>
      <w:r w:rsidRPr="00B01A91">
        <w:rPr>
          <w:spacing w:val="-2"/>
        </w:rPr>
        <w:t xml:space="preserve"> for a significant share of employment, </w:t>
      </w:r>
      <w:r w:rsidR="002347EE">
        <w:rPr>
          <w:spacing w:val="-2"/>
        </w:rPr>
        <w:t>and</w:t>
      </w:r>
      <w:r w:rsidRPr="00B01A91">
        <w:rPr>
          <w:spacing w:val="-2"/>
        </w:rPr>
        <w:t xml:space="preserve"> fixed-term </w:t>
      </w:r>
      <w:r>
        <w:rPr>
          <w:spacing w:val="-2"/>
        </w:rPr>
        <w:t>employees were</w:t>
      </w:r>
      <w:r w:rsidRPr="00B01A91">
        <w:rPr>
          <w:spacing w:val="-2"/>
        </w:rPr>
        <w:t xml:space="preserve"> much less </w:t>
      </w:r>
      <w:r>
        <w:rPr>
          <w:spacing w:val="-2"/>
        </w:rPr>
        <w:t>prevalent</w:t>
      </w:r>
      <w:r w:rsidRPr="00B01A91">
        <w:rPr>
          <w:spacing w:val="-2"/>
        </w:rPr>
        <w:t>.</w:t>
      </w:r>
    </w:p>
    <w:p w:rsidR="009D754C" w:rsidRPr="001F2F5D" w:rsidRDefault="009D754C" w:rsidP="009D754C">
      <w:pPr>
        <w:pStyle w:val="BodyText"/>
      </w:pPr>
      <w:r>
        <w:t>Turning to the self</w:t>
      </w:r>
      <w:r>
        <w:noBreakHyphen/>
        <w:t xml:space="preserve">employed, OMUEs were more prevalent than OMIEs. Using the alternative disaggregation, independent contractors and other business operators accounted for </w:t>
      </w:r>
      <w:r w:rsidR="000E470B">
        <w:t>approximately</w:t>
      </w:r>
      <w:r>
        <w:t xml:space="preserve"> equal shares of </w:t>
      </w:r>
      <w:r w:rsidR="000E470B">
        <w:t>the self</w:t>
      </w:r>
      <w:r w:rsidR="000E470B">
        <w:noBreakHyphen/>
        <w:t>employed</w:t>
      </w:r>
      <w:r>
        <w:t xml:space="preserve">. Labour hire workers </w:t>
      </w:r>
      <w:r w:rsidR="000E470B">
        <w:t>represent</w:t>
      </w:r>
      <w:r>
        <w:t xml:space="preserve"> a very small share of the workforce.</w:t>
      </w:r>
    </w:p>
    <w:p w:rsidR="009D754C" w:rsidRDefault="009D754C">
      <w:pPr>
        <w:pStyle w:val="TableTitle"/>
      </w:pPr>
      <w:r>
        <w:rPr>
          <w:b w:val="0"/>
        </w:rPr>
        <w:lastRenderedPageBreak/>
        <w:t xml:space="preserve">Table </w:t>
      </w:r>
      <w:r>
        <w:rPr>
          <w:b w:val="0"/>
        </w:rPr>
        <w:fldChar w:fldCharType="begin"/>
      </w:r>
      <w:r>
        <w:rPr>
          <w:b w:val="0"/>
        </w:rPr>
        <w:instrText xml:space="preserve"> COMMENTS  \* MERGEFORMAT </w:instrText>
      </w:r>
      <w:r>
        <w:rPr>
          <w:b w:val="0"/>
        </w:rPr>
        <w:fldChar w:fldCharType="separate"/>
      </w:r>
      <w:r>
        <w:rPr>
          <w:b w:val="0"/>
        </w:rPr>
        <w:t>1.</w:t>
      </w:r>
      <w:r>
        <w:rPr>
          <w:b w:val="0"/>
        </w:rPr>
        <w:fldChar w:fldCharType="end"/>
      </w:r>
      <w:r>
        <w:rPr>
          <w:b w:val="0"/>
        </w:rPr>
        <w:fldChar w:fldCharType="begin"/>
      </w:r>
      <w:r>
        <w:rPr>
          <w:b w:val="0"/>
        </w:rPr>
        <w:instrText xml:space="preserve"> SEQ Table \* ARABIC </w:instrText>
      </w:r>
      <w:r>
        <w:rPr>
          <w:b w:val="0"/>
        </w:rPr>
        <w:fldChar w:fldCharType="separate"/>
      </w:r>
      <w:r w:rsidR="00240643">
        <w:rPr>
          <w:b w:val="0"/>
          <w:noProof/>
        </w:rPr>
        <w:t>2</w:t>
      </w:r>
      <w:r>
        <w:rPr>
          <w:b w:val="0"/>
        </w:rPr>
        <w:fldChar w:fldCharType="end"/>
      </w:r>
      <w:r>
        <w:tab/>
        <w:t>Prevalence of different forms of work, 2011</w:t>
      </w:r>
      <w:r w:rsidR="00CA2E35" w:rsidRPr="00CA2E35">
        <w:rPr>
          <w:rStyle w:val="NoteLabel"/>
          <w:b/>
        </w:rPr>
        <w:t>a</w:t>
      </w:r>
    </w:p>
    <w:tbl>
      <w:tblPr>
        <w:tblW w:w="5000" w:type="pct"/>
        <w:tblCellMar>
          <w:left w:w="0" w:type="dxa"/>
          <w:right w:w="0" w:type="dxa"/>
        </w:tblCellMar>
        <w:tblLook w:val="04A0" w:firstRow="1" w:lastRow="0" w:firstColumn="1" w:lastColumn="0" w:noHBand="0" w:noVBand="1"/>
      </w:tblPr>
      <w:tblGrid>
        <w:gridCol w:w="5103"/>
        <w:gridCol w:w="1844"/>
        <w:gridCol w:w="1842"/>
      </w:tblGrid>
      <w:tr w:rsidR="009D754C" w:rsidTr="00177DDF">
        <w:tc>
          <w:tcPr>
            <w:tcW w:w="2903" w:type="pct"/>
            <w:tcBorders>
              <w:top w:val="single" w:sz="4" w:space="0" w:color="auto"/>
              <w:left w:val="nil"/>
              <w:bottom w:val="single" w:sz="4" w:space="0" w:color="auto"/>
              <w:right w:val="nil"/>
            </w:tcBorders>
          </w:tcPr>
          <w:p w:rsidR="009D754C" w:rsidRPr="00485C15" w:rsidRDefault="009D754C" w:rsidP="00177DDF">
            <w:pPr>
              <w:pStyle w:val="TableColumnHeading"/>
              <w:jc w:val="center"/>
            </w:pPr>
          </w:p>
        </w:tc>
        <w:tc>
          <w:tcPr>
            <w:tcW w:w="1049" w:type="pct"/>
            <w:tcBorders>
              <w:top w:val="single" w:sz="4" w:space="0" w:color="auto"/>
              <w:left w:val="nil"/>
              <w:bottom w:val="single" w:sz="4" w:space="0" w:color="auto"/>
              <w:right w:val="nil"/>
            </w:tcBorders>
            <w:hideMark/>
          </w:tcPr>
          <w:p w:rsidR="009D754C" w:rsidRPr="00485C15" w:rsidRDefault="009D754C" w:rsidP="00177DDF">
            <w:pPr>
              <w:pStyle w:val="TableColumnHeading"/>
            </w:pPr>
            <w:r>
              <w:t>Number</w:t>
            </w:r>
          </w:p>
        </w:tc>
        <w:tc>
          <w:tcPr>
            <w:tcW w:w="1048" w:type="pct"/>
            <w:tcBorders>
              <w:top w:val="single" w:sz="4" w:space="0" w:color="auto"/>
              <w:left w:val="nil"/>
              <w:bottom w:val="single" w:sz="4" w:space="0" w:color="auto"/>
              <w:right w:val="nil"/>
            </w:tcBorders>
          </w:tcPr>
          <w:p w:rsidR="009D754C" w:rsidRPr="00485C15" w:rsidRDefault="009D754C" w:rsidP="00177DDF">
            <w:pPr>
              <w:pStyle w:val="TableColumnHeading"/>
              <w:ind w:right="0"/>
            </w:pPr>
            <w:r>
              <w:t>Share of workforce</w:t>
            </w:r>
          </w:p>
        </w:tc>
      </w:tr>
      <w:tr w:rsidR="009D754C" w:rsidTr="00177DDF">
        <w:tc>
          <w:tcPr>
            <w:tcW w:w="2903" w:type="pct"/>
            <w:tcBorders>
              <w:top w:val="single" w:sz="4" w:space="0" w:color="auto"/>
              <w:left w:val="nil"/>
              <w:bottom w:val="nil"/>
              <w:right w:val="nil"/>
            </w:tcBorders>
          </w:tcPr>
          <w:p w:rsidR="009D754C" w:rsidRDefault="009D754C" w:rsidP="00CA2E35">
            <w:pPr>
              <w:pStyle w:val="TableUnitsRow"/>
            </w:pPr>
          </w:p>
        </w:tc>
        <w:tc>
          <w:tcPr>
            <w:tcW w:w="1049" w:type="pct"/>
            <w:tcBorders>
              <w:top w:val="single" w:sz="4" w:space="0" w:color="auto"/>
              <w:left w:val="nil"/>
              <w:bottom w:val="nil"/>
              <w:right w:val="nil"/>
            </w:tcBorders>
            <w:hideMark/>
          </w:tcPr>
          <w:p w:rsidR="009D754C" w:rsidRPr="00485C15" w:rsidRDefault="009D754C" w:rsidP="00CA2E35">
            <w:pPr>
              <w:pStyle w:val="TableUnitsRow"/>
            </w:pPr>
            <w:r w:rsidRPr="00485C15">
              <w:t>’000</w:t>
            </w:r>
          </w:p>
        </w:tc>
        <w:tc>
          <w:tcPr>
            <w:tcW w:w="1048" w:type="pct"/>
            <w:tcBorders>
              <w:top w:val="single" w:sz="4" w:space="0" w:color="auto"/>
              <w:left w:val="nil"/>
              <w:bottom w:val="nil"/>
              <w:right w:val="nil"/>
            </w:tcBorders>
            <w:hideMark/>
          </w:tcPr>
          <w:p w:rsidR="009D754C" w:rsidRPr="00485C15" w:rsidRDefault="009D754C" w:rsidP="00CA2E35">
            <w:pPr>
              <w:pStyle w:val="TableUnitsRow"/>
              <w:rPr>
                <w:i/>
              </w:rPr>
            </w:pPr>
            <w:r w:rsidRPr="00485C15">
              <w:t>%</w:t>
            </w:r>
          </w:p>
        </w:tc>
      </w:tr>
      <w:tr w:rsidR="009D754C" w:rsidTr="00A30824">
        <w:tc>
          <w:tcPr>
            <w:tcW w:w="2903" w:type="pct"/>
            <w:shd w:val="clear" w:color="auto" w:fill="D9D9D9" w:themeFill="background1" w:themeFillShade="D9"/>
            <w:vAlign w:val="bottom"/>
            <w:hideMark/>
          </w:tcPr>
          <w:p w:rsidR="009D754C" w:rsidRPr="00485C15" w:rsidRDefault="009D754C" w:rsidP="00177DDF">
            <w:pPr>
              <w:pStyle w:val="TableBodyText"/>
              <w:jc w:val="left"/>
              <w:rPr>
                <w:b/>
              </w:rPr>
            </w:pPr>
            <w:r w:rsidRPr="00485C15">
              <w:rPr>
                <w:b/>
              </w:rPr>
              <w:t>Employees</w:t>
            </w:r>
          </w:p>
        </w:tc>
        <w:tc>
          <w:tcPr>
            <w:tcW w:w="1049" w:type="pct"/>
            <w:shd w:val="clear" w:color="auto" w:fill="D9D9D9" w:themeFill="background1" w:themeFillShade="D9"/>
            <w:vAlign w:val="bottom"/>
          </w:tcPr>
          <w:p w:rsidR="009D754C" w:rsidRPr="00485C15" w:rsidRDefault="009D754C" w:rsidP="00177DDF">
            <w:pPr>
              <w:pStyle w:val="TableBodyText"/>
              <w:framePr w:w="2155" w:hSpace="227" w:vSpace="181" w:wrap="around" w:vAnchor="text" w:hAnchor="page" w:xAlign="outside" w:y="1"/>
              <w:rPr>
                <w:rFonts w:cs="Arial"/>
                <w:b/>
              </w:rPr>
            </w:pPr>
            <w:r>
              <w:rPr>
                <w:rFonts w:cs="Arial"/>
                <w:b/>
              </w:rPr>
              <w:t>9 352.7</w:t>
            </w:r>
          </w:p>
        </w:tc>
        <w:tc>
          <w:tcPr>
            <w:tcW w:w="1048" w:type="pct"/>
            <w:shd w:val="clear" w:color="auto" w:fill="D9D9D9" w:themeFill="background1" w:themeFillShade="D9"/>
            <w:vAlign w:val="bottom"/>
          </w:tcPr>
          <w:p w:rsidR="009D754C" w:rsidRPr="00485C15" w:rsidRDefault="009D754C" w:rsidP="00177DDF">
            <w:pPr>
              <w:pStyle w:val="TableBodyText"/>
              <w:framePr w:w="2155" w:hSpace="227" w:vSpace="181" w:wrap="around" w:vAnchor="text" w:hAnchor="page" w:xAlign="outside" w:y="1"/>
              <w:ind w:right="28"/>
              <w:rPr>
                <w:rFonts w:cs="Arial"/>
                <w:b/>
              </w:rPr>
            </w:pPr>
            <w:r>
              <w:rPr>
                <w:rFonts w:cs="Arial"/>
                <w:b/>
              </w:rPr>
              <w:t>82.4</w:t>
            </w:r>
          </w:p>
        </w:tc>
      </w:tr>
      <w:tr w:rsidR="009D754C" w:rsidTr="00177DDF">
        <w:tc>
          <w:tcPr>
            <w:tcW w:w="2903" w:type="pct"/>
            <w:vAlign w:val="bottom"/>
            <w:hideMark/>
          </w:tcPr>
          <w:p w:rsidR="009D754C" w:rsidRPr="00485C15" w:rsidRDefault="009D754C" w:rsidP="00177DDF">
            <w:pPr>
              <w:pStyle w:val="TableBodyText"/>
              <w:jc w:val="left"/>
            </w:pPr>
            <w:r w:rsidRPr="00485C15">
              <w:t>  </w:t>
            </w:r>
            <w:r>
              <w:t>Permanent</w:t>
            </w:r>
            <w:r w:rsidRPr="00E97687">
              <w:rPr>
                <w:rStyle w:val="NoteLabel"/>
              </w:rPr>
              <w:t>b</w:t>
            </w:r>
          </w:p>
        </w:tc>
        <w:tc>
          <w:tcPr>
            <w:tcW w:w="1049" w:type="pct"/>
            <w:vAlign w:val="bottom"/>
          </w:tcPr>
          <w:p w:rsidR="009D754C" w:rsidRPr="00485C15" w:rsidRDefault="009D754C" w:rsidP="00177DDF">
            <w:pPr>
              <w:pStyle w:val="TableBodyText"/>
              <w:framePr w:w="2155" w:hSpace="227" w:vSpace="181" w:wrap="around" w:vAnchor="text" w:hAnchor="page" w:xAlign="outside" w:y="1"/>
              <w:rPr>
                <w:rFonts w:cs="Arial"/>
              </w:rPr>
            </w:pPr>
            <w:r>
              <w:rPr>
                <w:rFonts w:cs="Arial"/>
              </w:rPr>
              <w:t>7 093.2</w:t>
            </w:r>
          </w:p>
        </w:tc>
        <w:tc>
          <w:tcPr>
            <w:tcW w:w="1048" w:type="pct"/>
            <w:vAlign w:val="bottom"/>
          </w:tcPr>
          <w:p w:rsidR="009D754C" w:rsidRPr="00485C15" w:rsidRDefault="009D754C" w:rsidP="00177DDF">
            <w:pPr>
              <w:pStyle w:val="TableBodyText"/>
              <w:framePr w:w="2155" w:hSpace="227" w:vSpace="181" w:wrap="around" w:vAnchor="text" w:hAnchor="page" w:xAlign="outside" w:y="1"/>
              <w:ind w:right="28"/>
            </w:pPr>
            <w:r>
              <w:t>62.5</w:t>
            </w:r>
          </w:p>
        </w:tc>
      </w:tr>
      <w:tr w:rsidR="009D754C" w:rsidTr="00177DDF">
        <w:tc>
          <w:tcPr>
            <w:tcW w:w="2903" w:type="pct"/>
            <w:vAlign w:val="bottom"/>
            <w:hideMark/>
          </w:tcPr>
          <w:p w:rsidR="009D754C" w:rsidRDefault="009D754C" w:rsidP="00177DDF">
            <w:pPr>
              <w:pStyle w:val="TableBodyText"/>
              <w:jc w:val="left"/>
              <w:rPr>
                <w:sz w:val="18"/>
                <w:szCs w:val="18"/>
              </w:rPr>
            </w:pPr>
            <w:r w:rsidRPr="00485C15">
              <w:t>  Casual</w:t>
            </w:r>
            <w:r>
              <w:rPr>
                <w:rStyle w:val="NoteLabel"/>
              </w:rPr>
              <w:t>c</w:t>
            </w:r>
          </w:p>
        </w:tc>
        <w:tc>
          <w:tcPr>
            <w:tcW w:w="1049" w:type="pct"/>
            <w:vAlign w:val="bottom"/>
          </w:tcPr>
          <w:p w:rsidR="009D754C" w:rsidRPr="00485C15" w:rsidRDefault="009D754C" w:rsidP="00177DDF">
            <w:pPr>
              <w:pStyle w:val="TableBodyText"/>
              <w:framePr w:w="2155" w:hSpace="227" w:vSpace="181" w:wrap="around" w:vAnchor="text" w:hAnchor="page" w:xAlign="outside" w:y="1"/>
              <w:rPr>
                <w:rFonts w:cs="Arial"/>
              </w:rPr>
            </w:pPr>
            <w:r>
              <w:rPr>
                <w:rFonts w:cs="Arial"/>
              </w:rPr>
              <w:t>2 259.5</w:t>
            </w:r>
          </w:p>
        </w:tc>
        <w:tc>
          <w:tcPr>
            <w:tcW w:w="1048" w:type="pct"/>
            <w:vAlign w:val="bottom"/>
          </w:tcPr>
          <w:p w:rsidR="009D754C" w:rsidRPr="00485C15" w:rsidRDefault="009D754C" w:rsidP="00177DDF">
            <w:pPr>
              <w:pStyle w:val="TableBodyText"/>
              <w:framePr w:w="2155" w:hSpace="227" w:vSpace="181" w:wrap="around" w:vAnchor="text" w:hAnchor="page" w:xAlign="outside" w:y="1"/>
              <w:ind w:right="28"/>
            </w:pPr>
            <w:r>
              <w:t>19.9</w:t>
            </w:r>
          </w:p>
        </w:tc>
      </w:tr>
      <w:tr w:rsidR="009D754C" w:rsidTr="00177DDF">
        <w:tc>
          <w:tcPr>
            <w:tcW w:w="2903" w:type="pct"/>
            <w:vAlign w:val="bottom"/>
          </w:tcPr>
          <w:p w:rsidR="009D754C" w:rsidRDefault="009D754C" w:rsidP="00177DDF">
            <w:pPr>
              <w:pStyle w:val="TableBodyText"/>
              <w:jc w:val="left"/>
              <w:rPr>
                <w:sz w:val="18"/>
                <w:szCs w:val="18"/>
              </w:rPr>
            </w:pPr>
            <w:r w:rsidRPr="00485C15">
              <w:t>Fixed-term</w:t>
            </w:r>
            <w:r>
              <w:rPr>
                <w:rStyle w:val="NoteLabel"/>
              </w:rPr>
              <w:t>d</w:t>
            </w:r>
          </w:p>
        </w:tc>
        <w:tc>
          <w:tcPr>
            <w:tcW w:w="1049" w:type="pct"/>
            <w:vAlign w:val="bottom"/>
          </w:tcPr>
          <w:p w:rsidR="009D754C" w:rsidRPr="00485C15" w:rsidRDefault="009D754C" w:rsidP="00177DDF">
            <w:pPr>
              <w:pStyle w:val="TableBodyText"/>
              <w:framePr w:w="2155" w:hSpace="227" w:vSpace="181" w:wrap="around" w:vAnchor="text" w:hAnchor="page" w:xAlign="outside" w:y="1"/>
              <w:rPr>
                <w:rFonts w:cs="Arial"/>
              </w:rPr>
            </w:pPr>
            <w:r>
              <w:rPr>
                <w:rFonts w:cs="Arial"/>
              </w:rPr>
              <w:t>389.5</w:t>
            </w:r>
          </w:p>
        </w:tc>
        <w:tc>
          <w:tcPr>
            <w:tcW w:w="1048" w:type="pct"/>
            <w:vAlign w:val="bottom"/>
          </w:tcPr>
          <w:p w:rsidR="009D754C" w:rsidRPr="00485C15" w:rsidRDefault="009D754C" w:rsidP="00177DDF">
            <w:pPr>
              <w:pStyle w:val="TableBodyText"/>
              <w:framePr w:w="2155" w:hSpace="227" w:vSpace="181" w:wrap="around" w:vAnchor="text" w:hAnchor="page" w:xAlign="outside" w:y="1"/>
              <w:ind w:right="28"/>
            </w:pPr>
            <w:r>
              <w:t>3.4</w:t>
            </w:r>
          </w:p>
        </w:tc>
      </w:tr>
      <w:tr w:rsidR="009D754C" w:rsidTr="00A30824">
        <w:tc>
          <w:tcPr>
            <w:tcW w:w="2903" w:type="pct"/>
            <w:shd w:val="clear" w:color="auto" w:fill="D9D9D9" w:themeFill="background1" w:themeFillShade="D9"/>
            <w:vAlign w:val="bottom"/>
            <w:hideMark/>
          </w:tcPr>
          <w:p w:rsidR="009D754C" w:rsidRPr="00485C15" w:rsidRDefault="009D754C" w:rsidP="00177DDF">
            <w:pPr>
              <w:pStyle w:val="TableBodyText"/>
              <w:jc w:val="left"/>
              <w:rPr>
                <w:b/>
              </w:rPr>
            </w:pPr>
            <w:r>
              <w:rPr>
                <w:b/>
              </w:rPr>
              <w:t>Self-employed</w:t>
            </w:r>
          </w:p>
        </w:tc>
        <w:tc>
          <w:tcPr>
            <w:tcW w:w="1049" w:type="pct"/>
            <w:shd w:val="clear" w:color="auto" w:fill="D9D9D9" w:themeFill="background1" w:themeFillShade="D9"/>
            <w:vAlign w:val="bottom"/>
          </w:tcPr>
          <w:p w:rsidR="009D754C" w:rsidRPr="00485C15" w:rsidRDefault="009D754C" w:rsidP="00177DDF">
            <w:pPr>
              <w:pStyle w:val="TableBodyText"/>
              <w:framePr w:w="2155" w:hSpace="227" w:vSpace="181" w:wrap="around" w:vAnchor="text" w:hAnchor="page" w:xAlign="outside" w:y="1"/>
              <w:rPr>
                <w:rFonts w:cs="Arial"/>
                <w:b/>
              </w:rPr>
            </w:pPr>
            <w:r>
              <w:rPr>
                <w:rFonts w:cs="Arial"/>
                <w:b/>
              </w:rPr>
              <w:t>2 000.8</w:t>
            </w:r>
          </w:p>
        </w:tc>
        <w:tc>
          <w:tcPr>
            <w:tcW w:w="1048" w:type="pct"/>
            <w:shd w:val="clear" w:color="auto" w:fill="D9D9D9" w:themeFill="background1" w:themeFillShade="D9"/>
            <w:vAlign w:val="bottom"/>
          </w:tcPr>
          <w:p w:rsidR="009D754C" w:rsidRPr="00485C15" w:rsidRDefault="009D754C" w:rsidP="00177DDF">
            <w:pPr>
              <w:pStyle w:val="TableBodyText"/>
              <w:framePr w:w="2155" w:hSpace="227" w:vSpace="181" w:wrap="around" w:vAnchor="text" w:hAnchor="page" w:xAlign="outside" w:y="1"/>
              <w:ind w:right="28"/>
              <w:rPr>
                <w:rFonts w:cs="Arial"/>
                <w:b/>
              </w:rPr>
            </w:pPr>
            <w:r w:rsidRPr="00485C15">
              <w:rPr>
                <w:rFonts w:cs="Arial"/>
                <w:b/>
              </w:rPr>
              <w:t>18.2</w:t>
            </w:r>
          </w:p>
        </w:tc>
      </w:tr>
      <w:tr w:rsidR="009D754C" w:rsidTr="00177DDF">
        <w:tc>
          <w:tcPr>
            <w:tcW w:w="2903" w:type="pct"/>
            <w:vAlign w:val="bottom"/>
          </w:tcPr>
          <w:p w:rsidR="009D754C" w:rsidRPr="00485C15" w:rsidRDefault="009D754C" w:rsidP="00177DDF">
            <w:pPr>
              <w:pStyle w:val="TableBodyText"/>
              <w:jc w:val="left"/>
            </w:pPr>
            <w:r w:rsidRPr="00485C15">
              <w:t>  Independent contractors</w:t>
            </w:r>
            <w:r w:rsidRPr="00073B0F">
              <w:rPr>
                <w:rStyle w:val="NoteLabel"/>
              </w:rPr>
              <w:t>e</w:t>
            </w:r>
          </w:p>
        </w:tc>
        <w:tc>
          <w:tcPr>
            <w:tcW w:w="1049" w:type="pct"/>
          </w:tcPr>
          <w:p w:rsidR="009D754C" w:rsidRPr="00485C15" w:rsidRDefault="009D754C" w:rsidP="00177DDF">
            <w:pPr>
              <w:pStyle w:val="TableBodyText"/>
              <w:framePr w:w="2155" w:hSpace="227" w:vSpace="181" w:wrap="around" w:vAnchor="text" w:hAnchor="page" w:xAlign="outside" w:y="1"/>
              <w:rPr>
                <w:rFonts w:cs="Arial"/>
              </w:rPr>
            </w:pPr>
            <w:r w:rsidRPr="00485C15">
              <w:rPr>
                <w:rFonts w:cs="Arial"/>
              </w:rPr>
              <w:t>1 026.9</w:t>
            </w:r>
          </w:p>
        </w:tc>
        <w:tc>
          <w:tcPr>
            <w:tcW w:w="1048" w:type="pct"/>
          </w:tcPr>
          <w:p w:rsidR="009D754C" w:rsidRPr="00485C15" w:rsidRDefault="009D754C" w:rsidP="00177DDF">
            <w:pPr>
              <w:pStyle w:val="TableBodyText"/>
              <w:framePr w:w="2155" w:hSpace="227" w:vSpace="181" w:wrap="around" w:vAnchor="text" w:hAnchor="page" w:xAlign="outside" w:y="1"/>
              <w:ind w:right="28"/>
            </w:pPr>
            <w:r w:rsidRPr="00485C15">
              <w:t>9.0</w:t>
            </w:r>
          </w:p>
        </w:tc>
      </w:tr>
      <w:tr w:rsidR="009D754C" w:rsidTr="00177DDF">
        <w:tc>
          <w:tcPr>
            <w:tcW w:w="2903" w:type="pct"/>
            <w:vAlign w:val="bottom"/>
          </w:tcPr>
          <w:p w:rsidR="009D754C" w:rsidRPr="00485C15" w:rsidRDefault="009D754C" w:rsidP="00177DDF">
            <w:pPr>
              <w:pStyle w:val="TableBodyText"/>
              <w:jc w:val="left"/>
            </w:pPr>
            <w:r w:rsidRPr="00485C15">
              <w:t>  Other business operators</w:t>
            </w:r>
            <w:r>
              <w:rPr>
                <w:rStyle w:val="NoteLabel"/>
              </w:rPr>
              <w:t>e</w:t>
            </w:r>
          </w:p>
        </w:tc>
        <w:tc>
          <w:tcPr>
            <w:tcW w:w="1049" w:type="pct"/>
          </w:tcPr>
          <w:p w:rsidR="009D754C" w:rsidRPr="00485C15" w:rsidRDefault="009D754C" w:rsidP="00177DDF">
            <w:pPr>
              <w:pStyle w:val="TableBodyText"/>
              <w:framePr w:w="2155" w:hSpace="227" w:vSpace="181" w:wrap="around" w:vAnchor="text" w:hAnchor="page" w:xAlign="outside" w:y="1"/>
              <w:rPr>
                <w:rFonts w:cs="Arial"/>
              </w:rPr>
            </w:pPr>
            <w:r w:rsidRPr="00485C15">
              <w:rPr>
                <w:rFonts w:cs="Arial"/>
              </w:rPr>
              <w:t>1 040.3</w:t>
            </w:r>
          </w:p>
        </w:tc>
        <w:tc>
          <w:tcPr>
            <w:tcW w:w="1048" w:type="pct"/>
          </w:tcPr>
          <w:p w:rsidR="009D754C" w:rsidRPr="00485C15" w:rsidRDefault="009D754C" w:rsidP="00177DDF">
            <w:pPr>
              <w:pStyle w:val="TableBodyText"/>
              <w:framePr w:w="2155" w:hSpace="227" w:vSpace="181" w:wrap="around" w:vAnchor="text" w:hAnchor="page" w:xAlign="outside" w:y="1"/>
              <w:ind w:right="28"/>
            </w:pPr>
            <w:r w:rsidRPr="00485C15">
              <w:t>9.2</w:t>
            </w:r>
          </w:p>
        </w:tc>
      </w:tr>
      <w:tr w:rsidR="009D754C" w:rsidTr="00177DDF">
        <w:tc>
          <w:tcPr>
            <w:tcW w:w="2903" w:type="pct"/>
            <w:vAlign w:val="bottom"/>
          </w:tcPr>
          <w:p w:rsidR="009D754C" w:rsidRDefault="002621B2" w:rsidP="00177DDF">
            <w:pPr>
              <w:pStyle w:val="TableBodyText"/>
              <w:jc w:val="left"/>
              <w:rPr>
                <w:sz w:val="18"/>
                <w:szCs w:val="18"/>
              </w:rPr>
            </w:pPr>
            <w:r>
              <w:t xml:space="preserve">Owner </w:t>
            </w:r>
            <w:r w:rsidR="009D754C" w:rsidRPr="002621B2">
              <w:t>managers</w:t>
            </w:r>
          </w:p>
        </w:tc>
        <w:tc>
          <w:tcPr>
            <w:tcW w:w="1049" w:type="pct"/>
            <w:vAlign w:val="bottom"/>
          </w:tcPr>
          <w:p w:rsidR="009D754C" w:rsidRPr="00485C15" w:rsidRDefault="009D754C" w:rsidP="00177DDF">
            <w:pPr>
              <w:pStyle w:val="TableBodyText"/>
              <w:framePr w:w="2155" w:hSpace="227" w:vSpace="181" w:wrap="around" w:vAnchor="text" w:hAnchor="page" w:xAlign="outside" w:y="1"/>
              <w:rPr>
                <w:rFonts w:cs="Arial"/>
              </w:rPr>
            </w:pPr>
          </w:p>
        </w:tc>
        <w:tc>
          <w:tcPr>
            <w:tcW w:w="1048" w:type="pct"/>
            <w:vAlign w:val="bottom"/>
          </w:tcPr>
          <w:p w:rsidR="009D754C" w:rsidRPr="00485C15" w:rsidRDefault="009D754C" w:rsidP="00177DDF">
            <w:pPr>
              <w:pStyle w:val="TableBodyText"/>
              <w:framePr w:w="2155" w:hSpace="227" w:vSpace="181" w:wrap="around" w:vAnchor="text" w:hAnchor="page" w:xAlign="outside" w:y="1"/>
              <w:ind w:right="28"/>
            </w:pPr>
          </w:p>
        </w:tc>
      </w:tr>
      <w:tr w:rsidR="009D754C" w:rsidTr="00177DDF">
        <w:tc>
          <w:tcPr>
            <w:tcW w:w="2903" w:type="pct"/>
            <w:vAlign w:val="bottom"/>
          </w:tcPr>
          <w:p w:rsidR="009D754C" w:rsidRDefault="009D754C" w:rsidP="00177DDF">
            <w:pPr>
              <w:pStyle w:val="TableBodyText"/>
              <w:jc w:val="left"/>
              <w:rPr>
                <w:sz w:val="18"/>
                <w:szCs w:val="18"/>
              </w:rPr>
            </w:pPr>
            <w:r>
              <w:t>  O</w:t>
            </w:r>
            <w:r w:rsidRPr="00485C15">
              <w:t>f incorporated enterprises</w:t>
            </w:r>
            <w:r>
              <w:rPr>
                <w:rStyle w:val="NoteLabel"/>
              </w:rPr>
              <w:t>f</w:t>
            </w:r>
          </w:p>
        </w:tc>
        <w:tc>
          <w:tcPr>
            <w:tcW w:w="1049" w:type="pct"/>
            <w:vAlign w:val="bottom"/>
          </w:tcPr>
          <w:p w:rsidR="009D754C" w:rsidRPr="00485C15" w:rsidRDefault="009D754C" w:rsidP="00177DDF">
            <w:pPr>
              <w:pStyle w:val="TableBodyText"/>
              <w:framePr w:w="2155" w:hSpace="227" w:vSpace="181" w:wrap="around" w:vAnchor="text" w:hAnchor="page" w:xAlign="outside" w:y="1"/>
              <w:rPr>
                <w:rFonts w:cs="Arial"/>
              </w:rPr>
            </w:pPr>
            <w:r w:rsidRPr="00485C15">
              <w:rPr>
                <w:rFonts w:cs="Arial"/>
              </w:rPr>
              <w:t>785.0</w:t>
            </w:r>
          </w:p>
        </w:tc>
        <w:tc>
          <w:tcPr>
            <w:tcW w:w="1048" w:type="pct"/>
            <w:vAlign w:val="bottom"/>
          </w:tcPr>
          <w:p w:rsidR="009D754C" w:rsidRPr="00485C15" w:rsidRDefault="009D754C" w:rsidP="00177DDF">
            <w:pPr>
              <w:pStyle w:val="TableBodyText"/>
              <w:framePr w:w="2155" w:hSpace="227" w:vSpace="181" w:wrap="around" w:vAnchor="text" w:hAnchor="page" w:xAlign="outside" w:y="1"/>
              <w:ind w:right="28"/>
            </w:pPr>
            <w:r w:rsidRPr="00485C15">
              <w:t>6.9</w:t>
            </w:r>
          </w:p>
        </w:tc>
      </w:tr>
      <w:tr w:rsidR="009D754C" w:rsidTr="00177DDF">
        <w:tc>
          <w:tcPr>
            <w:tcW w:w="2903" w:type="pct"/>
            <w:vAlign w:val="bottom"/>
          </w:tcPr>
          <w:p w:rsidR="009D754C" w:rsidRDefault="009D754C" w:rsidP="00177DDF">
            <w:pPr>
              <w:pStyle w:val="TableBodyText"/>
              <w:jc w:val="left"/>
              <w:rPr>
                <w:sz w:val="18"/>
                <w:szCs w:val="18"/>
              </w:rPr>
            </w:pPr>
            <w:r>
              <w:t>  O</w:t>
            </w:r>
            <w:r w:rsidRPr="00485C15">
              <w:t>f unincorporated enterprises</w:t>
            </w:r>
            <w:r>
              <w:rPr>
                <w:rStyle w:val="NoteLabel"/>
              </w:rPr>
              <w:t>g</w:t>
            </w:r>
          </w:p>
        </w:tc>
        <w:tc>
          <w:tcPr>
            <w:tcW w:w="1049" w:type="pct"/>
            <w:vAlign w:val="bottom"/>
          </w:tcPr>
          <w:p w:rsidR="009D754C" w:rsidRPr="00485C15" w:rsidRDefault="009D754C" w:rsidP="00177DDF">
            <w:pPr>
              <w:pStyle w:val="TableBodyText"/>
              <w:framePr w:w="2155" w:hSpace="227" w:vSpace="181" w:wrap="around" w:vAnchor="text" w:hAnchor="page" w:xAlign="outside" w:y="1"/>
              <w:rPr>
                <w:rFonts w:cs="Arial"/>
              </w:rPr>
            </w:pPr>
            <w:r w:rsidRPr="00485C15">
              <w:rPr>
                <w:rFonts w:cs="Arial"/>
              </w:rPr>
              <w:t>1</w:t>
            </w:r>
            <w:r>
              <w:rPr>
                <w:rFonts w:cs="Arial"/>
              </w:rPr>
              <w:t> </w:t>
            </w:r>
            <w:r w:rsidRPr="00485C15">
              <w:rPr>
                <w:rFonts w:cs="Arial"/>
              </w:rPr>
              <w:t>215.8</w:t>
            </w:r>
          </w:p>
        </w:tc>
        <w:tc>
          <w:tcPr>
            <w:tcW w:w="1048" w:type="pct"/>
            <w:vAlign w:val="bottom"/>
          </w:tcPr>
          <w:p w:rsidR="009D754C" w:rsidRPr="00485C15" w:rsidRDefault="009D754C" w:rsidP="00177DDF">
            <w:pPr>
              <w:pStyle w:val="TableBodyText"/>
              <w:framePr w:w="2155" w:hSpace="227" w:vSpace="181" w:wrap="around" w:vAnchor="text" w:hAnchor="page" w:xAlign="outside" w:y="1"/>
              <w:ind w:right="28"/>
            </w:pPr>
            <w:r w:rsidRPr="00485C15">
              <w:t>10.7</w:t>
            </w:r>
          </w:p>
        </w:tc>
      </w:tr>
      <w:tr w:rsidR="009D754C" w:rsidTr="00A30824">
        <w:tc>
          <w:tcPr>
            <w:tcW w:w="2903" w:type="pct"/>
            <w:shd w:val="clear" w:color="auto" w:fill="D9D9D9" w:themeFill="background1" w:themeFillShade="D9"/>
            <w:vAlign w:val="bottom"/>
          </w:tcPr>
          <w:p w:rsidR="009D754C" w:rsidRPr="00485C15" w:rsidRDefault="009D754C" w:rsidP="00177DDF">
            <w:pPr>
              <w:pStyle w:val="TableBodyText"/>
              <w:jc w:val="left"/>
              <w:rPr>
                <w:b/>
              </w:rPr>
            </w:pPr>
            <w:r w:rsidRPr="00485C15">
              <w:rPr>
                <w:b/>
              </w:rPr>
              <w:t>Total employed</w:t>
            </w:r>
          </w:p>
        </w:tc>
        <w:tc>
          <w:tcPr>
            <w:tcW w:w="1049" w:type="pct"/>
            <w:shd w:val="clear" w:color="auto" w:fill="D9D9D9" w:themeFill="background1" w:themeFillShade="D9"/>
          </w:tcPr>
          <w:p w:rsidR="009D754C" w:rsidRPr="00485C15" w:rsidRDefault="009D754C" w:rsidP="00177DDF">
            <w:pPr>
              <w:pStyle w:val="TableBodyText"/>
              <w:framePr w:w="2155" w:hSpace="227" w:vSpace="181" w:wrap="around" w:vAnchor="text" w:hAnchor="page" w:xAlign="outside" w:y="1"/>
              <w:rPr>
                <w:b/>
              </w:rPr>
            </w:pPr>
            <w:r w:rsidRPr="00485C15">
              <w:rPr>
                <w:b/>
              </w:rPr>
              <w:t>11 353.4</w:t>
            </w:r>
          </w:p>
        </w:tc>
        <w:tc>
          <w:tcPr>
            <w:tcW w:w="1048" w:type="pct"/>
            <w:shd w:val="clear" w:color="auto" w:fill="D9D9D9" w:themeFill="background1" w:themeFillShade="D9"/>
          </w:tcPr>
          <w:p w:rsidR="009D754C" w:rsidRPr="00485C15" w:rsidRDefault="009D754C" w:rsidP="00177DDF">
            <w:pPr>
              <w:pStyle w:val="TableBodyText"/>
              <w:framePr w:w="2155" w:hSpace="227" w:vSpace="181" w:wrap="around" w:vAnchor="text" w:hAnchor="page" w:xAlign="outside" w:y="1"/>
              <w:ind w:right="28"/>
              <w:rPr>
                <w:b/>
              </w:rPr>
            </w:pPr>
            <w:r w:rsidRPr="00485C15">
              <w:rPr>
                <w:b/>
              </w:rPr>
              <w:t>100.0</w:t>
            </w:r>
          </w:p>
        </w:tc>
      </w:tr>
      <w:tr w:rsidR="009D754C" w:rsidTr="00177DDF">
        <w:tc>
          <w:tcPr>
            <w:tcW w:w="2903" w:type="pct"/>
            <w:vAlign w:val="bottom"/>
          </w:tcPr>
          <w:p w:rsidR="009D754C" w:rsidRPr="00485C15" w:rsidRDefault="009D754C" w:rsidP="00177DDF">
            <w:pPr>
              <w:pStyle w:val="TableBodyText"/>
              <w:jc w:val="left"/>
              <w:rPr>
                <w:b/>
              </w:rPr>
            </w:pPr>
          </w:p>
        </w:tc>
        <w:tc>
          <w:tcPr>
            <w:tcW w:w="1049" w:type="pct"/>
          </w:tcPr>
          <w:p w:rsidR="009D754C" w:rsidRPr="00485C15" w:rsidRDefault="009D754C" w:rsidP="00177DDF">
            <w:pPr>
              <w:pStyle w:val="TableBodyText"/>
              <w:framePr w:w="2155" w:hSpace="227" w:vSpace="181" w:wrap="around" w:vAnchor="text" w:hAnchor="page" w:xAlign="outside" w:y="1"/>
              <w:rPr>
                <w:b/>
              </w:rPr>
            </w:pPr>
          </w:p>
        </w:tc>
        <w:tc>
          <w:tcPr>
            <w:tcW w:w="1048" w:type="pct"/>
          </w:tcPr>
          <w:p w:rsidR="009D754C" w:rsidRPr="00485C15" w:rsidRDefault="009D754C" w:rsidP="00177DDF">
            <w:pPr>
              <w:pStyle w:val="TableBodyText"/>
              <w:framePr w:w="2155" w:hSpace="227" w:vSpace="181" w:wrap="around" w:vAnchor="text" w:hAnchor="page" w:xAlign="outside" w:y="1"/>
              <w:ind w:right="28"/>
              <w:rPr>
                <w:b/>
              </w:rPr>
            </w:pPr>
          </w:p>
        </w:tc>
      </w:tr>
      <w:tr w:rsidR="009D754C" w:rsidTr="00177DDF">
        <w:tc>
          <w:tcPr>
            <w:tcW w:w="2903" w:type="pct"/>
            <w:tcBorders>
              <w:bottom w:val="single" w:sz="4" w:space="0" w:color="auto"/>
            </w:tcBorders>
            <w:vAlign w:val="bottom"/>
          </w:tcPr>
          <w:p w:rsidR="009D754C" w:rsidRDefault="009D754C" w:rsidP="00177DDF">
            <w:pPr>
              <w:pStyle w:val="TableBodyText"/>
              <w:jc w:val="left"/>
            </w:pPr>
            <w:r>
              <w:t>Labour hire workers</w:t>
            </w:r>
            <w:r>
              <w:rPr>
                <w:rStyle w:val="NoteLabel"/>
              </w:rPr>
              <w:t>h</w:t>
            </w:r>
          </w:p>
        </w:tc>
        <w:tc>
          <w:tcPr>
            <w:tcW w:w="1049" w:type="pct"/>
            <w:tcBorders>
              <w:bottom w:val="single" w:sz="4" w:space="0" w:color="auto"/>
            </w:tcBorders>
            <w:vAlign w:val="bottom"/>
          </w:tcPr>
          <w:p w:rsidR="009D754C" w:rsidRPr="00485C15" w:rsidRDefault="009D754C" w:rsidP="00177DDF">
            <w:pPr>
              <w:pStyle w:val="TableBodyText"/>
              <w:framePr w:w="2155" w:hSpace="227" w:vSpace="181" w:wrap="around" w:vAnchor="text" w:hAnchor="page" w:xAlign="outside" w:y="1"/>
              <w:rPr>
                <w:rFonts w:cs="Arial"/>
              </w:rPr>
            </w:pPr>
            <w:r w:rsidRPr="00485C15">
              <w:rPr>
                <w:rFonts w:cs="Arial"/>
              </w:rPr>
              <w:t>141.7</w:t>
            </w:r>
          </w:p>
        </w:tc>
        <w:tc>
          <w:tcPr>
            <w:tcW w:w="1048" w:type="pct"/>
            <w:tcBorders>
              <w:bottom w:val="single" w:sz="4" w:space="0" w:color="auto"/>
            </w:tcBorders>
            <w:vAlign w:val="bottom"/>
          </w:tcPr>
          <w:p w:rsidR="009D754C" w:rsidRPr="00485C15" w:rsidRDefault="009D754C" w:rsidP="00177DDF">
            <w:pPr>
              <w:pStyle w:val="TableBodyText"/>
              <w:framePr w:w="2155" w:hSpace="227" w:vSpace="181" w:wrap="around" w:vAnchor="text" w:hAnchor="page" w:xAlign="outside" w:y="1"/>
              <w:ind w:right="28"/>
              <w:rPr>
                <w:rFonts w:cs="Arial"/>
              </w:rPr>
            </w:pPr>
            <w:r w:rsidRPr="00485C15">
              <w:rPr>
                <w:rFonts w:cs="Arial"/>
              </w:rPr>
              <w:t>1.2</w:t>
            </w:r>
          </w:p>
        </w:tc>
      </w:tr>
    </w:tbl>
    <w:p w:rsidR="009D754C" w:rsidRDefault="009D754C" w:rsidP="009D754C">
      <w:pPr>
        <w:pStyle w:val="Note"/>
      </w:pPr>
      <w:r w:rsidRPr="009379EA">
        <w:rPr>
          <w:rStyle w:val="NoteLabel"/>
        </w:rPr>
        <w:t>a</w:t>
      </w:r>
      <w:r>
        <w:t xml:space="preserve"> Data exclude contributing family workers.  </w:t>
      </w:r>
      <w:r>
        <w:rPr>
          <w:rStyle w:val="NoteLabel"/>
        </w:rPr>
        <w:t>b</w:t>
      </w:r>
      <w:r>
        <w:t xml:space="preserve"> Proxied using data on employees with leave entitlements (chapter 3).  </w:t>
      </w:r>
      <w:r w:rsidRPr="00E97687">
        <w:rPr>
          <w:rStyle w:val="NoteLabel"/>
        </w:rPr>
        <w:t>c</w:t>
      </w:r>
      <w:r>
        <w:t xml:space="preserve"> Prox</w:t>
      </w:r>
      <w:r w:rsidR="00924C13">
        <w:t>i</w:t>
      </w:r>
      <w:r>
        <w:t xml:space="preserve">ed using data on employees without leave entitlements (chapter 3).  </w:t>
      </w:r>
      <w:r w:rsidRPr="003D4FD0">
        <w:rPr>
          <w:rStyle w:val="NoteLabel"/>
        </w:rPr>
        <w:t>d</w:t>
      </w:r>
      <w:r>
        <w:t xml:space="preserve"> Fixed-term employees are included in the totals for both </w:t>
      </w:r>
      <w:r w:rsidR="00533119">
        <w:t>permanent and casual employees</w:t>
      </w:r>
      <w:r>
        <w:t xml:space="preserve"> according to whether they received paid leave entitlements.  </w:t>
      </w:r>
      <w:r w:rsidRPr="00073B0F">
        <w:rPr>
          <w:rStyle w:val="NoteLabel"/>
        </w:rPr>
        <w:t>e</w:t>
      </w:r>
      <w:r>
        <w:t xml:space="preserve"> The estimate includes people who identified as employees but were reclassified by the ABS as independent contractors. As a consequence, the estimates for independent contractors and other business operators add to a total slightly higher than the self</w:t>
      </w:r>
      <w:r>
        <w:noBreakHyphen/>
        <w:t xml:space="preserve">employed total.  </w:t>
      </w:r>
      <w:r>
        <w:rPr>
          <w:rStyle w:val="NoteLabel"/>
        </w:rPr>
        <w:t>f</w:t>
      </w:r>
      <w:r>
        <w:t xml:space="preserve"> The estimate includes</w:t>
      </w:r>
      <w:r w:rsidR="00992E28">
        <w:t xml:space="preserve"> people who identified as </w:t>
      </w:r>
      <w:proofErr w:type="spellStart"/>
      <w:r w:rsidR="00533119">
        <w:t>OMIEs</w:t>
      </w:r>
      <w:proofErr w:type="spellEnd"/>
      <w:r>
        <w:t xml:space="preserve"> but were reclassified by the ABS as employees (21 200).  </w:t>
      </w:r>
      <w:r w:rsidR="00533119">
        <w:rPr>
          <w:rStyle w:val="NoteLabel"/>
        </w:rPr>
        <w:t>g</w:t>
      </w:r>
      <w:r w:rsidR="00533119">
        <w:t> </w:t>
      </w:r>
      <w:r>
        <w:t xml:space="preserve">The estimate includes people who identified as </w:t>
      </w:r>
      <w:proofErr w:type="spellStart"/>
      <w:r w:rsidR="00533119">
        <w:t>OMUEs</w:t>
      </w:r>
      <w:proofErr w:type="spellEnd"/>
      <w:r>
        <w:t xml:space="preserve"> but were reclassified by the ABS as employees (29 000). </w:t>
      </w:r>
      <w:r w:rsidR="004B0334">
        <w:t xml:space="preserve"> </w:t>
      </w:r>
      <w:r>
        <w:rPr>
          <w:rStyle w:val="NoteLabel"/>
        </w:rPr>
        <w:t>h</w:t>
      </w:r>
      <w:r>
        <w:t xml:space="preserve"> Estimate is for workers who were paid by a labour hire firm. These workers overlap with other FOWs.</w:t>
      </w:r>
    </w:p>
    <w:p w:rsidR="009D754C" w:rsidRDefault="009D754C" w:rsidP="009D754C">
      <w:pPr>
        <w:pStyle w:val="Source"/>
      </w:pPr>
      <w:r>
        <w:rPr>
          <w:i/>
        </w:rPr>
        <w:t>Source</w:t>
      </w:r>
      <w:r w:rsidR="00533119">
        <w:t>: T</w:t>
      </w:r>
      <w:r>
        <w:t>ables </w:t>
      </w:r>
      <w:proofErr w:type="spellStart"/>
      <w:r>
        <w:t>B.2</w:t>
      </w:r>
      <w:proofErr w:type="spellEnd"/>
      <w:r>
        <w:t xml:space="preserve"> to </w:t>
      </w:r>
      <w:proofErr w:type="spellStart"/>
      <w:r>
        <w:t>B.9</w:t>
      </w:r>
      <w:proofErr w:type="spellEnd"/>
      <w:r>
        <w:t>.</w:t>
      </w:r>
    </w:p>
    <w:p w:rsidR="009D754C" w:rsidRDefault="001E64F7" w:rsidP="009D754C">
      <w:pPr>
        <w:pStyle w:val="Heading2"/>
      </w:pPr>
      <w:fldSimple w:instr=" COMMENTS  \* MERGEFORMAT ">
        <w:r w:rsidR="009D754C">
          <w:t>1.</w:t>
        </w:r>
      </w:fldSimple>
      <w:fldSimple w:instr=" SEQ Heading2 ">
        <w:r w:rsidR="00240643">
          <w:rPr>
            <w:noProof/>
          </w:rPr>
          <w:t>3</w:t>
        </w:r>
      </w:fldSimple>
      <w:r w:rsidR="009D754C">
        <w:tab/>
        <w:t>Research questions addressed in this paper</w:t>
      </w:r>
    </w:p>
    <w:p w:rsidR="009D754C" w:rsidRDefault="009D754C" w:rsidP="009D754C">
      <w:pPr>
        <w:pStyle w:val="BodyText"/>
        <w:rPr>
          <w:spacing w:val="-2"/>
        </w:rPr>
      </w:pPr>
      <w:r>
        <w:rPr>
          <w:spacing w:val="-2"/>
        </w:rPr>
        <w:t xml:space="preserve">As noted above, this paper analyses how the prevalence of different FOWs has changed in Australia, with a particular focus on the decade to 2011, and considers why those changes might have occurred. </w:t>
      </w:r>
    </w:p>
    <w:p w:rsidR="009D754C" w:rsidRDefault="009D754C" w:rsidP="009D754C">
      <w:pPr>
        <w:pStyle w:val="BodyText"/>
      </w:pPr>
      <w:r>
        <w:t>The following research questions are addressed in this paper:</w:t>
      </w:r>
    </w:p>
    <w:p w:rsidR="009D754C" w:rsidRDefault="009D754C" w:rsidP="009D754C">
      <w:pPr>
        <w:pStyle w:val="ListBullet"/>
      </w:pPr>
      <w:r>
        <w:t>From a theoretical perspective, what are the demand-side, supply-side and institutional factors that influence the prevalence of different FOWs (chapter 2)?</w:t>
      </w:r>
    </w:p>
    <w:p w:rsidR="009D754C" w:rsidRDefault="009D754C" w:rsidP="009D754C">
      <w:pPr>
        <w:pStyle w:val="ListBullet"/>
      </w:pPr>
      <w:r>
        <w:t>How has the prevalence of different FOWs changed in the past 30 years, and more specifically over the past decade (chapter 3)?</w:t>
      </w:r>
    </w:p>
    <w:p w:rsidR="009D754C" w:rsidRDefault="009D754C" w:rsidP="009D754C">
      <w:pPr>
        <w:pStyle w:val="ListBullet"/>
      </w:pPr>
      <w:r>
        <w:t>What might have caused the observed changes in prevalence of FOWs over the past decade (chapter 4)?</w:t>
      </w:r>
    </w:p>
    <w:p w:rsidR="00F056FC" w:rsidRDefault="009D754C" w:rsidP="00120072">
      <w:pPr>
        <w:pStyle w:val="BodyText"/>
      </w:pPr>
      <w:r>
        <w:t>Supporting analysis is presented in appendices.</w:t>
      </w:r>
    </w:p>
    <w:sectPr w:rsidR="00F056FC" w:rsidSect="0089285E">
      <w:headerReference w:type="even" r:id="rId11"/>
      <w:headerReference w:type="default" r:id="rId12"/>
      <w:footerReference w:type="even" r:id="rId13"/>
      <w:footerReference w:type="default" r:id="rId14"/>
      <w:pgSz w:w="11907" w:h="16840" w:code="9"/>
      <w:pgMar w:top="1985" w:right="1304" w:bottom="1418" w:left="1814" w:header="1701" w:footer="567" w:gutter="0"/>
      <w:pgNumType w:start="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9CC" w:rsidRDefault="002E39CC">
      <w:r>
        <w:separator/>
      </w:r>
    </w:p>
  </w:endnote>
  <w:endnote w:type="continuationSeparator" w:id="0">
    <w:p w:rsidR="002E39CC" w:rsidRDefault="002E3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2E39CC">
      <w:trPr>
        <w:trHeight w:hRule="exact" w:val="740"/>
      </w:trPr>
      <w:tc>
        <w:tcPr>
          <w:tcW w:w="510" w:type="dxa"/>
          <w:tcBorders>
            <w:top w:val="single" w:sz="6" w:space="0" w:color="auto"/>
          </w:tcBorders>
        </w:tcPr>
        <w:p w:rsidR="002E39CC" w:rsidRDefault="002E39CC"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2625D7">
            <w:rPr>
              <w:rStyle w:val="PageNumber"/>
              <w:noProof/>
            </w:rPr>
            <w:t>2</w:t>
          </w:r>
          <w:r>
            <w:rPr>
              <w:rStyle w:val="PageNumber"/>
            </w:rPr>
            <w:fldChar w:fldCharType="end"/>
          </w:r>
        </w:p>
      </w:tc>
      <w:tc>
        <w:tcPr>
          <w:tcW w:w="1644" w:type="dxa"/>
          <w:tcBorders>
            <w:top w:val="single" w:sz="6" w:space="0" w:color="auto"/>
          </w:tcBorders>
        </w:tcPr>
        <w:p w:rsidR="002E39CC" w:rsidRDefault="001E64F7" w:rsidP="0019293B">
          <w:pPr>
            <w:pStyle w:val="Footer"/>
          </w:pPr>
          <w:fldSimple w:instr=" SUBJECT  \* MERGEFORMAT ">
            <w:r w:rsidR="002E39CC">
              <w:t>Forms of work</w:t>
            </w:r>
          </w:fldSimple>
        </w:p>
      </w:tc>
      <w:tc>
        <w:tcPr>
          <w:tcW w:w="6634" w:type="dxa"/>
        </w:tcPr>
        <w:p w:rsidR="002E39CC" w:rsidRDefault="002E39CC" w:rsidP="0019293B">
          <w:pPr>
            <w:pStyle w:val="Footer"/>
          </w:pPr>
        </w:p>
      </w:tc>
    </w:tr>
  </w:tbl>
  <w:p w:rsidR="002E39CC" w:rsidRDefault="002E39CC"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2E39CC">
      <w:trPr>
        <w:trHeight w:hRule="exact" w:val="740"/>
      </w:trPr>
      <w:tc>
        <w:tcPr>
          <w:tcW w:w="6634" w:type="dxa"/>
        </w:tcPr>
        <w:p w:rsidR="002E39CC" w:rsidRDefault="002E39CC">
          <w:pPr>
            <w:pStyle w:val="Footer"/>
            <w:ind w:right="360" w:firstLine="360"/>
          </w:pPr>
        </w:p>
      </w:tc>
      <w:tc>
        <w:tcPr>
          <w:tcW w:w="1644" w:type="dxa"/>
          <w:tcBorders>
            <w:top w:val="single" w:sz="6" w:space="0" w:color="auto"/>
          </w:tcBorders>
        </w:tcPr>
        <w:p w:rsidR="002E39CC" w:rsidRDefault="002E39CC">
          <w:pPr>
            <w:pStyle w:val="Footer"/>
          </w:pPr>
          <w:r>
            <w:t>INTRODUCTION</w:t>
          </w:r>
        </w:p>
      </w:tc>
      <w:tc>
        <w:tcPr>
          <w:tcW w:w="510" w:type="dxa"/>
          <w:tcBorders>
            <w:top w:val="single" w:sz="6" w:space="0" w:color="auto"/>
          </w:tcBorders>
        </w:tcPr>
        <w:p w:rsidR="002E39CC" w:rsidRDefault="002E39CC">
          <w:pPr>
            <w:pStyle w:val="Footer"/>
            <w:jc w:val="right"/>
          </w:pPr>
          <w:r>
            <w:rPr>
              <w:rStyle w:val="PageNumber"/>
            </w:rPr>
            <w:fldChar w:fldCharType="begin"/>
          </w:r>
          <w:r>
            <w:rPr>
              <w:rStyle w:val="PageNumber"/>
            </w:rPr>
            <w:instrText xml:space="preserve">PAGE  </w:instrText>
          </w:r>
          <w:r>
            <w:rPr>
              <w:rStyle w:val="PageNumber"/>
            </w:rPr>
            <w:fldChar w:fldCharType="separate"/>
          </w:r>
          <w:r w:rsidR="002625D7">
            <w:rPr>
              <w:rStyle w:val="PageNumber"/>
              <w:noProof/>
            </w:rPr>
            <w:t>3</w:t>
          </w:r>
          <w:r>
            <w:rPr>
              <w:rStyle w:val="PageNumber"/>
            </w:rPr>
            <w:fldChar w:fldCharType="end"/>
          </w:r>
        </w:p>
      </w:tc>
    </w:tr>
  </w:tbl>
  <w:p w:rsidR="002E39CC" w:rsidRDefault="002E39CC">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9CC" w:rsidRDefault="002E39CC">
      <w:r>
        <w:separator/>
      </w:r>
    </w:p>
  </w:footnote>
  <w:footnote w:type="continuationSeparator" w:id="0">
    <w:p w:rsidR="002E39CC" w:rsidRDefault="002E39CC">
      <w:r>
        <w:continuationSeparator/>
      </w:r>
    </w:p>
  </w:footnote>
  <w:footnote w:id="1">
    <w:p w:rsidR="002E39CC" w:rsidRDefault="002E39CC" w:rsidP="009D754C">
      <w:pPr>
        <w:pStyle w:val="FootnoteText"/>
      </w:pPr>
      <w:r>
        <w:rPr>
          <w:rStyle w:val="FootnoteReference"/>
        </w:rPr>
        <w:footnoteRef/>
      </w:r>
      <w:r>
        <w:tab/>
        <w:t>The Australian literature, for example, includes: Burgess and Campbell (1998), Murtough and Waite (2000) and Simpson, Dawkins and Madden (1997) on casual employment; Hall (2000) and Waite and Will (2002) on fixed</w:t>
      </w:r>
      <w:r>
        <w:noBreakHyphen/>
        <w:t>term employees; Hall (2002) and Laplagne, Glover and Fry (2005) on labour hire employment; and Vandenheuvel and Wooden (1995) and Waite and Will (2001) on contracting.</w:t>
      </w:r>
    </w:p>
  </w:footnote>
  <w:footnote w:id="2">
    <w:p w:rsidR="002E39CC" w:rsidRPr="00BA4DB4" w:rsidRDefault="002E39CC" w:rsidP="009D754C">
      <w:pPr>
        <w:pStyle w:val="FootnoteText"/>
        <w:rPr>
          <w:spacing w:val="-2"/>
        </w:rPr>
      </w:pPr>
      <w:r>
        <w:rPr>
          <w:rStyle w:val="FootnoteReference"/>
        </w:rPr>
        <w:footnoteRef/>
      </w:r>
      <w:r>
        <w:tab/>
      </w:r>
      <w:r w:rsidRPr="00BA4DB4">
        <w:rPr>
          <w:spacing w:val="-2"/>
        </w:rPr>
        <w:t>Differences in the prevalence of casuals across countries could be due to differences in definitions.</w:t>
      </w:r>
    </w:p>
  </w:footnote>
  <w:footnote w:id="3">
    <w:p w:rsidR="002E39CC" w:rsidRPr="00E65586" w:rsidRDefault="002E39CC" w:rsidP="009D754C">
      <w:pPr>
        <w:pStyle w:val="FootnoteText"/>
        <w:rPr>
          <w:spacing w:val="-2"/>
        </w:rPr>
      </w:pPr>
      <w:r w:rsidRPr="00E65586">
        <w:rPr>
          <w:rStyle w:val="FootnoteReference"/>
          <w:spacing w:val="-2"/>
        </w:rPr>
        <w:footnoteRef/>
      </w:r>
      <w:r>
        <w:rPr>
          <w:spacing w:val="-2"/>
        </w:rPr>
        <w:tab/>
        <w:t xml:space="preserve">Both </w:t>
      </w:r>
      <w:proofErr w:type="spellStart"/>
      <w:r>
        <w:rPr>
          <w:spacing w:val="-2"/>
        </w:rPr>
        <w:t>Atalay</w:t>
      </w:r>
      <w:proofErr w:type="spellEnd"/>
      <w:r>
        <w:rPr>
          <w:spacing w:val="-2"/>
        </w:rPr>
        <w:t xml:space="preserve">, Kim and Whelan </w:t>
      </w:r>
      <w:r w:rsidRPr="00E65586">
        <w:rPr>
          <w:spacing w:val="-2"/>
        </w:rPr>
        <w:t>(2013) and the OECD (2011), however, only dr</w:t>
      </w:r>
      <w:r>
        <w:rPr>
          <w:spacing w:val="-2"/>
        </w:rPr>
        <w:t xml:space="preserve">ew on data for owner </w:t>
      </w:r>
      <w:r w:rsidRPr="00E65586">
        <w:rPr>
          <w:spacing w:val="-2"/>
        </w:rPr>
        <w:t xml:space="preserve">managers of unincorporated enterprises. </w:t>
      </w:r>
      <w:r>
        <w:rPr>
          <w:spacing w:val="-2"/>
        </w:rPr>
        <w:t>These analyses, therefore, exclude the self</w:t>
      </w:r>
      <w:r>
        <w:rPr>
          <w:spacing w:val="-2"/>
        </w:rPr>
        <w:noBreakHyphen/>
        <w:t>employed who were owner managers of incorporated enterprises.</w:t>
      </w:r>
    </w:p>
  </w:footnote>
  <w:footnote w:id="4">
    <w:p w:rsidR="002E39CC" w:rsidRDefault="002E39CC" w:rsidP="009D754C">
      <w:pPr>
        <w:pStyle w:val="FootnoteText"/>
      </w:pPr>
      <w:r>
        <w:rPr>
          <w:rStyle w:val="FootnoteReference"/>
        </w:rPr>
        <w:footnoteRef/>
      </w:r>
      <w:r>
        <w:tab/>
        <w:t>This association does not imply causality from casual work to training opportunities. There may be a range of high- and low-skill jobs and casual workers could tend to be employed in lower</w:t>
      </w:r>
      <w:r>
        <w:noBreakHyphen/>
        <w:t>skilled jobs that require little training.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2E39CC">
      <w:tc>
        <w:tcPr>
          <w:tcW w:w="2155" w:type="dxa"/>
          <w:tcBorders>
            <w:top w:val="single" w:sz="24" w:space="0" w:color="auto"/>
          </w:tcBorders>
        </w:tcPr>
        <w:p w:rsidR="002E39CC" w:rsidRDefault="002E39CC" w:rsidP="0019293B">
          <w:pPr>
            <w:pStyle w:val="HeaderEven"/>
          </w:pPr>
        </w:p>
      </w:tc>
      <w:tc>
        <w:tcPr>
          <w:tcW w:w="6634" w:type="dxa"/>
          <w:tcBorders>
            <w:top w:val="single" w:sz="6" w:space="0" w:color="auto"/>
          </w:tcBorders>
        </w:tcPr>
        <w:p w:rsidR="002E39CC" w:rsidRDefault="002E39CC" w:rsidP="0019293B">
          <w:pPr>
            <w:pStyle w:val="HeaderEven"/>
          </w:pPr>
        </w:p>
      </w:tc>
    </w:tr>
  </w:tbl>
  <w:p w:rsidR="002E39CC" w:rsidRDefault="002E39CC"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2E39CC">
      <w:tc>
        <w:tcPr>
          <w:tcW w:w="6634" w:type="dxa"/>
          <w:tcBorders>
            <w:top w:val="single" w:sz="6" w:space="0" w:color="auto"/>
          </w:tcBorders>
        </w:tcPr>
        <w:p w:rsidR="002E39CC" w:rsidRDefault="002E39CC" w:rsidP="00E669E2">
          <w:pPr>
            <w:pStyle w:val="HeaderOdd"/>
          </w:pPr>
        </w:p>
      </w:tc>
      <w:tc>
        <w:tcPr>
          <w:tcW w:w="2155" w:type="dxa"/>
          <w:tcBorders>
            <w:top w:val="single" w:sz="24" w:space="0" w:color="auto"/>
          </w:tcBorders>
        </w:tcPr>
        <w:p w:rsidR="002E39CC" w:rsidRDefault="002E39CC" w:rsidP="00E669E2">
          <w:pPr>
            <w:pStyle w:val="HeaderOdd"/>
          </w:pPr>
        </w:p>
      </w:tc>
    </w:tr>
  </w:tbl>
  <w:p w:rsidR="002E39CC" w:rsidRDefault="002E39CC"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1">
    <w:nsid w:val="5A096576"/>
    <w:multiLevelType w:val="singleLevel"/>
    <w:tmpl w:val="ED98921A"/>
    <w:lvl w:ilvl="0">
      <w:start w:val="1"/>
      <w:numFmt w:val="decimal"/>
      <w:lvlText w:val="%1."/>
      <w:legacy w:legacy="1" w:legacySpace="0" w:legacyIndent="340"/>
      <w:lvlJc w:val="left"/>
      <w:pPr>
        <w:ind w:left="340" w:hanging="340"/>
      </w:pPr>
    </w:lvl>
  </w:abstractNum>
  <w:abstractNum w:abstractNumId="32">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0055F7F"/>
    <w:multiLevelType w:val="singleLevel"/>
    <w:tmpl w:val="ED98921A"/>
    <w:lvl w:ilvl="0">
      <w:start w:val="1"/>
      <w:numFmt w:val="decimal"/>
      <w:lvlText w:val="%1."/>
      <w:legacy w:legacy="1" w:legacySpace="0" w:legacyIndent="340"/>
      <w:lvlJc w:val="left"/>
      <w:pPr>
        <w:ind w:left="340" w:hanging="340"/>
      </w:pPr>
    </w:lvl>
  </w:abstractNum>
  <w:abstractNum w:abstractNumId="34">
    <w:nsid w:val="608E741E"/>
    <w:multiLevelType w:val="singleLevel"/>
    <w:tmpl w:val="ED98921A"/>
    <w:lvl w:ilvl="0">
      <w:start w:val="1"/>
      <w:numFmt w:val="decimal"/>
      <w:lvlText w:val="%1."/>
      <w:legacy w:legacy="1" w:legacySpace="0" w:legacyIndent="340"/>
      <w:lvlJc w:val="left"/>
      <w:pPr>
        <w:ind w:left="340" w:hanging="340"/>
      </w:pPr>
    </w:lvl>
  </w:abstractNum>
  <w:abstractNum w:abstractNumId="35">
    <w:nsid w:val="61320C1E"/>
    <w:multiLevelType w:val="singleLevel"/>
    <w:tmpl w:val="C444122C"/>
    <w:lvl w:ilvl="0">
      <w:start w:val="1"/>
      <w:numFmt w:val="decimal"/>
      <w:lvlText w:val="%1."/>
      <w:legacy w:legacy="1" w:legacySpace="0" w:legacyIndent="284"/>
      <w:lvlJc w:val="left"/>
      <w:pPr>
        <w:ind w:left="284" w:hanging="284"/>
      </w:pPr>
    </w:lvl>
  </w:abstractNum>
  <w:abstractNum w:abstractNumId="36">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7">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8">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9">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0">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2">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3">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4">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2"/>
  </w:num>
  <w:num w:numId="4">
    <w:abstractNumId w:val="7"/>
  </w:num>
  <w:num w:numId="5">
    <w:abstractNumId w:val="5"/>
  </w:num>
  <w:num w:numId="6">
    <w:abstractNumId w:val="25"/>
  </w:num>
  <w:num w:numId="7">
    <w:abstractNumId w:val="3"/>
  </w:num>
  <w:num w:numId="8">
    <w:abstractNumId w:val="9"/>
  </w:num>
  <w:num w:numId="9">
    <w:abstractNumId w:val="2"/>
  </w:num>
  <w:num w:numId="10">
    <w:abstractNumId w:val="37"/>
  </w:num>
  <w:num w:numId="11">
    <w:abstractNumId w:val="4"/>
  </w:num>
  <w:num w:numId="12">
    <w:abstractNumId w:val="1"/>
  </w:num>
  <w:num w:numId="13">
    <w:abstractNumId w:val="0"/>
  </w:num>
  <w:num w:numId="14">
    <w:abstractNumId w:val="28"/>
  </w:num>
  <w:num w:numId="15">
    <w:abstractNumId w:val="43"/>
  </w:num>
  <w:num w:numId="16">
    <w:abstractNumId w:val="17"/>
  </w:num>
  <w:num w:numId="17">
    <w:abstractNumId w:val="16"/>
  </w:num>
  <w:num w:numId="18">
    <w:abstractNumId w:val="26"/>
  </w:num>
  <w:num w:numId="19">
    <w:abstractNumId w:val="12"/>
  </w:num>
  <w:num w:numId="20">
    <w:abstractNumId w:val="34"/>
  </w:num>
  <w:num w:numId="21">
    <w:abstractNumId w:val="36"/>
  </w:num>
  <w:num w:numId="22">
    <w:abstractNumId w:val="24"/>
  </w:num>
  <w:num w:numId="23">
    <w:abstractNumId w:val="27"/>
  </w:num>
  <w:num w:numId="24">
    <w:abstractNumId w:val="29"/>
  </w:num>
  <w:num w:numId="25">
    <w:abstractNumId w:val="41"/>
  </w:num>
  <w:num w:numId="26">
    <w:abstractNumId w:val="33"/>
  </w:num>
  <w:num w:numId="27">
    <w:abstractNumId w:val="38"/>
  </w:num>
  <w:num w:numId="28">
    <w:abstractNumId w:val="39"/>
  </w:num>
  <w:num w:numId="29">
    <w:abstractNumId w:val="31"/>
  </w:num>
  <w:num w:numId="30">
    <w:abstractNumId w:val="21"/>
  </w:num>
  <w:num w:numId="31">
    <w:abstractNumId w:val="44"/>
  </w:num>
  <w:num w:numId="32">
    <w:abstractNumId w:val="15"/>
  </w:num>
  <w:num w:numId="33">
    <w:abstractNumId w:val="8"/>
  </w:num>
  <w:num w:numId="34">
    <w:abstractNumId w:val="18"/>
  </w:num>
  <w:num w:numId="35">
    <w:abstractNumId w:val="40"/>
  </w:num>
  <w:num w:numId="36">
    <w:abstractNumId w:val="32"/>
  </w:num>
  <w:num w:numId="37">
    <w:abstractNumId w:val="13"/>
  </w:num>
  <w:num w:numId="38">
    <w:abstractNumId w:val="35"/>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2"/>
  </w:num>
  <w:num w:numId="47">
    <w:abstractNumId w:val="10"/>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Chapter"/>
    <w:docVar w:name="ShortReportTitle" w:val="Forms of work"/>
  </w:docVars>
  <w:rsids>
    <w:rsidRoot w:val="009D754C"/>
    <w:rsid w:val="000227D5"/>
    <w:rsid w:val="000245AA"/>
    <w:rsid w:val="0003664B"/>
    <w:rsid w:val="0004111F"/>
    <w:rsid w:val="000565B3"/>
    <w:rsid w:val="0007150B"/>
    <w:rsid w:val="000938F5"/>
    <w:rsid w:val="00096E55"/>
    <w:rsid w:val="000A302F"/>
    <w:rsid w:val="000B311B"/>
    <w:rsid w:val="000B601B"/>
    <w:rsid w:val="000C207E"/>
    <w:rsid w:val="000E470B"/>
    <w:rsid w:val="000F0035"/>
    <w:rsid w:val="000F1498"/>
    <w:rsid w:val="000F25D2"/>
    <w:rsid w:val="000F420B"/>
    <w:rsid w:val="00110116"/>
    <w:rsid w:val="00120072"/>
    <w:rsid w:val="00126EB8"/>
    <w:rsid w:val="001274D4"/>
    <w:rsid w:val="001363AA"/>
    <w:rsid w:val="0015273E"/>
    <w:rsid w:val="00177DDF"/>
    <w:rsid w:val="00183E82"/>
    <w:rsid w:val="001878BB"/>
    <w:rsid w:val="00191AE0"/>
    <w:rsid w:val="0019293B"/>
    <w:rsid w:val="001961F6"/>
    <w:rsid w:val="001C0865"/>
    <w:rsid w:val="001C3ABA"/>
    <w:rsid w:val="001E64F7"/>
    <w:rsid w:val="001E7BE8"/>
    <w:rsid w:val="001F0248"/>
    <w:rsid w:val="001F3EB3"/>
    <w:rsid w:val="001F4F86"/>
    <w:rsid w:val="00202C2C"/>
    <w:rsid w:val="002135AB"/>
    <w:rsid w:val="002144BE"/>
    <w:rsid w:val="002272E8"/>
    <w:rsid w:val="002347EE"/>
    <w:rsid w:val="00240643"/>
    <w:rsid w:val="00242279"/>
    <w:rsid w:val="00245C82"/>
    <w:rsid w:val="002621B2"/>
    <w:rsid w:val="002625D7"/>
    <w:rsid w:val="0027791D"/>
    <w:rsid w:val="00291B40"/>
    <w:rsid w:val="002B4008"/>
    <w:rsid w:val="002D0E8E"/>
    <w:rsid w:val="002E0FE5"/>
    <w:rsid w:val="002E39CC"/>
    <w:rsid w:val="00301189"/>
    <w:rsid w:val="00306BDF"/>
    <w:rsid w:val="00323E09"/>
    <w:rsid w:val="00333932"/>
    <w:rsid w:val="003518AA"/>
    <w:rsid w:val="00352165"/>
    <w:rsid w:val="00353182"/>
    <w:rsid w:val="003565D9"/>
    <w:rsid w:val="003602E1"/>
    <w:rsid w:val="00360454"/>
    <w:rsid w:val="00367CC1"/>
    <w:rsid w:val="0037026F"/>
    <w:rsid w:val="00371240"/>
    <w:rsid w:val="00374731"/>
    <w:rsid w:val="00376E59"/>
    <w:rsid w:val="003919F9"/>
    <w:rsid w:val="003C38B5"/>
    <w:rsid w:val="003C5D99"/>
    <w:rsid w:val="003E2F59"/>
    <w:rsid w:val="003F0789"/>
    <w:rsid w:val="003F5664"/>
    <w:rsid w:val="00401882"/>
    <w:rsid w:val="0040735B"/>
    <w:rsid w:val="004100C8"/>
    <w:rsid w:val="00411DBD"/>
    <w:rsid w:val="00412ACE"/>
    <w:rsid w:val="00431249"/>
    <w:rsid w:val="00434C19"/>
    <w:rsid w:val="00450810"/>
    <w:rsid w:val="0047120A"/>
    <w:rsid w:val="00477144"/>
    <w:rsid w:val="00491380"/>
    <w:rsid w:val="0049459F"/>
    <w:rsid w:val="004A38DD"/>
    <w:rsid w:val="004B0334"/>
    <w:rsid w:val="004B43AE"/>
    <w:rsid w:val="004C30ED"/>
    <w:rsid w:val="004C7A21"/>
    <w:rsid w:val="004D5675"/>
    <w:rsid w:val="004D74B4"/>
    <w:rsid w:val="00523639"/>
    <w:rsid w:val="00531FE5"/>
    <w:rsid w:val="0053248D"/>
    <w:rsid w:val="00533119"/>
    <w:rsid w:val="005402FA"/>
    <w:rsid w:val="00583C39"/>
    <w:rsid w:val="00587F28"/>
    <w:rsid w:val="005909CF"/>
    <w:rsid w:val="00591E71"/>
    <w:rsid w:val="005A0D41"/>
    <w:rsid w:val="00607BF1"/>
    <w:rsid w:val="00630D4D"/>
    <w:rsid w:val="00632A74"/>
    <w:rsid w:val="006700DB"/>
    <w:rsid w:val="00694E09"/>
    <w:rsid w:val="006A4655"/>
    <w:rsid w:val="006B2B3C"/>
    <w:rsid w:val="006C1D81"/>
    <w:rsid w:val="006C7038"/>
    <w:rsid w:val="006D47A8"/>
    <w:rsid w:val="006E73EF"/>
    <w:rsid w:val="00714D4D"/>
    <w:rsid w:val="00746C72"/>
    <w:rsid w:val="007604BB"/>
    <w:rsid w:val="00775136"/>
    <w:rsid w:val="00785232"/>
    <w:rsid w:val="007A21EB"/>
    <w:rsid w:val="007B1A93"/>
    <w:rsid w:val="007C36C9"/>
    <w:rsid w:val="007D6401"/>
    <w:rsid w:val="007E01E4"/>
    <w:rsid w:val="007F7107"/>
    <w:rsid w:val="00800D4C"/>
    <w:rsid w:val="0081030F"/>
    <w:rsid w:val="0082087D"/>
    <w:rsid w:val="00835771"/>
    <w:rsid w:val="00842933"/>
    <w:rsid w:val="00846843"/>
    <w:rsid w:val="0086082C"/>
    <w:rsid w:val="00864ADC"/>
    <w:rsid w:val="00880153"/>
    <w:rsid w:val="00880F97"/>
    <w:rsid w:val="0088133A"/>
    <w:rsid w:val="0089285E"/>
    <w:rsid w:val="0089436C"/>
    <w:rsid w:val="008D365C"/>
    <w:rsid w:val="009030BF"/>
    <w:rsid w:val="009051A2"/>
    <w:rsid w:val="0091032F"/>
    <w:rsid w:val="00914368"/>
    <w:rsid w:val="00924C13"/>
    <w:rsid w:val="00931076"/>
    <w:rsid w:val="009345D9"/>
    <w:rsid w:val="00934B15"/>
    <w:rsid w:val="00940C87"/>
    <w:rsid w:val="00942B62"/>
    <w:rsid w:val="009441CE"/>
    <w:rsid w:val="0095323B"/>
    <w:rsid w:val="00956A0C"/>
    <w:rsid w:val="00956BD9"/>
    <w:rsid w:val="00962489"/>
    <w:rsid w:val="00990C2C"/>
    <w:rsid w:val="00992E28"/>
    <w:rsid w:val="009B6825"/>
    <w:rsid w:val="009D754C"/>
    <w:rsid w:val="009E1844"/>
    <w:rsid w:val="009F0D1B"/>
    <w:rsid w:val="009F696D"/>
    <w:rsid w:val="009F6BC6"/>
    <w:rsid w:val="00A17328"/>
    <w:rsid w:val="00A23A20"/>
    <w:rsid w:val="00A268B9"/>
    <w:rsid w:val="00A2703A"/>
    <w:rsid w:val="00A30824"/>
    <w:rsid w:val="00A33DFF"/>
    <w:rsid w:val="00A35115"/>
    <w:rsid w:val="00A36D9A"/>
    <w:rsid w:val="00A554AB"/>
    <w:rsid w:val="00A57062"/>
    <w:rsid w:val="00A871F3"/>
    <w:rsid w:val="00A92B53"/>
    <w:rsid w:val="00A94FA6"/>
    <w:rsid w:val="00AA49A0"/>
    <w:rsid w:val="00AA6710"/>
    <w:rsid w:val="00AB0681"/>
    <w:rsid w:val="00AD520B"/>
    <w:rsid w:val="00B425C3"/>
    <w:rsid w:val="00B440AD"/>
    <w:rsid w:val="00B479BB"/>
    <w:rsid w:val="00B53E7E"/>
    <w:rsid w:val="00B6342E"/>
    <w:rsid w:val="00B7113F"/>
    <w:rsid w:val="00BA73B6"/>
    <w:rsid w:val="00BA7E27"/>
    <w:rsid w:val="00BB2603"/>
    <w:rsid w:val="00BB4FCD"/>
    <w:rsid w:val="00BC04E9"/>
    <w:rsid w:val="00BC681E"/>
    <w:rsid w:val="00BD13EA"/>
    <w:rsid w:val="00BE3808"/>
    <w:rsid w:val="00C014AD"/>
    <w:rsid w:val="00C062E9"/>
    <w:rsid w:val="00C07B64"/>
    <w:rsid w:val="00C13592"/>
    <w:rsid w:val="00C13721"/>
    <w:rsid w:val="00C14FE4"/>
    <w:rsid w:val="00C3066D"/>
    <w:rsid w:val="00C52416"/>
    <w:rsid w:val="00C543F4"/>
    <w:rsid w:val="00C6291C"/>
    <w:rsid w:val="00C633CB"/>
    <w:rsid w:val="00C649CB"/>
    <w:rsid w:val="00C736B7"/>
    <w:rsid w:val="00C81D4A"/>
    <w:rsid w:val="00C82F4E"/>
    <w:rsid w:val="00C8762C"/>
    <w:rsid w:val="00CA00F9"/>
    <w:rsid w:val="00CA2961"/>
    <w:rsid w:val="00CA2E35"/>
    <w:rsid w:val="00CB50D7"/>
    <w:rsid w:val="00CB7177"/>
    <w:rsid w:val="00CC1998"/>
    <w:rsid w:val="00CC4946"/>
    <w:rsid w:val="00D270A4"/>
    <w:rsid w:val="00D27E92"/>
    <w:rsid w:val="00D31FE9"/>
    <w:rsid w:val="00D34E1B"/>
    <w:rsid w:val="00D376BA"/>
    <w:rsid w:val="00D45634"/>
    <w:rsid w:val="00D5568A"/>
    <w:rsid w:val="00D63D73"/>
    <w:rsid w:val="00D64452"/>
    <w:rsid w:val="00D66E1E"/>
    <w:rsid w:val="00D75722"/>
    <w:rsid w:val="00D80CF5"/>
    <w:rsid w:val="00D8595B"/>
    <w:rsid w:val="00DA4F45"/>
    <w:rsid w:val="00DA5BBA"/>
    <w:rsid w:val="00DB26D2"/>
    <w:rsid w:val="00DB67C9"/>
    <w:rsid w:val="00DC0C95"/>
    <w:rsid w:val="00DC6652"/>
    <w:rsid w:val="00DD6580"/>
    <w:rsid w:val="00E05A87"/>
    <w:rsid w:val="00E17C72"/>
    <w:rsid w:val="00E21FC6"/>
    <w:rsid w:val="00E34A36"/>
    <w:rsid w:val="00E431A9"/>
    <w:rsid w:val="00E669E2"/>
    <w:rsid w:val="00E76135"/>
    <w:rsid w:val="00E82F4F"/>
    <w:rsid w:val="00EC2844"/>
    <w:rsid w:val="00EC5500"/>
    <w:rsid w:val="00ED18F8"/>
    <w:rsid w:val="00EF6C6C"/>
    <w:rsid w:val="00F056FC"/>
    <w:rsid w:val="00F10476"/>
    <w:rsid w:val="00F135D8"/>
    <w:rsid w:val="00F30B6D"/>
    <w:rsid w:val="00F31299"/>
    <w:rsid w:val="00F3534A"/>
    <w:rsid w:val="00F51609"/>
    <w:rsid w:val="00F81006"/>
    <w:rsid w:val="00F85325"/>
    <w:rsid w:val="00FD22B1"/>
    <w:rsid w:val="00FD4896"/>
    <w:rsid w:val="00FE53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9D754C"/>
    <w:rPr>
      <w:rFonts w:ascii="Calibri" w:hAnsi="Calibri"/>
      <w:sz w:val="22"/>
      <w:szCs w:val="22"/>
      <w:lang w:eastAsia="en-US"/>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articletemplatetext">
    <w:name w:val="articletemplatetext"/>
    <w:basedOn w:val="DefaultParagraphFont"/>
    <w:rsid w:val="009D754C"/>
  </w:style>
  <w:style w:type="paragraph" w:styleId="CommentSubject">
    <w:name w:val="annotation subject"/>
    <w:basedOn w:val="CommentText"/>
    <w:next w:val="CommentText"/>
    <w:link w:val="CommentSubjectChar"/>
    <w:rsid w:val="000A302F"/>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0A302F"/>
    <w:rPr>
      <w:rFonts w:ascii="Calibri" w:hAnsi="Calibri"/>
      <w:szCs w:val="22"/>
      <w:lang w:eastAsia="en-US"/>
    </w:rPr>
  </w:style>
  <w:style w:type="character" w:customStyle="1" w:styleId="CommentSubjectChar">
    <w:name w:val="Comment Subject Char"/>
    <w:basedOn w:val="CommentTextChar"/>
    <w:link w:val="CommentSubject"/>
    <w:rsid w:val="000A302F"/>
    <w:rPr>
      <w:rFonts w:ascii="Calibri" w:hAnsi="Calibri"/>
      <w:b/>
      <w:bCs/>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9D754C"/>
    <w:rPr>
      <w:rFonts w:ascii="Calibri" w:hAnsi="Calibri"/>
      <w:sz w:val="22"/>
      <w:szCs w:val="22"/>
      <w:lang w:eastAsia="en-US"/>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articletemplatetext">
    <w:name w:val="articletemplatetext"/>
    <w:basedOn w:val="DefaultParagraphFont"/>
    <w:rsid w:val="009D754C"/>
  </w:style>
  <w:style w:type="paragraph" w:styleId="CommentSubject">
    <w:name w:val="annotation subject"/>
    <w:basedOn w:val="CommentText"/>
    <w:next w:val="CommentText"/>
    <w:link w:val="CommentSubjectChar"/>
    <w:rsid w:val="000A302F"/>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0A302F"/>
    <w:rPr>
      <w:rFonts w:ascii="Calibri" w:hAnsi="Calibri"/>
      <w:szCs w:val="22"/>
      <w:lang w:eastAsia="en-US"/>
    </w:rPr>
  </w:style>
  <w:style w:type="character" w:customStyle="1" w:styleId="CommentSubjectChar">
    <w:name w:val="Comment Subject Char"/>
    <w:basedOn w:val="CommentTextChar"/>
    <w:link w:val="CommentSubject"/>
    <w:rsid w:val="000A302F"/>
    <w:rPr>
      <w:rFonts w:ascii="Calibri" w:hAnsi="Calibri"/>
      <w:b/>
      <w:bCs/>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ED1B8-433E-4CF5-BA6F-D59F13268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Template>
  <TotalTime>236</TotalTime>
  <Pages>8</Pages>
  <Words>2764</Words>
  <Characters>15759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Chapter</vt:lpstr>
    </vt:vector>
  </TitlesOfParts>
  <Company>Productivity Commission</Company>
  <LinksUpToDate>false</LinksUpToDate>
  <CharactersWithSpaces>18487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dc:title>
  <dc:subject>Forms of work</dc:subject>
  <dc:creator>Productivity Commission</dc:creator>
  <dc:description>1.</dc:description>
  <cp:lastModifiedBy>Will, Lou</cp:lastModifiedBy>
  <cp:revision>15</cp:revision>
  <cp:lastPrinted>2013-03-25T23:14:00Z</cp:lastPrinted>
  <dcterms:created xsi:type="dcterms:W3CDTF">2013-04-02T03:24:00Z</dcterms:created>
  <dcterms:modified xsi:type="dcterms:W3CDTF">2013-04-10T06:51:00Z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1897367162</vt:i4>
  </property>
  <property fmtid="{D5CDD505-2E9C-101B-9397-08002B2CF9AE}" pid="3" name="_NewReviewCycle">
    <vt:lpwstr/>
  </property>
  <property fmtid="{D5CDD505-2E9C-101B-9397-08002B2CF9AE}" pid="4" name="_EmailSubject">
    <vt:lpwstr>WEB FILES - forms of work</vt:lpwstr>
  </property>
  <property fmtid="{D5CDD505-2E9C-101B-9397-08002B2CF9AE}" pid="5" name="_AuthorEmail">
    <vt:lpwstr>Louise.Jordan@pc.gov.au</vt:lpwstr>
  </property>
  <property fmtid="{D5CDD505-2E9C-101B-9397-08002B2CF9AE}" pid="6" name="_AuthorEmailDisplayName">
    <vt:lpwstr>Jordan, Louise</vt:lpwstr>
  </property>
</Properties>
</file>