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D11E91" w:rsidP="00D11E91">
      <w:pPr>
        <w:pStyle w:val="Heading1"/>
        <w:spacing w:before="0"/>
      </w:pPr>
      <w:bookmarkStart w:id="0" w:name="ChapterNumber"/>
      <w:bookmarkStart w:id="1" w:name="_GoBack"/>
      <w:bookmarkEnd w:id="1"/>
      <w:r>
        <w:t>3</w:t>
      </w:r>
      <w:bookmarkEnd w:id="0"/>
      <w:r>
        <w:tab/>
      </w:r>
      <w:bookmarkStart w:id="2" w:name="ChapterTitle"/>
      <w:r>
        <w:t>The prevalence of forms of work</w:t>
      </w:r>
      <w:bookmarkEnd w:id="2"/>
    </w:p>
    <w:p w:rsidR="00AC349E" w:rsidRDefault="00AC349E" w:rsidP="00AC349E">
      <w:pPr>
        <w:pStyle w:val="BodyText"/>
      </w:pPr>
      <w:bookmarkStart w:id="3" w:name="begin"/>
      <w:bookmarkEnd w:id="3"/>
      <w:r>
        <w:t xml:space="preserve">In the twenty years to 2001, the prevalence of different forms of work (FOWs) in Australia changed markedly. </w:t>
      </w:r>
      <w:r w:rsidR="008C0EB2">
        <w:t>But as</w:t>
      </w:r>
      <w:r>
        <w:t xml:space="preserve"> the data presented in this chapter show, the trends over that period did not continue </w:t>
      </w:r>
      <w:r w:rsidR="00D85581">
        <w:t>into</w:t>
      </w:r>
      <w:r>
        <w:t xml:space="preserve"> the 2000s. The most notable change in the decade to 2011 was a</w:t>
      </w:r>
      <w:r w:rsidR="008C0EB2">
        <w:t xml:space="preserve"> small</w:t>
      </w:r>
      <w:r>
        <w:t xml:space="preserve"> increase in the prevalence of permanent employees — offset by a decline in the share of the workforce that was self</w:t>
      </w:r>
      <w:r>
        <w:noBreakHyphen/>
        <w:t>employed in unincorporated enterprise</w:t>
      </w:r>
      <w:r w:rsidR="00315000">
        <w:t>s</w:t>
      </w:r>
      <w:r>
        <w:t>.</w:t>
      </w:r>
    </w:p>
    <w:p w:rsidR="00AC349E" w:rsidRDefault="00AC349E" w:rsidP="00AC349E">
      <w:pPr>
        <w:pStyle w:val="BodyText"/>
      </w:pPr>
      <w:r>
        <w:t>Changes in the prevalence of the following FOWs are described in this chapter:</w:t>
      </w:r>
    </w:p>
    <w:p w:rsidR="00AC349E" w:rsidRDefault="00AC349E" w:rsidP="00AC349E">
      <w:pPr>
        <w:pStyle w:val="ListBullet"/>
      </w:pPr>
      <w:r>
        <w:t>permanent employees</w:t>
      </w:r>
    </w:p>
    <w:p w:rsidR="00AC349E" w:rsidRDefault="00AC349E" w:rsidP="00AC349E">
      <w:pPr>
        <w:pStyle w:val="ListBullet"/>
      </w:pPr>
      <w:r>
        <w:t>casual employees</w:t>
      </w:r>
    </w:p>
    <w:p w:rsidR="00AC349E" w:rsidRDefault="00AC349E" w:rsidP="00AC349E">
      <w:pPr>
        <w:pStyle w:val="ListBullet"/>
      </w:pPr>
      <w:r>
        <w:t>fixed-term employees</w:t>
      </w:r>
    </w:p>
    <w:p w:rsidR="00AC349E" w:rsidRDefault="00AC349E" w:rsidP="00AC349E">
      <w:pPr>
        <w:pStyle w:val="ListBullet"/>
      </w:pPr>
      <w:r>
        <w:t>labour hire workers</w:t>
      </w:r>
    </w:p>
    <w:p w:rsidR="00AC349E" w:rsidRDefault="00492A86" w:rsidP="00AC349E">
      <w:pPr>
        <w:pStyle w:val="ListBullet"/>
      </w:pPr>
      <w:r>
        <w:t xml:space="preserve">owner </w:t>
      </w:r>
      <w:r w:rsidR="00AC349E">
        <w:t>managers, including independent contractors, oth</w:t>
      </w:r>
      <w:r>
        <w:t xml:space="preserve">er business operators and owner </w:t>
      </w:r>
      <w:r w:rsidR="00AC349E">
        <w:t xml:space="preserve">managers of incorporated enterprises (OMIEs) and </w:t>
      </w:r>
      <w:r>
        <w:t xml:space="preserve">of </w:t>
      </w:r>
      <w:r w:rsidR="00AC349E">
        <w:t>unincorporated enterprises (OMUEs).</w:t>
      </w:r>
      <w:r w:rsidR="00AC349E">
        <w:rPr>
          <w:rStyle w:val="FootnoteReference"/>
        </w:rPr>
        <w:footnoteReference w:id="1"/>
      </w:r>
    </w:p>
    <w:p w:rsidR="00AC349E" w:rsidRDefault="00AC349E" w:rsidP="00AC349E">
      <w:pPr>
        <w:pStyle w:val="BodyText"/>
      </w:pPr>
      <w:r>
        <w:t>In some instances, data used in the</w:t>
      </w:r>
      <w:r w:rsidR="00CF6877">
        <w:t xml:space="preserve"> analysis</w:t>
      </w:r>
      <w:r>
        <w:t xml:space="preserve"> do not precisely represent the FOW</w:t>
      </w:r>
      <w:r w:rsidR="00224059">
        <w:t>s</w:t>
      </w:r>
      <w:r>
        <w:t xml:space="preserve"> of interest, and proxy measures a</w:t>
      </w:r>
      <w:r w:rsidR="00224059">
        <w:t>re adopted. In particular, the ABS</w:t>
      </w:r>
      <w:r>
        <w:t xml:space="preserve"> measures of employees with and without leave entitlements are used as proxies for permanent and casual employees, respectively (box 3.1).</w:t>
      </w:r>
    </w:p>
    <w:p w:rsidR="00AC349E" w:rsidRDefault="00AC349E" w:rsidP="00AC349E">
      <w:pPr>
        <w:pStyle w:val="BodyText"/>
      </w:pPr>
      <w:r>
        <w:t>Section 3.1 describes the longer</w:t>
      </w:r>
      <w:r>
        <w:noBreakHyphen/>
        <w:t xml:space="preserve">run (30 year) changes in FOWs. Prevalence changes over the decade </w:t>
      </w:r>
      <w:r w:rsidR="00315000">
        <w:t xml:space="preserve">to 2011 </w:t>
      </w:r>
      <w:r>
        <w:t xml:space="preserve">are </w:t>
      </w:r>
      <w:r w:rsidR="00A7268C">
        <w:t xml:space="preserve">then </w:t>
      </w:r>
      <w:r>
        <w:t>describ</w:t>
      </w:r>
      <w:r w:rsidR="00224059">
        <w:t>ed in more detail (section 3.2) and a</w:t>
      </w:r>
      <w:r>
        <w:t xml:space="preserve"> summary of the main findings concludes the chapter (section 3.3). Information on the data sources underlying the estimates presented is located in appendix A, and appendix B contains more detailed information about the prevalence changes presented in this chapter.</w:t>
      </w:r>
      <w:r>
        <w:br w:type="page"/>
      </w:r>
    </w:p>
    <w:p w:rsidR="00AC349E" w:rsidRDefault="00AC349E" w:rsidP="00AC349E">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AC349E" w:rsidTr="005D5ABA">
        <w:tc>
          <w:tcPr>
            <w:tcW w:w="8771" w:type="dxa"/>
            <w:tcBorders>
              <w:top w:val="single" w:sz="6" w:space="0" w:color="auto"/>
              <w:bottom w:val="nil"/>
            </w:tcBorders>
          </w:tcPr>
          <w:p w:rsidR="00AC349E" w:rsidRDefault="00AC349E" w:rsidP="005D5ABA">
            <w:pPr>
              <w:pStyle w:val="BoxTitle"/>
            </w:pPr>
            <w:r>
              <w:rPr>
                <w:b w:val="0"/>
              </w:rPr>
              <w:t>Box 3.</w:t>
            </w:r>
            <w:r>
              <w:rPr>
                <w:b w:val="0"/>
                <w:noProof/>
              </w:rPr>
              <w:t>1</w:t>
            </w:r>
            <w:r>
              <w:tab/>
              <w:t>Proxy measures of permanent and casual employees</w:t>
            </w:r>
          </w:p>
        </w:tc>
      </w:tr>
      <w:tr w:rsidR="00AC349E" w:rsidTr="005D5ABA">
        <w:trPr>
          <w:cantSplit/>
        </w:trPr>
        <w:tc>
          <w:tcPr>
            <w:tcW w:w="8771" w:type="dxa"/>
            <w:tcBorders>
              <w:top w:val="nil"/>
              <w:left w:val="single" w:sz="6" w:space="0" w:color="auto"/>
              <w:bottom w:val="nil"/>
              <w:right w:val="single" w:sz="6" w:space="0" w:color="auto"/>
            </w:tcBorders>
          </w:tcPr>
          <w:p w:rsidR="00AC349E" w:rsidRDefault="00AC349E" w:rsidP="005D5ABA">
            <w:pPr>
              <w:pStyle w:val="Box"/>
            </w:pPr>
            <w:r>
              <w:t>Two different types of data could be used in analysing changes in the prevalence of permanent and casual employees, that is, data collected on the basis of:</w:t>
            </w:r>
          </w:p>
          <w:p w:rsidR="00AC349E" w:rsidRDefault="00224059" w:rsidP="005D5ABA">
            <w:pPr>
              <w:pStyle w:val="BoxListBullet"/>
            </w:pPr>
            <w:r>
              <w:t>self-identification ––</w:t>
            </w:r>
            <w:r w:rsidR="00AC349E">
              <w:t xml:space="preserve"> In this approach, people are classified as permanent or casual employees on the basis of their responses to a survey question asking them to nominate the </w:t>
            </w:r>
            <w:r w:rsidR="00B525BC">
              <w:t>FOW</w:t>
            </w:r>
            <w:r w:rsidR="00AC349E">
              <w:t xml:space="preserve"> in which they are employed</w:t>
            </w:r>
          </w:p>
          <w:p w:rsidR="00AC349E" w:rsidRDefault="00224059" w:rsidP="005D5ABA">
            <w:pPr>
              <w:pStyle w:val="BoxListBullet"/>
            </w:pPr>
            <w:r>
              <w:t>leave entitlements ––</w:t>
            </w:r>
            <w:r w:rsidR="00AC349E">
              <w:t xml:space="preserve"> Almost all employees who receive paid (holiday and sick) leave entitlements are permanent workers. Similarly, the vast majority of employees without paid leave entitlements are casual workers. Data on employees with and without leave entitlements, therefore, are potential proxy measures for permanent and casual employees, respectively.</w:t>
            </w:r>
          </w:p>
          <w:p w:rsidR="00AC349E" w:rsidRDefault="00AC349E" w:rsidP="005D5ABA">
            <w:pPr>
              <w:pStyle w:val="BoxHeading1"/>
            </w:pPr>
            <w:r>
              <w:t>Casual employees</w:t>
            </w:r>
          </w:p>
          <w:p w:rsidR="00AC349E" w:rsidRPr="009B17C6" w:rsidRDefault="00AC349E" w:rsidP="005D5ABA">
            <w:pPr>
              <w:pStyle w:val="Box"/>
              <w:rPr>
                <w:spacing w:val="-2"/>
              </w:rPr>
            </w:pPr>
            <w:r w:rsidRPr="009B17C6">
              <w:rPr>
                <w:spacing w:val="-2"/>
              </w:rPr>
              <w:t xml:space="preserve">The Commission has previously used self-identification to measure casual </w:t>
            </w:r>
            <w:r>
              <w:rPr>
                <w:spacing w:val="-2"/>
              </w:rPr>
              <w:t>employees</w:t>
            </w:r>
            <w:r w:rsidRPr="009B17C6">
              <w:rPr>
                <w:spacing w:val="-2"/>
              </w:rPr>
              <w:t xml:space="preserve"> and found that some casuals received at least one form of paid leave, and some permanent employees received no paid leave</w:t>
            </w:r>
            <w:r w:rsidR="00224059">
              <w:rPr>
                <w:spacing w:val="-2"/>
              </w:rPr>
              <w:t xml:space="preserve"> </w:t>
            </w:r>
            <w:r w:rsidR="00224059" w:rsidRPr="009B17C6">
              <w:rPr>
                <w:spacing w:val="-2"/>
              </w:rPr>
              <w:t>(PC 2006)</w:t>
            </w:r>
            <w:r w:rsidRPr="009B17C6">
              <w:rPr>
                <w:spacing w:val="-2"/>
              </w:rPr>
              <w:t xml:space="preserve">. The Commission concluded that </w:t>
            </w:r>
            <w:r>
              <w:rPr>
                <w:spacing w:val="-2"/>
              </w:rPr>
              <w:t xml:space="preserve">the </w:t>
            </w:r>
            <w:r w:rsidRPr="009B17C6">
              <w:rPr>
                <w:spacing w:val="-2"/>
              </w:rPr>
              <w:t>absence of leave entitlements was, therefore, not suffi</w:t>
            </w:r>
            <w:r w:rsidR="00224059">
              <w:rPr>
                <w:spacing w:val="-2"/>
              </w:rPr>
              <w:t>cient to identify casuals. The</w:t>
            </w:r>
            <w:r w:rsidRPr="009B17C6">
              <w:rPr>
                <w:spacing w:val="-2"/>
              </w:rPr>
              <w:t xml:space="preserve"> report, however, also noted that the ABS had moved towards identifying casuals as employees without leave entitlements </w:t>
            </w:r>
            <w:r>
              <w:rPr>
                <w:spacing w:val="-2"/>
              </w:rPr>
              <w:t xml:space="preserve">(EWOLE) </w:t>
            </w:r>
            <w:r w:rsidRPr="009B17C6">
              <w:rPr>
                <w:spacing w:val="-2"/>
              </w:rPr>
              <w:t xml:space="preserve">due to some researchers’ concerns </w:t>
            </w:r>
            <w:r>
              <w:rPr>
                <w:spacing w:val="-2"/>
              </w:rPr>
              <w:t>about</w:t>
            </w:r>
            <w:r w:rsidRPr="009B17C6">
              <w:rPr>
                <w:spacing w:val="-2"/>
              </w:rPr>
              <w:t xml:space="preserve"> the subjective nature of self-identification. The ABS has used </w:t>
            </w:r>
            <w:r>
              <w:rPr>
                <w:spacing w:val="-2"/>
              </w:rPr>
              <w:t>EWOLE</w:t>
            </w:r>
            <w:r w:rsidRPr="009B17C6">
              <w:rPr>
                <w:spacing w:val="-2"/>
              </w:rPr>
              <w:t xml:space="preserve"> as its preferred measure of casual wo</w:t>
            </w:r>
            <w:r w:rsidR="00B70C9E">
              <w:rPr>
                <w:spacing w:val="-2"/>
              </w:rPr>
              <w:t xml:space="preserve">rkers since 2004 (pers. </w:t>
            </w:r>
            <w:r w:rsidR="004F3DAC">
              <w:rPr>
                <w:spacing w:val="-2"/>
              </w:rPr>
              <w:t>comm.</w:t>
            </w:r>
            <w:r w:rsidR="00B70C9E">
              <w:rPr>
                <w:spacing w:val="-2"/>
              </w:rPr>
              <w:t>, 1 </w:t>
            </w:r>
            <w:r w:rsidRPr="009B17C6">
              <w:rPr>
                <w:spacing w:val="-2"/>
              </w:rPr>
              <w:t>August 2012)</w:t>
            </w:r>
            <w:r>
              <w:rPr>
                <w:spacing w:val="-2"/>
              </w:rPr>
              <w:t>. This</w:t>
            </w:r>
            <w:r w:rsidRPr="009B17C6">
              <w:rPr>
                <w:spacing w:val="-2"/>
              </w:rPr>
              <w:t xml:space="preserve"> approach </w:t>
            </w:r>
            <w:r>
              <w:rPr>
                <w:spacing w:val="-2"/>
              </w:rPr>
              <w:t xml:space="preserve">is adopted </w:t>
            </w:r>
            <w:r w:rsidRPr="009B17C6">
              <w:rPr>
                <w:spacing w:val="-2"/>
              </w:rPr>
              <w:t xml:space="preserve">in this paper. </w:t>
            </w:r>
            <w:r>
              <w:rPr>
                <w:spacing w:val="-2"/>
              </w:rPr>
              <w:t>It</w:t>
            </w:r>
            <w:r w:rsidRPr="009B17C6">
              <w:rPr>
                <w:spacing w:val="-2"/>
              </w:rPr>
              <w:t xml:space="preserve"> provides a consistent time series over the period under study — something that was not possible with </w:t>
            </w:r>
            <w:r>
              <w:rPr>
                <w:spacing w:val="-2"/>
              </w:rPr>
              <w:t xml:space="preserve">ABS </w:t>
            </w:r>
            <w:r w:rsidRPr="009B17C6">
              <w:rPr>
                <w:spacing w:val="-2"/>
              </w:rPr>
              <w:t>data based on self</w:t>
            </w:r>
            <w:r w:rsidRPr="009B17C6">
              <w:rPr>
                <w:spacing w:val="-2"/>
              </w:rPr>
              <w:noBreakHyphen/>
              <w:t xml:space="preserve">identification. The proportion of </w:t>
            </w:r>
            <w:r>
              <w:rPr>
                <w:spacing w:val="-2"/>
              </w:rPr>
              <w:t>EWOLE</w:t>
            </w:r>
            <w:r w:rsidRPr="009B17C6">
              <w:rPr>
                <w:spacing w:val="-2"/>
              </w:rPr>
              <w:t xml:space="preserve"> that self-identify as casual was</w:t>
            </w:r>
            <w:r>
              <w:rPr>
                <w:spacing w:val="-2"/>
              </w:rPr>
              <w:t xml:space="preserve"> constant between 2004 and 2011:</w:t>
            </w:r>
          </w:p>
          <w:p w:rsidR="00AC349E" w:rsidRPr="00DA73F7" w:rsidRDefault="00AC349E" w:rsidP="005D5ABA">
            <w:pPr>
              <w:pStyle w:val="BoxQuote"/>
            </w:pPr>
            <w:r w:rsidRPr="00DA73F7">
              <w:t xml:space="preserve">In 2004, 88% of employees without leave entitlements considered their job to be casual. In 2008 and again in 2011, the proportion of employees without leave entitlements who considered their job to be casual was still 88%. </w:t>
            </w:r>
            <w:r>
              <w:t>(ABS 2012</w:t>
            </w:r>
            <w:r w:rsidR="00A24971">
              <w:t>f</w:t>
            </w:r>
            <w:r>
              <w:t>, p. 12)</w:t>
            </w:r>
          </w:p>
          <w:p w:rsidR="00AC349E" w:rsidRDefault="00AC349E" w:rsidP="005D5ABA">
            <w:pPr>
              <w:pStyle w:val="Box"/>
            </w:pPr>
            <w:r>
              <w:t>Thus, the small bias in casual estimates is likely to have remained unchanged over that period and, therefore, not affected prevalence trends over the decade.</w:t>
            </w:r>
          </w:p>
          <w:p w:rsidR="00AC349E" w:rsidRDefault="00AC349E" w:rsidP="005D5ABA">
            <w:pPr>
              <w:pStyle w:val="BoxHeading1"/>
            </w:pPr>
            <w:r>
              <w:t>Permanent employees</w:t>
            </w:r>
          </w:p>
          <w:p w:rsidR="00AC349E" w:rsidRPr="00866B1A" w:rsidRDefault="00AC349E" w:rsidP="00224059">
            <w:pPr>
              <w:pStyle w:val="Box"/>
            </w:pPr>
            <w:r w:rsidRPr="00866B1A">
              <w:rPr>
                <w:spacing w:val="-2"/>
              </w:rPr>
              <w:t xml:space="preserve">In this paper, data on employees with leave entitlements (EWLE) </w:t>
            </w:r>
            <w:r>
              <w:rPr>
                <w:spacing w:val="-2"/>
              </w:rPr>
              <w:t>are</w:t>
            </w:r>
            <w:r w:rsidRPr="00866B1A">
              <w:rPr>
                <w:spacing w:val="-2"/>
              </w:rPr>
              <w:t xml:space="preserve"> used as a proxy for permanent employees. This is consistent with the ABS</w:t>
            </w:r>
            <w:r>
              <w:rPr>
                <w:spacing w:val="-2"/>
              </w:rPr>
              <w:t>’s traditional</w:t>
            </w:r>
            <w:r w:rsidRPr="00866B1A">
              <w:rPr>
                <w:spacing w:val="-2"/>
              </w:rPr>
              <w:t xml:space="preserve"> methodology in which ‘e</w:t>
            </w:r>
            <w:r w:rsidRPr="00866B1A">
              <w:rPr>
                <w:rFonts w:cs="Arial"/>
                <w:spacing w:val="-2"/>
              </w:rPr>
              <w:t>mployees who were entitled to either paid holiday or paid sick leave (or both) in their main job … [were] classified as permanent … From late 2000</w:t>
            </w:r>
            <w:r w:rsidRPr="00866B1A">
              <w:rPr>
                <w:rFonts w:cs="Arial"/>
                <w:spacing w:val="-2"/>
                <w:sz w:val="24"/>
              </w:rPr>
              <w:t> … </w:t>
            </w:r>
            <w:r w:rsidRPr="004949EF">
              <w:rPr>
                <w:rFonts w:cs="Arial"/>
                <w:spacing w:val="-2"/>
              </w:rPr>
              <w:t>[t]</w:t>
            </w:r>
            <w:r w:rsidRPr="00866B1A">
              <w:rPr>
                <w:rFonts w:cs="Arial"/>
                <w:spacing w:val="-2"/>
              </w:rPr>
              <w:t>he term 'permanent' … [was] replaced with the term 'with leave entitlements' in ABS household surveys (ABS 2007</w:t>
            </w:r>
            <w:r w:rsidR="004949EF">
              <w:rPr>
                <w:rFonts w:cs="Arial"/>
                <w:spacing w:val="-2"/>
              </w:rPr>
              <w:t>b</w:t>
            </w:r>
            <w:r w:rsidRPr="00866B1A">
              <w:rPr>
                <w:rFonts w:cs="Arial"/>
                <w:spacing w:val="-2"/>
              </w:rPr>
              <w:t>, s. 4.37).</w:t>
            </w:r>
            <w:r w:rsidRPr="00866B1A">
              <w:rPr>
                <w:spacing w:val="-2"/>
              </w:rPr>
              <w:t xml:space="preserve"> Based on ABS </w:t>
            </w:r>
            <w:r>
              <w:rPr>
                <w:spacing w:val="-2"/>
              </w:rPr>
              <w:t xml:space="preserve">(2010), the </w:t>
            </w:r>
            <w:r w:rsidR="004949EF">
              <w:rPr>
                <w:spacing w:val="-2"/>
              </w:rPr>
              <w:t>authors estimate</w:t>
            </w:r>
            <w:r w:rsidR="00224059">
              <w:rPr>
                <w:spacing w:val="-2"/>
              </w:rPr>
              <w:t>d</w:t>
            </w:r>
            <w:r w:rsidRPr="00866B1A">
              <w:rPr>
                <w:spacing w:val="-2"/>
              </w:rPr>
              <w:t xml:space="preserve"> that, in 2008, 94 per cent of EWLE were permanent employees, 4 per cent </w:t>
            </w:r>
            <w:r w:rsidR="004F3DAC">
              <w:rPr>
                <w:spacing w:val="-2"/>
              </w:rPr>
              <w:t xml:space="preserve">were </w:t>
            </w:r>
            <w:r w:rsidRPr="00866B1A">
              <w:rPr>
                <w:spacing w:val="-2"/>
              </w:rPr>
              <w:t>fixed</w:t>
            </w:r>
            <w:r w:rsidRPr="00866B1A">
              <w:rPr>
                <w:spacing w:val="-2"/>
              </w:rPr>
              <w:noBreakHyphen/>
              <w:t xml:space="preserve">term employees and 2 per cent </w:t>
            </w:r>
            <w:r w:rsidR="004F3DAC">
              <w:rPr>
                <w:spacing w:val="-2"/>
              </w:rPr>
              <w:t xml:space="preserve">were </w:t>
            </w:r>
            <w:r w:rsidRPr="00866B1A">
              <w:rPr>
                <w:spacing w:val="-2"/>
              </w:rPr>
              <w:t>self</w:t>
            </w:r>
            <w:r w:rsidRPr="00866B1A">
              <w:rPr>
                <w:spacing w:val="-2"/>
              </w:rPr>
              <w:noBreakHyphen/>
              <w:t xml:space="preserve">identified casuals. Therefore, </w:t>
            </w:r>
            <w:r w:rsidR="00551BE0">
              <w:rPr>
                <w:spacing w:val="-2"/>
              </w:rPr>
              <w:t>although</w:t>
            </w:r>
            <w:r w:rsidRPr="00866B1A">
              <w:rPr>
                <w:spacing w:val="-2"/>
              </w:rPr>
              <w:t xml:space="preserve"> some fixed-term and casual employees are included in the EWLE measure, their propor</w:t>
            </w:r>
            <w:r>
              <w:rPr>
                <w:spacing w:val="-2"/>
              </w:rPr>
              <w:t>tion is small</w:t>
            </w:r>
            <w:r w:rsidR="00224059">
              <w:rPr>
                <w:spacing w:val="-2"/>
              </w:rPr>
              <w:t>. Furthermore</w:t>
            </w:r>
            <w:r>
              <w:rPr>
                <w:spacing w:val="-2"/>
              </w:rPr>
              <w:t>, because the</w:t>
            </w:r>
            <w:r w:rsidRPr="00866B1A">
              <w:rPr>
                <w:spacing w:val="-2"/>
              </w:rPr>
              <w:t xml:space="preserve"> prevalence </w:t>
            </w:r>
            <w:r>
              <w:rPr>
                <w:spacing w:val="-2"/>
              </w:rPr>
              <w:t>of casual and fixed</w:t>
            </w:r>
            <w:r>
              <w:rPr>
                <w:spacing w:val="-2"/>
              </w:rPr>
              <w:noBreakHyphen/>
              <w:t xml:space="preserve">term employees </w:t>
            </w:r>
            <w:r w:rsidRPr="00866B1A">
              <w:rPr>
                <w:spacing w:val="-2"/>
              </w:rPr>
              <w:t xml:space="preserve">was relatively unchanged over the </w:t>
            </w:r>
            <w:r>
              <w:rPr>
                <w:spacing w:val="-2"/>
              </w:rPr>
              <w:t xml:space="preserve">decade to 2011, it is unlikely that these FOWs </w:t>
            </w:r>
            <w:r w:rsidRPr="00866B1A">
              <w:rPr>
                <w:spacing w:val="-2"/>
              </w:rPr>
              <w:t xml:space="preserve">were responsible for the upward trend in permanent employee’s share of the workforce </w:t>
            </w:r>
            <w:r>
              <w:rPr>
                <w:spacing w:val="-2"/>
              </w:rPr>
              <w:t>found</w:t>
            </w:r>
            <w:r w:rsidRPr="00866B1A">
              <w:rPr>
                <w:spacing w:val="-2"/>
              </w:rPr>
              <w:t xml:space="preserve"> in this chapter</w:t>
            </w:r>
            <w:r w:rsidRPr="00866B1A">
              <w:t>.</w:t>
            </w:r>
          </w:p>
        </w:tc>
      </w:tr>
      <w:tr w:rsidR="00AC349E" w:rsidTr="005D5ABA">
        <w:trPr>
          <w:cantSplit/>
        </w:trPr>
        <w:tc>
          <w:tcPr>
            <w:tcW w:w="8771" w:type="dxa"/>
            <w:tcBorders>
              <w:top w:val="nil"/>
              <w:left w:val="single" w:sz="6" w:space="0" w:color="auto"/>
              <w:bottom w:val="single" w:sz="6" w:space="0" w:color="auto"/>
              <w:right w:val="single" w:sz="6" w:space="0" w:color="auto"/>
            </w:tcBorders>
          </w:tcPr>
          <w:p w:rsidR="00AC349E" w:rsidRDefault="00AC349E" w:rsidP="005D5ABA">
            <w:pPr>
              <w:pStyle w:val="Box"/>
              <w:spacing w:before="0" w:line="120" w:lineRule="exact"/>
            </w:pPr>
          </w:p>
        </w:tc>
      </w:tr>
      <w:tr w:rsidR="00AC349E" w:rsidRPr="000863A5" w:rsidTr="005D5ABA">
        <w:tc>
          <w:tcPr>
            <w:tcW w:w="8771" w:type="dxa"/>
            <w:tcBorders>
              <w:top w:val="nil"/>
              <w:left w:val="nil"/>
              <w:bottom w:val="nil"/>
              <w:right w:val="nil"/>
            </w:tcBorders>
          </w:tcPr>
          <w:p w:rsidR="00AC349E" w:rsidRPr="00626D32" w:rsidRDefault="00AC349E" w:rsidP="005D5ABA">
            <w:pPr>
              <w:pStyle w:val="BoxSpaceBelow"/>
            </w:pPr>
          </w:p>
        </w:tc>
      </w:tr>
    </w:tbl>
    <w:p w:rsidR="00AC349E" w:rsidRDefault="00032AB6" w:rsidP="00AC349E">
      <w:pPr>
        <w:pStyle w:val="Heading2"/>
      </w:pPr>
      <w:fldSimple w:instr=" COMMENTS  \* MERGEFORMAT ">
        <w:r w:rsidR="00D11E91">
          <w:t>3.</w:t>
        </w:r>
      </w:fldSimple>
      <w:fldSimple w:instr=" SEQ Heading2 ">
        <w:r w:rsidR="00153B63">
          <w:rPr>
            <w:noProof/>
          </w:rPr>
          <w:t>1</w:t>
        </w:r>
      </w:fldSimple>
      <w:r w:rsidR="00AC349E">
        <w:tab/>
        <w:t>Changes in forms of work over the 30 years</w:t>
      </w:r>
      <w:r w:rsidR="00780258">
        <w:t xml:space="preserve"> to 2011</w:t>
      </w:r>
    </w:p>
    <w:p w:rsidR="00AC349E" w:rsidRDefault="008F0455" w:rsidP="00AC349E">
      <w:pPr>
        <w:pStyle w:val="BodyText"/>
      </w:pPr>
      <w:r>
        <w:t>D</w:t>
      </w:r>
      <w:r>
        <w:rPr>
          <w:spacing w:val="-2"/>
        </w:rPr>
        <w:t>ata</w:t>
      </w:r>
      <w:r w:rsidRPr="00EC7A88">
        <w:rPr>
          <w:spacing w:val="-2"/>
        </w:rPr>
        <w:t xml:space="preserve"> </w:t>
      </w:r>
      <w:r>
        <w:rPr>
          <w:spacing w:val="-2"/>
        </w:rPr>
        <w:t>are not available for</w:t>
      </w:r>
      <w:r w:rsidRPr="00EC7A88">
        <w:rPr>
          <w:spacing w:val="-2"/>
        </w:rPr>
        <w:t xml:space="preserve"> </w:t>
      </w:r>
      <w:r>
        <w:rPr>
          <w:spacing w:val="-2"/>
        </w:rPr>
        <w:t xml:space="preserve">all of </w:t>
      </w:r>
      <w:r w:rsidRPr="00EC7A88">
        <w:rPr>
          <w:spacing w:val="-2"/>
        </w:rPr>
        <w:t xml:space="preserve">the FOWs </w:t>
      </w:r>
      <w:r w:rsidR="00740177">
        <w:rPr>
          <w:spacing w:val="-2"/>
        </w:rPr>
        <w:t>analysed</w:t>
      </w:r>
      <w:r w:rsidRPr="00EC7A88">
        <w:rPr>
          <w:spacing w:val="-2"/>
        </w:rPr>
        <w:t xml:space="preserve"> in this re</w:t>
      </w:r>
      <w:r>
        <w:rPr>
          <w:spacing w:val="-2"/>
        </w:rPr>
        <w:t>port over a thirty</w:t>
      </w:r>
      <w:r>
        <w:rPr>
          <w:spacing w:val="-2"/>
        </w:rPr>
        <w:noBreakHyphen/>
        <w:t xml:space="preserve">year time frame, but series for broad FOWs can be derived. These series reveal </w:t>
      </w:r>
      <w:r w:rsidR="00AC349E">
        <w:t>marked changes in the mix of FOWs in the three decades to 2011 (figure 3.1).</w:t>
      </w:r>
      <w:r>
        <w:t xml:space="preserve"> </w:t>
      </w:r>
      <w:r w:rsidR="00A7268C">
        <w:t xml:space="preserve">Between </w:t>
      </w:r>
      <w:r w:rsidR="00AC349E">
        <w:t>1982 and 2011 the share of casuals in employment doubled and that of permanent employees de</w:t>
      </w:r>
      <w:r w:rsidR="00492A86">
        <w:t xml:space="preserve">creased. Among owner </w:t>
      </w:r>
      <w:r w:rsidR="00AC349E">
        <w:t>managers, the likelihood of running an incorporated enterprise rose, while self</w:t>
      </w:r>
      <w:r w:rsidR="00AC349E">
        <w:noBreakHyphen/>
        <w:t>employment in unincorporated enterprises became less prevalent.</w:t>
      </w:r>
      <w:r w:rsidR="000D4C53">
        <w:t xml:space="preserve"> (</w:t>
      </w:r>
      <w:r>
        <w:t>As discussed in chapter 1, it is likely that the share</w:t>
      </w:r>
      <w:r w:rsidR="000D4C53">
        <w:t>s in employment</w:t>
      </w:r>
      <w:r>
        <w:t xml:space="preserve"> of labour hire workers </w:t>
      </w:r>
      <w:r w:rsidR="000D4C53">
        <w:t>and independent contractors were</w:t>
      </w:r>
      <w:r>
        <w:t xml:space="preserve"> also higher in 2011 than in 1982.</w:t>
      </w:r>
      <w:r w:rsidR="000D4C53">
        <w:t>)</w:t>
      </w:r>
    </w:p>
    <w:p w:rsidR="00AC349E" w:rsidRDefault="00AC349E" w:rsidP="00AC349E">
      <w:pPr>
        <w:pStyle w:val="FigureTitle"/>
      </w:pPr>
      <w:r>
        <w:rPr>
          <w:b w:val="0"/>
        </w:rPr>
        <w:t xml:space="preserve">Figure </w:t>
      </w:r>
      <w:bookmarkStart w:id="4" w:name="OLE_LINK2"/>
      <w:r>
        <w:rPr>
          <w:b w:val="0"/>
        </w:rPr>
        <w:t>3.</w:t>
      </w:r>
      <w:r>
        <w:rPr>
          <w:b w:val="0"/>
          <w:noProof/>
        </w:rPr>
        <w:t>1</w:t>
      </w:r>
      <w:bookmarkEnd w:id="4"/>
      <w:r>
        <w:tab/>
        <w:t>Major types of employment, 1982 to 2011</w:t>
      </w:r>
      <w:r w:rsidRPr="00547415">
        <w:rPr>
          <w:rStyle w:val="NoteLabel"/>
          <w:b/>
        </w:rPr>
        <w:t>a</w:t>
      </w:r>
      <w:r>
        <w:rPr>
          <w:rStyle w:val="NoteLabel"/>
          <w:b/>
        </w:rPr>
        <w:t>,</w:t>
      </w:r>
      <w:r w:rsidR="00D5372C">
        <w:rPr>
          <w:rStyle w:val="NoteLabel"/>
          <w:b/>
        </w:rPr>
        <w:t xml:space="preserve"> </w:t>
      </w:r>
      <w:r>
        <w:rPr>
          <w:rStyle w:val="NoteLabel"/>
          <w:b/>
        </w:rPr>
        <w:t>b</w:t>
      </w:r>
    </w:p>
    <w:p w:rsidR="00AC349E" w:rsidRPr="00524D33" w:rsidRDefault="00AC349E" w:rsidP="00AC349E">
      <w:pPr>
        <w:pStyle w:val="Subtitle"/>
      </w:pPr>
      <w:r w:rsidRPr="00524D33">
        <w:t>Share of workforce</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C349E" w:rsidTr="00FF19BE">
        <w:tc>
          <w:tcPr>
            <w:tcW w:w="8777" w:type="dxa"/>
          </w:tcPr>
          <w:p w:rsidR="00AC349E" w:rsidRDefault="00FF19BE" w:rsidP="005D5ABA">
            <w:pPr>
              <w:pStyle w:val="Figure"/>
              <w:tabs>
                <w:tab w:val="left" w:pos="3915"/>
              </w:tabs>
            </w:pPr>
            <w:r>
              <w:rPr>
                <w:noProof/>
              </w:rPr>
              <w:drawing>
                <wp:inline distT="0" distB="0" distL="0" distR="0" wp14:anchorId="0F1AC273" wp14:editId="10A2607D">
                  <wp:extent cx="5400000" cy="28800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AC349E" w:rsidRDefault="00AC349E" w:rsidP="00AC349E">
      <w:pPr>
        <w:pStyle w:val="Note"/>
      </w:pPr>
      <w:r>
        <w:rPr>
          <w:rStyle w:val="NoteLabel"/>
        </w:rPr>
        <w:t>a</w:t>
      </w:r>
      <w:r>
        <w:t xml:space="preserve"> Data are for a worker’s main j</w:t>
      </w:r>
      <w:r w:rsidR="00E619D1">
        <w:t xml:space="preserve">ob. Employee data exclude </w:t>
      </w:r>
      <w:r w:rsidR="00224059">
        <w:t>OMIEs</w:t>
      </w:r>
      <w:r>
        <w:t xml:space="preserve">.  </w:t>
      </w:r>
      <w:r w:rsidRPr="00547415">
        <w:rPr>
          <w:rStyle w:val="NoteLabel"/>
        </w:rPr>
        <w:t>b</w:t>
      </w:r>
      <w:r>
        <w:t xml:space="preserve"> A number of assumptions underlie the derivation of these time series (for more detail refer to </w:t>
      </w:r>
      <w:r w:rsidR="008F7B88">
        <w:t>appendix J</w:t>
      </w:r>
      <w:r w:rsidR="00551BE0">
        <w:t>,</w:t>
      </w:r>
      <w:r>
        <w:t xml:space="preserve"> which </w:t>
      </w:r>
      <w:r w:rsidR="00224059">
        <w:t xml:space="preserve">is </w:t>
      </w:r>
      <w:r w:rsidR="008F7B88">
        <w:t>only available on the Commission’s website for this paper</w:t>
      </w:r>
      <w:r>
        <w:t>). The data should be viewed as indicative of changes in these FOW</w:t>
      </w:r>
      <w:r w:rsidR="00224059">
        <w:t>s</w:t>
      </w:r>
      <w:r>
        <w:t xml:space="preserve"> over the past 30 years.</w:t>
      </w:r>
    </w:p>
    <w:p w:rsidR="00AC349E" w:rsidRDefault="00551BE0" w:rsidP="00AC349E">
      <w:pPr>
        <w:pStyle w:val="Source"/>
      </w:pPr>
      <w:r>
        <w:rPr>
          <w:i/>
        </w:rPr>
        <w:t>S</w:t>
      </w:r>
      <w:r w:rsidR="00AC349E">
        <w:rPr>
          <w:i/>
        </w:rPr>
        <w:t>ource</w:t>
      </w:r>
      <w:r w:rsidR="00AC349E" w:rsidRPr="00167F06">
        <w:t xml:space="preserve">: </w:t>
      </w:r>
      <w:r w:rsidR="00224059">
        <w:t>T</w:t>
      </w:r>
      <w:r w:rsidR="00AC349E">
        <w:t>able B.1.</w:t>
      </w:r>
    </w:p>
    <w:p w:rsidR="00AC349E" w:rsidRDefault="00224059" w:rsidP="00AC349E">
      <w:pPr>
        <w:pStyle w:val="BodyText"/>
      </w:pPr>
      <w:r>
        <w:t>However, mo</w:t>
      </w:r>
      <w:r w:rsidR="00AC349E">
        <w:t xml:space="preserve">st of these changes in the structure of employment by </w:t>
      </w:r>
      <w:r w:rsidR="000D4C53">
        <w:t xml:space="preserve">broad </w:t>
      </w:r>
      <w:r>
        <w:t>FOW</w:t>
      </w:r>
      <w:r w:rsidR="00AC349E">
        <w:t xml:space="preserve"> occurred prior to 2001. Over the decade to 2011, there was a relatively small increase in the prevalence of permanent employees, </w:t>
      </w:r>
      <w:r w:rsidR="00A7268C">
        <w:t xml:space="preserve">mirrored by a </w:t>
      </w:r>
      <w:r w:rsidR="00AC349E">
        <w:t>decline in the employment share of small business operators (OMUEs).</w:t>
      </w:r>
      <w:r w:rsidR="00AC349E">
        <w:rPr>
          <w:rStyle w:val="FootnoteReference"/>
        </w:rPr>
        <w:footnoteReference w:id="2"/>
      </w:r>
      <w:r w:rsidR="00AC349E">
        <w:t xml:space="preserve"> Casual employees and </w:t>
      </w:r>
      <w:r w:rsidR="00AC349E">
        <w:lastRenderedPageBreak/>
        <w:t>self</w:t>
      </w:r>
      <w:r w:rsidR="00AC349E">
        <w:noBreakHyphen/>
        <w:t>employment in i</w:t>
      </w:r>
      <w:r w:rsidR="00315000">
        <w:t>ncorporated enterprises (OMIEs)</w:t>
      </w:r>
      <w:r w:rsidR="00AC349E">
        <w:t xml:space="preserve"> were no more prevalent in 2011 than they were in 2001.</w:t>
      </w:r>
      <w:r w:rsidR="008F0455">
        <w:t xml:space="preserve"> That said, the number of people employed in each of the FOWs represented in figure 3.1 increased</w:t>
      </w:r>
      <w:r w:rsidR="0033789B">
        <w:t xml:space="preserve"> (although for OMUEs, the change was very small)</w:t>
      </w:r>
      <w:r w:rsidR="008F0455">
        <w:t>.</w:t>
      </w:r>
    </w:p>
    <w:p w:rsidR="00AC349E" w:rsidRDefault="00AC349E" w:rsidP="00AC349E">
      <w:pPr>
        <w:pStyle w:val="BodyText"/>
      </w:pPr>
      <w:r>
        <w:t>The relatively small changes over the decade to 2011 were not a reflection of a static labour market</w:t>
      </w:r>
      <w:r w:rsidR="00B7098C">
        <w:t xml:space="preserve"> (figure 3.2)</w:t>
      </w:r>
      <w:r>
        <w:t>. Employment grew by 25 per cent, and the level of net job creation (2.3 million additional workers) was almost as large as in the preceding two decades (2.6 million). Possible explanations for the patterns of change in employment by FOW during the 2000s are discussed in chapter 4.</w:t>
      </w:r>
    </w:p>
    <w:p w:rsidR="0043540A" w:rsidRDefault="0043540A" w:rsidP="0043540A">
      <w:pPr>
        <w:pStyle w:val="FigureTitle"/>
      </w:pPr>
      <w:r>
        <w:rPr>
          <w:b w:val="0"/>
        </w:rPr>
        <w:t xml:space="preserve">Figure </w:t>
      </w:r>
      <w:r w:rsidR="00431F53">
        <w:rPr>
          <w:b w:val="0"/>
        </w:rPr>
        <w:t>3.2</w:t>
      </w:r>
      <w:r>
        <w:tab/>
        <w:t>Employment</w:t>
      </w:r>
      <w:r w:rsidR="006156FD">
        <w:t xml:space="preserve"> by form of work</w:t>
      </w:r>
      <w:r>
        <w:t>, 2001 and 2011</w:t>
      </w:r>
    </w:p>
    <w:p w:rsidR="00B7098C" w:rsidRPr="00B7098C" w:rsidRDefault="00B7098C" w:rsidP="00B7098C">
      <w:pPr>
        <w:pStyle w:val="Subtitle"/>
      </w:pPr>
      <w:r w:rsidRPr="00B7098C">
        <w:t>Thousands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43540A" w:rsidTr="00B70C9E">
        <w:tc>
          <w:tcPr>
            <w:tcW w:w="8777" w:type="dxa"/>
          </w:tcPr>
          <w:p w:rsidR="0043540A" w:rsidRPr="001122E2" w:rsidRDefault="00FE1862" w:rsidP="00B70C9E">
            <w:pPr>
              <w:pStyle w:val="Figure"/>
              <w:rPr>
                <w:rFonts w:ascii="Arial" w:hAnsi="Arial" w:cs="Arial"/>
                <w:sz w:val="20"/>
              </w:rPr>
            </w:pPr>
            <w:r>
              <w:rPr>
                <w:noProof/>
              </w:rPr>
              <w:drawing>
                <wp:inline distT="0" distB="0" distL="0" distR="0" wp14:anchorId="405C636B" wp14:editId="335EC8B4">
                  <wp:extent cx="2769079" cy="2570672"/>
                  <wp:effectExtent l="0" t="0" r="0" b="1270"/>
                  <wp:docPr id="1" name="Chart 1" descr="Figure 3.2: Employment shares of forms of work, 2001 and 2011. The figure shows that total employment increased, and the share of permanent employees increased over the decad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14:anchorId="56466A25" wp14:editId="6662F597">
                  <wp:extent cx="2631056" cy="2596551"/>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43540A" w:rsidRDefault="0043540A" w:rsidP="0043540A">
      <w:pPr>
        <w:pStyle w:val="Source"/>
      </w:pPr>
      <w:r>
        <w:rPr>
          <w:i/>
        </w:rPr>
        <w:t>Source</w:t>
      </w:r>
      <w:r w:rsidR="00224059">
        <w:rPr>
          <w:i/>
        </w:rPr>
        <w:t>s</w:t>
      </w:r>
      <w:r w:rsidRPr="00167F06">
        <w:t xml:space="preserve">: </w:t>
      </w:r>
      <w:r>
        <w:t>ABS (</w:t>
      </w:r>
      <w:r w:rsidR="006156FD">
        <w:t xml:space="preserve">2001: </w:t>
      </w:r>
      <w:r w:rsidR="006156FD">
        <w:rPr>
          <w:i/>
        </w:rPr>
        <w:t>Australian Labour Market Statistics</w:t>
      </w:r>
      <w:r>
        <w:t xml:space="preserve">, Cat. no. </w:t>
      </w:r>
      <w:r w:rsidR="006156FD">
        <w:t xml:space="preserve">6105.0; 2011: </w:t>
      </w:r>
      <w:r w:rsidR="006156FD" w:rsidRPr="006156FD">
        <w:rPr>
          <w:i/>
        </w:rPr>
        <w:t>Employee Earnings, Benefits and Trade Union Membership</w:t>
      </w:r>
      <w:r w:rsidR="006156FD">
        <w:t xml:space="preserve">, Cat. no. 6310.0, </w:t>
      </w:r>
      <w:r w:rsidR="004F4E77" w:rsidRPr="004F4E77">
        <w:rPr>
          <w:i/>
        </w:rPr>
        <w:t>Labour Force, Australia</w:t>
      </w:r>
      <w:r w:rsidR="004F4E77">
        <w:t xml:space="preserve">, </w:t>
      </w:r>
      <w:r w:rsidR="004F4E77" w:rsidRPr="00B525BC">
        <w:rPr>
          <w:i/>
        </w:rPr>
        <w:t>Detailed</w:t>
      </w:r>
      <w:r w:rsidR="004F4E77">
        <w:t>, Cat. no. 6291.0.55.001</w:t>
      </w:r>
      <w:r>
        <w:t>)</w:t>
      </w:r>
    </w:p>
    <w:p w:rsidR="00AC349E" w:rsidRDefault="00032AB6" w:rsidP="00AC349E">
      <w:pPr>
        <w:pStyle w:val="Heading2"/>
      </w:pPr>
      <w:fldSimple w:instr=" COMMENTS  \* MERGEFORMAT ">
        <w:r w:rsidR="00D11E91">
          <w:t>3.</w:t>
        </w:r>
      </w:fldSimple>
      <w:fldSimple w:instr=" SEQ Heading2 ">
        <w:r w:rsidR="00153B63">
          <w:rPr>
            <w:noProof/>
          </w:rPr>
          <w:t>2</w:t>
        </w:r>
      </w:fldSimple>
      <w:r w:rsidR="00AC349E">
        <w:tab/>
        <w:t>Changes in forms of work over the decade</w:t>
      </w:r>
      <w:r w:rsidR="00315000">
        <w:t xml:space="preserve"> to 2011</w:t>
      </w:r>
    </w:p>
    <w:p w:rsidR="00AC349E" w:rsidRDefault="008C0EB2" w:rsidP="00AC349E">
      <w:pPr>
        <w:pStyle w:val="BodyText"/>
      </w:pPr>
      <w:r>
        <w:t>A number of data sources were used to gain in</w:t>
      </w:r>
      <w:r w:rsidR="00AC349E">
        <w:t>sight</w:t>
      </w:r>
      <w:r>
        <w:t>s</w:t>
      </w:r>
      <w:r w:rsidR="00AC349E">
        <w:t xml:space="preserve"> into changes in the prevalence of different FOWs </w:t>
      </w:r>
      <w:r>
        <w:t xml:space="preserve">over </w:t>
      </w:r>
      <w:r w:rsidR="00AC349E">
        <w:t>the decade</w:t>
      </w:r>
      <w:r w:rsidR="00315000">
        <w:t xml:space="preserve"> to 2011</w:t>
      </w:r>
      <w:r w:rsidR="00AC349E">
        <w:t>.</w:t>
      </w:r>
      <w:r w:rsidR="00AC349E">
        <w:rPr>
          <w:rStyle w:val="FootnoteReference"/>
        </w:rPr>
        <w:footnoteReference w:id="3"/>
      </w:r>
    </w:p>
    <w:p w:rsidR="00AC349E" w:rsidRDefault="00AC349E" w:rsidP="00AC349E">
      <w:pPr>
        <w:pStyle w:val="Heading3"/>
      </w:pPr>
      <w:r>
        <w:lastRenderedPageBreak/>
        <w:t>Permanent employees</w:t>
      </w:r>
    </w:p>
    <w:p w:rsidR="00AC349E" w:rsidRDefault="00AC349E" w:rsidP="00AC349E">
      <w:pPr>
        <w:pStyle w:val="BodyText"/>
      </w:pPr>
      <w:r>
        <w:t>The prevalence of permanent employees increased between 2001 and 2011 (by about 3 percentage points), but the growth path was not smooth (figure 3.</w:t>
      </w:r>
      <w:r w:rsidR="00431F53">
        <w:t>3</w:t>
      </w:r>
      <w:r>
        <w:t>). While the prevalence of permanent employees was unchanged in the early years of the decade, it increased from about 2004 onwards.</w:t>
      </w:r>
    </w:p>
    <w:p w:rsidR="00AC349E" w:rsidRDefault="00AC349E" w:rsidP="00AC349E">
      <w:pPr>
        <w:pStyle w:val="FigureTitle"/>
      </w:pPr>
      <w:r>
        <w:rPr>
          <w:b w:val="0"/>
        </w:rPr>
        <w:t>Figure</w:t>
      </w:r>
      <w:bookmarkStart w:id="5" w:name="OLE_LINK3"/>
      <w:r>
        <w:rPr>
          <w:b w:val="0"/>
        </w:rPr>
        <w:t xml:space="preserve"> </w:t>
      </w:r>
      <w:bookmarkStart w:id="6" w:name="OLE_LINK1"/>
      <w:r>
        <w:rPr>
          <w:b w:val="0"/>
        </w:rPr>
        <w:t>3.</w:t>
      </w:r>
      <w:bookmarkEnd w:id="5"/>
      <w:bookmarkEnd w:id="6"/>
      <w:r w:rsidR="00431F53">
        <w:rPr>
          <w:b w:val="0"/>
        </w:rPr>
        <w:t>3</w:t>
      </w:r>
      <w:r>
        <w:tab/>
        <w:t>Prevalence of permanent employees, 2001 to 2011</w:t>
      </w:r>
      <w:r>
        <w:rPr>
          <w:rStyle w:val="NoteLabel"/>
          <w:b/>
        </w:rPr>
        <w:t>a</w:t>
      </w:r>
      <w:r w:rsidR="006407D1">
        <w:rPr>
          <w:rStyle w:val="NoteLabel"/>
          <w:b/>
        </w:rPr>
        <w:t>,</w:t>
      </w:r>
      <w:r w:rsidR="007E44C4">
        <w:rPr>
          <w:rStyle w:val="NoteLabel"/>
          <w:b/>
        </w:rPr>
        <w:t xml:space="preserve"> </w:t>
      </w:r>
      <w:r w:rsidR="006407D1">
        <w:rPr>
          <w:rStyle w:val="NoteLabel"/>
          <w:b/>
        </w:rPr>
        <w:t>b</w:t>
      </w:r>
      <w:r w:rsidR="00224059">
        <w:rPr>
          <w:rStyle w:val="NoteLabel"/>
          <w:b/>
        </w:rPr>
        <w:t>, c</w:t>
      </w:r>
    </w:p>
    <w:p w:rsidR="00AC349E" w:rsidRDefault="00AC349E" w:rsidP="00AC349E">
      <w:pPr>
        <w:pStyle w:val="Subtitle"/>
      </w:pPr>
      <w:r>
        <w:t>Share of workforce</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C349E" w:rsidTr="005C46A2">
        <w:tc>
          <w:tcPr>
            <w:tcW w:w="8777" w:type="dxa"/>
          </w:tcPr>
          <w:p w:rsidR="00AC349E" w:rsidRDefault="005C46A2" w:rsidP="005D5ABA">
            <w:pPr>
              <w:pStyle w:val="Figure"/>
            </w:pPr>
            <w:r>
              <w:rPr>
                <w:noProof/>
              </w:rPr>
              <w:drawing>
                <wp:inline distT="0" distB="0" distL="0" distR="0" wp14:anchorId="7D748E20" wp14:editId="7B7D4D85">
                  <wp:extent cx="5400000" cy="2880000"/>
                  <wp:effectExtent l="0" t="0" r="0" b="0"/>
                  <wp:docPr id="11" name="Chart 11" descr="Figure 3.3: Prevalence of permanent employees, 2001 to 2011. The figure shows that the prevalence of permanent employees increased by about 3 percentage points over the decade, with most of that increase occurring from about 2004 onwards."/>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AC349E" w:rsidRDefault="00AC349E" w:rsidP="00AC349E">
      <w:pPr>
        <w:pStyle w:val="Note"/>
      </w:pPr>
      <w:r>
        <w:rPr>
          <w:rStyle w:val="NoteLabel"/>
        </w:rPr>
        <w:t>a</w:t>
      </w:r>
      <w:r>
        <w:t xml:space="preserve"> Data from the </w:t>
      </w:r>
      <w:r w:rsidRPr="006C7C56">
        <w:rPr>
          <w:i/>
        </w:rPr>
        <w:t>Forms of Employment</w:t>
      </w:r>
      <w:r w:rsidRPr="008F798C">
        <w:t xml:space="preserve"> </w:t>
      </w:r>
      <w:r w:rsidR="0072044C">
        <w:t xml:space="preserve">(FOE) </w:t>
      </w:r>
      <w:r w:rsidRPr="008F798C">
        <w:t>survey</w:t>
      </w:r>
      <w:r>
        <w:t xml:space="preserve"> are not available for all workers pre</w:t>
      </w:r>
      <w:r>
        <w:noBreakHyphen/>
        <w:t xml:space="preserve">2004. Data from the </w:t>
      </w:r>
      <w:r w:rsidRPr="006C7C56">
        <w:rPr>
          <w:i/>
        </w:rPr>
        <w:t>Employee Earning</w:t>
      </w:r>
      <w:r>
        <w:rPr>
          <w:i/>
        </w:rPr>
        <w:t>s</w:t>
      </w:r>
      <w:r w:rsidRPr="006C7C56">
        <w:rPr>
          <w:i/>
        </w:rPr>
        <w:t>, Benefits and Trade Union Membership</w:t>
      </w:r>
      <w:r>
        <w:t xml:space="preserve"> </w:t>
      </w:r>
      <w:r w:rsidR="00302827">
        <w:t xml:space="preserve">(EEBTUM) </w:t>
      </w:r>
      <w:r w:rsidR="0072044C">
        <w:t>survey</w:t>
      </w:r>
      <w:r>
        <w:t xml:space="preserve"> are, therefore, used to illustrate prevalence in this period. </w:t>
      </w:r>
      <w:r w:rsidR="006407D1">
        <w:t xml:space="preserve"> </w:t>
      </w:r>
      <w:r w:rsidR="006407D1" w:rsidRPr="006407D1">
        <w:rPr>
          <w:rStyle w:val="NoteLabel"/>
        </w:rPr>
        <w:t>b</w:t>
      </w:r>
      <w:r w:rsidR="006407D1">
        <w:t xml:space="preserve"> It is unclear why the 2008 and 2009 estimates from </w:t>
      </w:r>
      <w:r w:rsidR="0072044C">
        <w:t xml:space="preserve">the </w:t>
      </w:r>
      <w:r w:rsidR="006407D1">
        <w:t xml:space="preserve">EEBTUM </w:t>
      </w:r>
      <w:r w:rsidR="0072044C">
        <w:t xml:space="preserve">survey </w:t>
      </w:r>
      <w:r w:rsidR="006407D1">
        <w:t>are statistically different from those from the FOE</w:t>
      </w:r>
      <w:r w:rsidR="0072044C">
        <w:t xml:space="preserve"> survey</w:t>
      </w:r>
      <w:r w:rsidR="006407D1">
        <w:t>.</w:t>
      </w:r>
      <w:r w:rsidR="00551ACF">
        <w:t xml:space="preserve"> </w:t>
      </w:r>
      <w:r w:rsidR="001611CB">
        <w:t>Inspection of the EEBTUM data for 2008 and 2009, however, suggests that the estimates in these year</w:t>
      </w:r>
      <w:r w:rsidR="00740177">
        <w:t>s</w:t>
      </w:r>
      <w:r w:rsidR="001611CB">
        <w:t xml:space="preserve"> might be less reliable than the FOE survey </w:t>
      </w:r>
      <w:r w:rsidR="00740177">
        <w:t>estimates</w:t>
      </w:r>
      <w:r w:rsidR="001611CB">
        <w:t>.</w:t>
      </w:r>
      <w:r w:rsidR="006407D1">
        <w:t xml:space="preserve"> </w:t>
      </w:r>
      <w:r>
        <w:t xml:space="preserve"> </w:t>
      </w:r>
      <w:r w:rsidR="006407D1">
        <w:rPr>
          <w:rStyle w:val="NoteLabel"/>
        </w:rPr>
        <w:t>c</w:t>
      </w:r>
      <w:r w:rsidR="004F4E77">
        <w:t> </w:t>
      </w:r>
      <w:r>
        <w:t>Error bars indicate the 95 per cent confidence intervals.</w:t>
      </w:r>
    </w:p>
    <w:p w:rsidR="00AC349E" w:rsidRDefault="00AC349E" w:rsidP="00AC349E">
      <w:pPr>
        <w:pStyle w:val="Source"/>
      </w:pPr>
      <w:r>
        <w:rPr>
          <w:i/>
        </w:rPr>
        <w:t>Source</w:t>
      </w:r>
      <w:r w:rsidRPr="00167F06">
        <w:t xml:space="preserve">: </w:t>
      </w:r>
      <w:r w:rsidR="00224059">
        <w:t>T</w:t>
      </w:r>
      <w:r>
        <w:t>able B.2.</w:t>
      </w:r>
    </w:p>
    <w:p w:rsidR="00AC349E" w:rsidRDefault="00AC349E" w:rsidP="00AC349E">
      <w:pPr>
        <w:pStyle w:val="Heading3"/>
      </w:pPr>
      <w:r>
        <w:t>Casual employees</w:t>
      </w:r>
    </w:p>
    <w:p w:rsidR="00AC349E" w:rsidRPr="00473920" w:rsidRDefault="00AC349E" w:rsidP="00AC349E">
      <w:pPr>
        <w:pStyle w:val="BodyText"/>
        <w:rPr>
          <w:spacing w:val="-2"/>
        </w:rPr>
      </w:pPr>
      <w:r w:rsidRPr="00473920">
        <w:rPr>
          <w:spacing w:val="-2"/>
        </w:rPr>
        <w:t>The prevalence of casual employees was similar in 2001 and 2011, although it was not constant across the decade (figure </w:t>
      </w:r>
      <w:r w:rsidRPr="00157D0A">
        <w:rPr>
          <w:spacing w:val="-2"/>
        </w:rPr>
        <w:t>3.</w:t>
      </w:r>
      <w:r w:rsidR="00431F53">
        <w:rPr>
          <w:spacing w:val="-2"/>
        </w:rPr>
        <w:t>4</w:t>
      </w:r>
      <w:r w:rsidRPr="00473920">
        <w:rPr>
          <w:spacing w:val="-2"/>
        </w:rPr>
        <w:t xml:space="preserve">). As noted above, </w:t>
      </w:r>
      <w:r>
        <w:rPr>
          <w:spacing w:val="-2"/>
        </w:rPr>
        <w:t xml:space="preserve">the prevalence of </w:t>
      </w:r>
      <w:r w:rsidRPr="00473920">
        <w:rPr>
          <w:spacing w:val="-2"/>
        </w:rPr>
        <w:t>casual</w:t>
      </w:r>
      <w:r>
        <w:rPr>
          <w:spacing w:val="-2"/>
        </w:rPr>
        <w:t>s</w:t>
      </w:r>
      <w:r w:rsidRPr="00473920">
        <w:rPr>
          <w:spacing w:val="-2"/>
        </w:rPr>
        <w:t xml:space="preserve"> </w:t>
      </w:r>
      <w:r>
        <w:rPr>
          <w:spacing w:val="-2"/>
        </w:rPr>
        <w:t>grew</w:t>
      </w:r>
      <w:r w:rsidRPr="00473920">
        <w:rPr>
          <w:spacing w:val="-2"/>
        </w:rPr>
        <w:t xml:space="preserve"> rapidly in </w:t>
      </w:r>
      <w:r>
        <w:rPr>
          <w:spacing w:val="-2"/>
        </w:rPr>
        <w:t xml:space="preserve">the two </w:t>
      </w:r>
      <w:r w:rsidRPr="00473920">
        <w:rPr>
          <w:spacing w:val="-2"/>
        </w:rPr>
        <w:t>decades</w:t>
      </w:r>
      <w:r>
        <w:rPr>
          <w:spacing w:val="-2"/>
        </w:rPr>
        <w:t xml:space="preserve"> to 2001</w:t>
      </w:r>
      <w:r w:rsidRPr="00473920">
        <w:rPr>
          <w:spacing w:val="-2"/>
        </w:rPr>
        <w:t>. In the early 2000s the prevalence of casual</w:t>
      </w:r>
      <w:r>
        <w:rPr>
          <w:spacing w:val="-2"/>
        </w:rPr>
        <w:t>s</w:t>
      </w:r>
      <w:r w:rsidRPr="00473920">
        <w:rPr>
          <w:spacing w:val="-2"/>
        </w:rPr>
        <w:t xml:space="preserve"> employees continued to rise, albeit much more slowly. The small increases in the earlier part of the decade were reversed in the latter, with some authors</w:t>
      </w:r>
      <w:r w:rsidR="00224059">
        <w:rPr>
          <w:spacing w:val="-2"/>
        </w:rPr>
        <w:t xml:space="preserve"> (for example, Howe et al. 2012)</w:t>
      </w:r>
      <w:r w:rsidRPr="00473920">
        <w:rPr>
          <w:spacing w:val="-2"/>
        </w:rPr>
        <w:t xml:space="preserve"> suggesting that casual</w:t>
      </w:r>
      <w:r w:rsidR="008C515B">
        <w:rPr>
          <w:spacing w:val="-2"/>
        </w:rPr>
        <w:t xml:space="preserve"> employees</w:t>
      </w:r>
      <w:r>
        <w:rPr>
          <w:spacing w:val="-2"/>
        </w:rPr>
        <w:t>’</w:t>
      </w:r>
      <w:r w:rsidRPr="00473920">
        <w:rPr>
          <w:spacing w:val="-2"/>
        </w:rPr>
        <w:t xml:space="preserve"> share of the workforce might have peaked during the 2000s.</w:t>
      </w:r>
    </w:p>
    <w:p w:rsidR="00AC349E" w:rsidRDefault="00AC349E" w:rsidP="00AC349E">
      <w:pPr>
        <w:pStyle w:val="FigureTitle"/>
        <w:rPr>
          <w:rStyle w:val="NoteLabel"/>
          <w:b/>
        </w:rPr>
      </w:pPr>
      <w:r>
        <w:rPr>
          <w:b w:val="0"/>
        </w:rPr>
        <w:lastRenderedPageBreak/>
        <w:t xml:space="preserve">Figure </w:t>
      </w:r>
      <w:bookmarkStart w:id="7" w:name="OLE_LINK4"/>
      <w:r>
        <w:rPr>
          <w:b w:val="0"/>
        </w:rPr>
        <w:t>3.</w:t>
      </w:r>
      <w:bookmarkEnd w:id="7"/>
      <w:r w:rsidR="00431F53">
        <w:rPr>
          <w:b w:val="0"/>
        </w:rPr>
        <w:t>4</w:t>
      </w:r>
      <w:r>
        <w:tab/>
        <w:t>Prevalence of casual employees, 2001 to 2011</w:t>
      </w:r>
      <w:r>
        <w:rPr>
          <w:rStyle w:val="NoteLabel"/>
          <w:b/>
        </w:rPr>
        <w:t>a,</w:t>
      </w:r>
      <w:r w:rsidR="007E44C4">
        <w:rPr>
          <w:rStyle w:val="NoteLabel"/>
          <w:b/>
        </w:rPr>
        <w:t xml:space="preserve"> </w:t>
      </w:r>
      <w:r>
        <w:rPr>
          <w:rStyle w:val="NoteLabel"/>
          <w:b/>
        </w:rPr>
        <w:t>b,</w:t>
      </w:r>
      <w:r w:rsidR="007E44C4">
        <w:rPr>
          <w:rStyle w:val="NoteLabel"/>
          <w:b/>
        </w:rPr>
        <w:t xml:space="preserve"> </w:t>
      </w:r>
      <w:r>
        <w:rPr>
          <w:rStyle w:val="NoteLabel"/>
          <w:b/>
        </w:rPr>
        <w:t>c</w:t>
      </w:r>
      <w:r w:rsidR="00BF31F8">
        <w:rPr>
          <w:rStyle w:val="NoteLabel"/>
          <w:b/>
        </w:rPr>
        <w:t>, d</w:t>
      </w:r>
    </w:p>
    <w:p w:rsidR="00AC349E" w:rsidRPr="00524D33" w:rsidRDefault="004F3DAC" w:rsidP="00AC349E">
      <w:pPr>
        <w:pStyle w:val="Subtitle"/>
      </w:pPr>
      <w:r>
        <w:t>Share of workforce</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C349E" w:rsidTr="005C46A2">
        <w:tc>
          <w:tcPr>
            <w:tcW w:w="8777" w:type="dxa"/>
          </w:tcPr>
          <w:p w:rsidR="00AC349E" w:rsidRDefault="005C46A2" w:rsidP="005D5ABA">
            <w:pPr>
              <w:pStyle w:val="Figure"/>
            </w:pPr>
            <w:r>
              <w:rPr>
                <w:noProof/>
              </w:rPr>
              <w:drawing>
                <wp:inline distT="0" distB="0" distL="0" distR="0" wp14:anchorId="1113D6BD" wp14:editId="4121C808">
                  <wp:extent cx="5400000" cy="2880000"/>
                  <wp:effectExtent l="0" t="0" r="0" b="0"/>
                  <wp:docPr id="12" name="Chart 12" descr="Figure 3.4: Prevalence of casual employees, 2001 to 2011. The figure shows that the prevalence of casual employees changed by only small amounts within the decade, but was fairly stable, at about 20 per cent of the workforce."/>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C349E" w:rsidRPr="00302827" w:rsidRDefault="00AC349E" w:rsidP="00AC349E">
      <w:pPr>
        <w:pStyle w:val="Note"/>
      </w:pPr>
      <w:r w:rsidRPr="00302827">
        <w:rPr>
          <w:rStyle w:val="NoteLabel"/>
        </w:rPr>
        <w:t>a</w:t>
      </w:r>
      <w:r w:rsidRPr="00302827">
        <w:t xml:space="preserve"> To create a consistent time series,</w:t>
      </w:r>
      <w:r w:rsidR="0072044C">
        <w:t xml:space="preserve"> data from the</w:t>
      </w:r>
      <w:r w:rsidRPr="00302827">
        <w:t xml:space="preserve"> </w:t>
      </w:r>
      <w:r w:rsidRPr="00302827">
        <w:rPr>
          <w:i/>
        </w:rPr>
        <w:t>Forms of Employment</w:t>
      </w:r>
      <w:r w:rsidR="0072044C">
        <w:rPr>
          <w:i/>
        </w:rPr>
        <w:t xml:space="preserve"> </w:t>
      </w:r>
      <w:r w:rsidR="0072044C" w:rsidRPr="0072044C">
        <w:t>(FOE)</w:t>
      </w:r>
      <w:r w:rsidR="0072044C">
        <w:rPr>
          <w:i/>
        </w:rPr>
        <w:t xml:space="preserve"> </w:t>
      </w:r>
      <w:r w:rsidR="0072044C">
        <w:t xml:space="preserve">survey </w:t>
      </w:r>
      <w:r w:rsidRPr="00302827">
        <w:t xml:space="preserve">for 2008 to 2011 include employees reclassified by the ABS as independent contractors.  </w:t>
      </w:r>
      <w:r w:rsidRPr="00302827">
        <w:rPr>
          <w:rStyle w:val="NoteLabel"/>
        </w:rPr>
        <w:t>b</w:t>
      </w:r>
      <w:r w:rsidRPr="00302827">
        <w:t xml:space="preserve"> Data from the FOE survey are not available for all workers pre</w:t>
      </w:r>
      <w:r w:rsidRPr="00302827">
        <w:noBreakHyphen/>
        <w:t xml:space="preserve">2004. Data from the </w:t>
      </w:r>
      <w:r w:rsidRPr="00302827">
        <w:rPr>
          <w:i/>
        </w:rPr>
        <w:t>Employee Earnings, Benefits and Trade Union Membership</w:t>
      </w:r>
      <w:r w:rsidRPr="00302827">
        <w:t xml:space="preserve"> </w:t>
      </w:r>
      <w:r w:rsidR="00302827" w:rsidRPr="00302827">
        <w:t xml:space="preserve">(EEBTUM) </w:t>
      </w:r>
      <w:r w:rsidR="0072044C">
        <w:t>survey</w:t>
      </w:r>
      <w:r w:rsidRPr="00302827">
        <w:t xml:space="preserve"> are, therefore, used to illustrate prevalence in this period.  </w:t>
      </w:r>
      <w:r w:rsidRPr="00302827">
        <w:rPr>
          <w:rStyle w:val="NoteLabel"/>
        </w:rPr>
        <w:t>c</w:t>
      </w:r>
      <w:r w:rsidRPr="00302827">
        <w:t xml:space="preserve"> The ABS was unable to explain the difference</w:t>
      </w:r>
      <w:r w:rsidR="00302827">
        <w:t>s</w:t>
      </w:r>
      <w:r w:rsidRPr="00302827">
        <w:t xml:space="preserve"> between prevalence estimates from the two surveys.  </w:t>
      </w:r>
      <w:r w:rsidRPr="00302827">
        <w:rPr>
          <w:rStyle w:val="NoteLabel"/>
        </w:rPr>
        <w:t>d</w:t>
      </w:r>
      <w:r w:rsidRPr="00302827">
        <w:t xml:space="preserve"> Error bars indicate the 95 per cent confidence intervals.</w:t>
      </w:r>
    </w:p>
    <w:p w:rsidR="00AC349E" w:rsidRPr="0002199F" w:rsidRDefault="00AC349E" w:rsidP="00AC349E">
      <w:pPr>
        <w:pStyle w:val="Source"/>
      </w:pPr>
      <w:r w:rsidRPr="0027360C">
        <w:rPr>
          <w:i/>
        </w:rPr>
        <w:t>Source</w:t>
      </w:r>
      <w:r w:rsidR="00BF31F8">
        <w:t>: T</w:t>
      </w:r>
      <w:r>
        <w:t>able B.3.</w:t>
      </w:r>
    </w:p>
    <w:p w:rsidR="00AC349E" w:rsidRPr="00473920" w:rsidRDefault="00AC349E" w:rsidP="00AC349E">
      <w:pPr>
        <w:pStyle w:val="BodyText"/>
        <w:rPr>
          <w:spacing w:val="-2"/>
        </w:rPr>
      </w:pPr>
      <w:r w:rsidRPr="00473920">
        <w:rPr>
          <w:spacing w:val="-2"/>
        </w:rPr>
        <w:t xml:space="preserve">Just when the </w:t>
      </w:r>
      <w:r w:rsidR="00BF31F8">
        <w:rPr>
          <w:spacing w:val="-2"/>
        </w:rPr>
        <w:t>prevalence of casual employees peaked</w:t>
      </w:r>
      <w:r w:rsidRPr="00473920">
        <w:rPr>
          <w:spacing w:val="-2"/>
        </w:rPr>
        <w:t xml:space="preserve"> depends on the data source used. Based on the ABS </w:t>
      </w:r>
      <w:r w:rsidRPr="00473920">
        <w:rPr>
          <w:i/>
          <w:spacing w:val="-2"/>
        </w:rPr>
        <w:t>Employee Earnings, Benefits and Trade Union Membership</w:t>
      </w:r>
      <w:r w:rsidR="008C0898">
        <w:rPr>
          <w:spacing w:val="-2"/>
        </w:rPr>
        <w:t xml:space="preserve"> survey, Howe et al. (2012</w:t>
      </w:r>
      <w:r w:rsidRPr="00473920">
        <w:rPr>
          <w:spacing w:val="-2"/>
        </w:rPr>
        <w:t xml:space="preserve">) find that the proportion of employees working as casuals increased to 2004, before declining slightly. In contrast, using data from its </w:t>
      </w:r>
      <w:r w:rsidRPr="00473920">
        <w:rPr>
          <w:i/>
          <w:spacing w:val="-2"/>
        </w:rPr>
        <w:t>Forms of Employment</w:t>
      </w:r>
      <w:r w:rsidRPr="00473920">
        <w:rPr>
          <w:spacing w:val="-2"/>
        </w:rPr>
        <w:t xml:space="preserve"> </w:t>
      </w:r>
      <w:r w:rsidRPr="00473920">
        <w:rPr>
          <w:i/>
          <w:spacing w:val="-2"/>
        </w:rPr>
        <w:t>s</w:t>
      </w:r>
      <w:r w:rsidRPr="00473920">
        <w:rPr>
          <w:spacing w:val="-2"/>
        </w:rPr>
        <w:t>urvey, the ABS (2012</w:t>
      </w:r>
      <w:r w:rsidR="00A24971">
        <w:rPr>
          <w:spacing w:val="-2"/>
        </w:rPr>
        <w:t>f</w:t>
      </w:r>
      <w:r w:rsidRPr="00473920">
        <w:rPr>
          <w:spacing w:val="-2"/>
        </w:rPr>
        <w:t>, p. 11) reported a peak in 2007:</w:t>
      </w:r>
      <w:r w:rsidRPr="00473920">
        <w:rPr>
          <w:rStyle w:val="FootnoteReference"/>
          <w:spacing w:val="-2"/>
        </w:rPr>
        <w:footnoteReference w:id="4"/>
      </w:r>
      <w:r w:rsidRPr="00473920">
        <w:rPr>
          <w:spacing w:val="-2"/>
          <w:vertAlign w:val="superscript"/>
        </w:rPr>
        <w:t>,</w:t>
      </w:r>
      <w:r w:rsidRPr="00473920">
        <w:rPr>
          <w:rStyle w:val="FootnoteReference"/>
          <w:spacing w:val="-2"/>
        </w:rPr>
        <w:footnoteReference w:id="5"/>
      </w:r>
    </w:p>
    <w:p w:rsidR="00AC349E" w:rsidRPr="000F10E8" w:rsidRDefault="00AC349E" w:rsidP="000F10E8">
      <w:pPr>
        <w:pStyle w:val="Quote"/>
      </w:pPr>
      <w:r w:rsidRPr="000F10E8">
        <w:t>The proportion of casuals reached a peak of 21% of all employed persons (2.2 million casuals and 10.4 million employed persons) in 2007, and now sits at 19% of all employed persons (2.2 million casuals and 11.4 million employed persons) in 2011.</w:t>
      </w:r>
    </w:p>
    <w:p w:rsidR="00AC349E" w:rsidRPr="00836876" w:rsidRDefault="00AC349E" w:rsidP="00AC349E">
      <w:pPr>
        <w:pStyle w:val="BodyText"/>
        <w:rPr>
          <w:spacing w:val="-2"/>
        </w:rPr>
      </w:pPr>
      <w:r w:rsidRPr="00836876">
        <w:rPr>
          <w:spacing w:val="-2"/>
        </w:rPr>
        <w:t xml:space="preserve">Given the small changes in the prevalence of casual employees </w:t>
      </w:r>
      <w:r w:rsidR="000F10E8">
        <w:rPr>
          <w:spacing w:val="-2"/>
        </w:rPr>
        <w:t>across</w:t>
      </w:r>
      <w:r w:rsidRPr="00836876">
        <w:rPr>
          <w:spacing w:val="-2"/>
        </w:rPr>
        <w:t xml:space="preserve"> years (and for estimates across different surveys) since 2001, it is difficult to nominate a particular year </w:t>
      </w:r>
      <w:r w:rsidR="00551BE0">
        <w:rPr>
          <w:spacing w:val="-2"/>
        </w:rPr>
        <w:t>that</w:t>
      </w:r>
      <w:r w:rsidRPr="00836876">
        <w:rPr>
          <w:spacing w:val="-2"/>
        </w:rPr>
        <w:t xml:space="preserve"> casual employee’s share of total employment might have peaked. When the 10 years </w:t>
      </w:r>
      <w:r w:rsidR="00836876" w:rsidRPr="00836876">
        <w:rPr>
          <w:spacing w:val="-2"/>
        </w:rPr>
        <w:t xml:space="preserve">to 2011 </w:t>
      </w:r>
      <w:r w:rsidRPr="00836876">
        <w:rPr>
          <w:spacing w:val="-2"/>
        </w:rPr>
        <w:t xml:space="preserve">are considered in the context of earlier periods of growth, what is apparent is that the rapid growth in casual employment in the 1980s and 1990s did </w:t>
      </w:r>
      <w:r w:rsidRPr="00836876">
        <w:rPr>
          <w:spacing w:val="-2"/>
        </w:rPr>
        <w:lastRenderedPageBreak/>
        <w:t xml:space="preserve">not continue </w:t>
      </w:r>
      <w:r w:rsidR="008C0898">
        <w:rPr>
          <w:spacing w:val="-2"/>
        </w:rPr>
        <w:t>in</w:t>
      </w:r>
      <w:r w:rsidRPr="00836876">
        <w:rPr>
          <w:spacing w:val="-2"/>
        </w:rPr>
        <w:t xml:space="preserve"> the 2000s. In the decade to 2011 casual employment grew at a rate broadly similar to that of the workforce.</w:t>
      </w:r>
    </w:p>
    <w:p w:rsidR="00AC349E" w:rsidRDefault="00E619D1" w:rsidP="00AC349E">
      <w:pPr>
        <w:pStyle w:val="Heading3"/>
      </w:pPr>
      <w:r>
        <w:t xml:space="preserve">Owner </w:t>
      </w:r>
      <w:r w:rsidR="00AC349E">
        <w:t>managers</w:t>
      </w:r>
    </w:p>
    <w:p w:rsidR="00AC349E" w:rsidRDefault="00AC349E" w:rsidP="00AC349E">
      <w:pPr>
        <w:pStyle w:val="BodyText"/>
      </w:pPr>
      <w:r>
        <w:t xml:space="preserve">The number of OMIEs expanded at about the same rate as employment during the 2000s, keeping the prevalence of this </w:t>
      </w:r>
      <w:r w:rsidR="00B73528">
        <w:t>FOW</w:t>
      </w:r>
      <w:r>
        <w:t xml:space="preserve"> reasonably stable at about 6.5 per cent (figure 3.</w:t>
      </w:r>
      <w:r w:rsidR="00431F53">
        <w:t>5</w:t>
      </w:r>
      <w:r>
        <w:t>).</w:t>
      </w:r>
    </w:p>
    <w:p w:rsidR="00AC349E" w:rsidRDefault="00AC349E" w:rsidP="00AC349E">
      <w:pPr>
        <w:pStyle w:val="FigureTitle"/>
      </w:pPr>
      <w:r>
        <w:rPr>
          <w:b w:val="0"/>
        </w:rPr>
        <w:t xml:space="preserve">Figure </w:t>
      </w:r>
      <w:bookmarkStart w:id="8" w:name="OLE_LINK6"/>
      <w:r>
        <w:rPr>
          <w:b w:val="0"/>
        </w:rPr>
        <w:t>3.</w:t>
      </w:r>
      <w:bookmarkEnd w:id="8"/>
      <w:r w:rsidR="00431F53">
        <w:rPr>
          <w:b w:val="0"/>
        </w:rPr>
        <w:t>5</w:t>
      </w:r>
      <w:r>
        <w:tab/>
        <w:t>Prevalence of OMIEs, 2001 to 2011</w:t>
      </w:r>
      <w:r w:rsidR="008C0898" w:rsidRPr="008C0898">
        <w:rPr>
          <w:rStyle w:val="NoteLabel"/>
          <w:b/>
        </w:rPr>
        <w:t>a, b</w:t>
      </w:r>
    </w:p>
    <w:p w:rsidR="00AC349E" w:rsidRDefault="00AC349E" w:rsidP="00AC349E">
      <w:pPr>
        <w:pStyle w:val="Subtitle"/>
      </w:pPr>
      <w:r>
        <w:t>Share of workforce</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C349E" w:rsidTr="005C46A2">
        <w:tc>
          <w:tcPr>
            <w:tcW w:w="8777" w:type="dxa"/>
          </w:tcPr>
          <w:p w:rsidR="00AC349E" w:rsidRPr="007E44C4" w:rsidRDefault="005C46A2" w:rsidP="005D5ABA">
            <w:pPr>
              <w:pStyle w:val="Figure"/>
              <w:rPr>
                <w:rFonts w:ascii="Arial" w:hAnsi="Arial" w:cs="Arial"/>
              </w:rPr>
            </w:pPr>
            <w:r w:rsidRPr="007E44C4">
              <w:rPr>
                <w:rFonts w:ascii="Arial" w:hAnsi="Arial" w:cs="Arial"/>
                <w:noProof/>
              </w:rPr>
              <w:drawing>
                <wp:inline distT="0" distB="0" distL="0" distR="0" wp14:anchorId="4803BDA9" wp14:editId="528FE5AB">
                  <wp:extent cx="5400000" cy="2880000"/>
                  <wp:effectExtent l="0" t="0" r="0" b="0"/>
                  <wp:docPr id="13" name="Chart 13" descr="Figure 3.5: Prevalence of OMIEs, 2001 to 2011. The figure shows that the prevalence of OMIEs was reasonably stable over the decade, at about 6.5 per cent of the workforce. "/>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C349E" w:rsidRDefault="00AC349E" w:rsidP="00AC349E">
      <w:pPr>
        <w:pStyle w:val="Note"/>
      </w:pPr>
      <w:r>
        <w:rPr>
          <w:rStyle w:val="NoteLabel"/>
        </w:rPr>
        <w:t>a</w:t>
      </w:r>
      <w:r>
        <w:t xml:space="preserve"> Error bars represent the 95 per cent confidence interval.  </w:t>
      </w:r>
      <w:r w:rsidRPr="00057751">
        <w:rPr>
          <w:rStyle w:val="NoteLabel"/>
        </w:rPr>
        <w:t>b</w:t>
      </w:r>
      <w:r>
        <w:t xml:space="preserve"> Prior to 2008, OMIE estimates in the ABS catalogue </w:t>
      </w:r>
      <w:r w:rsidRPr="007F5B3A">
        <w:rPr>
          <w:i/>
        </w:rPr>
        <w:t>Australian Labour Market Statistics</w:t>
      </w:r>
      <w:r>
        <w:t xml:space="preserve"> were sourced from a combination of the </w:t>
      </w:r>
      <w:r w:rsidRPr="006C7C56">
        <w:rPr>
          <w:i/>
        </w:rPr>
        <w:t>Employee Earning</w:t>
      </w:r>
      <w:r>
        <w:rPr>
          <w:i/>
        </w:rPr>
        <w:t>s</w:t>
      </w:r>
      <w:r w:rsidRPr="006C7C56">
        <w:rPr>
          <w:i/>
        </w:rPr>
        <w:t>, Benefits and Trade Union Membership</w:t>
      </w:r>
      <w:r>
        <w:t xml:space="preserve"> (EEBTUM) survey and the </w:t>
      </w:r>
      <w:r w:rsidRPr="00CA40A5">
        <w:rPr>
          <w:i/>
        </w:rPr>
        <w:t>Labour Force Survey</w:t>
      </w:r>
      <w:r>
        <w:t xml:space="preserve"> (LFS) in August of each year. Post 2007, they were sourced from the </w:t>
      </w:r>
      <w:r w:rsidRPr="00D4526E">
        <w:rPr>
          <w:i/>
        </w:rPr>
        <w:t>Forms of Employment</w:t>
      </w:r>
      <w:r>
        <w:t xml:space="preserve"> (FOE) survey, which is collected in November. To retain a series based on the August LFS, OMIE estimates from the EEBTUM </w:t>
      </w:r>
      <w:r w:rsidR="004F3DAC">
        <w:t>survey</w:t>
      </w:r>
      <w:r>
        <w:t xml:space="preserve"> are used for years post 2007.</w:t>
      </w:r>
    </w:p>
    <w:p w:rsidR="00AC349E" w:rsidRDefault="00AC349E" w:rsidP="00AC349E">
      <w:pPr>
        <w:pStyle w:val="Source"/>
      </w:pPr>
      <w:r>
        <w:rPr>
          <w:i/>
        </w:rPr>
        <w:t>Source</w:t>
      </w:r>
      <w:r w:rsidRPr="00167F06">
        <w:t>:</w:t>
      </w:r>
      <w:r w:rsidR="008C0898">
        <w:t xml:space="preserve"> T</w:t>
      </w:r>
      <w:r>
        <w:t>able B.6.</w:t>
      </w:r>
    </w:p>
    <w:p w:rsidR="00AC349E" w:rsidRDefault="00AC349E" w:rsidP="00AC349E">
      <w:pPr>
        <w:rPr>
          <w:spacing w:val="-2"/>
          <w:szCs w:val="20"/>
        </w:rPr>
      </w:pPr>
      <w:r>
        <w:rPr>
          <w:spacing w:val="-2"/>
        </w:rPr>
        <w:br w:type="page"/>
      </w:r>
    </w:p>
    <w:p w:rsidR="00AC349E" w:rsidRPr="00757D75" w:rsidRDefault="00AC349E" w:rsidP="00AC349E">
      <w:pPr>
        <w:pStyle w:val="BodyText"/>
        <w:rPr>
          <w:spacing w:val="-2"/>
        </w:rPr>
      </w:pPr>
      <w:r w:rsidRPr="00757D75">
        <w:rPr>
          <w:spacing w:val="-2"/>
        </w:rPr>
        <w:lastRenderedPageBreak/>
        <w:t>In contrast, there was a marked decrease in t</w:t>
      </w:r>
      <w:r w:rsidR="008C0898">
        <w:rPr>
          <w:spacing w:val="-2"/>
        </w:rPr>
        <w:t xml:space="preserve">he prevalence of </w:t>
      </w:r>
      <w:r w:rsidRPr="00757D75">
        <w:rPr>
          <w:spacing w:val="-2"/>
        </w:rPr>
        <w:t>OMUEs across the decade to 2011</w:t>
      </w:r>
      <w:r>
        <w:rPr>
          <w:spacing w:val="-2"/>
        </w:rPr>
        <w:t xml:space="preserve"> (figure </w:t>
      </w:r>
      <w:r w:rsidR="00431F53">
        <w:t>3.6</w:t>
      </w:r>
      <w:r>
        <w:rPr>
          <w:spacing w:val="-2"/>
        </w:rPr>
        <w:t>)</w:t>
      </w:r>
      <w:r w:rsidR="008C0898">
        <w:rPr>
          <w:spacing w:val="-2"/>
        </w:rPr>
        <w:t xml:space="preserve">. This trend continued in 2012 </w:t>
      </w:r>
      <w:r w:rsidRPr="00757D75">
        <w:rPr>
          <w:spacing w:val="-2"/>
        </w:rPr>
        <w:t xml:space="preserve">and amounted to a fall </w:t>
      </w:r>
      <w:r>
        <w:rPr>
          <w:spacing w:val="-2"/>
        </w:rPr>
        <w:t>in prevalence of 3 </w:t>
      </w:r>
      <w:r w:rsidRPr="00757D75">
        <w:rPr>
          <w:spacing w:val="-2"/>
        </w:rPr>
        <w:t xml:space="preserve">percentage points </w:t>
      </w:r>
      <w:r w:rsidR="008C0898">
        <w:rPr>
          <w:spacing w:val="-2"/>
        </w:rPr>
        <w:t>in the ten years to August 2012</w:t>
      </w:r>
      <w:r w:rsidRPr="00757D75">
        <w:rPr>
          <w:spacing w:val="-2"/>
        </w:rPr>
        <w:t>.</w:t>
      </w:r>
      <w:r>
        <w:rPr>
          <w:rStyle w:val="FootnoteReference"/>
          <w:spacing w:val="-2"/>
        </w:rPr>
        <w:footnoteReference w:id="6"/>
      </w:r>
      <w:r w:rsidRPr="00757D75">
        <w:rPr>
          <w:spacing w:val="-2"/>
        </w:rPr>
        <w:t xml:space="preserve"> Possible explanations for this outcome are </w:t>
      </w:r>
      <w:r>
        <w:rPr>
          <w:spacing w:val="-2"/>
        </w:rPr>
        <w:t>considered</w:t>
      </w:r>
      <w:r w:rsidRPr="00757D75">
        <w:rPr>
          <w:spacing w:val="-2"/>
        </w:rPr>
        <w:t xml:space="preserve"> in chapter 4.</w:t>
      </w:r>
    </w:p>
    <w:p w:rsidR="00AC349E" w:rsidRDefault="00AC349E" w:rsidP="00AC349E">
      <w:pPr>
        <w:pStyle w:val="FigureTitle"/>
        <w:rPr>
          <w:rStyle w:val="NoteLabel"/>
          <w:b/>
        </w:rPr>
      </w:pPr>
      <w:r>
        <w:rPr>
          <w:b w:val="0"/>
        </w:rPr>
        <w:t xml:space="preserve">Figure </w:t>
      </w:r>
      <w:bookmarkStart w:id="9" w:name="OLE_LINK7"/>
      <w:r>
        <w:rPr>
          <w:b w:val="0"/>
        </w:rPr>
        <w:t>3.</w:t>
      </w:r>
      <w:bookmarkEnd w:id="9"/>
      <w:r w:rsidR="00431F53">
        <w:rPr>
          <w:b w:val="0"/>
        </w:rPr>
        <w:t>6</w:t>
      </w:r>
      <w:r>
        <w:tab/>
        <w:t>Prevalence of OMUEs, 2001 to 2012</w:t>
      </w:r>
      <w:r w:rsidR="00B525BC" w:rsidRPr="00B525BC">
        <w:rPr>
          <w:rStyle w:val="NoteLabel"/>
          <w:b/>
        </w:rPr>
        <w:t>a</w:t>
      </w:r>
    </w:p>
    <w:p w:rsidR="00AC349E" w:rsidRPr="00524D33" w:rsidRDefault="00AC349E" w:rsidP="00AC349E">
      <w:pPr>
        <w:pStyle w:val="Subtitle"/>
      </w:pPr>
      <w:r w:rsidRPr="00524D33">
        <w:t>Share of workforce</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C349E" w:rsidTr="005C46A2">
        <w:tc>
          <w:tcPr>
            <w:tcW w:w="8777" w:type="dxa"/>
          </w:tcPr>
          <w:p w:rsidR="00AC349E" w:rsidRDefault="005C46A2" w:rsidP="005D5ABA">
            <w:pPr>
              <w:pStyle w:val="Figure"/>
            </w:pPr>
            <w:r>
              <w:rPr>
                <w:noProof/>
              </w:rPr>
              <w:drawing>
                <wp:inline distT="0" distB="0" distL="0" distR="0" wp14:anchorId="756AB2D3" wp14:editId="195B4376">
                  <wp:extent cx="5400000" cy="2880000"/>
                  <wp:effectExtent l="0" t="0" r="0" b="0"/>
                  <wp:docPr id="14" name="Chart 14" descr="Figure 3.6: Prevalence of OMUEs, 2001 to 2012. The figure shows that the prevalence of OMUEs trended down by about 3 percentage points in the ten years to August 20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C349E" w:rsidRDefault="00AC349E" w:rsidP="00AC349E">
      <w:pPr>
        <w:pStyle w:val="Note"/>
      </w:pPr>
      <w:r>
        <w:rPr>
          <w:rStyle w:val="NoteLabel"/>
        </w:rPr>
        <w:t>a</w:t>
      </w:r>
      <w:r>
        <w:t xml:space="preserve"> Error bars represent the 95 per cent confidence interval.</w:t>
      </w:r>
    </w:p>
    <w:p w:rsidR="00AC349E" w:rsidRPr="00C27565" w:rsidRDefault="00AC349E" w:rsidP="00AC349E">
      <w:pPr>
        <w:pStyle w:val="Source"/>
      </w:pPr>
      <w:r>
        <w:rPr>
          <w:i/>
        </w:rPr>
        <w:t>Source</w:t>
      </w:r>
      <w:r w:rsidR="008C0898">
        <w:t>: T</w:t>
      </w:r>
      <w:r>
        <w:t>able B.7.</w:t>
      </w:r>
    </w:p>
    <w:p w:rsidR="00AC349E" w:rsidRDefault="00AC349E" w:rsidP="00AC349E">
      <w:pPr>
        <w:pStyle w:val="Heading3"/>
      </w:pPr>
      <w:r>
        <w:t>Other forms of work</w:t>
      </w:r>
    </w:p>
    <w:p w:rsidR="00AC349E" w:rsidRDefault="00AC349E" w:rsidP="00AC349E">
      <w:pPr>
        <w:pStyle w:val="BodyText"/>
      </w:pPr>
      <w:r>
        <w:t>There was no trend in the prevalence of fixed</w:t>
      </w:r>
      <w:r>
        <w:noBreakHyphen/>
        <w:t xml:space="preserve">term employees </w:t>
      </w:r>
      <w:r w:rsidR="008C0898">
        <w:t>between 2001 and 2011 (</w:t>
      </w:r>
      <w:r>
        <w:t>table B.4).</w:t>
      </w:r>
    </w:p>
    <w:p w:rsidR="00AC349E" w:rsidRPr="006B261C" w:rsidRDefault="00AC349E" w:rsidP="00AC349E">
      <w:pPr>
        <w:pStyle w:val="BodyText"/>
        <w:rPr>
          <w:spacing w:val="-2"/>
        </w:rPr>
      </w:pPr>
      <w:r w:rsidRPr="006B261C">
        <w:rPr>
          <w:spacing w:val="-2"/>
        </w:rPr>
        <w:t>The proportion of workers who reported receiving their pay from a labour hire firm or employment agency remained low across the decade (1 to 2 per cent of employment), and the evidence suggests a slight fall in the prevalence of this FOW (table</w:t>
      </w:r>
      <w:r w:rsidR="00B73528">
        <w:rPr>
          <w:spacing w:val="-2"/>
        </w:rPr>
        <w:t> </w:t>
      </w:r>
      <w:r w:rsidRPr="006B261C">
        <w:rPr>
          <w:spacing w:val="-2"/>
        </w:rPr>
        <w:t xml:space="preserve">B.5). Other studies report a higher rate of labour hire employment when measured as the percentage of workers who obtained their jobs through labour hire firms or employment agencies (about 5 per cent according to Howe et al. (2012)). In this study, however, the focus is on workers’ current FOW, not the pathway through </w:t>
      </w:r>
      <w:r w:rsidRPr="006B261C">
        <w:rPr>
          <w:spacing w:val="-2"/>
        </w:rPr>
        <w:lastRenderedPageBreak/>
        <w:t xml:space="preserve">which they were recruited. The preferred measure of labour hire </w:t>
      </w:r>
      <w:r w:rsidR="00551BE0">
        <w:rPr>
          <w:spacing w:val="-2"/>
        </w:rPr>
        <w:t>workers</w:t>
      </w:r>
      <w:r w:rsidRPr="006B261C">
        <w:rPr>
          <w:spacing w:val="-2"/>
        </w:rPr>
        <w:t xml:space="preserve">, therefore, is based on where </w:t>
      </w:r>
      <w:r w:rsidR="00320293">
        <w:rPr>
          <w:spacing w:val="-2"/>
        </w:rPr>
        <w:t xml:space="preserve">the </w:t>
      </w:r>
      <w:r w:rsidRPr="006B261C">
        <w:rPr>
          <w:spacing w:val="-2"/>
        </w:rPr>
        <w:t>responsibility for paying a worker lies.</w:t>
      </w:r>
    </w:p>
    <w:p w:rsidR="00AC349E" w:rsidRDefault="00AC349E" w:rsidP="00AC349E">
      <w:pPr>
        <w:pStyle w:val="BodyText"/>
      </w:pPr>
      <w:r>
        <w:t xml:space="preserve">Available data on independent contracting indicate that this FOW made up 9 to 10 per cent of the workforce between 2008 and 2011 (table B.8), with no particular trend in prevalence over this period. The share of other business operators in employment fell slightly between 2008 and 2009 (from 10 to 9 per cent) and was then stable to 2011. </w:t>
      </w:r>
      <w:r w:rsidR="00D246A3">
        <w:t xml:space="preserve">Is it likely that the decline in the prevalence of OMUEs over the decade to 2011 reflected prevalence falls for both independent contractors and other business operators. </w:t>
      </w:r>
      <w:r>
        <w:t>More detail on th</w:t>
      </w:r>
      <w:r w:rsidR="00B86A8C">
        <w:t>is point</w:t>
      </w:r>
      <w:r>
        <w:t xml:space="preserve"> is presented in appendix C.</w:t>
      </w:r>
    </w:p>
    <w:p w:rsidR="00AC349E" w:rsidRDefault="00032AB6" w:rsidP="00AC349E">
      <w:pPr>
        <w:pStyle w:val="Heading2"/>
      </w:pPr>
      <w:fldSimple w:instr=" COMMENTS  \* MERGEFORMAT ">
        <w:r w:rsidR="00D11E91">
          <w:t>3.</w:t>
        </w:r>
      </w:fldSimple>
      <w:fldSimple w:instr=" SEQ Heading2 ">
        <w:r w:rsidR="00153B63">
          <w:rPr>
            <w:noProof/>
          </w:rPr>
          <w:t>3</w:t>
        </w:r>
      </w:fldSimple>
      <w:r w:rsidR="00AC349E">
        <w:tab/>
        <w:t>Summary</w:t>
      </w:r>
    </w:p>
    <w:p w:rsidR="00AC349E" w:rsidRDefault="00AC349E" w:rsidP="00AC349E">
      <w:pPr>
        <w:pStyle w:val="BodyText"/>
      </w:pPr>
      <w:r>
        <w:t xml:space="preserve">Australians work under </w:t>
      </w:r>
      <w:r w:rsidR="005C46A2">
        <w:t>many</w:t>
      </w:r>
      <w:r>
        <w:t xml:space="preserve"> arrangements, and the mix of these FOWs has changed over time.</w:t>
      </w:r>
    </w:p>
    <w:p w:rsidR="00AC349E" w:rsidRDefault="00AC349E" w:rsidP="00AC349E">
      <w:pPr>
        <w:pStyle w:val="BodyText"/>
      </w:pPr>
      <w:r>
        <w:t xml:space="preserve">The prevalence of </w:t>
      </w:r>
      <w:r w:rsidR="000D4C53">
        <w:t>a number of</w:t>
      </w:r>
      <w:r w:rsidR="00746577">
        <w:t xml:space="preserve"> </w:t>
      </w:r>
      <w:r>
        <w:t>FOWs</w:t>
      </w:r>
      <w:r w:rsidR="000D4C53">
        <w:t xml:space="preserve"> </w:t>
      </w:r>
      <w:r w:rsidR="00746577">
        <w:t xml:space="preserve">that were less common at the start of the 1980s </w:t>
      </w:r>
      <w:r>
        <w:t xml:space="preserve">increased </w:t>
      </w:r>
      <w:r w:rsidR="00746577">
        <w:t>over the following 20 years</w:t>
      </w:r>
      <w:r>
        <w:t>. Most significantly, the share of casual employees in the workforce doubled to 20 per cent</w:t>
      </w:r>
      <w:r w:rsidR="008C0EB2">
        <w:t xml:space="preserve"> over this period</w:t>
      </w:r>
      <w:r>
        <w:t xml:space="preserve">. </w:t>
      </w:r>
      <w:r w:rsidR="00551BE0">
        <w:t>Although</w:t>
      </w:r>
      <w:r>
        <w:t xml:space="preserve"> </w:t>
      </w:r>
      <w:r w:rsidR="000D4C53">
        <w:t xml:space="preserve">the </w:t>
      </w:r>
      <w:r w:rsidR="00494AC0">
        <w:t xml:space="preserve">historical </w:t>
      </w:r>
      <w:r w:rsidR="000D4C53">
        <w:t xml:space="preserve">prevalence of some </w:t>
      </w:r>
      <w:r>
        <w:t xml:space="preserve">FOWs </w:t>
      </w:r>
      <w:r w:rsidR="000D4C53">
        <w:t>(including labour hire workers and independent contractors) is not easily measured</w:t>
      </w:r>
      <w:r>
        <w:t xml:space="preserve">, it is likely that </w:t>
      </w:r>
      <w:r w:rsidR="000D4C53">
        <w:t xml:space="preserve">these FOWs </w:t>
      </w:r>
      <w:r>
        <w:t xml:space="preserve">also </w:t>
      </w:r>
      <w:r w:rsidR="00494AC0">
        <w:t xml:space="preserve">expanded </w:t>
      </w:r>
      <w:r>
        <w:t>at a faster rate than overall employment</w:t>
      </w:r>
      <w:r w:rsidR="00746577">
        <w:t xml:space="preserve">. </w:t>
      </w:r>
      <w:r w:rsidR="00914E1D">
        <w:t xml:space="preserve">Evidence suggests that this was certainly the case for labour hire workers and </w:t>
      </w:r>
      <w:r w:rsidR="008C0898">
        <w:t xml:space="preserve">independent </w:t>
      </w:r>
      <w:r w:rsidR="00914E1D">
        <w:t xml:space="preserve">contractors during the 1990s. </w:t>
      </w:r>
      <w:r w:rsidR="00746577">
        <w:t>Conversely, the</w:t>
      </w:r>
      <w:r>
        <w:t xml:space="preserve"> employment of permanent employees grew more slowly.</w:t>
      </w:r>
    </w:p>
    <w:p w:rsidR="00AC349E" w:rsidRDefault="00D85581" w:rsidP="00AC349E">
      <w:pPr>
        <w:pStyle w:val="BodyText"/>
      </w:pPr>
      <w:r>
        <w:t xml:space="preserve">In contrast </w:t>
      </w:r>
      <w:r w:rsidR="00AC349E">
        <w:t xml:space="preserve">with earlier periods, the share of the workforce not </w:t>
      </w:r>
      <w:r>
        <w:t xml:space="preserve">in </w:t>
      </w:r>
      <w:r w:rsidR="00AC349E">
        <w:t xml:space="preserve">permanent </w:t>
      </w:r>
      <w:r>
        <w:t>employ</w:t>
      </w:r>
      <w:r w:rsidR="0048617B">
        <w:t>ee roles</w:t>
      </w:r>
      <w:r w:rsidR="00AC349E">
        <w:t xml:space="preserve"> declined somewhat in the decade </w:t>
      </w:r>
      <w:r>
        <w:t>to 2011</w:t>
      </w:r>
      <w:r w:rsidR="00AC349E">
        <w:t xml:space="preserve"> — primarily because of a decrease in the prevalence of OMUEs. </w:t>
      </w:r>
      <w:r w:rsidR="00551BE0">
        <w:t>Although</w:t>
      </w:r>
      <w:r w:rsidR="00AC349E">
        <w:t xml:space="preserve"> not large, the increased prevalence of permanent employees that accompanied the 2.5 to 3 percentage point fall in the prevalence of OMUEs</w:t>
      </w:r>
      <w:r w:rsidR="00B525BC">
        <w:t>,</w:t>
      </w:r>
      <w:r w:rsidR="00AC349E">
        <w:t xml:space="preserve"> </w:t>
      </w:r>
      <w:r>
        <w:t xml:space="preserve">signalled </w:t>
      </w:r>
      <w:r w:rsidR="00AC349E">
        <w:t xml:space="preserve">a </w:t>
      </w:r>
      <w:r w:rsidR="000F10E8">
        <w:t>not</w:t>
      </w:r>
      <w:r>
        <w:t xml:space="preserve">iceable </w:t>
      </w:r>
      <w:r w:rsidR="00AC349E">
        <w:t>change in work trends.</w:t>
      </w:r>
    </w:p>
    <w:p w:rsidR="00F056FC" w:rsidRDefault="00AC349E" w:rsidP="00120072">
      <w:pPr>
        <w:pStyle w:val="BodyText"/>
      </w:pPr>
      <w:r>
        <w:t xml:space="preserve">The findings indicate that the </w:t>
      </w:r>
      <w:r w:rsidR="00746577">
        <w:t xml:space="preserve">relatively </w:t>
      </w:r>
      <w:r>
        <w:t xml:space="preserve">rapid growth in </w:t>
      </w:r>
      <w:r w:rsidR="008C0898">
        <w:t>a number of FOWs ––</w:t>
      </w:r>
      <w:r w:rsidR="00494AC0">
        <w:t xml:space="preserve"> including casual</w:t>
      </w:r>
      <w:r w:rsidR="00430C26">
        <w:t xml:space="preserve"> employees</w:t>
      </w:r>
      <w:r w:rsidR="00494AC0">
        <w:t xml:space="preserve">, labour </w:t>
      </w:r>
      <w:r w:rsidR="00430C26">
        <w:t>hire workers and independent contractors</w:t>
      </w:r>
      <w:r w:rsidR="008C0898">
        <w:t xml:space="preserve"> ––</w:t>
      </w:r>
      <w:r w:rsidR="00494AC0">
        <w:t xml:space="preserve"> </w:t>
      </w:r>
      <w:r>
        <w:t>in previous decades</w:t>
      </w:r>
      <w:r w:rsidR="00494AC0">
        <w:t xml:space="preserve"> </w:t>
      </w:r>
      <w:r>
        <w:t>has not continued in recent years</w:t>
      </w:r>
      <w:r w:rsidR="00494AC0">
        <w:t>.</w:t>
      </w:r>
      <w:r>
        <w:t xml:space="preserve"> </w:t>
      </w:r>
      <w:r w:rsidR="00494AC0">
        <w:t>T</w:t>
      </w:r>
      <w:r>
        <w:t>he share of workers in th</w:t>
      </w:r>
      <w:r w:rsidR="00494AC0">
        <w:t>ese</w:t>
      </w:r>
      <w:r>
        <w:t xml:space="preserve"> FOWs </w:t>
      </w:r>
      <w:r w:rsidR="00494AC0">
        <w:t>(and fixed</w:t>
      </w:r>
      <w:r w:rsidR="00494AC0">
        <w:noBreakHyphen/>
        <w:t xml:space="preserve">term employees) </w:t>
      </w:r>
      <w:r w:rsidR="00430C26">
        <w:t>was</w:t>
      </w:r>
      <w:r>
        <w:t xml:space="preserve"> relatively stable between 2001 and 2011. </w:t>
      </w:r>
      <w:r w:rsidR="00551BE0">
        <w:t>Although</w:t>
      </w:r>
      <w:r w:rsidR="00430C26">
        <w:t xml:space="preserve"> employment in most FOWs grew in absolute terms over the decade to 2011, only the prevalence of permanent employees was higher at the end of the decade than at the start. </w:t>
      </w:r>
      <w:r>
        <w:t xml:space="preserve">Chapter 4 outlines </w:t>
      </w:r>
      <w:r w:rsidR="00D85581">
        <w:t xml:space="preserve">possible </w:t>
      </w:r>
      <w:r>
        <w:t xml:space="preserve">reasons </w:t>
      </w:r>
      <w:r w:rsidR="00D85581">
        <w:t xml:space="preserve">for </w:t>
      </w:r>
      <w:r>
        <w:t xml:space="preserve">the observed changes in </w:t>
      </w:r>
      <w:r w:rsidR="00494AC0">
        <w:t xml:space="preserve">the prevalence of </w:t>
      </w:r>
      <w:r w:rsidR="0033789B">
        <w:t>FOWs</w:t>
      </w:r>
      <w:r w:rsidR="00494AC0">
        <w:t xml:space="preserve"> </w:t>
      </w:r>
      <w:r>
        <w:t xml:space="preserve">over the decade </w:t>
      </w:r>
      <w:r w:rsidR="002C42B8">
        <w:t>to 2011</w:t>
      </w:r>
      <w:r>
        <w:t>.</w:t>
      </w:r>
    </w:p>
    <w:sectPr w:rsidR="00F056FC" w:rsidSect="00D11E91">
      <w:headerReference w:type="even" r:id="rId16"/>
      <w:headerReference w:type="default" r:id="rId17"/>
      <w:footerReference w:type="even" r:id="rId18"/>
      <w:footerReference w:type="default" r:id="rId19"/>
      <w:footnotePr>
        <w:numStart w:val="15"/>
      </w:footnotePr>
      <w:pgSz w:w="11907" w:h="16840" w:code="9"/>
      <w:pgMar w:top="1985" w:right="1304" w:bottom="1418" w:left="1814" w:header="1701" w:footer="567" w:gutter="0"/>
      <w:pgNumType w:start="3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AB6" w:rsidRDefault="00032AB6">
      <w:r>
        <w:separator/>
      </w:r>
    </w:p>
  </w:endnote>
  <w:endnote w:type="continuationSeparator" w:id="0">
    <w:p w:rsidR="00032AB6" w:rsidRDefault="0003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924535">
      <w:trPr>
        <w:trHeight w:hRule="exact" w:val="740"/>
      </w:trPr>
      <w:tc>
        <w:tcPr>
          <w:tcW w:w="510" w:type="dxa"/>
          <w:tcBorders>
            <w:top w:val="single" w:sz="6" w:space="0" w:color="auto"/>
          </w:tcBorders>
        </w:tcPr>
        <w:p w:rsidR="00924535" w:rsidRDefault="00924535"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4F0C98">
            <w:rPr>
              <w:rStyle w:val="PageNumber"/>
              <w:noProof/>
            </w:rPr>
            <w:t>32</w:t>
          </w:r>
          <w:r>
            <w:rPr>
              <w:rStyle w:val="PageNumber"/>
            </w:rPr>
            <w:fldChar w:fldCharType="end"/>
          </w:r>
        </w:p>
      </w:tc>
      <w:tc>
        <w:tcPr>
          <w:tcW w:w="1644" w:type="dxa"/>
          <w:tcBorders>
            <w:top w:val="single" w:sz="6" w:space="0" w:color="auto"/>
          </w:tcBorders>
        </w:tcPr>
        <w:p w:rsidR="00924535" w:rsidRDefault="00032AB6" w:rsidP="0019293B">
          <w:pPr>
            <w:pStyle w:val="Footer"/>
          </w:pPr>
          <w:fldSimple w:instr=" SUBJECT  \* MERGEFORMAT ">
            <w:r w:rsidR="00153B63">
              <w:t>Forms of work</w:t>
            </w:r>
          </w:fldSimple>
        </w:p>
      </w:tc>
      <w:tc>
        <w:tcPr>
          <w:tcW w:w="6634" w:type="dxa"/>
        </w:tcPr>
        <w:p w:rsidR="00924535" w:rsidRDefault="00924535" w:rsidP="0019293B">
          <w:pPr>
            <w:pStyle w:val="Footer"/>
          </w:pPr>
        </w:p>
      </w:tc>
    </w:tr>
  </w:tbl>
  <w:p w:rsidR="00924535" w:rsidRDefault="00924535"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924535">
      <w:trPr>
        <w:trHeight w:hRule="exact" w:val="740"/>
      </w:trPr>
      <w:tc>
        <w:tcPr>
          <w:tcW w:w="6634" w:type="dxa"/>
        </w:tcPr>
        <w:p w:rsidR="00924535" w:rsidRDefault="00924535">
          <w:pPr>
            <w:pStyle w:val="Footer"/>
            <w:ind w:right="360" w:firstLine="360"/>
          </w:pPr>
        </w:p>
      </w:tc>
      <w:tc>
        <w:tcPr>
          <w:tcW w:w="1644" w:type="dxa"/>
          <w:tcBorders>
            <w:top w:val="single" w:sz="6" w:space="0" w:color="auto"/>
          </w:tcBorders>
        </w:tcPr>
        <w:p w:rsidR="00924535" w:rsidRDefault="00032AB6">
          <w:pPr>
            <w:pStyle w:val="Footer"/>
          </w:pPr>
          <w:fldSimple w:instr=" TITLE  \* MERGEFORMAT ">
            <w:r w:rsidR="00153B63">
              <w:t>Prevalence of forms of work</w:t>
            </w:r>
          </w:fldSimple>
        </w:p>
      </w:tc>
      <w:tc>
        <w:tcPr>
          <w:tcW w:w="510" w:type="dxa"/>
          <w:tcBorders>
            <w:top w:val="single" w:sz="6" w:space="0" w:color="auto"/>
          </w:tcBorders>
        </w:tcPr>
        <w:p w:rsidR="00924535" w:rsidRDefault="00924535">
          <w:pPr>
            <w:pStyle w:val="Footer"/>
            <w:jc w:val="right"/>
          </w:pPr>
          <w:r>
            <w:rPr>
              <w:rStyle w:val="PageNumber"/>
            </w:rPr>
            <w:fldChar w:fldCharType="begin"/>
          </w:r>
          <w:r>
            <w:rPr>
              <w:rStyle w:val="PageNumber"/>
            </w:rPr>
            <w:instrText xml:space="preserve">PAGE  </w:instrText>
          </w:r>
          <w:r>
            <w:rPr>
              <w:rStyle w:val="PageNumber"/>
            </w:rPr>
            <w:fldChar w:fldCharType="separate"/>
          </w:r>
          <w:r w:rsidR="004F0C98">
            <w:rPr>
              <w:rStyle w:val="PageNumber"/>
              <w:noProof/>
            </w:rPr>
            <w:t>33</w:t>
          </w:r>
          <w:r>
            <w:rPr>
              <w:rStyle w:val="PageNumber"/>
            </w:rPr>
            <w:fldChar w:fldCharType="end"/>
          </w:r>
        </w:p>
      </w:tc>
    </w:tr>
  </w:tbl>
  <w:p w:rsidR="00924535" w:rsidRDefault="00924535">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AB6" w:rsidRDefault="00032AB6">
      <w:r>
        <w:separator/>
      </w:r>
    </w:p>
  </w:footnote>
  <w:footnote w:type="continuationSeparator" w:id="0">
    <w:p w:rsidR="00032AB6" w:rsidRDefault="00032AB6">
      <w:r>
        <w:continuationSeparator/>
      </w:r>
    </w:p>
  </w:footnote>
  <w:footnote w:id="1">
    <w:p w:rsidR="00924535" w:rsidRDefault="00924535" w:rsidP="00AC349E">
      <w:pPr>
        <w:pStyle w:val="FootnoteText"/>
      </w:pPr>
      <w:r>
        <w:rPr>
          <w:rStyle w:val="FootnoteReference"/>
        </w:rPr>
        <w:footnoteRef/>
      </w:r>
      <w:r>
        <w:tab/>
        <w:t>A distinction is not drawn between part- and full-time work in describing prevalence changes because the focus of the study is on the conditions and entitlements for each FOW, not hours worked. Changes in the patterns of hours worked by FOW are discussed in chapter 4.</w:t>
      </w:r>
    </w:p>
  </w:footnote>
  <w:footnote w:id="2">
    <w:p w:rsidR="00924535" w:rsidRPr="00D27ABD" w:rsidRDefault="00924535" w:rsidP="00AC349E">
      <w:pPr>
        <w:pStyle w:val="FootnoteText"/>
        <w:rPr>
          <w:spacing w:val="-2"/>
        </w:rPr>
      </w:pPr>
      <w:r>
        <w:rPr>
          <w:rStyle w:val="FootnoteReference"/>
        </w:rPr>
        <w:footnoteRef/>
      </w:r>
      <w:r>
        <w:tab/>
      </w:r>
      <w:r w:rsidRPr="00D27ABD">
        <w:rPr>
          <w:spacing w:val="-2"/>
        </w:rPr>
        <w:t xml:space="preserve">About half of the change in the prevalence of OMUEs was attributable to those who employ others, </w:t>
      </w:r>
      <w:r>
        <w:rPr>
          <w:spacing w:val="-2"/>
        </w:rPr>
        <w:t xml:space="preserve">and </w:t>
      </w:r>
      <w:r w:rsidRPr="00D27ABD">
        <w:rPr>
          <w:spacing w:val="-2"/>
        </w:rPr>
        <w:t xml:space="preserve">the other half </w:t>
      </w:r>
      <w:r>
        <w:rPr>
          <w:spacing w:val="-2"/>
        </w:rPr>
        <w:t xml:space="preserve">attributable </w:t>
      </w:r>
      <w:r w:rsidRPr="00D27ABD">
        <w:rPr>
          <w:spacing w:val="-2"/>
        </w:rPr>
        <w:t>to those who work alone. However, because the latter group is a larger share of OMUEs, the prevalence decline was</w:t>
      </w:r>
      <w:r>
        <w:rPr>
          <w:spacing w:val="-2"/>
        </w:rPr>
        <w:t xml:space="preserve"> relatively</w:t>
      </w:r>
      <w:r w:rsidRPr="00D27ABD">
        <w:rPr>
          <w:spacing w:val="-2"/>
        </w:rPr>
        <w:t xml:space="preserve"> smaller for this group (appendix B).</w:t>
      </w:r>
    </w:p>
  </w:footnote>
  <w:footnote w:id="3">
    <w:p w:rsidR="00924535" w:rsidRDefault="00924535" w:rsidP="00AC349E">
      <w:pPr>
        <w:pStyle w:val="FootnoteText"/>
      </w:pPr>
      <w:r>
        <w:rPr>
          <w:rStyle w:val="FootnoteReference"/>
        </w:rPr>
        <w:footnoteRef/>
      </w:r>
      <w:r>
        <w:tab/>
        <w:t>A comparison of estimates from alternative sources is presented in appendix B. Each source yields similar conclusions about the directions of change in the prevalence of different FOWs.</w:t>
      </w:r>
    </w:p>
  </w:footnote>
  <w:footnote w:id="4">
    <w:p w:rsidR="00924535" w:rsidRDefault="00924535" w:rsidP="004F4E77">
      <w:pPr>
        <w:pStyle w:val="FootnoteText"/>
      </w:pPr>
      <w:r>
        <w:rPr>
          <w:rStyle w:val="FootnoteReference"/>
        </w:rPr>
        <w:footnoteRef/>
      </w:r>
      <w:r>
        <w:t xml:space="preserve"> There are small differences between the estimates of casuals presented in figure 3.2 (using ABS data) and those reported by the ABS. This arises because of a different treatment for some workers. See appendix B for more details on estimates presented in this chapter.</w:t>
      </w:r>
    </w:p>
  </w:footnote>
  <w:footnote w:id="5">
    <w:p w:rsidR="00924535" w:rsidRDefault="00924535" w:rsidP="00AC349E">
      <w:pPr>
        <w:pStyle w:val="FootnoteText"/>
      </w:pPr>
      <w:r>
        <w:rPr>
          <w:rStyle w:val="FootnoteReference"/>
        </w:rPr>
        <w:footnoteRef/>
      </w:r>
      <w:r>
        <w:t xml:space="preserve"> Data from the HILDA survey suggests a different peak again, occurring in 2002 (table B.3).</w:t>
      </w:r>
    </w:p>
  </w:footnote>
  <w:footnote w:id="6">
    <w:p w:rsidR="00924535" w:rsidRDefault="00924535" w:rsidP="00AC349E">
      <w:pPr>
        <w:pStyle w:val="FootnoteText"/>
      </w:pPr>
      <w:r>
        <w:rPr>
          <w:rStyle w:val="FootnoteReference"/>
        </w:rPr>
        <w:footnoteRef/>
      </w:r>
      <w:r>
        <w:tab/>
        <w:t>Data for 2012 are presented for OMUEs, but not other FOWs in this chapter, because 2012 data were only available for OMUEs.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924535">
      <w:tc>
        <w:tcPr>
          <w:tcW w:w="2155" w:type="dxa"/>
          <w:tcBorders>
            <w:top w:val="single" w:sz="24" w:space="0" w:color="auto"/>
          </w:tcBorders>
        </w:tcPr>
        <w:p w:rsidR="00924535" w:rsidRDefault="00924535" w:rsidP="0019293B">
          <w:pPr>
            <w:pStyle w:val="HeaderEven"/>
          </w:pPr>
        </w:p>
      </w:tc>
      <w:tc>
        <w:tcPr>
          <w:tcW w:w="6634" w:type="dxa"/>
          <w:tcBorders>
            <w:top w:val="single" w:sz="6" w:space="0" w:color="auto"/>
          </w:tcBorders>
        </w:tcPr>
        <w:p w:rsidR="00924535" w:rsidRDefault="00924535" w:rsidP="0019293B">
          <w:pPr>
            <w:pStyle w:val="HeaderEven"/>
          </w:pPr>
        </w:p>
      </w:tc>
    </w:tr>
  </w:tbl>
  <w:p w:rsidR="00924535" w:rsidRDefault="00924535"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924535">
      <w:tc>
        <w:tcPr>
          <w:tcW w:w="6634" w:type="dxa"/>
          <w:tcBorders>
            <w:top w:val="single" w:sz="6" w:space="0" w:color="auto"/>
          </w:tcBorders>
        </w:tcPr>
        <w:p w:rsidR="00924535" w:rsidRDefault="00924535" w:rsidP="00E669E2">
          <w:pPr>
            <w:pStyle w:val="HeaderOdd"/>
          </w:pPr>
        </w:p>
      </w:tc>
      <w:tc>
        <w:tcPr>
          <w:tcW w:w="2155" w:type="dxa"/>
          <w:tcBorders>
            <w:top w:val="single" w:sz="24" w:space="0" w:color="auto"/>
          </w:tcBorders>
        </w:tcPr>
        <w:p w:rsidR="00924535" w:rsidRDefault="00924535" w:rsidP="00E669E2">
          <w:pPr>
            <w:pStyle w:val="HeaderOdd"/>
          </w:pPr>
        </w:p>
      </w:tc>
    </w:tr>
  </w:tbl>
  <w:p w:rsidR="00924535" w:rsidRDefault="00924535"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097"/>
  </w:hdrShapeDefaults>
  <w:footnotePr>
    <w:numStart w:val="1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Prevalence of forms of work"/>
    <w:docVar w:name="ShortReportTitle" w:val="Forms of work"/>
  </w:docVars>
  <w:rsids>
    <w:rsidRoot w:val="00AC349E"/>
    <w:rsid w:val="00005389"/>
    <w:rsid w:val="000227D5"/>
    <w:rsid w:val="000245AA"/>
    <w:rsid w:val="00032AB6"/>
    <w:rsid w:val="0003664B"/>
    <w:rsid w:val="0004111F"/>
    <w:rsid w:val="000565B3"/>
    <w:rsid w:val="0007150B"/>
    <w:rsid w:val="00071A18"/>
    <w:rsid w:val="000938F5"/>
    <w:rsid w:val="00096E55"/>
    <w:rsid w:val="000B601B"/>
    <w:rsid w:val="000C207E"/>
    <w:rsid w:val="000D4C53"/>
    <w:rsid w:val="000F0035"/>
    <w:rsid w:val="000F10E8"/>
    <w:rsid w:val="000F420B"/>
    <w:rsid w:val="00110116"/>
    <w:rsid w:val="001122E2"/>
    <w:rsid w:val="001126AD"/>
    <w:rsid w:val="00120072"/>
    <w:rsid w:val="00126EB8"/>
    <w:rsid w:val="001274D4"/>
    <w:rsid w:val="001363AA"/>
    <w:rsid w:val="00153B63"/>
    <w:rsid w:val="001611CB"/>
    <w:rsid w:val="00183E82"/>
    <w:rsid w:val="001878BB"/>
    <w:rsid w:val="00191AE0"/>
    <w:rsid w:val="0019293B"/>
    <w:rsid w:val="001A779C"/>
    <w:rsid w:val="001C0865"/>
    <w:rsid w:val="001C3ABA"/>
    <w:rsid w:val="001E7BE8"/>
    <w:rsid w:val="001F0248"/>
    <w:rsid w:val="001F3EB3"/>
    <w:rsid w:val="001F4F86"/>
    <w:rsid w:val="00202C2C"/>
    <w:rsid w:val="002135AB"/>
    <w:rsid w:val="002144BE"/>
    <w:rsid w:val="00224059"/>
    <w:rsid w:val="00242279"/>
    <w:rsid w:val="00245C82"/>
    <w:rsid w:val="00251A5E"/>
    <w:rsid w:val="00291B40"/>
    <w:rsid w:val="002B4008"/>
    <w:rsid w:val="002C42B8"/>
    <w:rsid w:val="002D0E8E"/>
    <w:rsid w:val="002F0A46"/>
    <w:rsid w:val="00301189"/>
    <w:rsid w:val="00302827"/>
    <w:rsid w:val="00315000"/>
    <w:rsid w:val="00320293"/>
    <w:rsid w:val="00323E09"/>
    <w:rsid w:val="00333932"/>
    <w:rsid w:val="003373FE"/>
    <w:rsid w:val="0033789B"/>
    <w:rsid w:val="00343EA1"/>
    <w:rsid w:val="003518AA"/>
    <w:rsid w:val="00352165"/>
    <w:rsid w:val="00353182"/>
    <w:rsid w:val="003565D9"/>
    <w:rsid w:val="003602E1"/>
    <w:rsid w:val="0037026F"/>
    <w:rsid w:val="00371240"/>
    <w:rsid w:val="00374731"/>
    <w:rsid w:val="00376E59"/>
    <w:rsid w:val="003919F9"/>
    <w:rsid w:val="003C38B5"/>
    <w:rsid w:val="003C5D99"/>
    <w:rsid w:val="003E2F59"/>
    <w:rsid w:val="003F0789"/>
    <w:rsid w:val="00401882"/>
    <w:rsid w:val="004100C8"/>
    <w:rsid w:val="00411DBD"/>
    <w:rsid w:val="00412ACE"/>
    <w:rsid w:val="00430C26"/>
    <w:rsid w:val="00431249"/>
    <w:rsid w:val="00431F53"/>
    <w:rsid w:val="00434C19"/>
    <w:rsid w:val="0043540A"/>
    <w:rsid w:val="004434B9"/>
    <w:rsid w:val="00450810"/>
    <w:rsid w:val="00452BCA"/>
    <w:rsid w:val="00477144"/>
    <w:rsid w:val="0048617B"/>
    <w:rsid w:val="00491380"/>
    <w:rsid w:val="00492A86"/>
    <w:rsid w:val="0049459F"/>
    <w:rsid w:val="004949EF"/>
    <w:rsid w:val="00494AC0"/>
    <w:rsid w:val="004A38DD"/>
    <w:rsid w:val="004B43AE"/>
    <w:rsid w:val="004C30ED"/>
    <w:rsid w:val="004D5675"/>
    <w:rsid w:val="004F0C98"/>
    <w:rsid w:val="004F2EA6"/>
    <w:rsid w:val="004F3DAC"/>
    <w:rsid w:val="004F4E77"/>
    <w:rsid w:val="0051718F"/>
    <w:rsid w:val="00523639"/>
    <w:rsid w:val="00531FE5"/>
    <w:rsid w:val="005402FA"/>
    <w:rsid w:val="0054098B"/>
    <w:rsid w:val="00545C75"/>
    <w:rsid w:val="00551ACF"/>
    <w:rsid w:val="00551BE0"/>
    <w:rsid w:val="00556D1B"/>
    <w:rsid w:val="00583C39"/>
    <w:rsid w:val="00587F28"/>
    <w:rsid w:val="005909CF"/>
    <w:rsid w:val="00591E71"/>
    <w:rsid w:val="00597FAF"/>
    <w:rsid w:val="005A0D41"/>
    <w:rsid w:val="005C46A2"/>
    <w:rsid w:val="005D5ABA"/>
    <w:rsid w:val="00607BF1"/>
    <w:rsid w:val="006156FD"/>
    <w:rsid w:val="00630D4D"/>
    <w:rsid w:val="00632A74"/>
    <w:rsid w:val="006407D1"/>
    <w:rsid w:val="0067619F"/>
    <w:rsid w:val="006A4655"/>
    <w:rsid w:val="006B2B3C"/>
    <w:rsid w:val="006C07F4"/>
    <w:rsid w:val="006C1BA9"/>
    <w:rsid w:val="006C1D81"/>
    <w:rsid w:val="006C7038"/>
    <w:rsid w:val="006E73EF"/>
    <w:rsid w:val="00714D4D"/>
    <w:rsid w:val="0072044C"/>
    <w:rsid w:val="00740177"/>
    <w:rsid w:val="00746577"/>
    <w:rsid w:val="007604BB"/>
    <w:rsid w:val="00780258"/>
    <w:rsid w:val="00785232"/>
    <w:rsid w:val="007A21EB"/>
    <w:rsid w:val="007B1A93"/>
    <w:rsid w:val="007C2E96"/>
    <w:rsid w:val="007C36C9"/>
    <w:rsid w:val="007D6401"/>
    <w:rsid w:val="007E01E4"/>
    <w:rsid w:val="007E44C4"/>
    <w:rsid w:val="007F7107"/>
    <w:rsid w:val="00800D4C"/>
    <w:rsid w:val="0081030F"/>
    <w:rsid w:val="0082087D"/>
    <w:rsid w:val="008327E5"/>
    <w:rsid w:val="00835771"/>
    <w:rsid w:val="00836876"/>
    <w:rsid w:val="00842933"/>
    <w:rsid w:val="0086082C"/>
    <w:rsid w:val="00864ADC"/>
    <w:rsid w:val="00880153"/>
    <w:rsid w:val="00880F97"/>
    <w:rsid w:val="0088133A"/>
    <w:rsid w:val="0089285E"/>
    <w:rsid w:val="0089436C"/>
    <w:rsid w:val="008978B2"/>
    <w:rsid w:val="00897DFD"/>
    <w:rsid w:val="008C0898"/>
    <w:rsid w:val="008C0EB2"/>
    <w:rsid w:val="008C515B"/>
    <w:rsid w:val="008D365C"/>
    <w:rsid w:val="008F0455"/>
    <w:rsid w:val="008F7B88"/>
    <w:rsid w:val="009030BF"/>
    <w:rsid w:val="0091032F"/>
    <w:rsid w:val="00914368"/>
    <w:rsid w:val="00914E1D"/>
    <w:rsid w:val="00924535"/>
    <w:rsid w:val="00931076"/>
    <w:rsid w:val="009345D9"/>
    <w:rsid w:val="00934B15"/>
    <w:rsid w:val="00940C87"/>
    <w:rsid w:val="00942B62"/>
    <w:rsid w:val="0095323B"/>
    <w:rsid w:val="00956A0C"/>
    <w:rsid w:val="00956BD9"/>
    <w:rsid w:val="00961DAA"/>
    <w:rsid w:val="00962489"/>
    <w:rsid w:val="00990C2C"/>
    <w:rsid w:val="009E1844"/>
    <w:rsid w:val="009F0D1B"/>
    <w:rsid w:val="009F696D"/>
    <w:rsid w:val="009F6BC6"/>
    <w:rsid w:val="00A17328"/>
    <w:rsid w:val="00A23A20"/>
    <w:rsid w:val="00A24971"/>
    <w:rsid w:val="00A268B9"/>
    <w:rsid w:val="00A2703A"/>
    <w:rsid w:val="00A33DFF"/>
    <w:rsid w:val="00A35115"/>
    <w:rsid w:val="00A36D9A"/>
    <w:rsid w:val="00A554AB"/>
    <w:rsid w:val="00A57062"/>
    <w:rsid w:val="00A7268C"/>
    <w:rsid w:val="00A9251D"/>
    <w:rsid w:val="00A92B53"/>
    <w:rsid w:val="00A94FA6"/>
    <w:rsid w:val="00AA49A0"/>
    <w:rsid w:val="00AA6710"/>
    <w:rsid w:val="00AB0681"/>
    <w:rsid w:val="00AC349E"/>
    <w:rsid w:val="00AD520B"/>
    <w:rsid w:val="00B1078F"/>
    <w:rsid w:val="00B425C3"/>
    <w:rsid w:val="00B440AD"/>
    <w:rsid w:val="00B479BB"/>
    <w:rsid w:val="00B525BC"/>
    <w:rsid w:val="00B53E7E"/>
    <w:rsid w:val="00B6342E"/>
    <w:rsid w:val="00B65665"/>
    <w:rsid w:val="00B7098C"/>
    <w:rsid w:val="00B70C9E"/>
    <w:rsid w:val="00B7113F"/>
    <w:rsid w:val="00B73528"/>
    <w:rsid w:val="00B86A8C"/>
    <w:rsid w:val="00B93870"/>
    <w:rsid w:val="00BA73B6"/>
    <w:rsid w:val="00BA7E27"/>
    <w:rsid w:val="00BB2603"/>
    <w:rsid w:val="00BB4FCD"/>
    <w:rsid w:val="00BC04E9"/>
    <w:rsid w:val="00BD13EA"/>
    <w:rsid w:val="00BE3808"/>
    <w:rsid w:val="00BF31F8"/>
    <w:rsid w:val="00C062E9"/>
    <w:rsid w:val="00C07B64"/>
    <w:rsid w:val="00C13721"/>
    <w:rsid w:val="00C14FE4"/>
    <w:rsid w:val="00C3066D"/>
    <w:rsid w:val="00C52416"/>
    <w:rsid w:val="00C543F4"/>
    <w:rsid w:val="00C6291C"/>
    <w:rsid w:val="00C633CB"/>
    <w:rsid w:val="00C736B7"/>
    <w:rsid w:val="00C81D4A"/>
    <w:rsid w:val="00C8762C"/>
    <w:rsid w:val="00C9306E"/>
    <w:rsid w:val="00CA00F9"/>
    <w:rsid w:val="00CA2961"/>
    <w:rsid w:val="00CB50D7"/>
    <w:rsid w:val="00CB7177"/>
    <w:rsid w:val="00CC1998"/>
    <w:rsid w:val="00CC4946"/>
    <w:rsid w:val="00CF6877"/>
    <w:rsid w:val="00D11E91"/>
    <w:rsid w:val="00D246A3"/>
    <w:rsid w:val="00D270A4"/>
    <w:rsid w:val="00D31FE9"/>
    <w:rsid w:val="00D34E1B"/>
    <w:rsid w:val="00D376BA"/>
    <w:rsid w:val="00D45634"/>
    <w:rsid w:val="00D5372C"/>
    <w:rsid w:val="00D5568A"/>
    <w:rsid w:val="00D63D73"/>
    <w:rsid w:val="00D64452"/>
    <w:rsid w:val="00D66E1E"/>
    <w:rsid w:val="00D75722"/>
    <w:rsid w:val="00D80CF5"/>
    <w:rsid w:val="00D85581"/>
    <w:rsid w:val="00D97256"/>
    <w:rsid w:val="00DA5BBA"/>
    <w:rsid w:val="00DB26D2"/>
    <w:rsid w:val="00DB67C9"/>
    <w:rsid w:val="00DB6FD4"/>
    <w:rsid w:val="00DC0C95"/>
    <w:rsid w:val="00DD6580"/>
    <w:rsid w:val="00E17C72"/>
    <w:rsid w:val="00E21FC6"/>
    <w:rsid w:val="00E431A9"/>
    <w:rsid w:val="00E464FD"/>
    <w:rsid w:val="00E619D1"/>
    <w:rsid w:val="00E669E2"/>
    <w:rsid w:val="00E76135"/>
    <w:rsid w:val="00E82F4F"/>
    <w:rsid w:val="00EC2844"/>
    <w:rsid w:val="00EC5500"/>
    <w:rsid w:val="00ED18F8"/>
    <w:rsid w:val="00EF6C6C"/>
    <w:rsid w:val="00F056FC"/>
    <w:rsid w:val="00F10476"/>
    <w:rsid w:val="00F135D8"/>
    <w:rsid w:val="00F31299"/>
    <w:rsid w:val="00F3534A"/>
    <w:rsid w:val="00F51609"/>
    <w:rsid w:val="00F81006"/>
    <w:rsid w:val="00F85325"/>
    <w:rsid w:val="00FD22B1"/>
    <w:rsid w:val="00FD2B6F"/>
    <w:rsid w:val="00FD495B"/>
    <w:rsid w:val="00FE1862"/>
    <w:rsid w:val="00FE2A7D"/>
    <w:rsid w:val="00FE5397"/>
    <w:rsid w:val="00FF19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C349E"/>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CommentSubject">
    <w:name w:val="annotation subject"/>
    <w:basedOn w:val="CommentText"/>
    <w:next w:val="CommentText"/>
    <w:link w:val="CommentSubjectChar"/>
    <w:rsid w:val="00005389"/>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005389"/>
    <w:rPr>
      <w:szCs w:val="24"/>
    </w:rPr>
  </w:style>
  <w:style w:type="character" w:customStyle="1" w:styleId="CommentSubjectChar">
    <w:name w:val="Comment Subject Char"/>
    <w:basedOn w:val="CommentTextChar"/>
    <w:link w:val="CommentSubject"/>
    <w:rsid w:val="00005389"/>
    <w:rPr>
      <w:b/>
      <w:bCs/>
      <w:szCs w:val="24"/>
    </w:rPr>
  </w:style>
  <w:style w:type="paragraph" w:styleId="Revision">
    <w:name w:val="Revision"/>
    <w:hidden/>
    <w:uiPriority w:val="99"/>
    <w:semiHidden/>
    <w:rsid w:val="00005389"/>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C349E"/>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CommentSubject">
    <w:name w:val="annotation subject"/>
    <w:basedOn w:val="CommentText"/>
    <w:next w:val="CommentText"/>
    <w:link w:val="CommentSubjectChar"/>
    <w:rsid w:val="00005389"/>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005389"/>
    <w:rPr>
      <w:szCs w:val="24"/>
    </w:rPr>
  </w:style>
  <w:style w:type="character" w:customStyle="1" w:styleId="CommentSubjectChar">
    <w:name w:val="Comment Subject Char"/>
    <w:basedOn w:val="CommentTextChar"/>
    <w:link w:val="CommentSubject"/>
    <w:rsid w:val="00005389"/>
    <w:rPr>
      <w:b/>
      <w:bCs/>
      <w:szCs w:val="24"/>
    </w:rPr>
  </w:style>
  <w:style w:type="paragraph" w:styleId="Revision">
    <w:name w:val="Revision"/>
    <w:hidden/>
    <w:uiPriority w:val="99"/>
    <w:semiHidden/>
    <w:rsid w:val="00005389"/>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50150">
      <w:bodyDiv w:val="1"/>
      <w:marLeft w:val="0"/>
      <w:marRight w:val="0"/>
      <w:marTop w:val="0"/>
      <w:marBottom w:val="0"/>
      <w:divBdr>
        <w:top w:val="none" w:sz="0" w:space="0" w:color="auto"/>
        <w:left w:val="none" w:sz="0" w:space="0" w:color="auto"/>
        <w:bottom w:val="none" w:sz="0" w:space="0" w:color="auto"/>
        <w:right w:val="none" w:sz="0" w:space="0" w:color="auto"/>
      </w:divBdr>
    </w:div>
    <w:div w:id="847870977">
      <w:bodyDiv w:val="1"/>
      <w:marLeft w:val="0"/>
      <w:marRight w:val="0"/>
      <w:marTop w:val="0"/>
      <w:marBottom w:val="0"/>
      <w:divBdr>
        <w:top w:val="none" w:sz="0" w:space="0" w:color="auto"/>
        <w:left w:val="none" w:sz="0" w:space="0" w:color="auto"/>
        <w:bottom w:val="none" w:sz="0" w:space="0" w:color="auto"/>
        <w:right w:val="none" w:sz="0" w:space="0" w:color="auto"/>
      </w:divBdr>
    </w:div>
    <w:div w:id="923301811">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 w:id="193038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mel_1\groups\Elmrb\04_Current%20projects\Forms%20of%20work\02_Research\Data\ABS%20data\Spreadsheet%20analysis\TABLE_B.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mel_1\groups\Elmrb\04_Current%20projects\Forms%20of%20work\02_Research\Data\ABS%20data\Spreadsheet%20analysis\Emp%20by%20type%20over%20last%2030%20years.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mel_1\groups\Elmrb\04_Current%20projects\Forms%20of%20work\02_Research\Data\ABS%20data\Spreadsheet%20analysis\Emp%20by%20type%20over%20last%2030%20years.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Anthony\Charts%20for%20chapter%20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Anthony\Charts%20for%20chapter%20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Anthony\Charts%20for%20chapter%203.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Anthony\Charts%20for%20chapter%2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81237037037037"/>
          <c:y val="4.8506944444444443E-2"/>
          <c:w val="0.85600592592592595"/>
          <c:h val="0.74522847222222222"/>
        </c:manualLayout>
      </c:layout>
      <c:barChart>
        <c:barDir val="col"/>
        <c:grouping val="clustered"/>
        <c:varyColors val="0"/>
        <c:ser>
          <c:idx val="0"/>
          <c:order val="0"/>
          <c:tx>
            <c:strRef>
              <c:f>Sheet1!$B$24</c:f>
              <c:strCache>
                <c:ptCount val="1"/>
                <c:pt idx="0">
                  <c:v>1982</c:v>
                </c:pt>
              </c:strCache>
            </c:strRef>
          </c:tx>
          <c:spPr>
            <a:solidFill>
              <a:sysClr val="window" lastClr="FFFFFF">
                <a:lumMod val="75000"/>
              </a:sysClr>
            </a:solidFill>
            <a:ln>
              <a:noFill/>
            </a:ln>
          </c:spPr>
          <c:invertIfNegative val="0"/>
          <c:cat>
            <c:strRef>
              <c:f>Sheet1!$A$25:$A$28</c:f>
              <c:strCache>
                <c:ptCount val="4"/>
                <c:pt idx="0">
                  <c:v>Permanent</c:v>
                </c:pt>
                <c:pt idx="1">
                  <c:v>Casual</c:v>
                </c:pt>
                <c:pt idx="2">
                  <c:v>OMIE</c:v>
                </c:pt>
                <c:pt idx="3">
                  <c:v>OMUE</c:v>
                </c:pt>
              </c:strCache>
            </c:strRef>
          </c:cat>
          <c:val>
            <c:numRef>
              <c:f>Sheet1!$B$25:$B$28</c:f>
              <c:numCache>
                <c:formatCode>0.0</c:formatCode>
                <c:ptCount val="4"/>
                <c:pt idx="0">
                  <c:v>69.562480327352844</c:v>
                </c:pt>
                <c:pt idx="1">
                  <c:v>9.2965061378659115</c:v>
                </c:pt>
                <c:pt idx="2">
                  <c:v>2.7872206484104498</c:v>
                </c:pt>
                <c:pt idx="3">
                  <c:v>15.185709789109223</c:v>
                </c:pt>
              </c:numCache>
            </c:numRef>
          </c:val>
        </c:ser>
        <c:ser>
          <c:idx val="1"/>
          <c:order val="1"/>
          <c:tx>
            <c:strRef>
              <c:f>Sheet1!$C$24</c:f>
              <c:strCache>
                <c:ptCount val="1"/>
                <c:pt idx="0">
                  <c:v>1986</c:v>
                </c:pt>
              </c:strCache>
            </c:strRef>
          </c:tx>
          <c:spPr>
            <a:pattFill prst="dkHorz">
              <a:fgClr>
                <a:sysClr val="window" lastClr="FFFFFF"/>
              </a:fgClr>
              <a:bgClr>
                <a:sysClr val="windowText" lastClr="000000"/>
              </a:bgClr>
            </a:pattFill>
            <a:ln>
              <a:noFill/>
            </a:ln>
          </c:spPr>
          <c:invertIfNegative val="0"/>
          <c:cat>
            <c:strRef>
              <c:f>Sheet1!$A$25:$A$28</c:f>
              <c:strCache>
                <c:ptCount val="4"/>
                <c:pt idx="0">
                  <c:v>Permanent</c:v>
                </c:pt>
                <c:pt idx="1">
                  <c:v>Casual</c:v>
                </c:pt>
                <c:pt idx="2">
                  <c:v>OMIE</c:v>
                </c:pt>
                <c:pt idx="3">
                  <c:v>OMUE</c:v>
                </c:pt>
              </c:strCache>
            </c:strRef>
          </c:cat>
          <c:val>
            <c:numRef>
              <c:f>Sheet1!$C$25:$C$28</c:f>
              <c:numCache>
                <c:formatCode>0.0</c:formatCode>
                <c:ptCount val="4"/>
                <c:pt idx="0">
                  <c:v>67.080110900335626</c:v>
                </c:pt>
                <c:pt idx="1">
                  <c:v>12.374142711221364</c:v>
                </c:pt>
                <c:pt idx="2">
                  <c:v>3.4729315628192028</c:v>
                </c:pt>
                <c:pt idx="3">
                  <c:v>15.483729753392677</c:v>
                </c:pt>
              </c:numCache>
            </c:numRef>
          </c:val>
        </c:ser>
        <c:ser>
          <c:idx val="2"/>
          <c:order val="2"/>
          <c:tx>
            <c:strRef>
              <c:f>Sheet1!$D$24</c:f>
              <c:strCache>
                <c:ptCount val="1"/>
                <c:pt idx="0">
                  <c:v>1991</c:v>
                </c:pt>
              </c:strCache>
            </c:strRef>
          </c:tx>
          <c:spPr>
            <a:pattFill prst="pct5">
              <a:fgClr>
                <a:sysClr val="windowText" lastClr="000000"/>
              </a:fgClr>
              <a:bgClr>
                <a:sysClr val="window" lastClr="FFFFFF">
                  <a:lumMod val="95000"/>
                </a:sysClr>
              </a:bgClr>
            </a:pattFill>
            <a:ln>
              <a:noFill/>
            </a:ln>
          </c:spPr>
          <c:invertIfNegative val="0"/>
          <c:dPt>
            <c:idx val="0"/>
            <c:invertIfNegative val="0"/>
            <c:bubble3D val="0"/>
          </c:dPt>
          <c:cat>
            <c:strRef>
              <c:f>Sheet1!$A$25:$A$28</c:f>
              <c:strCache>
                <c:ptCount val="4"/>
                <c:pt idx="0">
                  <c:v>Permanent</c:v>
                </c:pt>
                <c:pt idx="1">
                  <c:v>Casual</c:v>
                </c:pt>
                <c:pt idx="2">
                  <c:v>OMIE</c:v>
                </c:pt>
                <c:pt idx="3">
                  <c:v>OMUE</c:v>
                </c:pt>
              </c:strCache>
            </c:strRef>
          </c:cat>
          <c:val>
            <c:numRef>
              <c:f>Sheet1!$D$25:$D$28</c:f>
              <c:numCache>
                <c:formatCode>0.0</c:formatCode>
                <c:ptCount val="4"/>
                <c:pt idx="0">
                  <c:v>64.562772853552062</c:v>
                </c:pt>
                <c:pt idx="1">
                  <c:v>14.396084138113508</c:v>
                </c:pt>
                <c:pt idx="2">
                  <c:v>4.6130440534462229</c:v>
                </c:pt>
                <c:pt idx="3">
                  <c:v>14.429157295938616</c:v>
                </c:pt>
              </c:numCache>
            </c:numRef>
          </c:val>
        </c:ser>
        <c:ser>
          <c:idx val="3"/>
          <c:order val="3"/>
          <c:tx>
            <c:strRef>
              <c:f>Sheet1!$E$24</c:f>
              <c:strCache>
                <c:ptCount val="1"/>
                <c:pt idx="0">
                  <c:v>1996</c:v>
                </c:pt>
              </c:strCache>
            </c:strRef>
          </c:tx>
          <c:spPr>
            <a:solidFill>
              <a:sysClr val="windowText" lastClr="000000">
                <a:lumMod val="75000"/>
                <a:lumOff val="25000"/>
              </a:sysClr>
            </a:solidFill>
            <a:ln w="3175">
              <a:noFill/>
            </a:ln>
          </c:spPr>
          <c:invertIfNegative val="0"/>
          <c:cat>
            <c:strRef>
              <c:f>Sheet1!$A$25:$A$28</c:f>
              <c:strCache>
                <c:ptCount val="4"/>
                <c:pt idx="0">
                  <c:v>Permanent</c:v>
                </c:pt>
                <c:pt idx="1">
                  <c:v>Casual</c:v>
                </c:pt>
                <c:pt idx="2">
                  <c:v>OMIE</c:v>
                </c:pt>
                <c:pt idx="3">
                  <c:v>OMUE</c:v>
                </c:pt>
              </c:strCache>
            </c:strRef>
          </c:cat>
          <c:val>
            <c:numRef>
              <c:f>Sheet1!$E$25:$E$28</c:f>
              <c:numCache>
                <c:formatCode>0.0</c:formatCode>
                <c:ptCount val="4"/>
                <c:pt idx="0">
                  <c:v>61.162395238673625</c:v>
                </c:pt>
                <c:pt idx="1">
                  <c:v>19.757075185230168</c:v>
                </c:pt>
                <c:pt idx="2">
                  <c:v>5.8046884489250576</c:v>
                </c:pt>
                <c:pt idx="3">
                  <c:v>13.648730717842827</c:v>
                </c:pt>
              </c:numCache>
            </c:numRef>
          </c:val>
        </c:ser>
        <c:ser>
          <c:idx val="4"/>
          <c:order val="4"/>
          <c:tx>
            <c:strRef>
              <c:f>Sheet1!$F$24</c:f>
              <c:strCache>
                <c:ptCount val="1"/>
                <c:pt idx="0">
                  <c:v>2001</c:v>
                </c:pt>
              </c:strCache>
            </c:strRef>
          </c:tx>
          <c:spPr>
            <a:solidFill>
              <a:sysClr val="window" lastClr="FFFFFF">
                <a:lumMod val="50000"/>
              </a:sysClr>
            </a:solidFill>
          </c:spPr>
          <c:invertIfNegative val="0"/>
          <c:cat>
            <c:strRef>
              <c:f>Sheet1!$A$25:$A$28</c:f>
              <c:strCache>
                <c:ptCount val="4"/>
                <c:pt idx="0">
                  <c:v>Permanent</c:v>
                </c:pt>
                <c:pt idx="1">
                  <c:v>Casual</c:v>
                </c:pt>
                <c:pt idx="2">
                  <c:v>OMIE</c:v>
                </c:pt>
                <c:pt idx="3">
                  <c:v>OMUE</c:v>
                </c:pt>
              </c:strCache>
            </c:strRef>
          </c:cat>
          <c:val>
            <c:numRef>
              <c:f>Sheet1!$F$25:$F$28</c:f>
              <c:numCache>
                <c:formatCode>0.0</c:formatCode>
                <c:ptCount val="4"/>
                <c:pt idx="0">
                  <c:v>59.509161576901725</c:v>
                </c:pt>
                <c:pt idx="1">
                  <c:v>19.925596890616323</c:v>
                </c:pt>
                <c:pt idx="2">
                  <c:v>6.7662409772348688</c:v>
                </c:pt>
                <c:pt idx="3">
                  <c:v>13.75235980011105</c:v>
                </c:pt>
              </c:numCache>
            </c:numRef>
          </c:val>
        </c:ser>
        <c:ser>
          <c:idx val="5"/>
          <c:order val="5"/>
          <c:tx>
            <c:strRef>
              <c:f>Sheet1!$G$24</c:f>
              <c:strCache>
                <c:ptCount val="1"/>
                <c:pt idx="0">
                  <c:v>2006</c:v>
                </c:pt>
              </c:strCache>
            </c:strRef>
          </c:tx>
          <c:spPr>
            <a:pattFill prst="smGrid">
              <a:fgClr>
                <a:sysClr val="windowText" lastClr="000000"/>
              </a:fgClr>
              <a:bgClr>
                <a:sysClr val="window" lastClr="FFFFFF"/>
              </a:bgClr>
            </a:pattFill>
          </c:spPr>
          <c:invertIfNegative val="0"/>
          <c:cat>
            <c:strRef>
              <c:f>Sheet1!$A$25:$A$28</c:f>
              <c:strCache>
                <c:ptCount val="4"/>
                <c:pt idx="0">
                  <c:v>Permanent</c:v>
                </c:pt>
                <c:pt idx="1">
                  <c:v>Casual</c:v>
                </c:pt>
                <c:pt idx="2">
                  <c:v>OMIE</c:v>
                </c:pt>
                <c:pt idx="3">
                  <c:v>OMUE</c:v>
                </c:pt>
              </c:strCache>
            </c:strRef>
          </c:cat>
          <c:val>
            <c:numRef>
              <c:f>Sheet1!$G$25:$G$28</c:f>
              <c:numCache>
                <c:formatCode>0.0</c:formatCode>
                <c:ptCount val="4"/>
                <c:pt idx="0">
                  <c:v>60.508126101429418</c:v>
                </c:pt>
                <c:pt idx="1">
                  <c:v>19.612296847464265</c:v>
                </c:pt>
                <c:pt idx="2">
                  <c:v>6.7241041707460338</c:v>
                </c:pt>
                <c:pt idx="3">
                  <c:v>12.49167808889759</c:v>
                </c:pt>
              </c:numCache>
            </c:numRef>
          </c:val>
        </c:ser>
        <c:ser>
          <c:idx val="6"/>
          <c:order val="6"/>
          <c:tx>
            <c:strRef>
              <c:f>Sheet1!$H$24</c:f>
              <c:strCache>
                <c:ptCount val="1"/>
                <c:pt idx="0">
                  <c:v>2011</c:v>
                </c:pt>
              </c:strCache>
            </c:strRef>
          </c:tx>
          <c:spPr>
            <a:solidFill>
              <a:sysClr val="windowText" lastClr="000000"/>
            </a:solidFill>
          </c:spPr>
          <c:invertIfNegative val="0"/>
          <c:cat>
            <c:strRef>
              <c:f>Sheet1!$A$25:$A$28</c:f>
              <c:strCache>
                <c:ptCount val="4"/>
                <c:pt idx="0">
                  <c:v>Permanent</c:v>
                </c:pt>
                <c:pt idx="1">
                  <c:v>Casual</c:v>
                </c:pt>
                <c:pt idx="2">
                  <c:v>OMIE</c:v>
                </c:pt>
                <c:pt idx="3">
                  <c:v>OMUE</c:v>
                </c:pt>
              </c:strCache>
            </c:strRef>
          </c:cat>
          <c:val>
            <c:numRef>
              <c:f>Sheet1!$H$25:$H$28</c:f>
              <c:numCache>
                <c:formatCode>0.0</c:formatCode>
                <c:ptCount val="4"/>
                <c:pt idx="0">
                  <c:v>62.03479643204097</c:v>
                </c:pt>
                <c:pt idx="1">
                  <c:v>19.829550472489625</c:v>
                </c:pt>
                <c:pt idx="2">
                  <c:v>6.394948335246843</c:v>
                </c:pt>
                <c:pt idx="3">
                  <c:v>11.402455179722688</c:v>
                </c:pt>
              </c:numCache>
            </c:numRef>
          </c:val>
        </c:ser>
        <c:dLbls>
          <c:showLegendKey val="0"/>
          <c:showVal val="0"/>
          <c:showCatName val="0"/>
          <c:showSerName val="0"/>
          <c:showPercent val="0"/>
          <c:showBubbleSize val="0"/>
        </c:dLbls>
        <c:gapWidth val="150"/>
        <c:axId val="116780416"/>
        <c:axId val="113382528"/>
      </c:barChart>
      <c:catAx>
        <c:axId val="116780416"/>
        <c:scaling>
          <c:orientation val="minMax"/>
        </c:scaling>
        <c:delete val="0"/>
        <c:axPos val="b"/>
        <c:numFmt formatCode="General" sourceLinked="1"/>
        <c:majorTickMark val="out"/>
        <c:minorTickMark val="none"/>
        <c:tickLblPos val="nextTo"/>
        <c:crossAx val="113382528"/>
        <c:crosses val="autoZero"/>
        <c:auto val="1"/>
        <c:lblAlgn val="ctr"/>
        <c:lblOffset val="100"/>
        <c:noMultiLvlLbl val="0"/>
      </c:catAx>
      <c:valAx>
        <c:axId val="113382528"/>
        <c:scaling>
          <c:orientation val="minMax"/>
        </c:scaling>
        <c:delete val="0"/>
        <c:axPos val="l"/>
        <c:majorGridlines/>
        <c:numFmt formatCode="0" sourceLinked="0"/>
        <c:majorTickMark val="out"/>
        <c:minorTickMark val="none"/>
        <c:tickLblPos val="nextTo"/>
        <c:spPr>
          <a:ln>
            <a:solidFill>
              <a:schemeClr val="tx1"/>
            </a:solidFill>
          </a:ln>
        </c:spPr>
        <c:crossAx val="116780416"/>
        <c:crosses val="autoZero"/>
        <c:crossBetween val="between"/>
      </c:valAx>
      <c:spPr>
        <a:noFill/>
        <a:ln>
          <a:noFill/>
        </a:ln>
      </c:spPr>
    </c:plotArea>
    <c:legend>
      <c:legendPos val="b"/>
      <c:layout>
        <c:manualLayout>
          <c:xMode val="edge"/>
          <c:yMode val="edge"/>
          <c:x val="0.1950837037037037"/>
          <c:y val="0.8982975694444445"/>
          <c:w val="0.63805462962962955"/>
          <c:h val="7.5244097222222223E-2"/>
        </c:manualLayout>
      </c:layout>
      <c:overlay val="0"/>
      <c:spPr>
        <a:ln>
          <a:noFill/>
        </a:ln>
      </c:spPr>
    </c:legend>
    <c:plotVisOnly val="1"/>
    <c:dispBlanksAs val="gap"/>
    <c:showDLblsOverMax val="0"/>
  </c:chart>
  <c:spPr>
    <a:ln>
      <a:noFill/>
    </a:ln>
  </c:spPr>
  <c:txPr>
    <a:bodyPr/>
    <a:lstStyle/>
    <a:p>
      <a:pPr>
        <a:defRPr baseline="0">
          <a:latin typeface="Arial" pitchFamily="34" charset="0"/>
        </a:defRPr>
      </a:pPr>
      <a:endParaRPr lang="en-US"/>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sz="1000"/>
              <a:t>2001</a:t>
            </a:r>
          </a:p>
        </c:rich>
      </c:tx>
      <c:overlay val="1"/>
    </c:title>
    <c:autoTitleDeleted val="0"/>
    <c:plotArea>
      <c:layout>
        <c:manualLayout>
          <c:layoutTarget val="inner"/>
          <c:xMode val="edge"/>
          <c:yMode val="edge"/>
          <c:x val="0.15938906568280173"/>
          <c:y val="0.16075384751720675"/>
          <c:w val="0.63966360981356196"/>
          <c:h val="0.68742448091397967"/>
        </c:manualLayout>
      </c:layout>
      <c:pieChart>
        <c:varyColors val="1"/>
        <c:ser>
          <c:idx val="0"/>
          <c:order val="0"/>
          <c:spPr>
            <a:solidFill>
              <a:srgbClr val="4F81BD"/>
            </a:solidFill>
            <a:ln>
              <a:solidFill>
                <a:sysClr val="windowText" lastClr="000000"/>
              </a:solidFill>
            </a:ln>
          </c:spPr>
          <c:dPt>
            <c:idx val="0"/>
            <c:bubble3D val="0"/>
            <c:spPr>
              <a:solidFill>
                <a:sysClr val="window" lastClr="FFFFFF"/>
              </a:solidFill>
              <a:ln>
                <a:solidFill>
                  <a:sysClr val="windowText" lastClr="000000"/>
                </a:solidFill>
              </a:ln>
            </c:spPr>
          </c:dPt>
          <c:dPt>
            <c:idx val="1"/>
            <c:bubble3D val="0"/>
            <c:spPr>
              <a:solidFill>
                <a:sysClr val="window" lastClr="FFFFFF">
                  <a:lumMod val="85000"/>
                </a:sysClr>
              </a:solidFill>
              <a:ln>
                <a:solidFill>
                  <a:sysClr val="windowText" lastClr="000000"/>
                </a:solidFill>
              </a:ln>
            </c:spPr>
          </c:dPt>
          <c:dPt>
            <c:idx val="2"/>
            <c:bubble3D val="0"/>
            <c:spPr>
              <a:solidFill>
                <a:sysClr val="windowText" lastClr="000000">
                  <a:lumMod val="50000"/>
                  <a:lumOff val="50000"/>
                </a:sysClr>
              </a:solidFill>
              <a:ln>
                <a:solidFill>
                  <a:sysClr val="windowText" lastClr="000000"/>
                </a:solidFill>
              </a:ln>
            </c:spPr>
          </c:dPt>
          <c:dPt>
            <c:idx val="3"/>
            <c:bubble3D val="0"/>
            <c:spPr>
              <a:solidFill>
                <a:sysClr val="windowText" lastClr="000000">
                  <a:lumMod val="75000"/>
                  <a:lumOff val="25000"/>
                </a:sysClr>
              </a:solidFill>
              <a:ln>
                <a:solidFill>
                  <a:sysClr val="windowText" lastClr="000000"/>
                </a:solidFill>
              </a:ln>
            </c:spPr>
          </c:dPt>
          <c:dPt>
            <c:idx val="4"/>
            <c:bubble3D val="0"/>
          </c:dPt>
          <c:dLbls>
            <c:dLbl>
              <c:idx val="3"/>
              <c:numFmt formatCode="#\ ###" sourceLinked="0"/>
              <c:spPr/>
              <c:txPr>
                <a:bodyPr/>
                <a:lstStyle/>
                <a:p>
                  <a:pPr>
                    <a:defRPr>
                      <a:solidFill>
                        <a:schemeClr val="bg1"/>
                      </a:solidFill>
                    </a:defRPr>
                  </a:pPr>
                  <a:endParaRPr lang="en-US"/>
                </a:p>
              </c:txPr>
              <c:dLblPos val="bestFit"/>
              <c:showLegendKey val="0"/>
              <c:showVal val="1"/>
              <c:showCatName val="0"/>
              <c:showSerName val="0"/>
              <c:showPercent val="0"/>
              <c:showBubbleSize val="0"/>
            </c:dLbl>
            <c:numFmt formatCode="#\ ###" sourceLinked="0"/>
            <c:dLblPos val="bestFit"/>
            <c:showLegendKey val="0"/>
            <c:showVal val="1"/>
            <c:showCatName val="0"/>
            <c:showSerName val="0"/>
            <c:showPercent val="0"/>
            <c:showBubbleSize val="0"/>
            <c:separator> </c:separator>
            <c:showLeaderLines val="1"/>
          </c:dLbls>
          <c:cat>
            <c:strRef>
              <c:f>Persons!$A$136:$A$139</c:f>
              <c:strCache>
                <c:ptCount val="4"/>
                <c:pt idx="0">
                  <c:v>OMUE</c:v>
                </c:pt>
                <c:pt idx="1">
                  <c:v>OMIE</c:v>
                </c:pt>
                <c:pt idx="2">
                  <c:v>Casual</c:v>
                </c:pt>
                <c:pt idx="3">
                  <c:v>Permanent</c:v>
                </c:pt>
              </c:strCache>
            </c:strRef>
          </c:cat>
          <c:val>
            <c:numRef>
              <c:f>Persons!$B$136:$B$139</c:f>
              <c:numCache>
                <c:formatCode>0</c:formatCode>
                <c:ptCount val="4"/>
                <c:pt idx="0">
                  <c:v>1240</c:v>
                </c:pt>
                <c:pt idx="1">
                  <c:v>610</c:v>
                </c:pt>
                <c:pt idx="2">
                  <c:v>1790</c:v>
                </c:pt>
                <c:pt idx="3">
                  <c:v>5360</c:v>
                </c:pt>
              </c:numCache>
            </c:numRef>
          </c:val>
        </c:ser>
        <c:dLbls>
          <c:dLblPos val="ctr"/>
          <c:showLegendKey val="0"/>
          <c:showVal val="1"/>
          <c:showCatName val="0"/>
          <c:showSerName val="0"/>
          <c:showPercent val="0"/>
          <c:showBubbleSize val="0"/>
          <c:showLeaderLines val="1"/>
        </c:dLbls>
        <c:firstSliceAng val="0"/>
      </c:pieChart>
    </c:plotArea>
    <c:legend>
      <c:legendPos val="b"/>
      <c:overlay val="0"/>
    </c:legend>
    <c:plotVisOnly val="1"/>
    <c:dispBlanksAs val="gap"/>
    <c:showDLblsOverMax val="0"/>
  </c:chart>
  <c:spPr>
    <a:ln>
      <a:noFill/>
    </a:ln>
  </c:spPr>
  <c:txPr>
    <a:bodyPr/>
    <a:lstStyle/>
    <a:p>
      <a:pPr>
        <a:defRPr baseline="0">
          <a:latin typeface="Arial" pitchFamily="34" charset="0"/>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a:pPr>
            <a:r>
              <a:rPr lang="en-US" sz="1000"/>
              <a:t>2011</a:t>
            </a:r>
          </a:p>
        </c:rich>
      </c:tx>
      <c:overlay val="1"/>
    </c:title>
    <c:autoTitleDeleted val="0"/>
    <c:plotArea>
      <c:layout>
        <c:manualLayout>
          <c:layoutTarget val="inner"/>
          <c:xMode val="edge"/>
          <c:yMode val="edge"/>
          <c:x val="0.13720567768944947"/>
          <c:y val="0.13179027406129448"/>
          <c:w val="0.7195331705034026"/>
          <c:h val="0.7361373563042739"/>
        </c:manualLayout>
      </c:layout>
      <c:pieChart>
        <c:varyColors val="1"/>
        <c:ser>
          <c:idx val="0"/>
          <c:order val="0"/>
          <c:spPr>
            <a:ln>
              <a:solidFill>
                <a:sysClr val="windowText" lastClr="000000"/>
              </a:solidFill>
            </a:ln>
          </c:spPr>
          <c:dPt>
            <c:idx val="0"/>
            <c:bubble3D val="0"/>
            <c:spPr>
              <a:solidFill>
                <a:sysClr val="window" lastClr="FFFFFF"/>
              </a:solidFill>
              <a:ln>
                <a:solidFill>
                  <a:sysClr val="windowText" lastClr="000000"/>
                </a:solidFill>
              </a:ln>
            </c:spPr>
          </c:dPt>
          <c:dPt>
            <c:idx val="1"/>
            <c:bubble3D val="0"/>
            <c:spPr>
              <a:solidFill>
                <a:sysClr val="window" lastClr="FFFFFF">
                  <a:lumMod val="85000"/>
                </a:sysClr>
              </a:solidFill>
              <a:ln>
                <a:solidFill>
                  <a:sysClr val="windowText" lastClr="000000"/>
                </a:solidFill>
              </a:ln>
            </c:spPr>
          </c:dPt>
          <c:dPt>
            <c:idx val="2"/>
            <c:bubble3D val="0"/>
            <c:spPr>
              <a:solidFill>
                <a:sysClr val="window" lastClr="FFFFFF">
                  <a:lumMod val="50000"/>
                </a:sysClr>
              </a:solidFill>
              <a:ln>
                <a:solidFill>
                  <a:sysClr val="windowText" lastClr="000000"/>
                </a:solidFill>
              </a:ln>
            </c:spPr>
          </c:dPt>
          <c:dPt>
            <c:idx val="3"/>
            <c:bubble3D val="0"/>
            <c:spPr>
              <a:solidFill>
                <a:sysClr val="windowText" lastClr="000000">
                  <a:lumMod val="75000"/>
                  <a:lumOff val="25000"/>
                </a:sysClr>
              </a:solidFill>
              <a:ln>
                <a:solidFill>
                  <a:sysClr val="windowText" lastClr="000000"/>
                </a:solidFill>
              </a:ln>
            </c:spPr>
          </c:dPt>
          <c:dPt>
            <c:idx val="4"/>
            <c:bubble3D val="0"/>
            <c:spPr>
              <a:noFill/>
              <a:ln>
                <a:solidFill>
                  <a:sysClr val="windowText" lastClr="000000"/>
                </a:solidFill>
              </a:ln>
            </c:spPr>
          </c:dPt>
          <c:dLbls>
            <c:dLbl>
              <c:idx val="3"/>
              <c:numFmt formatCode="#\ ###" sourceLinked="0"/>
              <c:spPr/>
              <c:txPr>
                <a:bodyPr/>
                <a:lstStyle/>
                <a:p>
                  <a:pPr>
                    <a:defRPr>
                      <a:solidFill>
                        <a:schemeClr val="bg1"/>
                      </a:solidFill>
                    </a:defRPr>
                  </a:pPr>
                  <a:endParaRPr lang="en-US"/>
                </a:p>
              </c:txPr>
              <c:dLblPos val="bestFit"/>
              <c:showLegendKey val="0"/>
              <c:showVal val="1"/>
              <c:showCatName val="0"/>
              <c:showSerName val="0"/>
              <c:showPercent val="0"/>
              <c:showBubbleSize val="0"/>
            </c:dLbl>
            <c:numFmt formatCode="#\ ###" sourceLinked="0"/>
            <c:dLblPos val="bestFit"/>
            <c:showLegendKey val="0"/>
            <c:showVal val="1"/>
            <c:showCatName val="0"/>
            <c:showSerName val="0"/>
            <c:showPercent val="0"/>
            <c:showBubbleSize val="0"/>
            <c:separator> </c:separator>
            <c:showLeaderLines val="1"/>
          </c:dLbls>
          <c:cat>
            <c:strRef>
              <c:f>Persons!$A$136:$A$139</c:f>
              <c:strCache>
                <c:ptCount val="4"/>
                <c:pt idx="0">
                  <c:v>OMUE</c:v>
                </c:pt>
                <c:pt idx="1">
                  <c:v>OMIE</c:v>
                </c:pt>
                <c:pt idx="2">
                  <c:v>Casual</c:v>
                </c:pt>
                <c:pt idx="3">
                  <c:v>Permanent</c:v>
                </c:pt>
              </c:strCache>
            </c:strRef>
          </c:cat>
          <c:val>
            <c:numRef>
              <c:f>Persons!$C$136:$C$139</c:f>
              <c:numCache>
                <c:formatCode>0</c:formatCode>
                <c:ptCount val="4"/>
                <c:pt idx="0">
                  <c:v>1290</c:v>
                </c:pt>
                <c:pt idx="1">
                  <c:v>720</c:v>
                </c:pt>
                <c:pt idx="2">
                  <c:v>2250</c:v>
                </c:pt>
                <c:pt idx="3">
                  <c:v>7020</c:v>
                </c:pt>
              </c:numCache>
            </c:numRef>
          </c:val>
        </c:ser>
        <c:dLbls>
          <c:showLegendKey val="0"/>
          <c:showVal val="0"/>
          <c:showCatName val="0"/>
          <c:showSerName val="0"/>
          <c:showPercent val="0"/>
          <c:showBubbleSize val="0"/>
          <c:showLeaderLines val="1"/>
        </c:dLbls>
        <c:firstSliceAng val="0"/>
      </c:pieChart>
    </c:plotArea>
    <c:legend>
      <c:legendPos val="b"/>
      <c:overlay val="0"/>
    </c:legend>
    <c:plotVisOnly val="1"/>
    <c:dispBlanksAs val="gap"/>
    <c:showDLblsOverMax val="0"/>
  </c:chart>
  <c:spPr>
    <a:ln>
      <a:noFill/>
    </a:ln>
  </c:spPr>
  <c:txPr>
    <a:bodyPr/>
    <a:lstStyle/>
    <a:p>
      <a:pPr>
        <a:defRPr baseline="0">
          <a:latin typeface="Arial" pitchFamily="34" charset="0"/>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8.990305413281649E-2"/>
          <c:y val="0.11927458351057826"/>
          <c:w val="0.88435077568732112"/>
          <c:h val="0.77620745036418404"/>
        </c:manualLayout>
      </c:layout>
      <c:barChart>
        <c:barDir val="col"/>
        <c:grouping val="clustered"/>
        <c:varyColors val="0"/>
        <c:ser>
          <c:idx val="0"/>
          <c:order val="0"/>
          <c:tx>
            <c:strRef>
              <c:f>Sheet1!$C$3</c:f>
              <c:strCache>
                <c:ptCount val="1"/>
                <c:pt idx="0">
                  <c:v>EEBTUM</c:v>
                </c:pt>
              </c:strCache>
            </c:strRef>
          </c:tx>
          <c:spPr>
            <a:solidFill>
              <a:schemeClr val="tx1">
                <a:lumMod val="65000"/>
                <a:lumOff val="35000"/>
              </a:schemeClr>
            </a:solidFill>
          </c:spPr>
          <c:invertIfNegative val="0"/>
          <c:errBars>
            <c:errBarType val="both"/>
            <c:errValType val="cust"/>
            <c:noEndCap val="0"/>
            <c:plus>
              <c:numRef>
                <c:f>Sheet1!$F$4:$F$14</c:f>
                <c:numCache>
                  <c:formatCode>General</c:formatCode>
                  <c:ptCount val="11"/>
                  <c:pt idx="0">
                    <c:v>0.36773593478692135</c:v>
                  </c:pt>
                  <c:pt idx="1">
                    <c:v>0.36647903469457077</c:v>
                  </c:pt>
                  <c:pt idx="2">
                    <c:v>0.36436200755411363</c:v>
                  </c:pt>
                  <c:pt idx="3">
                    <c:v>0.36141085390553229</c:v>
                  </c:pt>
                  <c:pt idx="4">
                    <c:v>0.35438875886379861</c:v>
                  </c:pt>
                  <c:pt idx="5">
                    <c:v>0.34882589113512097</c:v>
                  </c:pt>
                  <c:pt idx="6">
                    <c:v>0.34644115604729109</c:v>
                  </c:pt>
                  <c:pt idx="7">
                    <c:v>0.43542720476330743</c:v>
                  </c:pt>
                  <c:pt idx="8">
                    <c:v>0.41042301503041045</c:v>
                  </c:pt>
                  <c:pt idx="9">
                    <c:v>0.41490413892056921</c:v>
                  </c:pt>
                  <c:pt idx="10">
                    <c:v>0.40327134143203835</c:v>
                  </c:pt>
                </c:numCache>
              </c:numRef>
            </c:plus>
            <c:minus>
              <c:numRef>
                <c:f>Sheet1!$E$4:$E$14</c:f>
                <c:numCache>
                  <c:formatCode>General</c:formatCode>
                  <c:ptCount val="11"/>
                  <c:pt idx="0">
                    <c:v>0.36773593478692135</c:v>
                  </c:pt>
                  <c:pt idx="1">
                    <c:v>0.36647903469457077</c:v>
                  </c:pt>
                  <c:pt idx="2">
                    <c:v>0.36436200755411363</c:v>
                  </c:pt>
                  <c:pt idx="3">
                    <c:v>0.36141085390553229</c:v>
                  </c:pt>
                  <c:pt idx="4">
                    <c:v>0.35438875886379861</c:v>
                  </c:pt>
                  <c:pt idx="5">
                    <c:v>0.34882589113512097</c:v>
                  </c:pt>
                  <c:pt idx="6">
                    <c:v>0.34644115604729109</c:v>
                  </c:pt>
                  <c:pt idx="7">
                    <c:v>0.43722411009297701</c:v>
                  </c:pt>
                  <c:pt idx="8">
                    <c:v>0.45762076400402663</c:v>
                  </c:pt>
                  <c:pt idx="9">
                    <c:v>0.3309142995587635</c:v>
                  </c:pt>
                  <c:pt idx="10">
                    <c:v>0.33806124552436501</c:v>
                  </c:pt>
                </c:numCache>
              </c:numRef>
            </c:minus>
            <c:spPr>
              <a:ln w="19050"/>
            </c:spPr>
          </c:errBars>
          <c:cat>
            <c:numRef>
              <c:f>Sheet1!$A$4:$A$14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Sheet1!$C$4:$C$14</c:f>
              <c:numCache>
                <c:formatCode>0.0</c:formatCode>
                <c:ptCount val="11"/>
                <c:pt idx="0">
                  <c:v>59.510219105366048</c:v>
                </c:pt>
                <c:pt idx="1">
                  <c:v>59.581119397465876</c:v>
                </c:pt>
                <c:pt idx="2">
                  <c:v>59.77179828870397</c:v>
                </c:pt>
                <c:pt idx="3">
                  <c:v>59.470425268416591</c:v>
                </c:pt>
                <c:pt idx="4">
                  <c:v>60.277173221152381</c:v>
                </c:pt>
                <c:pt idx="5">
                  <c:v>60.505420582706762</c:v>
                </c:pt>
                <c:pt idx="6">
                  <c:v>60.46570336219925</c:v>
                </c:pt>
                <c:pt idx="7">
                  <c:v>60.2</c:v>
                </c:pt>
                <c:pt idx="8">
                  <c:v>60.4</c:v>
                </c:pt>
                <c:pt idx="9">
                  <c:v>61.2</c:v>
                </c:pt>
                <c:pt idx="10">
                  <c:v>62</c:v>
                </c:pt>
              </c:numCache>
            </c:numRef>
          </c:val>
        </c:ser>
        <c:ser>
          <c:idx val="1"/>
          <c:order val="1"/>
          <c:tx>
            <c:v>FOES</c:v>
          </c:tx>
          <c:invertIfNegative val="0"/>
          <c:errBars>
            <c:errBarType val="both"/>
            <c:errValType val="cust"/>
            <c:noEndCap val="0"/>
            <c:plus>
              <c:numRef>
                <c:f>Sheet1!$H$4:$H$14</c:f>
                <c:numCache>
                  <c:formatCode>General</c:formatCode>
                  <c:ptCount val="11"/>
                  <c:pt idx="3">
                    <c:v>0.39983000000000002</c:v>
                  </c:pt>
                  <c:pt idx="5">
                    <c:v>0.373193</c:v>
                  </c:pt>
                  <c:pt idx="6">
                    <c:v>0.385326</c:v>
                  </c:pt>
                  <c:pt idx="7">
                    <c:v>0.38023699999999999</c:v>
                  </c:pt>
                  <c:pt idx="8">
                    <c:v>0.38067699999999999</c:v>
                  </c:pt>
                  <c:pt idx="9">
                    <c:v>0.37023299999999998</c:v>
                  </c:pt>
                  <c:pt idx="10">
                    <c:v>0.36842599999999998</c:v>
                  </c:pt>
                </c:numCache>
              </c:numRef>
            </c:plus>
            <c:minus>
              <c:numRef>
                <c:f>Sheet1!$H$4:$H$14</c:f>
                <c:numCache>
                  <c:formatCode>General</c:formatCode>
                  <c:ptCount val="11"/>
                  <c:pt idx="3">
                    <c:v>0.39983000000000002</c:v>
                  </c:pt>
                  <c:pt idx="5">
                    <c:v>0.373193</c:v>
                  </c:pt>
                  <c:pt idx="6">
                    <c:v>0.385326</c:v>
                  </c:pt>
                  <c:pt idx="7">
                    <c:v>0.38023699999999999</c:v>
                  </c:pt>
                  <c:pt idx="8">
                    <c:v>0.38067699999999999</c:v>
                  </c:pt>
                  <c:pt idx="9">
                    <c:v>0.37023299999999998</c:v>
                  </c:pt>
                  <c:pt idx="10">
                    <c:v>0.36842599999999998</c:v>
                  </c:pt>
                </c:numCache>
              </c:numRef>
            </c:minus>
            <c:spPr>
              <a:ln w="19050"/>
            </c:spPr>
          </c:errBars>
          <c:val>
            <c:numRef>
              <c:f>Sheet1!$G$4:$G$14</c:f>
              <c:numCache>
                <c:formatCode>General</c:formatCode>
                <c:ptCount val="11"/>
                <c:pt idx="3" formatCode="0.0">
                  <c:v>59.579919095529512</c:v>
                </c:pt>
                <c:pt idx="5" formatCode="0.0">
                  <c:v>60.805683934607146</c:v>
                </c:pt>
                <c:pt idx="6" formatCode="0.0">
                  <c:v>60.875947423966238</c:v>
                </c:pt>
                <c:pt idx="7" formatCode="0.0">
                  <c:v>61.842438809137079</c:v>
                </c:pt>
                <c:pt idx="8" formatCode="0.0">
                  <c:v>61.427673958499376</c:v>
                </c:pt>
                <c:pt idx="9" formatCode="0.0">
                  <c:v>61.676027977956757</c:v>
                </c:pt>
                <c:pt idx="10" formatCode="0.0">
                  <c:v>62.47643877604947</c:v>
                </c:pt>
              </c:numCache>
            </c:numRef>
          </c:val>
        </c:ser>
        <c:dLbls>
          <c:showLegendKey val="0"/>
          <c:showVal val="0"/>
          <c:showCatName val="0"/>
          <c:showSerName val="0"/>
          <c:showPercent val="0"/>
          <c:showBubbleSize val="0"/>
        </c:dLbls>
        <c:gapWidth val="150"/>
        <c:axId val="119477376"/>
        <c:axId val="119478912"/>
      </c:barChart>
      <c:catAx>
        <c:axId val="119477376"/>
        <c:scaling>
          <c:orientation val="minMax"/>
        </c:scaling>
        <c:delete val="0"/>
        <c:axPos val="b"/>
        <c:numFmt formatCode="General" sourceLinked="1"/>
        <c:majorTickMark val="out"/>
        <c:minorTickMark val="none"/>
        <c:tickLblPos val="nextTo"/>
        <c:crossAx val="119478912"/>
        <c:crosses val="autoZero"/>
        <c:auto val="1"/>
        <c:lblAlgn val="ctr"/>
        <c:lblOffset val="100"/>
        <c:noMultiLvlLbl val="0"/>
      </c:catAx>
      <c:valAx>
        <c:axId val="119478912"/>
        <c:scaling>
          <c:orientation val="minMax"/>
        </c:scaling>
        <c:delete val="0"/>
        <c:axPos val="l"/>
        <c:majorGridlines/>
        <c:title>
          <c:tx>
            <c:rich>
              <a:bodyPr rot="-5400000" vert="horz"/>
              <a:lstStyle/>
              <a:p>
                <a:pPr>
                  <a:defRPr/>
                </a:pPr>
                <a:r>
                  <a:rPr lang="en-AU"/>
                  <a:t>Per cent</a:t>
                </a:r>
              </a:p>
            </c:rich>
          </c:tx>
          <c:overlay val="0"/>
        </c:title>
        <c:numFmt formatCode="0" sourceLinked="0"/>
        <c:majorTickMark val="out"/>
        <c:minorTickMark val="none"/>
        <c:tickLblPos val="nextTo"/>
        <c:crossAx val="119477376"/>
        <c:crosses val="autoZero"/>
        <c:crossBetween val="between"/>
      </c:valAx>
    </c:plotArea>
    <c:legend>
      <c:legendPos val="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Sheet1!$C$21</c:f>
              <c:strCache>
                <c:ptCount val="1"/>
                <c:pt idx="0">
                  <c:v>EEBTUM</c:v>
                </c:pt>
              </c:strCache>
            </c:strRef>
          </c:tx>
          <c:spPr>
            <a:solidFill>
              <a:schemeClr val="tx1">
                <a:lumMod val="65000"/>
                <a:lumOff val="35000"/>
              </a:schemeClr>
            </a:solidFill>
          </c:spPr>
          <c:invertIfNegative val="0"/>
          <c:errBars>
            <c:errBarType val="both"/>
            <c:errValType val="cust"/>
            <c:noEndCap val="0"/>
            <c:plus>
              <c:numRef>
                <c:f>Sheet1!$E$22:$E$32</c:f>
                <c:numCache>
                  <c:formatCode>General</c:formatCode>
                  <c:ptCount val="11"/>
                  <c:pt idx="0">
                    <c:v>0.26706580836956917</c:v>
                  </c:pt>
                  <c:pt idx="1">
                    <c:v>0.26583231583485656</c:v>
                  </c:pt>
                  <c:pt idx="2">
                    <c:v>0.26559249873992741</c:v>
                  </c:pt>
                  <c:pt idx="3">
                    <c:v>0.26538073613018298</c:v>
                  </c:pt>
                  <c:pt idx="4">
                    <c:v>0.25386474450843366</c:v>
                  </c:pt>
                  <c:pt idx="5">
                    <c:v>0.25121742928118707</c:v>
                  </c:pt>
                  <c:pt idx="6">
                    <c:v>0.2508945426095508</c:v>
                  </c:pt>
                  <c:pt idx="7">
                    <c:v>0.31064444527556745</c:v>
                  </c:pt>
                  <c:pt idx="8">
                    <c:v>0.31450143436202893</c:v>
                  </c:pt>
                  <c:pt idx="9">
                    <c:v>0.27113977675394096</c:v>
                  </c:pt>
                  <c:pt idx="10">
                    <c:v>0.27086136807257688</c:v>
                  </c:pt>
                </c:numCache>
              </c:numRef>
            </c:plus>
            <c:minus>
              <c:numRef>
                <c:f>Sheet1!$E$22:$E$32</c:f>
                <c:numCache>
                  <c:formatCode>General</c:formatCode>
                  <c:ptCount val="11"/>
                  <c:pt idx="0">
                    <c:v>0.26706580836956917</c:v>
                  </c:pt>
                  <c:pt idx="1">
                    <c:v>0.26583231583485656</c:v>
                  </c:pt>
                  <c:pt idx="2">
                    <c:v>0.26559249873992741</c:v>
                  </c:pt>
                  <c:pt idx="3">
                    <c:v>0.26538073613018298</c:v>
                  </c:pt>
                  <c:pt idx="4">
                    <c:v>0.25386474450843366</c:v>
                  </c:pt>
                  <c:pt idx="5">
                    <c:v>0.25121742928118707</c:v>
                  </c:pt>
                  <c:pt idx="6">
                    <c:v>0.2508945426095508</c:v>
                  </c:pt>
                  <c:pt idx="7">
                    <c:v>0.31064444527556745</c:v>
                  </c:pt>
                  <c:pt idx="8">
                    <c:v>0.31450143436202893</c:v>
                  </c:pt>
                  <c:pt idx="9">
                    <c:v>0.27113977675394096</c:v>
                  </c:pt>
                  <c:pt idx="10">
                    <c:v>0.27086136807257688</c:v>
                  </c:pt>
                </c:numCache>
              </c:numRef>
            </c:minus>
            <c:spPr>
              <a:ln w="19050"/>
            </c:spPr>
          </c:errBars>
          <c:cat>
            <c:numRef>
              <c:f>Sheet1!$A$22:$A$32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Sheet1!$C$22:$C$32</c:f>
              <c:numCache>
                <c:formatCode>0.0</c:formatCode>
                <c:ptCount val="11"/>
                <c:pt idx="0">
                  <c:v>19.925783382196165</c:v>
                </c:pt>
                <c:pt idx="1">
                  <c:v>19.973380357822613</c:v>
                </c:pt>
                <c:pt idx="2">
                  <c:v>20.443933711253425</c:v>
                </c:pt>
                <c:pt idx="3">
                  <c:v>20.58956332322289</c:v>
                </c:pt>
                <c:pt idx="4">
                  <c:v>19.570492374574545</c:v>
                </c:pt>
                <c:pt idx="5">
                  <c:v>19.611148329808895</c:v>
                </c:pt>
                <c:pt idx="6">
                  <c:v>19.924378862916946</c:v>
                </c:pt>
                <c:pt idx="7">
                  <c:v>19.078254117908052</c:v>
                </c:pt>
                <c:pt idx="8">
                  <c:v>19.534111351999638</c:v>
                </c:pt>
                <c:pt idx="9">
                  <c:v>19.68891989553148</c:v>
                </c:pt>
                <c:pt idx="10">
                  <c:v>19.828849992051872</c:v>
                </c:pt>
              </c:numCache>
            </c:numRef>
          </c:val>
        </c:ser>
        <c:ser>
          <c:idx val="1"/>
          <c:order val="1"/>
          <c:tx>
            <c:v>FOES</c:v>
          </c:tx>
          <c:spPr>
            <a:solidFill>
              <a:schemeClr val="bg1">
                <a:lumMod val="65000"/>
              </a:schemeClr>
            </a:solidFill>
          </c:spPr>
          <c:invertIfNegative val="0"/>
          <c:errBars>
            <c:errBarType val="both"/>
            <c:errValType val="cust"/>
            <c:noEndCap val="0"/>
            <c:plus>
              <c:numRef>
                <c:f>Sheet1!$G$22:$G$32</c:f>
                <c:numCache>
                  <c:formatCode>General</c:formatCode>
                  <c:ptCount val="11"/>
                  <c:pt idx="3">
                    <c:v>0.26588110184468094</c:v>
                  </c:pt>
                  <c:pt idx="5">
                    <c:v>0.31495733320391311</c:v>
                  </c:pt>
                  <c:pt idx="6">
                    <c:v>0.27206724369515028</c:v>
                  </c:pt>
                  <c:pt idx="7">
                    <c:v>0.33718001813079723</c:v>
                  </c:pt>
                  <c:pt idx="8">
                    <c:v>0.30638725017381407</c:v>
                  </c:pt>
                  <c:pt idx="9">
                    <c:v>0.28633955248365861</c:v>
                  </c:pt>
                  <c:pt idx="10">
                    <c:v>0.28633336900474771</c:v>
                  </c:pt>
                </c:numCache>
              </c:numRef>
            </c:plus>
            <c:minus>
              <c:numRef>
                <c:f>Sheet1!$G$22:$G$32</c:f>
                <c:numCache>
                  <c:formatCode>General</c:formatCode>
                  <c:ptCount val="11"/>
                  <c:pt idx="3">
                    <c:v>0.26588110184468094</c:v>
                  </c:pt>
                  <c:pt idx="5">
                    <c:v>0.31495733320391311</c:v>
                  </c:pt>
                  <c:pt idx="6">
                    <c:v>0.27206724369515028</c:v>
                  </c:pt>
                  <c:pt idx="7">
                    <c:v>0.33718001813079723</c:v>
                  </c:pt>
                  <c:pt idx="8">
                    <c:v>0.30638725017381407</c:v>
                  </c:pt>
                  <c:pt idx="9">
                    <c:v>0.28633955248365861</c:v>
                  </c:pt>
                  <c:pt idx="10">
                    <c:v>0.28633336900474771</c:v>
                  </c:pt>
                </c:numCache>
              </c:numRef>
            </c:minus>
            <c:spPr>
              <a:ln w="19050"/>
            </c:spPr>
          </c:errBars>
          <c:val>
            <c:numRef>
              <c:f>Sheet1!$F$22:$F$32</c:f>
              <c:numCache>
                <c:formatCode>General</c:formatCode>
                <c:ptCount val="11"/>
                <c:pt idx="3" formatCode="0.0">
                  <c:v>20.629602738305156</c:v>
                </c:pt>
                <c:pt idx="5" formatCode="0.0">
                  <c:v>20.424915499758569</c:v>
                </c:pt>
                <c:pt idx="6" formatCode="0.0">
                  <c:v>20.873828323627325</c:v>
                </c:pt>
                <c:pt idx="7" formatCode="0.0">
                  <c:v>19.631775121818404</c:v>
                </c:pt>
                <c:pt idx="8" formatCode="0.0">
                  <c:v>20.419319449783867</c:v>
                </c:pt>
                <c:pt idx="9" formatCode="0.0">
                  <c:v>19.830966511233573</c:v>
                </c:pt>
                <c:pt idx="10" formatCode="0.0">
                  <c:v>19.901527295788046</c:v>
                </c:pt>
              </c:numCache>
            </c:numRef>
          </c:val>
        </c:ser>
        <c:dLbls>
          <c:showLegendKey val="0"/>
          <c:showVal val="0"/>
          <c:showCatName val="0"/>
          <c:showSerName val="0"/>
          <c:showPercent val="0"/>
          <c:showBubbleSize val="0"/>
        </c:dLbls>
        <c:gapWidth val="150"/>
        <c:axId val="119513856"/>
        <c:axId val="119515392"/>
      </c:barChart>
      <c:catAx>
        <c:axId val="119513856"/>
        <c:scaling>
          <c:orientation val="minMax"/>
        </c:scaling>
        <c:delete val="0"/>
        <c:axPos val="b"/>
        <c:numFmt formatCode="General" sourceLinked="1"/>
        <c:majorTickMark val="out"/>
        <c:minorTickMark val="none"/>
        <c:tickLblPos val="nextTo"/>
        <c:crossAx val="119515392"/>
        <c:crosses val="autoZero"/>
        <c:auto val="1"/>
        <c:lblAlgn val="ctr"/>
        <c:lblOffset val="100"/>
        <c:noMultiLvlLbl val="0"/>
      </c:catAx>
      <c:valAx>
        <c:axId val="119515392"/>
        <c:scaling>
          <c:orientation val="minMax"/>
        </c:scaling>
        <c:delete val="0"/>
        <c:axPos val="l"/>
        <c:majorGridlines/>
        <c:title>
          <c:tx>
            <c:rich>
              <a:bodyPr rot="-5400000" vert="horz"/>
              <a:lstStyle/>
              <a:p>
                <a:pPr>
                  <a:defRPr/>
                </a:pPr>
                <a:r>
                  <a:rPr lang="en-AU"/>
                  <a:t>Per cent</a:t>
                </a:r>
              </a:p>
            </c:rich>
          </c:tx>
          <c:overlay val="0"/>
        </c:title>
        <c:numFmt formatCode="0.0" sourceLinked="1"/>
        <c:majorTickMark val="out"/>
        <c:minorTickMark val="none"/>
        <c:tickLblPos val="nextTo"/>
        <c:crossAx val="119513856"/>
        <c:crosses val="autoZero"/>
        <c:crossBetween val="between"/>
      </c:valAx>
    </c:plotArea>
    <c:legend>
      <c:legendPos val="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217033173099628"/>
          <c:y val="7.5410672894113157E-2"/>
          <c:w val="0.87196396535198373"/>
          <c:h val="0.81411870925175145"/>
        </c:manualLayout>
      </c:layout>
      <c:barChart>
        <c:barDir val="col"/>
        <c:grouping val="clustered"/>
        <c:varyColors val="0"/>
        <c:ser>
          <c:idx val="0"/>
          <c:order val="0"/>
          <c:spPr>
            <a:solidFill>
              <a:schemeClr val="bg1">
                <a:lumMod val="50000"/>
              </a:schemeClr>
            </a:solidFill>
          </c:spPr>
          <c:invertIfNegative val="0"/>
          <c:errBars>
            <c:errBarType val="both"/>
            <c:errValType val="cust"/>
            <c:noEndCap val="0"/>
            <c:plus>
              <c:numRef>
                <c:f>Sheet1!$C$93:$C$103</c:f>
                <c:numCache>
                  <c:formatCode>General</c:formatCode>
                  <c:ptCount val="11"/>
                  <c:pt idx="0">
                    <c:v>0.16471564760570598</c:v>
                  </c:pt>
                  <c:pt idx="1">
                    <c:v>0.15959414860648455</c:v>
                  </c:pt>
                  <c:pt idx="2">
                    <c:v>0.16233748345688001</c:v>
                  </c:pt>
                  <c:pt idx="3">
                    <c:v>0.1557675213355581</c:v>
                  </c:pt>
                  <c:pt idx="4">
                    <c:v>0.15725331551761113</c:v>
                  </c:pt>
                  <c:pt idx="5">
                    <c:v>0.15599868568142697</c:v>
                  </c:pt>
                  <c:pt idx="6">
                    <c:v>0.14864170767928495</c:v>
                  </c:pt>
                  <c:pt idx="7">
                    <c:v>0.19215770830556514</c:v>
                  </c:pt>
                  <c:pt idx="8">
                    <c:v>0.18715030715921652</c:v>
                  </c:pt>
                  <c:pt idx="9">
                    <c:v>0.16137684417837206</c:v>
                  </c:pt>
                  <c:pt idx="10">
                    <c:v>0.15940145509574805</c:v>
                  </c:pt>
                </c:numCache>
              </c:numRef>
            </c:plus>
            <c:minus>
              <c:numRef>
                <c:f>Sheet1!$C$93:$C$103</c:f>
                <c:numCache>
                  <c:formatCode>General</c:formatCode>
                  <c:ptCount val="11"/>
                  <c:pt idx="0">
                    <c:v>0.16471564760570598</c:v>
                  </c:pt>
                  <c:pt idx="1">
                    <c:v>0.15959414860648455</c:v>
                  </c:pt>
                  <c:pt idx="2">
                    <c:v>0.16233748345688001</c:v>
                  </c:pt>
                  <c:pt idx="3">
                    <c:v>0.1557675213355581</c:v>
                  </c:pt>
                  <c:pt idx="4">
                    <c:v>0.15725331551761113</c:v>
                  </c:pt>
                  <c:pt idx="5">
                    <c:v>0.15599868568142697</c:v>
                  </c:pt>
                  <c:pt idx="6">
                    <c:v>0.14864170767928495</c:v>
                  </c:pt>
                  <c:pt idx="7">
                    <c:v>0.19215770830556514</c:v>
                  </c:pt>
                  <c:pt idx="8">
                    <c:v>0.18715030715921652</c:v>
                  </c:pt>
                  <c:pt idx="9">
                    <c:v>0.16137684417837206</c:v>
                  </c:pt>
                  <c:pt idx="10">
                    <c:v>0.15940145509574805</c:v>
                  </c:pt>
                </c:numCache>
              </c:numRef>
            </c:minus>
            <c:spPr>
              <a:ln w="19050"/>
            </c:spPr>
          </c:errBars>
          <c:cat>
            <c:numRef>
              <c:f>Sheet1!$A$93:$A$103</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Sheet1!$B$93:$B$103</c:f>
              <c:numCache>
                <c:formatCode>0.0</c:formatCode>
                <c:ptCount val="11"/>
                <c:pt idx="0">
                  <c:v>6.7690735365377908</c:v>
                </c:pt>
                <c:pt idx="1">
                  <c:v>6.4659397284702766</c:v>
                </c:pt>
                <c:pt idx="2">
                  <c:v>6.7424294399474709</c:v>
                </c:pt>
                <c:pt idx="3">
                  <c:v>6.4382731676624578</c:v>
                </c:pt>
                <c:pt idx="4">
                  <c:v>6.7492685847228353</c:v>
                </c:pt>
                <c:pt idx="5">
                  <c:v>6.7727980605091469</c:v>
                </c:pt>
                <c:pt idx="6">
                  <c:v>6.3425024032947723</c:v>
                </c:pt>
                <c:pt idx="7">
                  <c:v>6.5448593001911322</c:v>
                </c:pt>
                <c:pt idx="8">
                  <c:v>6.2519349663667665</c:v>
                </c:pt>
                <c:pt idx="9">
                  <c:v>6.5225393462197996</c:v>
                </c:pt>
                <c:pt idx="10">
                  <c:v>6.4166526358698057</c:v>
                </c:pt>
              </c:numCache>
            </c:numRef>
          </c:val>
        </c:ser>
        <c:dLbls>
          <c:showLegendKey val="0"/>
          <c:showVal val="0"/>
          <c:showCatName val="0"/>
          <c:showSerName val="0"/>
          <c:showPercent val="0"/>
          <c:showBubbleSize val="0"/>
        </c:dLbls>
        <c:gapWidth val="150"/>
        <c:axId val="119532544"/>
        <c:axId val="119542528"/>
      </c:barChart>
      <c:catAx>
        <c:axId val="119532544"/>
        <c:scaling>
          <c:orientation val="minMax"/>
        </c:scaling>
        <c:delete val="0"/>
        <c:axPos val="b"/>
        <c:numFmt formatCode="General" sourceLinked="1"/>
        <c:majorTickMark val="out"/>
        <c:minorTickMark val="none"/>
        <c:tickLblPos val="nextTo"/>
        <c:crossAx val="119542528"/>
        <c:crosses val="autoZero"/>
        <c:auto val="1"/>
        <c:lblAlgn val="ctr"/>
        <c:lblOffset val="100"/>
        <c:noMultiLvlLbl val="0"/>
      </c:catAx>
      <c:valAx>
        <c:axId val="119542528"/>
        <c:scaling>
          <c:orientation val="minMax"/>
          <c:min val="5.6"/>
        </c:scaling>
        <c:delete val="0"/>
        <c:axPos val="l"/>
        <c:majorGridlines/>
        <c:title>
          <c:tx>
            <c:rich>
              <a:bodyPr rot="-5400000" vert="horz"/>
              <a:lstStyle/>
              <a:p>
                <a:pPr>
                  <a:defRPr/>
                </a:pPr>
                <a:r>
                  <a:rPr lang="en-AU"/>
                  <a:t>Per cent</a:t>
                </a:r>
              </a:p>
            </c:rich>
          </c:tx>
          <c:overlay val="0"/>
        </c:title>
        <c:numFmt formatCode="0.0" sourceLinked="1"/>
        <c:majorTickMark val="out"/>
        <c:minorTickMark val="none"/>
        <c:tickLblPos val="nextTo"/>
        <c:crossAx val="119532544"/>
        <c:crosses val="autoZero"/>
        <c:crossBetween val="between"/>
        <c:majorUnit val="0.2"/>
      </c:valAx>
    </c:plotArea>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939001612214679"/>
          <c:y val="7.9821510734531947E-2"/>
          <c:w val="0.86474377682339854"/>
          <c:h val="0.80970752415595237"/>
        </c:manualLayout>
      </c:layout>
      <c:barChart>
        <c:barDir val="col"/>
        <c:grouping val="clustered"/>
        <c:varyColors val="0"/>
        <c:ser>
          <c:idx val="0"/>
          <c:order val="0"/>
          <c:spPr>
            <a:solidFill>
              <a:schemeClr val="bg1">
                <a:lumMod val="50000"/>
              </a:schemeClr>
            </a:solidFill>
          </c:spPr>
          <c:invertIfNegative val="0"/>
          <c:errBars>
            <c:errBarType val="both"/>
            <c:errValType val="cust"/>
            <c:noEndCap val="0"/>
            <c:plus>
              <c:numRef>
                <c:f>Sheet1!$C$76:$C$87</c:f>
                <c:numCache>
                  <c:formatCode>General</c:formatCode>
                  <c:ptCount val="12"/>
                  <c:pt idx="0">
                    <c:v>0.22602953896068756</c:v>
                  </c:pt>
                  <c:pt idx="1">
                    <c:v>0.22542802637872469</c:v>
                  </c:pt>
                  <c:pt idx="2">
                    <c:v>0.21818783323596236</c:v>
                  </c:pt>
                  <c:pt idx="3">
                    <c:v>0.22060870392607157</c:v>
                  </c:pt>
                  <c:pt idx="4">
                    <c:v>0.2132696011570141</c:v>
                  </c:pt>
                  <c:pt idx="5">
                    <c:v>0.20526798978167299</c:v>
                  </c:pt>
                  <c:pt idx="6">
                    <c:v>0.19250310469783341</c:v>
                  </c:pt>
                  <c:pt idx="7">
                    <c:v>0.24955007456661038</c:v>
                  </c:pt>
                  <c:pt idx="8">
                    <c:v>0.25697531899962495</c:v>
                  </c:pt>
                  <c:pt idx="9">
                    <c:v>0.21656323402148281</c:v>
                  </c:pt>
                  <c:pt idx="10">
                    <c:v>0.22254799795114799</c:v>
                  </c:pt>
                  <c:pt idx="11">
                    <c:v>0.21441124780316342</c:v>
                  </c:pt>
                </c:numCache>
              </c:numRef>
            </c:plus>
            <c:minus>
              <c:numRef>
                <c:f>Sheet1!$C$76:$C$87</c:f>
                <c:numCache>
                  <c:formatCode>General</c:formatCode>
                  <c:ptCount val="12"/>
                  <c:pt idx="0">
                    <c:v>0.22602953896068756</c:v>
                  </c:pt>
                  <c:pt idx="1">
                    <c:v>0.22542802637872469</c:v>
                  </c:pt>
                  <c:pt idx="2">
                    <c:v>0.21818783323596236</c:v>
                  </c:pt>
                  <c:pt idx="3">
                    <c:v>0.22060870392607157</c:v>
                  </c:pt>
                  <c:pt idx="4">
                    <c:v>0.2132696011570141</c:v>
                  </c:pt>
                  <c:pt idx="5">
                    <c:v>0.20526798978167299</c:v>
                  </c:pt>
                  <c:pt idx="6">
                    <c:v>0.19250310469783341</c:v>
                  </c:pt>
                  <c:pt idx="7">
                    <c:v>0.24955007456661038</c:v>
                  </c:pt>
                  <c:pt idx="8">
                    <c:v>0.25697531899962495</c:v>
                  </c:pt>
                  <c:pt idx="9">
                    <c:v>0.21656323402148281</c:v>
                  </c:pt>
                  <c:pt idx="10">
                    <c:v>0.22254799795114799</c:v>
                  </c:pt>
                  <c:pt idx="11">
                    <c:v>0.21441124780316342</c:v>
                  </c:pt>
                </c:numCache>
              </c:numRef>
            </c:minus>
            <c:spPr>
              <a:ln w="19050"/>
            </c:spPr>
          </c:errBars>
          <c:cat>
            <c:numRef>
              <c:f>Sheet1!$A$76:$A$87</c:f>
              <c:numCache>
                <c:formatCode>General</c:formatCode>
                <c:ptCount val="12"/>
                <c:pt idx="0">
                  <c:v>2001</c:v>
                </c:pt>
                <c:pt idx="1">
                  <c:v>2002</c:v>
                </c:pt>
                <c:pt idx="2">
                  <c:v>2003</c:v>
                </c:pt>
                <c:pt idx="3">
                  <c:v>2004</c:v>
                </c:pt>
                <c:pt idx="4">
                  <c:v>2005</c:v>
                </c:pt>
                <c:pt idx="5">
                  <c:v>2006</c:v>
                </c:pt>
                <c:pt idx="6">
                  <c:v>2007</c:v>
                </c:pt>
                <c:pt idx="7">
                  <c:v>2008</c:v>
                </c:pt>
                <c:pt idx="8">
                  <c:v>2009</c:v>
                </c:pt>
                <c:pt idx="9">
                  <c:v>2010</c:v>
                </c:pt>
                <c:pt idx="10">
                  <c:v>2011</c:v>
                </c:pt>
                <c:pt idx="11">
                  <c:v>2012</c:v>
                </c:pt>
              </c:numCache>
            </c:numRef>
          </c:cat>
          <c:val>
            <c:numRef>
              <c:f>Sheet1!$B$76:$B$87</c:f>
              <c:numCache>
                <c:formatCode>0.0</c:formatCode>
                <c:ptCount val="12"/>
                <c:pt idx="0">
                  <c:v>13.752665245202559</c:v>
                </c:pt>
                <c:pt idx="1">
                  <c:v>13.894175866006849</c:v>
                </c:pt>
                <c:pt idx="2">
                  <c:v>13.006276172919751</c:v>
                </c:pt>
                <c:pt idx="3">
                  <c:v>13.602921883691396</c:v>
                </c:pt>
                <c:pt idx="4">
                  <c:v>13.191634622142342</c:v>
                </c:pt>
                <c:pt idx="5">
                  <c:v>12.491188909774431</c:v>
                </c:pt>
                <c:pt idx="6">
                  <c:v>12.341372066274388</c:v>
                </c:pt>
                <c:pt idx="7">
                  <c:v>12.018190893461259</c:v>
                </c:pt>
                <c:pt idx="8">
                  <c:v>12.277319064532497</c:v>
                </c:pt>
                <c:pt idx="9">
                  <c:v>12.19455475653823</c:v>
                </c:pt>
                <c:pt idx="10">
                  <c:v>11.402052387092223</c:v>
                </c:pt>
                <c:pt idx="11">
                  <c:v>10.830404217926182</c:v>
                </c:pt>
              </c:numCache>
            </c:numRef>
          </c:val>
        </c:ser>
        <c:dLbls>
          <c:showLegendKey val="0"/>
          <c:showVal val="0"/>
          <c:showCatName val="0"/>
          <c:showSerName val="0"/>
          <c:showPercent val="0"/>
          <c:showBubbleSize val="0"/>
        </c:dLbls>
        <c:gapWidth val="150"/>
        <c:axId val="119571584"/>
        <c:axId val="119573120"/>
      </c:barChart>
      <c:catAx>
        <c:axId val="119571584"/>
        <c:scaling>
          <c:orientation val="minMax"/>
        </c:scaling>
        <c:delete val="0"/>
        <c:axPos val="b"/>
        <c:numFmt formatCode="General" sourceLinked="1"/>
        <c:majorTickMark val="out"/>
        <c:minorTickMark val="none"/>
        <c:tickLblPos val="nextTo"/>
        <c:crossAx val="119573120"/>
        <c:crosses val="autoZero"/>
        <c:auto val="1"/>
        <c:lblAlgn val="ctr"/>
        <c:lblOffset val="100"/>
        <c:noMultiLvlLbl val="0"/>
      </c:catAx>
      <c:valAx>
        <c:axId val="119573120"/>
        <c:scaling>
          <c:orientation val="minMax"/>
          <c:min val="10"/>
        </c:scaling>
        <c:delete val="0"/>
        <c:axPos val="l"/>
        <c:majorGridlines/>
        <c:title>
          <c:tx>
            <c:rich>
              <a:bodyPr rot="-5400000" vert="horz"/>
              <a:lstStyle/>
              <a:p>
                <a:pPr>
                  <a:defRPr/>
                </a:pPr>
                <a:r>
                  <a:rPr lang="en-AU"/>
                  <a:t>Per cent</a:t>
                </a:r>
              </a:p>
            </c:rich>
          </c:tx>
          <c:overlay val="0"/>
        </c:title>
        <c:numFmt formatCode="#,##0.0" sourceLinked="0"/>
        <c:majorTickMark val="out"/>
        <c:minorTickMark val="none"/>
        <c:tickLblPos val="nextTo"/>
        <c:crossAx val="119571584"/>
        <c:crosses val="autoZero"/>
        <c:crossBetween val="between"/>
      </c:valAx>
    </c:plotArea>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0.00706</cdr:x>
      <cdr:y>0.24309</cdr:y>
    </cdr:from>
    <cdr:to>
      <cdr:x>0.07938</cdr:x>
      <cdr:y>0.56059</cdr:y>
    </cdr:to>
    <cdr:sp macro="" textlink="">
      <cdr:nvSpPr>
        <cdr:cNvPr id="2" name="TextBox 1"/>
        <cdr:cNvSpPr txBox="1"/>
      </cdr:nvSpPr>
      <cdr:spPr>
        <a:xfrm xmlns:a="http://schemas.openxmlformats.org/drawingml/2006/main">
          <a:off x="38100" y="700088"/>
          <a:ext cx="390525" cy="914400"/>
        </a:xfrm>
        <a:prstGeom xmlns:a="http://schemas.openxmlformats.org/drawingml/2006/main" prst="rect">
          <a:avLst/>
        </a:prstGeom>
      </cdr:spPr>
      <cdr:txBody>
        <a:bodyPr xmlns:a="http://schemas.openxmlformats.org/drawingml/2006/main" vertOverflow="clip" vert="vert270" wrap="none" rtlCol="0"/>
        <a:lstStyle xmlns:a="http://schemas.openxmlformats.org/drawingml/2006/main"/>
        <a:p xmlns:a="http://schemas.openxmlformats.org/drawingml/2006/main">
          <a:r>
            <a:rPr lang="en-AU" sz="1000" b="1">
              <a:latin typeface="Arial" pitchFamily="34" charset="0"/>
              <a:cs typeface="Arial" pitchFamily="34" charset="0"/>
            </a:rPr>
            <a:t>Per cent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A5D3C-C0E7-40B4-9396-FFA78338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9</Pages>
  <Words>2440</Words>
  <Characters>12736</Characters>
  <Application>Microsoft Office Word</Application>
  <DocSecurity>4</DocSecurity>
  <Lines>106</Lines>
  <Paragraphs>30</Paragraphs>
  <ScaleCrop>false</ScaleCrop>
  <HeadingPairs>
    <vt:vector size="2" baseType="variant">
      <vt:variant>
        <vt:lpstr>Title</vt:lpstr>
      </vt:variant>
      <vt:variant>
        <vt:i4>1</vt:i4>
      </vt:variant>
    </vt:vector>
  </HeadingPairs>
  <TitlesOfParts>
    <vt:vector size="1" baseType="lpstr">
      <vt:lpstr>Prevalence of forms of work</vt:lpstr>
    </vt:vector>
  </TitlesOfParts>
  <Company>Productivity Commission</Company>
  <LinksUpToDate>false</LinksUpToDate>
  <CharactersWithSpaces>15146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Prevalence of forms of work</dc:title>
  <dc:subject>Forms of work</dc:subject>
  <dc:creator>Productivity Commission</dc:creator>
  <dc:description>3.</dc:description>
  <cp:lastModifiedBy>Louise Jordan</cp:lastModifiedBy>
  <cp:revision>2</cp:revision>
  <cp:lastPrinted>2013-04-11T01:44:00Z</cp:lastPrinted>
  <dcterms:created xsi:type="dcterms:W3CDTF">2013-04-11T04:26:00Z</dcterms:created>
  <dcterms:modified xsi:type="dcterms:W3CDTF">2013-04-11T04:26:00Z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1362473370</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y fmtid="{D5CDD505-2E9C-101B-9397-08002B2CF9AE}" pid="8" name="_PreviousAdHocReviewCycleID">
    <vt:i4>1362473370</vt:i4>
  </property>
</Properties>
</file>