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drawings/drawing4.xml" ContentType="application/vnd.openxmlformats-officedocument.drawingml.chartshapes+xml"/>
  <Override PartName="/word/drawings/drawing3.xml" ContentType="application/vnd.openxmlformats-officedocument.drawingml.chartshapes+xml"/>
  <Override PartName="/word/drawings/drawing2.xml" ContentType="application/vnd.openxmlformats-officedocument.drawingml.chartshapes+xml"/>
  <Override PartName="/word/drawings/drawing5.xml" ContentType="application/vnd.openxmlformats-officedocument.drawingml.chartshapes+xml"/>
  <Override PartName="/word/drawings/drawing7.xml" ContentType="application/vnd.openxmlformats-officedocument.drawingml.chartshapes+xml"/>
  <Override PartName="/word/drawings/drawing1.xml" ContentType="application/vnd.openxmlformats-officedocument.drawingml.chartshapes+xml"/>
  <Override PartName="/word/drawings/drawing8.xml" ContentType="application/vnd.openxmlformats-officedocument.drawingml.chartshapes+xml"/>
  <Override PartName="/word/drawings/drawing10.xml" ContentType="application/vnd.openxmlformats-officedocument.drawingml.chartshapes+xml"/>
  <Override PartName="/word/drawings/drawing6.xml" ContentType="application/vnd.openxmlformats-officedocument.drawingml.chartshapes+xml"/>
  <Override PartName="/word/drawings/drawing9.xml" ContentType="application/vnd.openxmlformats-officedocument.drawingml.chartshapes+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charts/chart3.xml" ContentType="application/vnd.openxmlformats-officedocument.drawingml.chart+xml"/>
  <Override PartName="/word/charts/chart10.xml" ContentType="application/vnd.openxmlformats-officedocument.drawingml.chart+xml"/>
  <Override PartName="/word/charts/chart13.xml" ContentType="application/vnd.openxmlformats-officedocument.drawingml.chart+xml"/>
  <Override PartName="/word/charts/chart11.xml" ContentType="application/vnd.openxmlformats-officedocument.drawingml.chart+xml"/>
  <Override PartName="/word/charts/chart9.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1.xml" ContentType="application/vnd.openxmlformats-officedocument.drawingml.chart+xml"/>
  <Override PartName="/word/charts/chart2.xml" ContentType="application/vnd.openxmlformats-officedocument.drawingml.chart+xml"/>
  <Override PartName="/word/charts/chart6.xml" ContentType="application/vnd.openxmlformats-officedocument.drawingml.chart+xml"/>
  <Override PartName="/word/charts/chart12.xml" ContentType="application/vnd.openxmlformats-officedocument.drawingml.chart+xml"/>
  <Override PartName="/word/charts/chart5.xml" ContentType="application/vnd.openxmlformats-officedocument.drawingml.chart+xml"/>
  <Override PartName="/word/settings.xml" ContentType="application/vnd.openxmlformats-officedocument.wordprocessingml.settings+xml"/>
  <Override PartName="/word/numbering.xml" ContentType="application/vnd.openxmlformats-officedocument.wordprocessingml.numbering+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7B17A3" w:rsidP="007B17A3">
      <w:pPr>
        <w:pStyle w:val="Heading1"/>
        <w:spacing w:before="0"/>
      </w:pPr>
      <w:bookmarkStart w:id="0" w:name="ChapterNumber"/>
      <w:r>
        <w:t>4</w:t>
      </w:r>
      <w:bookmarkEnd w:id="0"/>
      <w:r>
        <w:tab/>
      </w:r>
      <w:bookmarkStart w:id="1" w:name="ChapterTitle"/>
      <w:r>
        <w:t>Why might the prevalence of different forms of work have changed?</w:t>
      </w:r>
      <w:bookmarkEnd w:id="1"/>
    </w:p>
    <w:p w:rsidR="006044A7" w:rsidRDefault="006044A7" w:rsidP="006044A7">
      <w:pPr>
        <w:pStyle w:val="BodyText"/>
      </w:pPr>
      <w:bookmarkStart w:id="2" w:name="begin"/>
      <w:bookmarkEnd w:id="2"/>
      <w:r>
        <w:t xml:space="preserve">The </w:t>
      </w:r>
      <w:proofErr w:type="spellStart"/>
      <w:r>
        <w:t>2000s</w:t>
      </w:r>
      <w:proofErr w:type="spellEnd"/>
      <w:r>
        <w:t xml:space="preserve"> have been described as a ‘quiet’ decade for the Australian labour market:</w:t>
      </w:r>
    </w:p>
    <w:p w:rsidR="006044A7" w:rsidRDefault="006044A7" w:rsidP="006044A7">
      <w:pPr>
        <w:pStyle w:val="Quote"/>
      </w:pPr>
      <w:r>
        <w:t>[Labour market] [o]</w:t>
      </w:r>
      <w:proofErr w:type="spellStart"/>
      <w:r>
        <w:t>utcomes</w:t>
      </w:r>
      <w:proofErr w:type="spellEnd"/>
      <w:r>
        <w:t xml:space="preserve"> … were not sufficiently strong to excite great interest or attention, nor sufficiently weak to arouse major concern. No substantial increase in unemployment occurred, there were no big disputes about the appropriate theory for understanding labour market activity, and changes to labour market policy for the most part involved tinkering rather than rebuilding. In all these ways, the </w:t>
      </w:r>
      <w:proofErr w:type="spellStart"/>
      <w:r>
        <w:t>2000s</w:t>
      </w:r>
      <w:proofErr w:type="spellEnd"/>
      <w:r>
        <w:t xml:space="preserve"> were very different to the decades that came before. (Borland 2011, p. 165)</w:t>
      </w:r>
    </w:p>
    <w:p w:rsidR="006044A7" w:rsidRDefault="006044A7" w:rsidP="006044A7">
      <w:pPr>
        <w:pStyle w:val="BodyText"/>
      </w:pPr>
      <w:r>
        <w:t xml:space="preserve">As discussed in chapter 3, the </w:t>
      </w:r>
      <w:proofErr w:type="spellStart"/>
      <w:r>
        <w:t>2000s</w:t>
      </w:r>
      <w:proofErr w:type="spellEnd"/>
      <w:r>
        <w:t xml:space="preserve"> were also a relatively quiet time for different forms of work (</w:t>
      </w:r>
      <w:proofErr w:type="spellStart"/>
      <w:r>
        <w:t>FOWs</w:t>
      </w:r>
      <w:proofErr w:type="spellEnd"/>
      <w:r>
        <w:t>). But the relatively small change that did occur — a rise in the prevalence of permanent employees — </w:t>
      </w:r>
      <w:r w:rsidR="00C9516A">
        <w:t xml:space="preserve">reversed </w:t>
      </w:r>
      <w:r>
        <w:t>an earlier trend.</w:t>
      </w:r>
    </w:p>
    <w:p w:rsidR="006044A7" w:rsidRDefault="00337054" w:rsidP="006044A7">
      <w:pPr>
        <w:pStyle w:val="BodyText"/>
      </w:pPr>
      <w:r>
        <w:rPr>
          <w:spacing w:val="-2"/>
        </w:rPr>
        <w:t xml:space="preserve">Notwithstanding this relative quiet, </w:t>
      </w:r>
      <w:r w:rsidR="006044A7" w:rsidRPr="00455D6E">
        <w:rPr>
          <w:spacing w:val="-2"/>
        </w:rPr>
        <w:t xml:space="preserve">the </w:t>
      </w:r>
      <w:r w:rsidR="000C36A8">
        <w:rPr>
          <w:spacing w:val="-2"/>
        </w:rPr>
        <w:t xml:space="preserve">labour market </w:t>
      </w:r>
      <w:r>
        <w:rPr>
          <w:spacing w:val="-2"/>
        </w:rPr>
        <w:t xml:space="preserve">in </w:t>
      </w:r>
      <w:r w:rsidR="000C36A8">
        <w:rPr>
          <w:spacing w:val="-2"/>
        </w:rPr>
        <w:t xml:space="preserve">the </w:t>
      </w:r>
      <w:proofErr w:type="spellStart"/>
      <w:r w:rsidR="000C36A8">
        <w:rPr>
          <w:spacing w:val="-2"/>
        </w:rPr>
        <w:t>2000s</w:t>
      </w:r>
      <w:proofErr w:type="spellEnd"/>
      <w:r w:rsidR="000C36A8">
        <w:rPr>
          <w:spacing w:val="-2"/>
        </w:rPr>
        <w:t xml:space="preserve"> was </w:t>
      </w:r>
      <w:r w:rsidR="00615B6B">
        <w:rPr>
          <w:spacing w:val="-2"/>
        </w:rPr>
        <w:t>not static</w:t>
      </w:r>
      <w:r w:rsidR="006044A7" w:rsidRPr="00455D6E">
        <w:rPr>
          <w:spacing w:val="-2"/>
        </w:rPr>
        <w:t xml:space="preserve">. Employment grew more rapidly than in the preceding 20 years — a reflection of the strength of the economy over much of the decade — and the profile of net jobs </w:t>
      </w:r>
      <w:r w:rsidR="006044A7">
        <w:rPr>
          <w:spacing w:val="-2"/>
        </w:rPr>
        <w:t>created</w:t>
      </w:r>
      <w:r w:rsidR="006044A7" w:rsidRPr="00455D6E">
        <w:rPr>
          <w:spacing w:val="-2"/>
        </w:rPr>
        <w:t xml:space="preserve"> was quite different </w:t>
      </w:r>
      <w:r w:rsidR="006044A7">
        <w:rPr>
          <w:spacing w:val="-2"/>
        </w:rPr>
        <w:t>from</w:t>
      </w:r>
      <w:r w:rsidR="006044A7" w:rsidRPr="00455D6E">
        <w:rPr>
          <w:spacing w:val="-2"/>
        </w:rPr>
        <w:t xml:space="preserve"> the profile of employment in 2001.</w:t>
      </w:r>
      <w:r w:rsidR="006044A7">
        <w:rPr>
          <w:spacing w:val="-2"/>
        </w:rPr>
        <w:t xml:space="preserve"> (</w:t>
      </w:r>
      <w:r w:rsidR="006044A7">
        <w:t>Throughout this chapter, the term ‘jobs’ is used synonymously with employment.</w:t>
      </w:r>
      <w:r w:rsidR="006044A7">
        <w:rPr>
          <w:rStyle w:val="FootnoteReference"/>
        </w:rPr>
        <w:footnoteReference w:id="1"/>
      </w:r>
      <w:r w:rsidR="006044A7">
        <w:t>)</w:t>
      </w:r>
    </w:p>
    <w:p w:rsidR="006044A7" w:rsidRDefault="006044A7" w:rsidP="006044A7">
      <w:pPr>
        <w:pStyle w:val="BodyText"/>
        <w:rPr>
          <w:spacing w:val="-2"/>
        </w:rPr>
      </w:pPr>
      <w:r>
        <w:rPr>
          <w:spacing w:val="-2"/>
        </w:rPr>
        <w:t>A range of institutional changes over the decade potentially affected the labour market, including the introduction of:</w:t>
      </w:r>
    </w:p>
    <w:p w:rsidR="006044A7" w:rsidRDefault="006044A7" w:rsidP="006044A7">
      <w:pPr>
        <w:pStyle w:val="ListBullet"/>
      </w:pPr>
      <w:r>
        <w:t xml:space="preserve">the </w:t>
      </w:r>
      <w:r w:rsidR="00E20057" w:rsidRPr="00E20057">
        <w:rPr>
          <w:rStyle w:val="BodyTextChar"/>
          <w:i/>
        </w:rPr>
        <w:t>Workplace Relations Amendment Act 2005</w:t>
      </w:r>
      <w:r w:rsidR="00E20057">
        <w:t xml:space="preserve"> (</w:t>
      </w:r>
      <w:proofErr w:type="spellStart"/>
      <w:r w:rsidR="00E20057">
        <w:t>Cwlth</w:t>
      </w:r>
      <w:proofErr w:type="spellEnd"/>
      <w:r w:rsidR="00E20057">
        <w:t xml:space="preserve">) and </w:t>
      </w:r>
      <w:r w:rsidR="00E20057" w:rsidRPr="00AC18BE">
        <w:rPr>
          <w:i/>
        </w:rPr>
        <w:t>Fair Work</w:t>
      </w:r>
      <w:r w:rsidR="00AC18BE" w:rsidRPr="00AC18BE">
        <w:rPr>
          <w:i/>
        </w:rPr>
        <w:t xml:space="preserve"> Act </w:t>
      </w:r>
      <w:r w:rsidR="00E20057" w:rsidRPr="00AC18BE">
        <w:rPr>
          <w:i/>
        </w:rPr>
        <w:t>2009</w:t>
      </w:r>
      <w:r w:rsidR="00AC18BE">
        <w:t xml:space="preserve"> (</w:t>
      </w:r>
      <w:proofErr w:type="spellStart"/>
      <w:r w:rsidR="00AC18BE">
        <w:t>Cwlth</w:t>
      </w:r>
      <w:proofErr w:type="spellEnd"/>
      <w:r w:rsidR="00AC18BE">
        <w:t>)</w:t>
      </w:r>
    </w:p>
    <w:p w:rsidR="006044A7" w:rsidRDefault="006044A7" w:rsidP="006044A7">
      <w:pPr>
        <w:pStyle w:val="ListBullet"/>
      </w:pPr>
      <w:r>
        <w:t>transition</w:t>
      </w:r>
      <w:r w:rsidR="0032005F">
        <w:noBreakHyphen/>
      </w:r>
      <w:r>
        <w:t>to</w:t>
      </w:r>
      <w:r w:rsidR="0032005F">
        <w:noBreakHyphen/>
      </w:r>
      <w:r>
        <w:t xml:space="preserve">retirement arrangements </w:t>
      </w:r>
      <w:r w:rsidR="0032005F" w:rsidRPr="0032005F">
        <w:rPr>
          <w:rStyle w:val="BodyTextChar"/>
        </w:rPr>
        <w:t>(</w:t>
      </w:r>
      <w:r w:rsidR="0032005F" w:rsidRPr="0032005F">
        <w:rPr>
          <w:rStyle w:val="BodyTextChar"/>
          <w:i/>
        </w:rPr>
        <w:t>Superannuation Industry (Supervision) Amendment Regulations 2005</w:t>
      </w:r>
      <w:r w:rsidR="0032005F" w:rsidRPr="0032005F">
        <w:rPr>
          <w:rStyle w:val="BodyTextChar"/>
        </w:rPr>
        <w:t>)</w:t>
      </w:r>
    </w:p>
    <w:p w:rsidR="006044A7" w:rsidRDefault="006044A7" w:rsidP="006044A7">
      <w:pPr>
        <w:pStyle w:val="ListBullet"/>
      </w:pPr>
      <w:r>
        <w:t>measures to increase labour force participation, for example, changes in pension age eligibility and the right to request part</w:t>
      </w:r>
      <w:r>
        <w:noBreakHyphen/>
        <w:t xml:space="preserve">time work for </w:t>
      </w:r>
      <w:r w:rsidR="00E87205">
        <w:t>parents</w:t>
      </w:r>
      <w:r>
        <w:t xml:space="preserve"> returning from </w:t>
      </w:r>
      <w:r w:rsidR="00E87205">
        <w:t>parental</w:t>
      </w:r>
      <w:r>
        <w:t xml:space="preserve"> leave</w:t>
      </w:r>
    </w:p>
    <w:p w:rsidR="006044A7" w:rsidRPr="00455D6E" w:rsidRDefault="006044A7" w:rsidP="006044A7">
      <w:pPr>
        <w:pStyle w:val="ListBullet"/>
      </w:pPr>
      <w:r>
        <w:lastRenderedPageBreak/>
        <w:t xml:space="preserve">strategies to increase education levels, for example, the </w:t>
      </w:r>
      <w:r w:rsidRPr="004C24F7">
        <w:rPr>
          <w:i/>
        </w:rPr>
        <w:t>Our Universities — Backing Australia’s Future</w:t>
      </w:r>
      <w:r>
        <w:t xml:space="preserve"> (2003–04 Commonwealth budget) and </w:t>
      </w:r>
      <w:r w:rsidRPr="004C24F7">
        <w:rPr>
          <w:i/>
        </w:rPr>
        <w:t>Education Revolution</w:t>
      </w:r>
      <w:r>
        <w:t xml:space="preserve"> (2008</w:t>
      </w:r>
      <w:r>
        <w:noBreakHyphen/>
        <w:t>09 Commonwealth budget) initiatives.</w:t>
      </w:r>
    </w:p>
    <w:p w:rsidR="006044A7" w:rsidRDefault="006044A7" w:rsidP="006044A7">
      <w:pPr>
        <w:pStyle w:val="BodyText"/>
      </w:pPr>
      <w:r>
        <w:t xml:space="preserve">Results from quantitative analysis of possible links between changes in economic and labour market conditions and the prevalence of different </w:t>
      </w:r>
      <w:proofErr w:type="spellStart"/>
      <w:r>
        <w:t>FOWs</w:t>
      </w:r>
      <w:proofErr w:type="spellEnd"/>
      <w:r>
        <w:t xml:space="preserve"> are presented in this chapter. Possible effects of changes in institutional settings on the results are discussed where relevant.</w:t>
      </w:r>
    </w:p>
    <w:p w:rsidR="006044A7" w:rsidRDefault="006044A7" w:rsidP="006044A7">
      <w:pPr>
        <w:pStyle w:val="BodyText"/>
      </w:pPr>
      <w:r>
        <w:t xml:space="preserve">A description of economic conditions and changes in the labour market over the decade to 2011 opens discussion (section 4.1). Drawing on the framework presented in chapter 2, hypotheses about how the prevalence of different </w:t>
      </w:r>
      <w:proofErr w:type="spellStart"/>
      <w:r>
        <w:t>FOWs</w:t>
      </w:r>
      <w:proofErr w:type="spellEnd"/>
      <w:r>
        <w:t xml:space="preserve"> might have changed given developments in the economy and labour market are advanced (section 4.2). The technique used to test those hypotheses is then described (section 4.3), and results from the analysis are presented (section 4.4). Possible explanations for observations from this research (section 4.5) and </w:t>
      </w:r>
      <w:r w:rsidR="007F3DAD">
        <w:t>directions for future research</w:t>
      </w:r>
      <w:r>
        <w:t xml:space="preserve"> (section 4.6) close the chapter.</w:t>
      </w:r>
    </w:p>
    <w:p w:rsidR="006044A7" w:rsidRDefault="00C80099" w:rsidP="006044A7">
      <w:pPr>
        <w:pStyle w:val="Heading2"/>
      </w:pPr>
      <w:fldSimple w:instr=" COMMENTS  \* MERGEFORMAT ">
        <w:r w:rsidR="007B17A3">
          <w:t>4.</w:t>
        </w:r>
      </w:fldSimple>
      <w:fldSimple w:instr=" SEQ Heading2 ">
        <w:r w:rsidR="007B17A3">
          <w:rPr>
            <w:noProof/>
          </w:rPr>
          <w:t>1</w:t>
        </w:r>
      </w:fldSimple>
      <w:r w:rsidR="006044A7">
        <w:tab/>
        <w:t xml:space="preserve">Changes in the labour market over the </w:t>
      </w:r>
      <w:proofErr w:type="spellStart"/>
      <w:r w:rsidR="006044A7">
        <w:t>2000s</w:t>
      </w:r>
      <w:proofErr w:type="spellEnd"/>
    </w:p>
    <w:p w:rsidR="006044A7" w:rsidRDefault="006044A7" w:rsidP="00BD15C6">
      <w:pPr>
        <w:pStyle w:val="Heading3"/>
        <w:spacing w:before="280"/>
      </w:pPr>
      <w:r>
        <w:t>A strong economy and labour market</w:t>
      </w:r>
    </w:p>
    <w:p w:rsidR="006044A7" w:rsidRDefault="006044A7" w:rsidP="006044A7">
      <w:pPr>
        <w:pStyle w:val="BodyText"/>
      </w:pPr>
      <w:r>
        <w:t xml:space="preserve">Reflecting the mining boom and strong terms of trade, the Australian economy grew more rapidly, on average, during the </w:t>
      </w:r>
      <w:proofErr w:type="spellStart"/>
      <w:r>
        <w:t>2000s</w:t>
      </w:r>
      <w:proofErr w:type="spellEnd"/>
      <w:r>
        <w:t xml:space="preserve"> than in the preceding two decades (figure 4.1).</w:t>
      </w:r>
    </w:p>
    <w:p w:rsidR="006044A7" w:rsidRDefault="004B72B2" w:rsidP="006044A7">
      <w:pPr>
        <w:pStyle w:val="BodyText"/>
      </w:pPr>
      <w:r>
        <w:t>Although</w:t>
      </w:r>
      <w:r w:rsidR="006044A7">
        <w:t xml:space="preserve"> average </w:t>
      </w:r>
      <w:r w:rsidR="00BF4CF9">
        <w:t xml:space="preserve">annual </w:t>
      </w:r>
      <w:r w:rsidR="006044A7">
        <w:t xml:space="preserve">growth in real gross domestic product was lower than during the </w:t>
      </w:r>
      <w:proofErr w:type="spellStart"/>
      <w:r w:rsidR="006044A7">
        <w:t>1990s</w:t>
      </w:r>
      <w:proofErr w:type="spellEnd"/>
      <w:r w:rsidR="006044A7">
        <w:t xml:space="preserve">, this measure of economic activity only captures changes in the </w:t>
      </w:r>
      <w:r w:rsidR="006044A7" w:rsidRPr="005302EE">
        <w:rPr>
          <w:i/>
        </w:rPr>
        <w:t>volume</w:t>
      </w:r>
      <w:r w:rsidR="006044A7">
        <w:t xml:space="preserve"> of output produced in Australia. </w:t>
      </w:r>
      <w:r w:rsidR="008B5645">
        <w:t>During the mid</w:t>
      </w:r>
      <w:r w:rsidR="008B5645">
        <w:noBreakHyphen/>
      </w:r>
      <w:proofErr w:type="spellStart"/>
      <w:r w:rsidR="008B5645">
        <w:t>2000s</w:t>
      </w:r>
      <w:proofErr w:type="spellEnd"/>
      <w:r w:rsidR="008B5645">
        <w:t xml:space="preserve"> and post the global financial crisis (</w:t>
      </w:r>
      <w:proofErr w:type="spellStart"/>
      <w:r w:rsidR="008B5645">
        <w:t>GFC</w:t>
      </w:r>
      <w:proofErr w:type="spellEnd"/>
      <w:r w:rsidR="008B5645">
        <w:t>) (from late 2009 to late 2011)</w:t>
      </w:r>
      <w:r w:rsidR="006044A7">
        <w:t>, export prices rose substantially relative to import prices (that is, the terms of trade increased), meaning that, for any given volume of exports, the income earned by Australian producers, and the volume of imports that could be purchased, also rose. The real purchasing power of the Australian economy increased. This increase in the strength of the economy is captur</w:t>
      </w:r>
      <w:r w:rsidR="004246D8">
        <w:t>ed in real gross domestic income</w:t>
      </w:r>
      <w:r w:rsidR="006044A7">
        <w:t xml:space="preserve">, a measure </w:t>
      </w:r>
      <w:r w:rsidR="00C9516A">
        <w:t xml:space="preserve">that </w:t>
      </w:r>
      <w:r w:rsidR="006044A7">
        <w:t xml:space="preserve">reflects </w:t>
      </w:r>
      <w:r w:rsidR="004246D8">
        <w:t>gross domestic product</w:t>
      </w:r>
      <w:r w:rsidR="006044A7">
        <w:t xml:space="preserve"> adjusted for terms of trade changes (Zhang et al. 2006).</w:t>
      </w:r>
    </w:p>
    <w:p w:rsidR="006044A7" w:rsidRPr="004246D8" w:rsidRDefault="006044A7" w:rsidP="006044A7">
      <w:pPr>
        <w:pStyle w:val="BodyText"/>
        <w:rPr>
          <w:spacing w:val="-2"/>
        </w:rPr>
      </w:pPr>
      <w:r w:rsidRPr="004246D8">
        <w:rPr>
          <w:spacing w:val="-2"/>
        </w:rPr>
        <w:t xml:space="preserve">Growth as measured by changes in real </w:t>
      </w:r>
      <w:r w:rsidR="004246D8" w:rsidRPr="004246D8">
        <w:rPr>
          <w:spacing w:val="-2"/>
        </w:rPr>
        <w:t>gross domestic income</w:t>
      </w:r>
      <w:r w:rsidRPr="004246D8">
        <w:rPr>
          <w:spacing w:val="-2"/>
        </w:rPr>
        <w:t xml:space="preserve"> was particularly strong between 2003 and 2008, fell substantially </w:t>
      </w:r>
      <w:r w:rsidR="00EC70C7" w:rsidRPr="004246D8">
        <w:rPr>
          <w:spacing w:val="-2"/>
        </w:rPr>
        <w:t>during</w:t>
      </w:r>
      <w:r w:rsidRPr="004246D8">
        <w:rPr>
          <w:spacing w:val="-2"/>
        </w:rPr>
        <w:t xml:space="preserve"> the </w:t>
      </w:r>
      <w:proofErr w:type="spellStart"/>
      <w:r w:rsidR="008B5645" w:rsidRPr="004246D8">
        <w:rPr>
          <w:spacing w:val="-2"/>
        </w:rPr>
        <w:t>GFC</w:t>
      </w:r>
      <w:proofErr w:type="spellEnd"/>
      <w:r w:rsidR="00EC70C7" w:rsidRPr="004246D8">
        <w:rPr>
          <w:spacing w:val="-2"/>
        </w:rPr>
        <w:t>,</w:t>
      </w:r>
      <w:r w:rsidRPr="004246D8">
        <w:rPr>
          <w:spacing w:val="-2"/>
        </w:rPr>
        <w:t xml:space="preserve"> </w:t>
      </w:r>
      <w:r w:rsidR="00EC70C7" w:rsidRPr="004246D8">
        <w:rPr>
          <w:spacing w:val="-2"/>
        </w:rPr>
        <w:t>and rebounded</w:t>
      </w:r>
      <w:r w:rsidRPr="004246D8">
        <w:rPr>
          <w:spacing w:val="-2"/>
        </w:rPr>
        <w:t xml:space="preserve"> in 2011.</w:t>
      </w:r>
    </w:p>
    <w:p w:rsidR="006044A7" w:rsidRDefault="006044A7" w:rsidP="006044A7">
      <w:pPr>
        <w:pStyle w:val="FigureTitle"/>
      </w:pPr>
      <w:r>
        <w:rPr>
          <w:b w:val="0"/>
        </w:rPr>
        <w:lastRenderedPageBreak/>
        <w:t xml:space="preserve">Figure </w:t>
      </w:r>
      <w:bookmarkStart w:id="3" w:name="OLE_LINK6"/>
      <w:r>
        <w:rPr>
          <w:b w:val="0"/>
        </w:rPr>
        <w:t>4.</w:t>
      </w:r>
      <w:r>
        <w:rPr>
          <w:b w:val="0"/>
          <w:noProof/>
        </w:rPr>
        <w:t>1</w:t>
      </w:r>
      <w:bookmarkEnd w:id="3"/>
      <w:r>
        <w:tab/>
        <w:t>Growth in real gross domestic income, 1981</w:t>
      </w:r>
      <w:r>
        <w:noBreakHyphen/>
        <w:t>82 to 2010</w:t>
      </w:r>
      <w:r>
        <w:noBreakHyphen/>
        <w:t>11</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6044A7" w:rsidTr="001D422E">
        <w:tc>
          <w:tcPr>
            <w:tcW w:w="8777" w:type="dxa"/>
          </w:tcPr>
          <w:p w:rsidR="006044A7" w:rsidRDefault="001D422E" w:rsidP="00EC70C7">
            <w:pPr>
              <w:pStyle w:val="Figure"/>
            </w:pPr>
            <w:r>
              <w:rPr>
                <w:noProof/>
              </w:rPr>
              <w:drawing>
                <wp:inline distT="0" distB="0" distL="0" distR="0" wp14:anchorId="6FEB6D75" wp14:editId="35D30708">
                  <wp:extent cx="5381625" cy="2743200"/>
                  <wp:effectExtent l="0" t="0" r="0" b="0"/>
                  <wp:docPr id="3" name="Chart 3" descr="Figure 4.1 Growth (per cent per annum) in real gross domestic income for the financial years 1981-82 to 2010-11. This figure shows that the Australian economy grew more rapidly, on average, during the 2000s than in the preceding two decades."/>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044A7" w:rsidRDefault="002418B7" w:rsidP="006044A7">
      <w:pPr>
        <w:pStyle w:val="Source"/>
      </w:pPr>
      <w:r>
        <w:rPr>
          <w:i/>
        </w:rPr>
        <w:t>S</w:t>
      </w:r>
      <w:r w:rsidR="006044A7" w:rsidRPr="00001F7B">
        <w:rPr>
          <w:i/>
        </w:rPr>
        <w:t>ource</w:t>
      </w:r>
      <w:r w:rsidR="006044A7" w:rsidRPr="00167F06">
        <w:t xml:space="preserve">: </w:t>
      </w:r>
      <w:r w:rsidR="006044A7">
        <w:t>ABS (</w:t>
      </w:r>
      <w:r w:rsidR="006044A7" w:rsidRPr="00001F7B">
        <w:rPr>
          <w:i/>
        </w:rPr>
        <w:t>Australian System of National Accounts</w:t>
      </w:r>
      <w:r w:rsidR="006044A7">
        <w:t>, Cat. no. 5204.0).</w:t>
      </w:r>
    </w:p>
    <w:p w:rsidR="006044A7" w:rsidRDefault="006044A7" w:rsidP="006044A7">
      <w:pPr>
        <w:pStyle w:val="BodyText"/>
      </w:pPr>
      <w:r>
        <w:t>In addition to strong growth in</w:t>
      </w:r>
      <w:r w:rsidR="00AC5E19">
        <w:t xml:space="preserve"> real</w:t>
      </w:r>
      <w:r>
        <w:t xml:space="preserve"> gross domestic income, the cost of labour </w:t>
      </w:r>
      <w:r w:rsidR="00490CA1">
        <w:t xml:space="preserve">to producers </w:t>
      </w:r>
      <w:r>
        <w:t>(real unit labour costs) fell across much of the decade (until 2009)</w:t>
      </w:r>
      <w:r w:rsidR="002C46F2">
        <w:t xml:space="preserve"> (ABS </w:t>
      </w:r>
      <w:proofErr w:type="spellStart"/>
      <w:r w:rsidR="002C46F2">
        <w:t>2012b</w:t>
      </w:r>
      <w:proofErr w:type="spellEnd"/>
      <w:r w:rsidR="002C46F2">
        <w:t>)</w:t>
      </w:r>
      <w:r>
        <w:t>.</w:t>
      </w:r>
      <w:r w:rsidR="003119B1">
        <w:rPr>
          <w:rStyle w:val="FootnoteReference"/>
        </w:rPr>
        <w:footnoteReference w:id="2"/>
      </w:r>
      <w:r w:rsidR="00490CA1" w:rsidRPr="00500AEF">
        <w:rPr>
          <w:rStyle w:val="FootnoteReference"/>
        </w:rPr>
        <w:t>,</w:t>
      </w:r>
      <w:r w:rsidR="00490CA1">
        <w:rPr>
          <w:rStyle w:val="FootnoteReference"/>
        </w:rPr>
        <w:footnoteReference w:id="3"/>
      </w:r>
      <w:r>
        <w:t xml:space="preserve"> </w:t>
      </w:r>
      <w:r w:rsidR="00837F75">
        <w:t>This supported</w:t>
      </w:r>
      <w:r>
        <w:t xml:space="preserve"> annual average increases in employment substantially above the levels of the preceding two decades:</w:t>
      </w:r>
    </w:p>
    <w:p w:rsidR="006044A7" w:rsidRDefault="006044A7" w:rsidP="006044A7">
      <w:pPr>
        <w:pStyle w:val="Quote"/>
      </w:pPr>
      <w:r>
        <w:t>The above-average growth of employment through most of the past decade was assisted by falling real unit labour costs, which boost the share of national income going to profits and thereby increase the profitability of expanding and employing more labour. (Mitchell 2012, p. 1)</w:t>
      </w:r>
    </w:p>
    <w:p w:rsidR="006044A7" w:rsidRDefault="006044A7" w:rsidP="006044A7">
      <w:pPr>
        <w:pStyle w:val="BodyText"/>
      </w:pPr>
      <w:r>
        <w:t xml:space="preserve">Unemployment rates also fell </w:t>
      </w:r>
      <w:r w:rsidR="007E0FF2">
        <w:t xml:space="preserve">markedly </w:t>
      </w:r>
      <w:r>
        <w:t>(figure 4.2).</w:t>
      </w:r>
    </w:p>
    <w:p w:rsidR="006044A7" w:rsidRPr="00105E39" w:rsidRDefault="006044A7" w:rsidP="006044A7">
      <w:pPr>
        <w:pStyle w:val="BodyText"/>
        <w:rPr>
          <w:spacing w:val="-2"/>
        </w:rPr>
      </w:pPr>
      <w:r w:rsidRPr="00105E39">
        <w:rPr>
          <w:spacing w:val="-2"/>
        </w:rPr>
        <w:t>Consistent with the trends in economic growth, business sentiment was positive for much of the decade, and was particularly strong between 2003 and 2008 (</w:t>
      </w:r>
      <w:proofErr w:type="spellStart"/>
      <w:r w:rsidRPr="00105E39">
        <w:rPr>
          <w:spacing w:val="-2"/>
        </w:rPr>
        <w:t>ACCI</w:t>
      </w:r>
      <w:proofErr w:type="spellEnd"/>
      <w:r w:rsidRPr="00105E39">
        <w:rPr>
          <w:spacing w:val="-2"/>
        </w:rPr>
        <w:t xml:space="preserve"> 2013; NAB 2013). Furthermore, the long spell of strong employment growth and low unemployment rates contributed to increases in labour scarcity. The availability of suitably qualified staff remained the first or second most binding constraint on business investment in quarterly surveys of firms between the middle of 2004 and early 2009 (</w:t>
      </w:r>
      <w:proofErr w:type="spellStart"/>
      <w:r w:rsidRPr="00105E39">
        <w:rPr>
          <w:spacing w:val="-2"/>
        </w:rPr>
        <w:t>ACCI</w:t>
      </w:r>
      <w:proofErr w:type="spellEnd"/>
      <w:r w:rsidRPr="00105E39">
        <w:rPr>
          <w:spacing w:val="-2"/>
        </w:rPr>
        <w:t>, various dates). Another indicator of labour market strength</w:t>
      </w:r>
      <w:r w:rsidR="007E0FF2">
        <w:rPr>
          <w:spacing w:val="-2"/>
        </w:rPr>
        <w:t> — </w:t>
      </w:r>
      <w:r w:rsidRPr="00105E39">
        <w:rPr>
          <w:spacing w:val="-2"/>
        </w:rPr>
        <w:t>job vacancies</w:t>
      </w:r>
      <w:r w:rsidR="007E0FF2">
        <w:rPr>
          <w:spacing w:val="-2"/>
        </w:rPr>
        <w:t> — </w:t>
      </w:r>
      <w:r w:rsidRPr="00105E39">
        <w:rPr>
          <w:spacing w:val="-2"/>
        </w:rPr>
        <w:t xml:space="preserve">reached record levels during the decade, and the ratio of vacancies to </w:t>
      </w:r>
      <w:r w:rsidRPr="00105E39">
        <w:rPr>
          <w:spacing w:val="-2"/>
        </w:rPr>
        <w:lastRenderedPageBreak/>
        <w:t xml:space="preserve">employment increased sharply from the middle of 2003, and remained well above the average of the preceding two decades for the rest of the </w:t>
      </w:r>
      <w:proofErr w:type="spellStart"/>
      <w:r w:rsidRPr="00105E39">
        <w:rPr>
          <w:spacing w:val="-2"/>
        </w:rPr>
        <w:t>2000s</w:t>
      </w:r>
      <w:proofErr w:type="spellEnd"/>
      <w:r w:rsidRPr="00105E39">
        <w:rPr>
          <w:spacing w:val="-2"/>
        </w:rPr>
        <w:t xml:space="preserve"> (ABS </w:t>
      </w:r>
      <w:proofErr w:type="spellStart"/>
      <w:r w:rsidRPr="00105E39">
        <w:rPr>
          <w:spacing w:val="-2"/>
        </w:rPr>
        <w:t>2012</w:t>
      </w:r>
      <w:r w:rsidR="007A3D4A">
        <w:rPr>
          <w:spacing w:val="-2"/>
        </w:rPr>
        <w:t>h</w:t>
      </w:r>
      <w:proofErr w:type="spellEnd"/>
      <w:r w:rsidRPr="00105E39">
        <w:rPr>
          <w:spacing w:val="-2"/>
        </w:rPr>
        <w:t xml:space="preserve">, </w:t>
      </w:r>
      <w:proofErr w:type="spellStart"/>
      <w:r w:rsidR="00F64BEF">
        <w:rPr>
          <w:spacing w:val="-2"/>
        </w:rPr>
        <w:t>2013a</w:t>
      </w:r>
      <w:proofErr w:type="spellEnd"/>
      <w:r w:rsidRPr="00105E39">
        <w:rPr>
          <w:spacing w:val="-2"/>
        </w:rPr>
        <w:t>).</w:t>
      </w:r>
    </w:p>
    <w:p w:rsidR="006044A7" w:rsidRDefault="006044A7" w:rsidP="006044A7">
      <w:pPr>
        <w:pStyle w:val="FigureTitle"/>
      </w:pPr>
      <w:r>
        <w:rPr>
          <w:b w:val="0"/>
        </w:rPr>
        <w:t xml:space="preserve">Figure </w:t>
      </w:r>
      <w:bookmarkStart w:id="4" w:name="OLE_LINK7"/>
      <w:r>
        <w:rPr>
          <w:b w:val="0"/>
        </w:rPr>
        <w:t>4.</w:t>
      </w:r>
      <w:r>
        <w:rPr>
          <w:b w:val="0"/>
          <w:noProof/>
        </w:rPr>
        <w:t>2</w:t>
      </w:r>
      <w:bookmarkEnd w:id="4"/>
      <w:r>
        <w:tab/>
        <w:t>Employment growth and the unemployment rate, 1981 to 2011</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6044A7" w:rsidTr="007E0FF2">
        <w:tc>
          <w:tcPr>
            <w:tcW w:w="8777" w:type="dxa"/>
          </w:tcPr>
          <w:p w:rsidR="006044A7" w:rsidRDefault="007E0FF2" w:rsidP="00EC70C7">
            <w:pPr>
              <w:pStyle w:val="Figure"/>
            </w:pPr>
            <w:r>
              <w:rPr>
                <w:noProof/>
              </w:rPr>
              <w:drawing>
                <wp:inline distT="0" distB="0" distL="0" distR="0" wp14:anchorId="7BC19C8A" wp14:editId="4D9F43C8">
                  <wp:extent cx="5400676" cy="2667000"/>
                  <wp:effectExtent l="0" t="0" r="0" b="0"/>
                  <wp:docPr id="1" name="Chart 1" descr="Figure 4.2 Annual average employment growth (per cent) and the unemployment rate (per cent), from 1981 to 2011. This figure shows that employment growth during the 2000s was substantially higher the levels of the preceding two decades — averaging about 2.3 per cent per annum in contrast to about 1.8 per cent per annum between 1981 and 2001. Unemployment rates also fell during the 2000s to levels not seen since the 1960s, reaching a low of about 4 per cent in 200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6044A7" w:rsidRDefault="00A6039A" w:rsidP="006044A7">
      <w:pPr>
        <w:pStyle w:val="Source"/>
      </w:pPr>
      <w:r>
        <w:rPr>
          <w:i/>
        </w:rPr>
        <w:t>S</w:t>
      </w:r>
      <w:r w:rsidR="006044A7">
        <w:rPr>
          <w:i/>
        </w:rPr>
        <w:t>ource</w:t>
      </w:r>
      <w:r w:rsidR="006044A7" w:rsidRPr="00167F06">
        <w:t xml:space="preserve">: </w:t>
      </w:r>
      <w:r w:rsidR="006044A7">
        <w:t>ABS (</w:t>
      </w:r>
      <w:r w:rsidR="006044A7" w:rsidRPr="00C1702E">
        <w:rPr>
          <w:i/>
        </w:rPr>
        <w:t>Labour Force, Australia</w:t>
      </w:r>
      <w:r w:rsidR="006044A7">
        <w:t>,</w:t>
      </w:r>
      <w:r w:rsidR="006044A7" w:rsidRPr="00AD5058">
        <w:rPr>
          <w:i/>
        </w:rPr>
        <w:t xml:space="preserve"> Detailed,</w:t>
      </w:r>
      <w:r w:rsidR="006044A7">
        <w:t xml:space="preserve"> Cat. no. 6291.0.55.001).</w:t>
      </w:r>
    </w:p>
    <w:p w:rsidR="006044A7" w:rsidRDefault="006044A7" w:rsidP="006044A7">
      <w:pPr>
        <w:pStyle w:val="BodyText"/>
      </w:pPr>
      <w:r>
        <w:t xml:space="preserve">Overall, employment grew by 25 per cent, or 2.3 million people, </w:t>
      </w:r>
      <w:r w:rsidR="007A3D4A">
        <w:t xml:space="preserve">between 2001 and 2011 (ABS </w:t>
      </w:r>
      <w:proofErr w:type="spellStart"/>
      <w:r w:rsidR="007A3D4A">
        <w:t>2012h</w:t>
      </w:r>
      <w:proofErr w:type="spellEnd"/>
      <w:r w:rsidR="002418B7">
        <w:t>).</w:t>
      </w:r>
    </w:p>
    <w:p w:rsidR="006044A7" w:rsidRDefault="006044A7" w:rsidP="006044A7">
      <w:pPr>
        <w:pStyle w:val="Heading3"/>
      </w:pPr>
      <w:r>
        <w:t>The profile of net jobs added to the economy</w:t>
      </w:r>
    </w:p>
    <w:p w:rsidR="006A47A7" w:rsidRPr="005043F1" w:rsidRDefault="006A47A7" w:rsidP="001E4DAB">
      <w:pPr>
        <w:pStyle w:val="Heading4"/>
        <w:spacing w:before="240"/>
      </w:pPr>
      <w:r>
        <w:t>Job growth by state</w:t>
      </w:r>
    </w:p>
    <w:p w:rsidR="006044A7" w:rsidRPr="00C74B75" w:rsidRDefault="006044A7" w:rsidP="006044A7">
      <w:pPr>
        <w:pStyle w:val="BodyText"/>
        <w:rPr>
          <w:spacing w:val="-2"/>
        </w:rPr>
      </w:pPr>
      <w:r w:rsidRPr="00C74B75">
        <w:rPr>
          <w:spacing w:val="-2"/>
        </w:rPr>
        <w:t xml:space="preserve">Due to the mining boom, </w:t>
      </w:r>
      <w:r w:rsidR="006A47A7" w:rsidRPr="00C74B75">
        <w:rPr>
          <w:spacing w:val="-2"/>
        </w:rPr>
        <w:t>the mining states (</w:t>
      </w:r>
      <w:r w:rsidRPr="00C74B75">
        <w:rPr>
          <w:spacing w:val="-2"/>
        </w:rPr>
        <w:t>Queensland</w:t>
      </w:r>
      <w:r w:rsidR="006A47A7" w:rsidRPr="00C74B75">
        <w:rPr>
          <w:spacing w:val="-2"/>
        </w:rPr>
        <w:t>, Western Australia and the Northern Territory)</w:t>
      </w:r>
      <w:r w:rsidRPr="00C74B75">
        <w:rPr>
          <w:spacing w:val="-2"/>
        </w:rPr>
        <w:t xml:space="preserve"> accounted for a disproportionate share of the increase in employment. </w:t>
      </w:r>
      <w:r w:rsidR="008C2462">
        <w:rPr>
          <w:spacing w:val="-2"/>
        </w:rPr>
        <w:t>Accounting for</w:t>
      </w:r>
      <w:r w:rsidRPr="00C74B75">
        <w:rPr>
          <w:spacing w:val="-2"/>
        </w:rPr>
        <w:t xml:space="preserve"> about 30 per cent of Australian workers in 2001, these states </w:t>
      </w:r>
      <w:r w:rsidR="008C2462">
        <w:rPr>
          <w:spacing w:val="-2"/>
        </w:rPr>
        <w:t>were responsible</w:t>
      </w:r>
      <w:r w:rsidRPr="00C74B75">
        <w:rPr>
          <w:spacing w:val="-2"/>
        </w:rPr>
        <w:t xml:space="preserve"> for 40 per cent of the increase in employment over the decade to 2011 (figure 4.3).</w:t>
      </w:r>
      <w:r w:rsidRPr="00C74B75">
        <w:rPr>
          <w:rStyle w:val="FootnoteReference"/>
          <w:spacing w:val="-2"/>
        </w:rPr>
        <w:footnoteReference w:id="4"/>
      </w:r>
      <w:r w:rsidR="006A47A7" w:rsidRPr="00C74B75">
        <w:rPr>
          <w:spacing w:val="-2"/>
        </w:rPr>
        <w:t xml:space="preserve"> The relatively rapid employment growth in the mining states that drove this outcome occurred consistently across the decade (with the exception of 2009).</w:t>
      </w:r>
    </w:p>
    <w:p w:rsidR="006044A7" w:rsidRPr="000A1BE5" w:rsidRDefault="006044A7" w:rsidP="006044A7">
      <w:pPr>
        <w:pStyle w:val="FigureTitle"/>
        <w:rPr>
          <w:spacing w:val="-2"/>
        </w:rPr>
      </w:pPr>
      <w:r w:rsidRPr="000A1BE5">
        <w:rPr>
          <w:b w:val="0"/>
          <w:spacing w:val="-2"/>
        </w:rPr>
        <w:lastRenderedPageBreak/>
        <w:t xml:space="preserve">Figure </w:t>
      </w:r>
      <w:bookmarkStart w:id="5" w:name="OLE_LINK10"/>
      <w:r w:rsidRPr="000A1BE5">
        <w:rPr>
          <w:b w:val="0"/>
          <w:spacing w:val="-2"/>
        </w:rPr>
        <w:t>4.</w:t>
      </w:r>
      <w:r>
        <w:rPr>
          <w:b w:val="0"/>
          <w:noProof/>
          <w:spacing w:val="-2"/>
        </w:rPr>
        <w:t>3</w:t>
      </w:r>
      <w:bookmarkEnd w:id="5"/>
      <w:r w:rsidRPr="000A1BE5">
        <w:rPr>
          <w:spacing w:val="-2"/>
        </w:rPr>
        <w:tab/>
        <w:t>Shares of employment in 2001 and net job</w:t>
      </w:r>
      <w:r w:rsidR="0078634E">
        <w:rPr>
          <w:spacing w:val="-2"/>
        </w:rPr>
        <w:t xml:space="preserve"> growth</w:t>
      </w:r>
      <w:r w:rsidRPr="000A1BE5">
        <w:rPr>
          <w:spacing w:val="-2"/>
        </w:rPr>
        <w:t xml:space="preserve"> between 2001 and 2011, mining and non</w:t>
      </w:r>
      <w:r w:rsidRPr="000A1BE5">
        <w:rPr>
          <w:spacing w:val="-2"/>
        </w:rPr>
        <w:noBreakHyphen/>
        <w:t>mining states</w:t>
      </w:r>
      <w:r w:rsidRPr="00853134">
        <w:rPr>
          <w:rStyle w:val="NoteLabel"/>
          <w:b/>
        </w:rPr>
        <w:t>a</w:t>
      </w:r>
    </w:p>
    <w:p w:rsidR="006044A7" w:rsidRDefault="006044A7" w:rsidP="006044A7">
      <w:pPr>
        <w:pStyle w:val="Subtitle"/>
      </w:pPr>
      <w:r>
        <w:t>Per cent</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388"/>
        <w:gridCol w:w="4389"/>
      </w:tblGrid>
      <w:tr w:rsidR="006044A7" w:rsidTr="00EC70C7">
        <w:tc>
          <w:tcPr>
            <w:tcW w:w="4388" w:type="dxa"/>
          </w:tcPr>
          <w:p w:rsidR="006044A7" w:rsidRDefault="006044A7" w:rsidP="00EC70C7">
            <w:pPr>
              <w:pStyle w:val="Figure"/>
            </w:pPr>
            <w:r>
              <w:rPr>
                <w:noProof/>
              </w:rPr>
              <w:drawing>
                <wp:inline distT="0" distB="0" distL="0" distR="0" wp14:anchorId="71F82DD7" wp14:editId="5903774E">
                  <wp:extent cx="2505075" cy="2419350"/>
                  <wp:effectExtent l="0" t="0" r="9525" b="0"/>
                  <wp:docPr id="4" name="Chart 4" descr="Figure 4.3 panel A Shares of employment in 2001 (per cent), mining states (Queensland, Western Australia and the Northern Territory) and non-mining states (the rest of the country). This chart shows that the mining states accounted for about 30 per cent of employment in 200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t xml:space="preserve"> </w:t>
            </w:r>
          </w:p>
        </w:tc>
        <w:tc>
          <w:tcPr>
            <w:tcW w:w="4389" w:type="dxa"/>
          </w:tcPr>
          <w:p w:rsidR="006044A7" w:rsidRDefault="006044A7" w:rsidP="00EC70C7">
            <w:pPr>
              <w:pStyle w:val="Figure"/>
            </w:pPr>
            <w:r>
              <w:rPr>
                <w:noProof/>
              </w:rPr>
              <w:drawing>
                <wp:inline distT="0" distB="0" distL="0" distR="0" wp14:anchorId="7504E23F" wp14:editId="57686ED7">
                  <wp:extent cx="2600325" cy="2466975"/>
                  <wp:effectExtent l="0" t="0" r="0" b="0"/>
                  <wp:docPr id="5" name="Chart 5" descr="Figure 4.3 panel B Shares of net jobs added to the economy between 2001 and 2011 (per cent), mining states (Queensland, Western Australia and the Northern Territory) and non-mining states (the rest of the country). This chart shows that the mining states accounted for about 42 per cent of net jobs added to the economy between 2001 and 20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6044A7" w:rsidRDefault="006044A7" w:rsidP="006044A7">
      <w:pPr>
        <w:pStyle w:val="Note"/>
      </w:pPr>
      <w:proofErr w:type="spellStart"/>
      <w:r w:rsidRPr="00853134">
        <w:rPr>
          <w:rStyle w:val="NoteLabel"/>
        </w:rPr>
        <w:t>a</w:t>
      </w:r>
      <w:proofErr w:type="spellEnd"/>
      <w:r>
        <w:t xml:space="preserve"> The mining states are defined to include Queensland, Western Australia and the Northern Territory. Other states make up the non</w:t>
      </w:r>
      <w:r>
        <w:noBreakHyphen/>
        <w:t>mining group.</w:t>
      </w:r>
    </w:p>
    <w:p w:rsidR="006044A7" w:rsidRDefault="00A6039A" w:rsidP="006044A7">
      <w:pPr>
        <w:pStyle w:val="Source"/>
      </w:pPr>
      <w:r>
        <w:rPr>
          <w:i/>
        </w:rPr>
        <w:t>S</w:t>
      </w:r>
      <w:r w:rsidR="006044A7">
        <w:rPr>
          <w:i/>
        </w:rPr>
        <w:t>ource</w:t>
      </w:r>
      <w:r w:rsidR="006044A7" w:rsidRPr="00167F06">
        <w:t xml:space="preserve">: </w:t>
      </w:r>
      <w:r w:rsidR="006044A7">
        <w:t>ABS (</w:t>
      </w:r>
      <w:r w:rsidR="006044A7" w:rsidRPr="00C1702E">
        <w:rPr>
          <w:i/>
        </w:rPr>
        <w:t>Labour Force, Australia</w:t>
      </w:r>
      <w:r w:rsidR="006044A7">
        <w:t>, Cat. no. 6202.0).</w:t>
      </w:r>
    </w:p>
    <w:p w:rsidR="0078634E" w:rsidRDefault="0078634E" w:rsidP="0078634E">
      <w:pPr>
        <w:pStyle w:val="Heading4"/>
      </w:pPr>
      <w:r>
        <w:t>Job growth by industry</w:t>
      </w:r>
    </w:p>
    <w:p w:rsidR="006044A7" w:rsidRPr="00C74B75" w:rsidRDefault="006044A7" w:rsidP="006044A7">
      <w:pPr>
        <w:pStyle w:val="BodyText"/>
      </w:pPr>
      <w:r w:rsidRPr="00C74B75">
        <w:t>The construction; professional, scientific and technical services; and health care and social assistance industries accounted for about one quarter of employment in 2001, but were the source of nearly half (46 per cent) of all net jobs created</w:t>
      </w:r>
      <w:r w:rsidR="0078634E" w:rsidRPr="00C74B75">
        <w:t xml:space="preserve"> </w:t>
      </w:r>
      <w:r w:rsidRPr="00C74B75">
        <w:t xml:space="preserve">(figure 4.4). Manufacturing and retail, the two largest employers in 2001 (11.6 and 11.4 per cent of employment, respectively), contributed only 5 per cent to net jobs created. Retail accounted for 8.5 per cent of </w:t>
      </w:r>
      <w:r w:rsidR="00DB4CE7" w:rsidRPr="00C74B75">
        <w:t>net jobs</w:t>
      </w:r>
      <w:r w:rsidR="0078634E" w:rsidRPr="00C74B75">
        <w:t xml:space="preserve"> created</w:t>
      </w:r>
      <w:r w:rsidRPr="00C74B75">
        <w:t xml:space="preserve">, and manufacturing employment shrank by close to 8 per cent. Mining had an employment share of about 1 per cent in 2001 and was the source, directly, of 6 per cent of job growth. (Indirectly, the contribution of the mining sector to employment growth through </w:t>
      </w:r>
      <w:r w:rsidR="00E26E73" w:rsidRPr="00C74B75">
        <w:t xml:space="preserve">other </w:t>
      </w:r>
      <w:r w:rsidRPr="00C74B75">
        <w:t xml:space="preserve">industries like construction, was higher again </w:t>
      </w:r>
      <w:r w:rsidR="002E2799" w:rsidRPr="00C74B75">
        <w:t>(</w:t>
      </w:r>
      <w:proofErr w:type="spellStart"/>
      <w:r w:rsidRPr="00C74B75">
        <w:t>Rayner</w:t>
      </w:r>
      <w:proofErr w:type="spellEnd"/>
      <w:r w:rsidRPr="00C74B75">
        <w:t xml:space="preserve"> and Bishop 2013</w:t>
      </w:r>
      <w:r w:rsidR="002E2799" w:rsidRPr="00C74B75">
        <w:t>)</w:t>
      </w:r>
      <w:r w:rsidR="007F3DAD" w:rsidRPr="00C74B75">
        <w:t>.</w:t>
      </w:r>
      <w:r w:rsidRPr="00C74B75">
        <w:t xml:space="preserve"> Employment fell in absolute terms in agriculture.</w:t>
      </w:r>
    </w:p>
    <w:p w:rsidR="006044A7" w:rsidRDefault="006044A7" w:rsidP="00DB4CE7">
      <w:pPr>
        <w:pStyle w:val="BodyText"/>
      </w:pPr>
      <w:r>
        <w:br w:type="page"/>
      </w:r>
    </w:p>
    <w:p w:rsidR="006044A7" w:rsidRPr="000A1BE5" w:rsidRDefault="006044A7" w:rsidP="006044A7">
      <w:pPr>
        <w:pStyle w:val="FigureTitle"/>
        <w:rPr>
          <w:spacing w:val="-2"/>
        </w:rPr>
      </w:pPr>
      <w:r w:rsidRPr="000A1BE5">
        <w:rPr>
          <w:b w:val="0"/>
          <w:spacing w:val="-2"/>
        </w:rPr>
        <w:lastRenderedPageBreak/>
        <w:t xml:space="preserve">Figure </w:t>
      </w:r>
      <w:bookmarkStart w:id="6" w:name="OLE_LINK8"/>
      <w:r>
        <w:rPr>
          <w:b w:val="0"/>
          <w:spacing w:val="-2"/>
        </w:rPr>
        <w:t>4.</w:t>
      </w:r>
      <w:r>
        <w:rPr>
          <w:b w:val="0"/>
          <w:noProof/>
          <w:spacing w:val="-2"/>
        </w:rPr>
        <w:t>4</w:t>
      </w:r>
      <w:bookmarkEnd w:id="6"/>
      <w:r w:rsidRPr="000A1BE5">
        <w:rPr>
          <w:spacing w:val="-2"/>
        </w:rPr>
        <w:tab/>
        <w:t>Shares of employment in 2001 and net job</w:t>
      </w:r>
      <w:r w:rsidR="0078634E">
        <w:rPr>
          <w:spacing w:val="-2"/>
        </w:rPr>
        <w:t xml:space="preserve"> growth</w:t>
      </w:r>
      <w:r w:rsidRPr="000A1BE5">
        <w:rPr>
          <w:spacing w:val="-2"/>
        </w:rPr>
        <w:t xml:space="preserve"> between 2001 and 2011, </w:t>
      </w:r>
      <w:r>
        <w:rPr>
          <w:spacing w:val="-2"/>
        </w:rPr>
        <w:t>by industry</w:t>
      </w:r>
      <w:r w:rsidRPr="00D56E93">
        <w:rPr>
          <w:rStyle w:val="NoteLabel"/>
          <w:b/>
        </w:rPr>
        <w:t>a</w:t>
      </w:r>
    </w:p>
    <w:p w:rsidR="006044A7" w:rsidRDefault="006044A7" w:rsidP="006044A7">
      <w:pPr>
        <w:pStyle w:val="Subtitle"/>
      </w:pPr>
      <w:r>
        <w:t>Per cent</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388"/>
        <w:gridCol w:w="4389"/>
      </w:tblGrid>
      <w:tr w:rsidR="006044A7" w:rsidTr="00EC70C7">
        <w:tc>
          <w:tcPr>
            <w:tcW w:w="4388" w:type="dxa"/>
          </w:tcPr>
          <w:p w:rsidR="006044A7" w:rsidRDefault="006044A7" w:rsidP="00EC70C7">
            <w:pPr>
              <w:pStyle w:val="Figure"/>
            </w:pPr>
            <w:r>
              <w:rPr>
                <w:noProof/>
              </w:rPr>
              <w:drawing>
                <wp:inline distT="0" distB="0" distL="0" distR="0" wp14:anchorId="5C7113C8" wp14:editId="7910CC26">
                  <wp:extent cx="2552700" cy="2466975"/>
                  <wp:effectExtent l="0" t="0" r="0" b="0"/>
                  <wp:docPr id="8" name="Chart 8" descr="Figure 4.4 panel A Shares of employment in 2001 (per cent), by industry. This chart shows that the three industries that made the largest contribution to net jobs added to the economy between 2001 and 2011 — that is, construcion; professional, scientific and technical services; and health care and social assistance — accounted for 24 per cent of employment in 200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t xml:space="preserve"> </w:t>
            </w:r>
          </w:p>
        </w:tc>
        <w:tc>
          <w:tcPr>
            <w:tcW w:w="4389" w:type="dxa"/>
          </w:tcPr>
          <w:p w:rsidR="006044A7" w:rsidRDefault="006044A7" w:rsidP="00EC70C7">
            <w:pPr>
              <w:pStyle w:val="Figure"/>
            </w:pPr>
            <w:r>
              <w:rPr>
                <w:noProof/>
              </w:rPr>
              <w:drawing>
                <wp:inline distT="0" distB="0" distL="0" distR="0" wp14:anchorId="1474CE9C" wp14:editId="6026F370">
                  <wp:extent cx="2714625" cy="2466975"/>
                  <wp:effectExtent l="0" t="0" r="9525" b="0"/>
                  <wp:docPr id="9" name="Chart 9" descr="Figure 4.4 panel B Shares of net jobs added to the economy between 2001 and 2011 (per cent), by industry. This chart shows that the three industries that made the largest contribution to net jobs added to the economy between 2001 and 2011 — that is, construcion; professional, scientific and technical services; and health care and social assistance — accounted for 46 per cent of net new jobs added to the economy between 2001 and 20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044A7" w:rsidRPr="00D56E93" w:rsidRDefault="006044A7" w:rsidP="006044A7">
      <w:pPr>
        <w:pStyle w:val="Note"/>
      </w:pPr>
      <w:proofErr w:type="spellStart"/>
      <w:r w:rsidRPr="00D56E93">
        <w:rPr>
          <w:rStyle w:val="NoteLabel"/>
        </w:rPr>
        <w:t>a</w:t>
      </w:r>
      <w:proofErr w:type="spellEnd"/>
      <w:r w:rsidRPr="00D56E93">
        <w:t xml:space="preserve"> </w:t>
      </w:r>
      <w:r>
        <w:t>The top three industries are defined as those that were the largest contributors to net job creation over the decade to 2011 — construction; professional, scientific and technical services; and health care and social assistance.</w:t>
      </w:r>
    </w:p>
    <w:p w:rsidR="006044A7" w:rsidRDefault="0032579E" w:rsidP="006044A7">
      <w:pPr>
        <w:pStyle w:val="Source"/>
      </w:pPr>
      <w:r>
        <w:rPr>
          <w:i/>
        </w:rPr>
        <w:t>Source</w:t>
      </w:r>
      <w:r>
        <w:t>: ABS (</w:t>
      </w:r>
      <w:r w:rsidRPr="0082132F">
        <w:rPr>
          <w:i/>
        </w:rPr>
        <w:t>Labour Force Australia, Detailed</w:t>
      </w:r>
      <w:r>
        <w:t>, Cat. no. 6291.0.55.003).</w:t>
      </w:r>
    </w:p>
    <w:p w:rsidR="0078634E" w:rsidRDefault="0078634E" w:rsidP="0078634E">
      <w:pPr>
        <w:pStyle w:val="Heading4"/>
      </w:pPr>
      <w:r>
        <w:t>Job growth by occupation</w:t>
      </w:r>
    </w:p>
    <w:p w:rsidR="006044A7" w:rsidRDefault="006044A7" w:rsidP="006044A7">
      <w:pPr>
        <w:pStyle w:val="BodyText"/>
      </w:pPr>
      <w:r>
        <w:t>Job growth also favoured the more skilled</w:t>
      </w:r>
      <w:r w:rsidR="00E26E73">
        <w:t xml:space="preserve"> workers</w:t>
      </w:r>
      <w:r>
        <w:t xml:space="preserve">. Nearly half of the jobs added to the economy were </w:t>
      </w:r>
      <w:r w:rsidR="00640FC5">
        <w:t xml:space="preserve">in </w:t>
      </w:r>
      <w:r>
        <w:t>managerial or professional roles (occupational groups that accounted for about one third of 2001 employment) (figure 4.5).</w:t>
      </w:r>
      <w:r>
        <w:rPr>
          <w:rStyle w:val="FootnoteReference"/>
        </w:rPr>
        <w:footnoteReference w:id="5"/>
      </w:r>
      <w:r>
        <w:t xml:space="preserve"> Lower</w:t>
      </w:r>
      <w:r>
        <w:noBreakHyphen/>
        <w:t xml:space="preserve">skilled jobs in sales, machinery operator and driver, and labouring occupations accounted for less than 20 per cent of </w:t>
      </w:r>
      <w:r w:rsidR="0078634E">
        <w:t>net job</w:t>
      </w:r>
      <w:r>
        <w:t xml:space="preserve"> growth in contrast with nearly 30 per cent of employment in 2001. The relatively fast growth of higher</w:t>
      </w:r>
      <w:r>
        <w:noBreakHyphen/>
        <w:t>skilled occupations occurred reasonably consistently across the decade.</w:t>
      </w:r>
    </w:p>
    <w:p w:rsidR="006044A7" w:rsidRPr="000A1BE5" w:rsidRDefault="006044A7" w:rsidP="006044A7">
      <w:pPr>
        <w:pStyle w:val="FigureTitle"/>
        <w:rPr>
          <w:spacing w:val="-2"/>
        </w:rPr>
      </w:pPr>
      <w:r w:rsidRPr="000A1BE5">
        <w:rPr>
          <w:b w:val="0"/>
          <w:spacing w:val="-2"/>
        </w:rPr>
        <w:lastRenderedPageBreak/>
        <w:t xml:space="preserve">Figure </w:t>
      </w:r>
      <w:bookmarkStart w:id="7" w:name="OLE_LINK9"/>
      <w:r>
        <w:rPr>
          <w:b w:val="0"/>
          <w:spacing w:val="-2"/>
        </w:rPr>
        <w:t>4.</w:t>
      </w:r>
      <w:r>
        <w:rPr>
          <w:b w:val="0"/>
          <w:noProof/>
          <w:spacing w:val="-2"/>
        </w:rPr>
        <w:t>5</w:t>
      </w:r>
      <w:bookmarkEnd w:id="7"/>
      <w:r w:rsidRPr="000A1BE5">
        <w:rPr>
          <w:spacing w:val="-2"/>
        </w:rPr>
        <w:tab/>
        <w:t>Shares of empl</w:t>
      </w:r>
      <w:r w:rsidR="005D4AA5">
        <w:rPr>
          <w:spacing w:val="-2"/>
        </w:rPr>
        <w:t>oyment in 2001 and net job growth</w:t>
      </w:r>
      <w:r w:rsidRPr="000A1BE5">
        <w:rPr>
          <w:spacing w:val="-2"/>
        </w:rPr>
        <w:t xml:space="preserve"> between 2001 and 2011, </w:t>
      </w:r>
      <w:r>
        <w:rPr>
          <w:spacing w:val="-2"/>
        </w:rPr>
        <w:t>by occupation</w:t>
      </w:r>
      <w:r w:rsidRPr="00D56E93">
        <w:rPr>
          <w:rStyle w:val="NoteLabel"/>
          <w:b/>
        </w:rPr>
        <w:t>a</w:t>
      </w:r>
    </w:p>
    <w:p w:rsidR="006044A7" w:rsidRDefault="006044A7" w:rsidP="006044A7">
      <w:pPr>
        <w:pStyle w:val="Subtitle"/>
      </w:pPr>
      <w:r>
        <w:t>Per cent</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388"/>
        <w:gridCol w:w="4389"/>
      </w:tblGrid>
      <w:tr w:rsidR="006044A7" w:rsidTr="00A8001B">
        <w:tc>
          <w:tcPr>
            <w:tcW w:w="4388" w:type="dxa"/>
          </w:tcPr>
          <w:p w:rsidR="006044A7" w:rsidRPr="00A8001B" w:rsidRDefault="00A8001B" w:rsidP="00EC70C7">
            <w:pPr>
              <w:pStyle w:val="Figure"/>
              <w:rPr>
                <w:rFonts w:ascii="Arial" w:hAnsi="Arial" w:cs="Arial"/>
                <w:sz w:val="20"/>
              </w:rPr>
            </w:pPr>
            <w:r>
              <w:rPr>
                <w:noProof/>
              </w:rPr>
              <w:drawing>
                <wp:inline distT="0" distB="0" distL="0" distR="0" wp14:anchorId="5155F570" wp14:editId="69B5BD26">
                  <wp:extent cx="2708694" cy="2518913"/>
                  <wp:effectExtent l="0" t="0" r="0" b="0"/>
                  <wp:docPr id="10" name="Chart 10" descr="Figure 4.5 panel A Shares of employment in 2001 (per cent), by occupation. This chart shows that: higher skilled occupations, defined as managerial and professional roles, accounted for 32 per cent of employment in 2001; middle skilled occupations, defined to include technicians and trade workers, community and personal services workers and clerical and administrative workers, accounted for 40 per cent; and lower skilled occupations, defined to include sales workers, machinery operators and drivers, and labourers, accounted for 29 per cent."/>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4389" w:type="dxa"/>
          </w:tcPr>
          <w:p w:rsidR="006044A7" w:rsidRDefault="00A8001B" w:rsidP="00EC70C7">
            <w:pPr>
              <w:pStyle w:val="Figure"/>
            </w:pPr>
            <w:r>
              <w:rPr>
                <w:noProof/>
              </w:rPr>
              <w:drawing>
                <wp:inline distT="0" distB="0" distL="0" distR="0" wp14:anchorId="7C26577B" wp14:editId="65F7137A">
                  <wp:extent cx="2552700" cy="2562225"/>
                  <wp:effectExtent l="0" t="0" r="0" b="0"/>
                  <wp:docPr id="11" name="Chart 11" descr="Figure 4.5 panel B Shares of net jobs added to the economy between 2001 and 2011 (per cent), by occupation. This chart shows that: higher skilled occupations, defined as managerial and professional roles, accounted for 46 per cent of net jobs added to the economy between 2001 and 2011; middle skilled occupations, defined to include technicians and trade workers, community and personal services workers and clerical and administrative workers, accounted for 37 per cent; and lower skilled occupations, defined to include sales workers, machinery operators and drivers, and labourers, accounted for 18 per cent."/>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044A7" w:rsidRPr="00D56E93" w:rsidRDefault="006044A7" w:rsidP="006044A7">
      <w:pPr>
        <w:pStyle w:val="Note"/>
      </w:pPr>
      <w:r w:rsidRPr="00D56E93">
        <w:rPr>
          <w:rStyle w:val="NoteLabel"/>
        </w:rPr>
        <w:t>a</w:t>
      </w:r>
      <w:r w:rsidRPr="00D56E93">
        <w:t xml:space="preserve"> </w:t>
      </w:r>
      <w:r w:rsidR="005D4AA5">
        <w:t xml:space="preserve">Skill groups are </w:t>
      </w:r>
      <w:r>
        <w:t>defined to include Australian and New Zealand Standard Classification of Occupations (</w:t>
      </w:r>
      <w:proofErr w:type="spellStart"/>
      <w:r>
        <w:t>ANZSCO</w:t>
      </w:r>
      <w:proofErr w:type="spellEnd"/>
      <w:r>
        <w:t xml:space="preserve">) categories </w:t>
      </w:r>
      <w:r w:rsidR="005D4AA5">
        <w:t>as follows: higher skilled — </w:t>
      </w:r>
      <w:r>
        <w:t>managers and professionals; middle skilled — technicians and trade workers; community and personal services workers; and clerical and administrative workers; and lower skilled — sales workers; machinery operators and drivers; and labourers.</w:t>
      </w:r>
    </w:p>
    <w:p w:rsidR="006044A7" w:rsidRDefault="0032579E" w:rsidP="006044A7">
      <w:pPr>
        <w:pStyle w:val="Source"/>
      </w:pPr>
      <w:r>
        <w:rPr>
          <w:i/>
        </w:rPr>
        <w:t>Source</w:t>
      </w:r>
      <w:r>
        <w:t>: ABS (</w:t>
      </w:r>
      <w:r w:rsidRPr="0082132F">
        <w:rPr>
          <w:i/>
        </w:rPr>
        <w:t>Labour Force Australia, Detailed</w:t>
      </w:r>
      <w:r>
        <w:t>, Cat. no. 6291.0.55.003).</w:t>
      </w:r>
    </w:p>
    <w:p w:rsidR="005D4AA5" w:rsidRDefault="005D4AA5" w:rsidP="005D4AA5">
      <w:pPr>
        <w:pStyle w:val="Heading4"/>
      </w:pPr>
      <w:r>
        <w:t>Job growth by gender and full</w:t>
      </w:r>
      <w:r>
        <w:noBreakHyphen/>
        <w:t xml:space="preserve"> and part</w:t>
      </w:r>
      <w:r>
        <w:noBreakHyphen/>
        <w:t>time hours worked</w:t>
      </w:r>
    </w:p>
    <w:p w:rsidR="006044A7" w:rsidRPr="00760C6D" w:rsidRDefault="006044A7" w:rsidP="006044A7">
      <w:pPr>
        <w:pStyle w:val="BodyText"/>
      </w:pPr>
      <w:r w:rsidRPr="00760C6D">
        <w:t xml:space="preserve">Net </w:t>
      </w:r>
      <w:r w:rsidR="00A8001B">
        <w:t xml:space="preserve">jobs created </w:t>
      </w:r>
      <w:r w:rsidRPr="00760C6D">
        <w:t>were more likely to be part</w:t>
      </w:r>
      <w:r w:rsidR="00A8001B">
        <w:t xml:space="preserve"> </w:t>
      </w:r>
      <w:r w:rsidRPr="00760C6D">
        <w:t>time than was th</w:t>
      </w:r>
      <w:r w:rsidR="009908A8">
        <w:t>e case before 2001. Part</w:t>
      </w:r>
      <w:r w:rsidR="009908A8">
        <w:noBreakHyphen/>
        <w:t xml:space="preserve">time workers </w:t>
      </w:r>
      <w:r w:rsidRPr="00760C6D">
        <w:t>made up nearly 30 per cent of the workforce in 2001, but nearly 40 per cent of the net jobs added to the economy over the decade were perf</w:t>
      </w:r>
      <w:r w:rsidR="00A8001B">
        <w:t xml:space="preserve">ormed by people who worked part </w:t>
      </w:r>
      <w:r w:rsidRPr="00760C6D">
        <w:t>time in 2011 (figure 4.6). Relatively fast growth of part</w:t>
      </w:r>
      <w:r w:rsidRPr="00760C6D">
        <w:noBreakHyphen/>
        <w:t>time employment was much more a characteristic of non</w:t>
      </w:r>
      <w:r w:rsidRPr="00760C6D">
        <w:noBreakHyphen/>
        <w:t>mining state labour markets.</w:t>
      </w:r>
    </w:p>
    <w:p w:rsidR="006044A7" w:rsidRDefault="006044A7" w:rsidP="006044A7">
      <w:pPr>
        <w:pStyle w:val="BodyText"/>
      </w:pPr>
      <w:r>
        <w:t>Employment of females grew slightly more quickly than that of males. Accordingly, in 2011, females occupied 50 per cent of the jobs added to the economy, in contrast with an employment share in 2001 of about 45 per cent.</w:t>
      </w:r>
    </w:p>
    <w:p w:rsidR="006044A7" w:rsidRPr="000A1BE5" w:rsidRDefault="006044A7" w:rsidP="006044A7">
      <w:pPr>
        <w:pStyle w:val="FigureTitle"/>
        <w:rPr>
          <w:spacing w:val="-2"/>
        </w:rPr>
      </w:pPr>
      <w:r w:rsidRPr="000A1BE5">
        <w:rPr>
          <w:b w:val="0"/>
          <w:spacing w:val="-2"/>
        </w:rPr>
        <w:lastRenderedPageBreak/>
        <w:t xml:space="preserve">Figure </w:t>
      </w:r>
      <w:bookmarkStart w:id="8" w:name="OLE_LINK11"/>
      <w:r>
        <w:rPr>
          <w:b w:val="0"/>
          <w:spacing w:val="-2"/>
        </w:rPr>
        <w:t>4.</w:t>
      </w:r>
      <w:r>
        <w:rPr>
          <w:b w:val="0"/>
          <w:noProof/>
          <w:spacing w:val="-2"/>
        </w:rPr>
        <w:t>6</w:t>
      </w:r>
      <w:bookmarkEnd w:id="8"/>
      <w:r w:rsidRPr="000A1BE5">
        <w:rPr>
          <w:spacing w:val="-2"/>
        </w:rPr>
        <w:tab/>
        <w:t>Shares of</w:t>
      </w:r>
      <w:r w:rsidR="00442D87">
        <w:rPr>
          <w:spacing w:val="-2"/>
        </w:rPr>
        <w:t xml:space="preserve"> employment in 2001 and net job growth</w:t>
      </w:r>
      <w:r w:rsidRPr="000A1BE5">
        <w:rPr>
          <w:spacing w:val="-2"/>
        </w:rPr>
        <w:t xml:space="preserve"> between 2001 and 2011, </w:t>
      </w:r>
      <w:r>
        <w:rPr>
          <w:spacing w:val="-2"/>
        </w:rPr>
        <w:t>by hours worked</w:t>
      </w:r>
      <w:r w:rsidRPr="00D56E93">
        <w:rPr>
          <w:rStyle w:val="NoteLabel"/>
          <w:b/>
        </w:rPr>
        <w:t>a</w:t>
      </w:r>
    </w:p>
    <w:p w:rsidR="006044A7" w:rsidRDefault="006044A7" w:rsidP="006044A7">
      <w:pPr>
        <w:pStyle w:val="Subtitle"/>
      </w:pPr>
      <w:r>
        <w:t>Per cent</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388"/>
        <w:gridCol w:w="4389"/>
      </w:tblGrid>
      <w:tr w:rsidR="006044A7" w:rsidTr="00C74B75">
        <w:trPr>
          <w:trHeight w:val="3941"/>
        </w:trPr>
        <w:tc>
          <w:tcPr>
            <w:tcW w:w="4388" w:type="dxa"/>
          </w:tcPr>
          <w:p w:rsidR="006044A7" w:rsidRDefault="006044A7" w:rsidP="00EC70C7">
            <w:pPr>
              <w:pStyle w:val="Figure"/>
            </w:pPr>
            <w:r>
              <w:rPr>
                <w:noProof/>
              </w:rPr>
              <w:drawing>
                <wp:inline distT="0" distB="0" distL="0" distR="0" wp14:anchorId="52B30AA8" wp14:editId="39ACB8FB">
                  <wp:extent cx="2657475" cy="2514600"/>
                  <wp:effectExtent l="0" t="0" r="0" b="0"/>
                  <wp:docPr id="27" name="Chart 27" descr="Figure 4.6 panel A Shares of employment in 2001 (per cent), by hours worked. This chart shows that: part-time females accounted for 20 per cent of employment in 2001; part-time males, 8 per cent; full-time females, 25 per cent; and full-time males, 48 per cent."/>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4389" w:type="dxa"/>
          </w:tcPr>
          <w:p w:rsidR="006044A7" w:rsidRDefault="006044A7" w:rsidP="00EC70C7">
            <w:pPr>
              <w:pStyle w:val="Figure"/>
            </w:pPr>
            <w:r>
              <w:rPr>
                <w:noProof/>
              </w:rPr>
              <w:drawing>
                <wp:inline distT="0" distB="0" distL="0" distR="0" wp14:anchorId="324148E1" wp14:editId="0D95B576">
                  <wp:extent cx="2771775" cy="2514600"/>
                  <wp:effectExtent l="0" t="0" r="0" b="0"/>
                  <wp:docPr id="28" name="Chart 28" descr="Figure 4.6 panel B Shares of net jobs added to the economy between 2001 and 2011 (per cent), by hours worked. This chart shows that: part-time females accounted for 25 per cent of net jobs added to the economy between 2001 and 2011; part-time males, 13 per cent; full-time females, 13 per cent; and full-time males, 37 per cent."/>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6044A7" w:rsidRPr="00D56E93" w:rsidRDefault="006044A7" w:rsidP="006044A7">
      <w:pPr>
        <w:pStyle w:val="Note"/>
      </w:pPr>
      <w:r w:rsidRPr="00D56E93">
        <w:rPr>
          <w:rStyle w:val="NoteLabel"/>
        </w:rPr>
        <w:t>a</w:t>
      </w:r>
      <w:r w:rsidRPr="00D56E93">
        <w:t xml:space="preserve"> </w:t>
      </w:r>
      <w:r>
        <w:rPr>
          <w:rFonts w:cs="Arial"/>
        </w:rPr>
        <w:t>Part-time workers are defined as those who usually work less than 35 hours per week (ABS </w:t>
      </w:r>
      <w:proofErr w:type="spellStart"/>
      <w:r>
        <w:rPr>
          <w:rFonts w:cs="Arial"/>
        </w:rPr>
        <w:t>2007</w:t>
      </w:r>
      <w:r w:rsidR="00D576FB">
        <w:rPr>
          <w:rFonts w:cs="Arial"/>
        </w:rPr>
        <w:t>b</w:t>
      </w:r>
      <w:proofErr w:type="spellEnd"/>
      <w:r>
        <w:rPr>
          <w:rFonts w:cs="Arial"/>
        </w:rPr>
        <w:t>).</w:t>
      </w:r>
    </w:p>
    <w:p w:rsidR="006044A7" w:rsidRDefault="001B3930" w:rsidP="006044A7">
      <w:pPr>
        <w:pStyle w:val="Source"/>
      </w:pPr>
      <w:r>
        <w:rPr>
          <w:i/>
        </w:rPr>
        <w:t>Source</w:t>
      </w:r>
      <w:r>
        <w:t>: ABS (</w:t>
      </w:r>
      <w:r w:rsidRPr="0082132F">
        <w:rPr>
          <w:i/>
        </w:rPr>
        <w:t>Labour Force Australia, Detailed</w:t>
      </w:r>
      <w:r>
        <w:t>, Cat. no. 6291.0.55.001).</w:t>
      </w:r>
    </w:p>
    <w:p w:rsidR="00C74B75" w:rsidRDefault="00C74B75" w:rsidP="00C74B75">
      <w:pPr>
        <w:pStyle w:val="Heading4"/>
        <w:spacing w:before="360"/>
      </w:pPr>
      <w:r>
        <w:t>Job growth by workers’ age</w:t>
      </w:r>
    </w:p>
    <w:p w:rsidR="006044A7" w:rsidRDefault="004B72B2" w:rsidP="006044A7">
      <w:pPr>
        <w:pStyle w:val="BodyText"/>
        <w:rPr>
          <w:spacing w:val="-2"/>
        </w:rPr>
      </w:pPr>
      <w:r>
        <w:rPr>
          <w:spacing w:val="-2"/>
        </w:rPr>
        <w:t>Although</w:t>
      </w:r>
      <w:r w:rsidR="006044A7" w:rsidRPr="00847053">
        <w:rPr>
          <w:spacing w:val="-2"/>
        </w:rPr>
        <w:t xml:space="preserve"> workers aged 50 to 69 </w:t>
      </w:r>
      <w:r w:rsidR="006044A7">
        <w:rPr>
          <w:spacing w:val="-2"/>
        </w:rPr>
        <w:t xml:space="preserve">years </w:t>
      </w:r>
      <w:r w:rsidR="006044A7" w:rsidRPr="00847053">
        <w:rPr>
          <w:spacing w:val="-2"/>
        </w:rPr>
        <w:t>made up just over 20 per cent of the workforce in 2001, half of the net jobs added to the economy were filled by people who were in this age cohort</w:t>
      </w:r>
      <w:r w:rsidR="00C74B75">
        <w:rPr>
          <w:spacing w:val="-2"/>
        </w:rPr>
        <w:t xml:space="preserve"> (figure 4.7)</w:t>
      </w:r>
      <w:r w:rsidR="006044A7" w:rsidRPr="00847053">
        <w:rPr>
          <w:spacing w:val="-2"/>
        </w:rPr>
        <w:t xml:space="preserve">. The share of workers aged 50 to 69 </w:t>
      </w:r>
      <w:r w:rsidR="006044A7">
        <w:rPr>
          <w:spacing w:val="-2"/>
        </w:rPr>
        <w:t xml:space="preserve">years </w:t>
      </w:r>
      <w:r w:rsidR="006044A7" w:rsidRPr="00847053">
        <w:rPr>
          <w:spacing w:val="-2"/>
        </w:rPr>
        <w:t>in employment increased reasonably steadily from 21 to 27 per cent over the decade.</w:t>
      </w:r>
    </w:p>
    <w:p w:rsidR="00C74B75" w:rsidRPr="00C74B75" w:rsidRDefault="00C74B75" w:rsidP="006044A7">
      <w:pPr>
        <w:pStyle w:val="BodyText"/>
      </w:pPr>
      <w:r>
        <w:t>Relatively rapid employment growth among older workers partly reflected demographic change. The number of people aged 50 to 69 years grew roughly twice as quickly as the number aged 15 to 49 years. But labour force participation rates also rose more rapidly among Australians aged 50 to 69 years (up by about 9</w:t>
      </w:r>
      <w:r w:rsidR="0057416D">
        <w:t> </w:t>
      </w:r>
      <w:r>
        <w:t xml:space="preserve">percentage points to 62 per cent across the decade to 2011) (ABS </w:t>
      </w:r>
      <w:proofErr w:type="spellStart"/>
      <w:r>
        <w:t>2012i</w:t>
      </w:r>
      <w:proofErr w:type="spellEnd"/>
      <w:r>
        <w:t xml:space="preserve">). In contrast, participation rose much less among people </w:t>
      </w:r>
      <w:r w:rsidR="00D9427D">
        <w:t>aged 25 to 49 years (by about 2 </w:t>
      </w:r>
      <w:r>
        <w:t>percentage points to 83 per cent), and fell among people aged 15 to 24 years (by about 3 percentage points to 66 per cent). The latter outcome may have been a function of increases in education participation by younger Australians. Between 2001 and 2011, the share of people aged 15 to 19 years engaged in formal learning grew by 2 percentage points (to 79 per cent), and among people aged 20 to 24 years by 7 percentage points (to 41 per cent) (ABS </w:t>
      </w:r>
      <w:proofErr w:type="spellStart"/>
      <w:r>
        <w:t>2012e</w:t>
      </w:r>
      <w:proofErr w:type="spellEnd"/>
      <w:r>
        <w:t>).</w:t>
      </w:r>
    </w:p>
    <w:p w:rsidR="006044A7" w:rsidRPr="000A1BE5" w:rsidRDefault="006044A7" w:rsidP="006044A7">
      <w:pPr>
        <w:pStyle w:val="FigureTitle"/>
        <w:rPr>
          <w:spacing w:val="-2"/>
        </w:rPr>
      </w:pPr>
      <w:r w:rsidRPr="000A1BE5">
        <w:rPr>
          <w:b w:val="0"/>
          <w:spacing w:val="-2"/>
        </w:rPr>
        <w:lastRenderedPageBreak/>
        <w:t xml:space="preserve">Figure </w:t>
      </w:r>
      <w:r>
        <w:rPr>
          <w:b w:val="0"/>
          <w:spacing w:val="-2"/>
        </w:rPr>
        <w:t>4.</w:t>
      </w:r>
      <w:r>
        <w:rPr>
          <w:b w:val="0"/>
          <w:noProof/>
          <w:spacing w:val="-2"/>
        </w:rPr>
        <w:t>7</w:t>
      </w:r>
      <w:r w:rsidRPr="000A1BE5">
        <w:rPr>
          <w:spacing w:val="-2"/>
        </w:rPr>
        <w:tab/>
        <w:t>Shares of</w:t>
      </w:r>
      <w:r w:rsidR="00C74B75">
        <w:rPr>
          <w:spacing w:val="-2"/>
        </w:rPr>
        <w:t xml:space="preserve"> employment in 2001 and net job growth</w:t>
      </w:r>
      <w:r w:rsidRPr="000A1BE5">
        <w:rPr>
          <w:spacing w:val="-2"/>
        </w:rPr>
        <w:t xml:space="preserve"> between 2001 and 2011, </w:t>
      </w:r>
      <w:r>
        <w:rPr>
          <w:spacing w:val="-2"/>
        </w:rPr>
        <w:t>by workers’ age cohort</w:t>
      </w:r>
    </w:p>
    <w:p w:rsidR="006044A7" w:rsidRDefault="006044A7" w:rsidP="006044A7">
      <w:pPr>
        <w:pStyle w:val="Subtitle"/>
      </w:pPr>
      <w:r>
        <w:t>Per cent</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388"/>
        <w:gridCol w:w="4389"/>
      </w:tblGrid>
      <w:tr w:rsidR="006044A7" w:rsidTr="00EC70C7">
        <w:trPr>
          <w:trHeight w:val="4171"/>
        </w:trPr>
        <w:tc>
          <w:tcPr>
            <w:tcW w:w="4388" w:type="dxa"/>
          </w:tcPr>
          <w:p w:rsidR="006044A7" w:rsidRDefault="006044A7" w:rsidP="00EC70C7">
            <w:pPr>
              <w:pStyle w:val="Figure"/>
            </w:pPr>
            <w:r>
              <w:rPr>
                <w:noProof/>
              </w:rPr>
              <w:drawing>
                <wp:inline distT="0" distB="0" distL="0" distR="0" wp14:anchorId="435F1B8D" wp14:editId="32B0C617">
                  <wp:extent cx="2667000" cy="2514600"/>
                  <wp:effectExtent l="0" t="0" r="0" b="0"/>
                  <wp:docPr id="25" name="Chart 25" descr="Figure 4.7 panel A Shares of employment in 2001 (per cent), by workers' age cohort. This chart shows that: workers aged 15 to 24 accounted for 18 per cent of employment in 2001; workers aged 25 to 49, 61 per cent; and workers aged 50 to 69, 21 per cent."/>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c>
          <w:tcPr>
            <w:tcW w:w="4389" w:type="dxa"/>
          </w:tcPr>
          <w:p w:rsidR="006044A7" w:rsidRDefault="006044A7" w:rsidP="00EC70C7">
            <w:pPr>
              <w:pStyle w:val="Figure"/>
            </w:pPr>
            <w:r>
              <w:rPr>
                <w:noProof/>
              </w:rPr>
              <w:drawing>
                <wp:inline distT="0" distB="0" distL="0" distR="0" wp14:anchorId="42AC4057" wp14:editId="652D173B">
                  <wp:extent cx="2631057" cy="2518913"/>
                  <wp:effectExtent l="0" t="0" r="0" b="0"/>
                  <wp:docPr id="26" name="Chart 26" descr="Figure 4.7 panel B Shares of net jobs added to the economy between 2001 and 2011 (per cent), by workers' age cohort. This chart shows that: workers aged 15 to 24 accounted for 12 per cent of net jobs added to the economy between 2001 and 2011; workers aged 25 to 49, 39 per cent; and workers aged 50 to 69, 49 per cent."/>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044A7" w:rsidRDefault="00217FE9" w:rsidP="006044A7">
      <w:pPr>
        <w:pStyle w:val="Source"/>
      </w:pPr>
      <w:r>
        <w:rPr>
          <w:i/>
        </w:rPr>
        <w:t>Source</w:t>
      </w:r>
      <w:r>
        <w:t>: ABS (</w:t>
      </w:r>
      <w:r w:rsidRPr="0082132F">
        <w:rPr>
          <w:i/>
        </w:rPr>
        <w:t>Labour Force Australia, Detailed</w:t>
      </w:r>
      <w:r>
        <w:t>, Cat. no. 6291.0.55.001).</w:t>
      </w:r>
    </w:p>
    <w:p w:rsidR="006044A7" w:rsidRDefault="006044A7" w:rsidP="006044A7">
      <w:pPr>
        <w:pStyle w:val="Heading4"/>
      </w:pPr>
      <w:r>
        <w:t xml:space="preserve">Other characteristics of net </w:t>
      </w:r>
      <w:r w:rsidR="0057416D">
        <w:t>job growth</w:t>
      </w:r>
    </w:p>
    <w:p w:rsidR="006044A7" w:rsidRDefault="006044A7" w:rsidP="006044A7">
      <w:pPr>
        <w:pStyle w:val="BodyText"/>
      </w:pPr>
      <w:r>
        <w:t>Public sector employ</w:t>
      </w:r>
      <w:r w:rsidR="009E0316">
        <w:t>ee numbers</w:t>
      </w:r>
      <w:r>
        <w:t xml:space="preserve"> grew more slowly than employment overall across the decade. As a consequence, </w:t>
      </w:r>
      <w:r w:rsidR="004B72B2">
        <w:t>although</w:t>
      </w:r>
      <w:r>
        <w:t xml:space="preserve"> public sector employees accounted for about 16 per cent of employment in 2001, they accounted for about 11 per cent of jobs added to the economy over the decade</w:t>
      </w:r>
      <w:r w:rsidR="001E3C59">
        <w:t xml:space="preserve"> (ABS </w:t>
      </w:r>
      <w:proofErr w:type="spellStart"/>
      <w:r w:rsidR="001E3C59">
        <w:t>2012a</w:t>
      </w:r>
      <w:proofErr w:type="spellEnd"/>
      <w:r w:rsidR="001E3C59">
        <w:t xml:space="preserve">, </w:t>
      </w:r>
      <w:proofErr w:type="spellStart"/>
      <w:r w:rsidR="001E3C59">
        <w:t>2012f</w:t>
      </w:r>
      <w:proofErr w:type="spellEnd"/>
      <w:r w:rsidR="001E3C59">
        <w:t>)</w:t>
      </w:r>
      <w:r>
        <w:t>.</w:t>
      </w:r>
    </w:p>
    <w:p w:rsidR="006044A7" w:rsidRDefault="00AF5D3E" w:rsidP="006044A7">
      <w:pPr>
        <w:pStyle w:val="BodyText"/>
      </w:pPr>
      <w:r>
        <w:t xml:space="preserve">There </w:t>
      </w:r>
      <w:r w:rsidR="0019753F">
        <w:t>is</w:t>
      </w:r>
      <w:r>
        <w:t xml:space="preserve"> some evidence that s</w:t>
      </w:r>
      <w:r w:rsidR="006044A7">
        <w:t>maller firms made a disproportionate contribution to job creation across the decade. Available data suggest that the proportion of employing businesses with fewer than 20 employees rose slightly between 2003</w:t>
      </w:r>
      <w:r w:rsidR="006044A7">
        <w:noBreakHyphen/>
        <w:t>04 and 2006</w:t>
      </w:r>
      <w:r w:rsidR="006044A7">
        <w:noBreakHyphen/>
        <w:t>07 and did not change much between that year and 2010</w:t>
      </w:r>
      <w:r w:rsidR="006044A7">
        <w:noBreakHyphen/>
        <w:t>11 (ABS</w:t>
      </w:r>
      <w:r w:rsidR="00E2760B">
        <w:t> </w:t>
      </w:r>
      <w:proofErr w:type="spellStart"/>
      <w:r w:rsidR="00E2760B">
        <w:t>2007a</w:t>
      </w:r>
      <w:proofErr w:type="spellEnd"/>
      <w:r w:rsidR="00CD7033">
        <w:t>,</w:t>
      </w:r>
      <w:r w:rsidR="00E2760B">
        <w:t xml:space="preserve"> </w:t>
      </w:r>
      <w:proofErr w:type="spellStart"/>
      <w:r w:rsidR="00E2760B">
        <w:t>2012d</w:t>
      </w:r>
      <w:proofErr w:type="spellEnd"/>
      <w:r w:rsidR="006044A7">
        <w:t>).</w:t>
      </w:r>
    </w:p>
    <w:p w:rsidR="006044A7" w:rsidRPr="000C33FE" w:rsidRDefault="006044A7" w:rsidP="006044A7">
      <w:pPr>
        <w:pStyle w:val="BodyText"/>
      </w:pPr>
      <w:r w:rsidRPr="000C33FE">
        <w:t xml:space="preserve">Finally, reflecting increases in migration over the decade to 2011, overseas born </w:t>
      </w:r>
      <w:r w:rsidR="00AF5D3E">
        <w:t xml:space="preserve">people </w:t>
      </w:r>
      <w:r w:rsidRPr="000C33FE">
        <w:t xml:space="preserve">were disproportionately represented in job creation, </w:t>
      </w:r>
      <w:r w:rsidR="00AF5D3E">
        <w:t xml:space="preserve">accounting for </w:t>
      </w:r>
      <w:r w:rsidRPr="000C33FE">
        <w:t xml:space="preserve">40 per cent of net jobs added to the economy, </w:t>
      </w:r>
      <w:r w:rsidR="00AF5D3E">
        <w:t xml:space="preserve">significantly higher than </w:t>
      </w:r>
      <w:r w:rsidRPr="000C33FE">
        <w:t>their employment share in 2001 of 24 per cent</w:t>
      </w:r>
      <w:r w:rsidR="001E3C59">
        <w:t xml:space="preserve"> (ABS </w:t>
      </w:r>
      <w:proofErr w:type="spellStart"/>
      <w:r w:rsidR="001E3C59">
        <w:t>2012</w:t>
      </w:r>
      <w:r w:rsidR="007A3D4A">
        <w:t>i</w:t>
      </w:r>
      <w:proofErr w:type="spellEnd"/>
      <w:r w:rsidR="001E3C59">
        <w:t>)</w:t>
      </w:r>
      <w:r w:rsidRPr="000C33FE">
        <w:t>.</w:t>
      </w:r>
    </w:p>
    <w:p w:rsidR="006044A7" w:rsidRDefault="00C80099" w:rsidP="006044A7">
      <w:pPr>
        <w:pStyle w:val="Heading2"/>
      </w:pPr>
      <w:fldSimple w:instr=" COMMENTS  \* MERGEFORMAT ">
        <w:r w:rsidR="007B17A3">
          <w:t>4.</w:t>
        </w:r>
      </w:fldSimple>
      <w:fldSimple w:instr=" SEQ Heading2 ">
        <w:r w:rsidR="007B17A3">
          <w:rPr>
            <w:noProof/>
          </w:rPr>
          <w:t>2</w:t>
        </w:r>
      </w:fldSimple>
      <w:r w:rsidR="006044A7">
        <w:tab/>
        <w:t xml:space="preserve">Some hypotheses about the determinants of changes in </w:t>
      </w:r>
      <w:r w:rsidR="00B8751F">
        <w:t xml:space="preserve">the prevalence of different </w:t>
      </w:r>
      <w:proofErr w:type="spellStart"/>
      <w:r w:rsidR="00B8751F">
        <w:t>FOWs</w:t>
      </w:r>
      <w:proofErr w:type="spellEnd"/>
    </w:p>
    <w:p w:rsidR="006044A7" w:rsidRDefault="006044A7" w:rsidP="006044A7">
      <w:pPr>
        <w:pStyle w:val="BodyText"/>
      </w:pPr>
      <w:r>
        <w:t xml:space="preserve">In light of the framework presented in chapter 2, the data presented above support a range of hypotheses about how the prevalence of different </w:t>
      </w:r>
      <w:proofErr w:type="spellStart"/>
      <w:r>
        <w:t>FOWs</w:t>
      </w:r>
      <w:proofErr w:type="spellEnd"/>
      <w:r>
        <w:t xml:space="preserve"> might have changed between 2001 and 2011. (The following discussion assumes ‘other things equal’. That is, in discussion of each hypothesis, other potential explanations for observed prevalence changes are ignored.)</w:t>
      </w:r>
    </w:p>
    <w:p w:rsidR="006044A7" w:rsidRPr="005F57D3" w:rsidRDefault="006044A7" w:rsidP="006044A7">
      <w:pPr>
        <w:pStyle w:val="BodyText"/>
        <w:rPr>
          <w:spacing w:val="-2"/>
        </w:rPr>
      </w:pPr>
      <w:r w:rsidRPr="005F57D3">
        <w:rPr>
          <w:spacing w:val="-2"/>
        </w:rPr>
        <w:t xml:space="preserve">Positive business sentiment and reduced uncertainty about future </w:t>
      </w:r>
      <w:r w:rsidR="00C23A4F">
        <w:rPr>
          <w:spacing w:val="-2"/>
        </w:rPr>
        <w:t>economic</w:t>
      </w:r>
      <w:r w:rsidRPr="005F57D3">
        <w:rPr>
          <w:spacing w:val="-2"/>
        </w:rPr>
        <w:t xml:space="preserve"> conditions, particularly between 2003 and 2008, might have increased the likelihood of firms offering </w:t>
      </w:r>
      <w:r>
        <w:rPr>
          <w:spacing w:val="-2"/>
        </w:rPr>
        <w:t>permanent</w:t>
      </w:r>
      <w:r w:rsidRPr="005F57D3">
        <w:rPr>
          <w:spacing w:val="-2"/>
        </w:rPr>
        <w:t xml:space="preserve"> employee roles</w:t>
      </w:r>
      <w:r w:rsidR="00340912">
        <w:rPr>
          <w:spacing w:val="-2"/>
        </w:rPr>
        <w:t>. The strength of the economy</w:t>
      </w:r>
      <w:r w:rsidRPr="005F57D3">
        <w:rPr>
          <w:spacing w:val="-2"/>
        </w:rPr>
        <w:t xml:space="preserve"> </w:t>
      </w:r>
      <w:r w:rsidR="00340912">
        <w:rPr>
          <w:spacing w:val="-2"/>
        </w:rPr>
        <w:t>meant that</w:t>
      </w:r>
      <w:r w:rsidRPr="005F57D3">
        <w:rPr>
          <w:spacing w:val="-2"/>
        </w:rPr>
        <w:t xml:space="preserve"> the probability of having to lay off workers, which would necessitate termination and redundancy payments, was lower.</w:t>
      </w:r>
    </w:p>
    <w:p w:rsidR="006044A7" w:rsidRDefault="006044A7" w:rsidP="006044A7">
      <w:pPr>
        <w:pStyle w:val="BodyText"/>
      </w:pPr>
      <w:r>
        <w:t>Labour scarcity, reflected in the</w:t>
      </w:r>
      <w:r w:rsidRPr="00E92E30">
        <w:t xml:space="preserve"> prolonged spell of low </w:t>
      </w:r>
      <w:r>
        <w:t>un</w:t>
      </w:r>
      <w:r w:rsidRPr="00E92E30">
        <w:t>employment</w:t>
      </w:r>
      <w:r>
        <w:t xml:space="preserve"> and relatively high job vacancies</w:t>
      </w:r>
      <w:r w:rsidRPr="00E92E30">
        <w:t xml:space="preserve">, </w:t>
      </w:r>
      <w:r>
        <w:t xml:space="preserve">might have raised the probability of </w:t>
      </w:r>
      <w:r w:rsidRPr="00E92E30">
        <w:t>firms offer</w:t>
      </w:r>
      <w:r>
        <w:t>ing permanent employee roles (and, conversely, decreased the likelihood that they hired workers on a casual basis):</w:t>
      </w:r>
    </w:p>
    <w:p w:rsidR="00340912" w:rsidRDefault="006044A7" w:rsidP="006044A7">
      <w:pPr>
        <w:pStyle w:val="ListBullet"/>
      </w:pPr>
      <w:r>
        <w:t>with the expectation that employees would have to give notice — avoiding the costs of</w:t>
      </w:r>
      <w:r w:rsidR="00340912">
        <w:t>:</w:t>
      </w:r>
    </w:p>
    <w:p w:rsidR="00340912" w:rsidRDefault="006044A7" w:rsidP="00340912">
      <w:pPr>
        <w:pStyle w:val="ListBullet2"/>
      </w:pPr>
      <w:r>
        <w:t>reduced production (or overtime for existing staff) associated with hard</w:t>
      </w:r>
      <w:r>
        <w:noBreakHyphen/>
        <w:t>to</w:t>
      </w:r>
      <w:r>
        <w:noBreakHyphen/>
        <w:t>fill vacancies</w:t>
      </w:r>
    </w:p>
    <w:p w:rsidR="006044A7" w:rsidRDefault="006044A7" w:rsidP="00340912">
      <w:pPr>
        <w:pStyle w:val="ListBullet2"/>
      </w:pPr>
      <w:r>
        <w:t>induction of new hires (because departing employees could do a ‘handover’, potentially reducing the time taken for new hires to become fully productive)</w:t>
      </w:r>
    </w:p>
    <w:p w:rsidR="006044A7" w:rsidRDefault="006044A7" w:rsidP="006044A7">
      <w:pPr>
        <w:pStyle w:val="ListBullet"/>
      </w:pPr>
      <w:r>
        <w:t>to increase the horizon over which they could recoup the higher costs of hiring in a strong labour market.</w:t>
      </w:r>
    </w:p>
    <w:p w:rsidR="006044A7" w:rsidRPr="006C12B9" w:rsidRDefault="00340912" w:rsidP="006044A7">
      <w:pPr>
        <w:pStyle w:val="BodyText"/>
        <w:rPr>
          <w:spacing w:val="-2"/>
        </w:rPr>
      </w:pPr>
      <w:r>
        <w:rPr>
          <w:spacing w:val="-2"/>
        </w:rPr>
        <w:t>From</w:t>
      </w:r>
      <w:r w:rsidR="00AF5D3E">
        <w:rPr>
          <w:spacing w:val="-2"/>
        </w:rPr>
        <w:t xml:space="preserve"> the perspective of workers,</w:t>
      </w:r>
      <w:r w:rsidR="006044A7" w:rsidRPr="006C12B9">
        <w:rPr>
          <w:spacing w:val="-2"/>
        </w:rPr>
        <w:t xml:space="preserve"> more buoyant</w:t>
      </w:r>
      <w:r w:rsidR="00AF5D3E">
        <w:rPr>
          <w:spacing w:val="-2"/>
        </w:rPr>
        <w:t xml:space="preserve"> economic conditions </w:t>
      </w:r>
      <w:r w:rsidR="006044A7" w:rsidRPr="006C12B9">
        <w:rPr>
          <w:spacing w:val="-2"/>
        </w:rPr>
        <w:t xml:space="preserve">might have </w:t>
      </w:r>
      <w:r w:rsidR="00AF5D3E">
        <w:rPr>
          <w:spacing w:val="-2"/>
        </w:rPr>
        <w:t xml:space="preserve">made </w:t>
      </w:r>
      <w:r w:rsidR="00A344E6">
        <w:rPr>
          <w:spacing w:val="-2"/>
        </w:rPr>
        <w:t xml:space="preserve">some </w:t>
      </w:r>
      <w:r w:rsidR="00AF5D3E">
        <w:rPr>
          <w:spacing w:val="-2"/>
        </w:rPr>
        <w:t xml:space="preserve">non-permanent </w:t>
      </w:r>
      <w:r w:rsidR="0019753F">
        <w:rPr>
          <w:spacing w:val="-2"/>
        </w:rPr>
        <w:t xml:space="preserve">employee </w:t>
      </w:r>
      <w:r w:rsidR="006044A7" w:rsidRPr="006C12B9">
        <w:rPr>
          <w:spacing w:val="-2"/>
        </w:rPr>
        <w:t xml:space="preserve">roles, </w:t>
      </w:r>
      <w:r w:rsidR="00A344E6">
        <w:rPr>
          <w:spacing w:val="-2"/>
        </w:rPr>
        <w:t>for example</w:t>
      </w:r>
      <w:r w:rsidR="006044A7" w:rsidRPr="006C12B9">
        <w:rPr>
          <w:spacing w:val="-2"/>
        </w:rPr>
        <w:t xml:space="preserve"> self</w:t>
      </w:r>
      <w:r w:rsidR="006044A7" w:rsidRPr="006C12B9">
        <w:rPr>
          <w:spacing w:val="-2"/>
        </w:rPr>
        <w:noBreakHyphen/>
        <w:t xml:space="preserve">employment, </w:t>
      </w:r>
      <w:r w:rsidR="00AF5D3E">
        <w:rPr>
          <w:spacing w:val="-2"/>
        </w:rPr>
        <w:t xml:space="preserve">more attractive. For example, </w:t>
      </w:r>
      <w:r w:rsidR="006044A7" w:rsidRPr="006C12B9">
        <w:rPr>
          <w:spacing w:val="-2"/>
        </w:rPr>
        <w:t>the risks of business failure were p</w:t>
      </w:r>
      <w:r w:rsidR="00AF5D3E">
        <w:rPr>
          <w:spacing w:val="-2"/>
        </w:rPr>
        <w:t>ossibly</w:t>
      </w:r>
      <w:r w:rsidR="006044A7" w:rsidRPr="006C12B9">
        <w:rPr>
          <w:spacing w:val="-2"/>
        </w:rPr>
        <w:t xml:space="preserve"> lower</w:t>
      </w:r>
      <w:r w:rsidR="00AF5D3E">
        <w:rPr>
          <w:spacing w:val="-2"/>
        </w:rPr>
        <w:t xml:space="preserve"> and the chances of finding employment in the case of failure higher.</w:t>
      </w:r>
      <w:r w:rsidR="006044A7" w:rsidRPr="006C12B9">
        <w:rPr>
          <w:spacing w:val="-2"/>
        </w:rPr>
        <w:t xml:space="preserve"> Conversely, </w:t>
      </w:r>
      <w:r w:rsidR="00AF5D3E">
        <w:rPr>
          <w:spacing w:val="-2"/>
        </w:rPr>
        <w:t xml:space="preserve">to the extent that </w:t>
      </w:r>
      <w:r w:rsidR="006044A7" w:rsidRPr="006C12B9">
        <w:rPr>
          <w:spacing w:val="-2"/>
        </w:rPr>
        <w:t>self</w:t>
      </w:r>
      <w:r w:rsidR="006044A7" w:rsidRPr="006C12B9">
        <w:rPr>
          <w:spacing w:val="-2"/>
        </w:rPr>
        <w:noBreakHyphen/>
        <w:t xml:space="preserve">employment </w:t>
      </w:r>
      <w:r w:rsidR="00AF5D3E">
        <w:rPr>
          <w:spacing w:val="-2"/>
        </w:rPr>
        <w:t xml:space="preserve">provides </w:t>
      </w:r>
      <w:r w:rsidR="006044A7" w:rsidRPr="006C12B9">
        <w:rPr>
          <w:spacing w:val="-2"/>
        </w:rPr>
        <w:t>an alternative to unemployment during periods of slower economic growth, as economic conditions improved, the prevalence of self</w:t>
      </w:r>
      <w:r w:rsidR="006044A7" w:rsidRPr="006C12B9">
        <w:rPr>
          <w:spacing w:val="-2"/>
        </w:rPr>
        <w:noBreakHyphen/>
        <w:t xml:space="preserve">employment </w:t>
      </w:r>
      <w:r w:rsidR="00AF5D3E">
        <w:rPr>
          <w:spacing w:val="-2"/>
        </w:rPr>
        <w:t>w</w:t>
      </w:r>
      <w:r w:rsidR="006044A7" w:rsidRPr="006C12B9">
        <w:rPr>
          <w:spacing w:val="-2"/>
        </w:rPr>
        <w:t xml:space="preserve">ould have been expected to fall. The </w:t>
      </w:r>
      <w:r w:rsidR="00AF5D3E">
        <w:rPr>
          <w:spacing w:val="-2"/>
        </w:rPr>
        <w:t>relative weight</w:t>
      </w:r>
      <w:r w:rsidR="00B729A3">
        <w:rPr>
          <w:spacing w:val="-2"/>
        </w:rPr>
        <w:t>s</w:t>
      </w:r>
      <w:r w:rsidR="00AF5D3E">
        <w:rPr>
          <w:spacing w:val="-2"/>
        </w:rPr>
        <w:t xml:space="preserve"> and hence </w:t>
      </w:r>
      <w:r w:rsidR="006044A7" w:rsidRPr="006C12B9">
        <w:rPr>
          <w:spacing w:val="-2"/>
        </w:rPr>
        <w:t xml:space="preserve">net impact of these two effects </w:t>
      </w:r>
      <w:r w:rsidR="00B729A3">
        <w:rPr>
          <w:spacing w:val="-2"/>
        </w:rPr>
        <w:t>are</w:t>
      </w:r>
      <w:r w:rsidR="006044A7" w:rsidRPr="006C12B9">
        <w:rPr>
          <w:spacing w:val="-2"/>
        </w:rPr>
        <w:t xml:space="preserve"> difficult to </w:t>
      </w:r>
      <w:r w:rsidR="00B729A3">
        <w:rPr>
          <w:spacing w:val="-2"/>
        </w:rPr>
        <w:t>ascertain</w:t>
      </w:r>
      <w:r w:rsidR="006044A7" w:rsidRPr="006C12B9">
        <w:rPr>
          <w:spacing w:val="-2"/>
        </w:rPr>
        <w:t>.</w:t>
      </w:r>
    </w:p>
    <w:p w:rsidR="004B3138" w:rsidRDefault="006044A7" w:rsidP="006044A7">
      <w:pPr>
        <w:pStyle w:val="BodyText"/>
        <w:rPr>
          <w:spacing w:val="-2"/>
        </w:rPr>
      </w:pPr>
      <w:r w:rsidRPr="00291103">
        <w:rPr>
          <w:spacing w:val="-2"/>
        </w:rPr>
        <w:t>Changes in the industry mix of employment</w:t>
      </w:r>
      <w:r>
        <w:rPr>
          <w:spacing w:val="-2"/>
        </w:rPr>
        <w:t xml:space="preserve"> (that is, structural change) </w:t>
      </w:r>
      <w:r w:rsidR="008B57B9">
        <w:rPr>
          <w:spacing w:val="-2"/>
        </w:rPr>
        <w:t xml:space="preserve">would tend to </w:t>
      </w:r>
      <w:r w:rsidRPr="00291103">
        <w:rPr>
          <w:spacing w:val="-2"/>
        </w:rPr>
        <w:t xml:space="preserve">increase </w:t>
      </w:r>
      <w:r w:rsidR="008B57B9">
        <w:rPr>
          <w:spacing w:val="-2"/>
        </w:rPr>
        <w:t>(decrease)</w:t>
      </w:r>
      <w:r w:rsidRPr="00291103">
        <w:rPr>
          <w:spacing w:val="-2"/>
        </w:rPr>
        <w:t xml:space="preserve"> the prevalence of </w:t>
      </w:r>
      <w:proofErr w:type="spellStart"/>
      <w:r w:rsidRPr="00291103">
        <w:rPr>
          <w:spacing w:val="-2"/>
        </w:rPr>
        <w:t>FOWs</w:t>
      </w:r>
      <w:proofErr w:type="spellEnd"/>
      <w:r w:rsidRPr="00291103">
        <w:rPr>
          <w:spacing w:val="-2"/>
        </w:rPr>
        <w:t xml:space="preserve"> that were </w:t>
      </w:r>
      <w:r w:rsidR="008B57B9">
        <w:rPr>
          <w:spacing w:val="-2"/>
        </w:rPr>
        <w:t xml:space="preserve">more </w:t>
      </w:r>
      <w:r w:rsidRPr="00291103">
        <w:rPr>
          <w:spacing w:val="-2"/>
        </w:rPr>
        <w:t xml:space="preserve">prevalent in fast </w:t>
      </w:r>
      <w:r w:rsidR="008B57B9">
        <w:rPr>
          <w:spacing w:val="-2"/>
        </w:rPr>
        <w:t xml:space="preserve">(slow) </w:t>
      </w:r>
      <w:r w:rsidRPr="00291103">
        <w:rPr>
          <w:spacing w:val="-2"/>
        </w:rPr>
        <w:t>growing industries</w:t>
      </w:r>
      <w:r>
        <w:rPr>
          <w:spacing w:val="-2"/>
        </w:rPr>
        <w:t>.</w:t>
      </w:r>
    </w:p>
    <w:p w:rsidR="006044A7" w:rsidRPr="00291103" w:rsidRDefault="006044A7" w:rsidP="006044A7">
      <w:pPr>
        <w:pStyle w:val="BodyText"/>
        <w:rPr>
          <w:spacing w:val="-2"/>
        </w:rPr>
      </w:pPr>
      <w:r>
        <w:rPr>
          <w:spacing w:val="-2"/>
        </w:rPr>
        <w:lastRenderedPageBreak/>
        <w:t>F</w:t>
      </w:r>
      <w:r w:rsidRPr="00291103">
        <w:rPr>
          <w:spacing w:val="-2"/>
        </w:rPr>
        <w:t>or example:</w:t>
      </w:r>
    </w:p>
    <w:p w:rsidR="006044A7" w:rsidRDefault="006044A7" w:rsidP="006044A7">
      <w:pPr>
        <w:pStyle w:val="ListBullet"/>
      </w:pPr>
      <w:r>
        <w:t>relatively rapid net job creation in health care and social assistan</w:t>
      </w:r>
      <w:r w:rsidR="00D11D12">
        <w:t>ce — </w:t>
      </w:r>
      <w:r>
        <w:t>an industry in which permanent employees are relatively concentrated (table </w:t>
      </w:r>
      <w:proofErr w:type="spellStart"/>
      <w:r>
        <w:t>F.2</w:t>
      </w:r>
      <w:proofErr w:type="spellEnd"/>
      <w:r>
        <w:t xml:space="preserve">), </w:t>
      </w:r>
      <w:r w:rsidR="008B57B9">
        <w:t xml:space="preserve">would have </w:t>
      </w:r>
      <w:r>
        <w:t>increase</w:t>
      </w:r>
      <w:r w:rsidR="008B57B9">
        <w:t>d</w:t>
      </w:r>
      <w:r>
        <w:t xml:space="preserve"> the prevalence of permanent employees</w:t>
      </w:r>
    </w:p>
    <w:p w:rsidR="006044A7" w:rsidRDefault="006044A7" w:rsidP="006044A7">
      <w:pPr>
        <w:pStyle w:val="ListBullet"/>
      </w:pPr>
      <w:r>
        <w:t xml:space="preserve">relatively slow employment growth in industries in which consumer demand, and therefore, labour demand, is less predictable or regular (for example, retail), </w:t>
      </w:r>
      <w:r w:rsidR="008B57B9">
        <w:t xml:space="preserve">would have led </w:t>
      </w:r>
      <w:r>
        <w:t>to a decline in the prevalence of casual employment</w:t>
      </w:r>
    </w:p>
    <w:p w:rsidR="006044A7" w:rsidRDefault="006044A7" w:rsidP="006044A7">
      <w:pPr>
        <w:pStyle w:val="ListBullet"/>
      </w:pPr>
      <w:r>
        <w:t xml:space="preserve">relatively fast growth in employment in industries </w:t>
      </w:r>
      <w:r w:rsidR="00D11D12">
        <w:t>with irregular</w:t>
      </w:r>
      <w:r>
        <w:t xml:space="preserve"> labour demand</w:t>
      </w:r>
      <w:r w:rsidR="008B57B9">
        <w:t>,</w:t>
      </w:r>
      <w:r>
        <w:t xml:space="preserve"> or </w:t>
      </w:r>
      <w:r w:rsidR="008B57B9">
        <w:t xml:space="preserve">which are </w:t>
      </w:r>
      <w:r>
        <w:t xml:space="preserve">characterised by a lot of project work and where workers often provide their own equipment (for example, construction), </w:t>
      </w:r>
      <w:r w:rsidR="008B57B9">
        <w:t xml:space="preserve">would have likely increased </w:t>
      </w:r>
      <w:r>
        <w:t>the prevalence of contractors</w:t>
      </w:r>
    </w:p>
    <w:p w:rsidR="006044A7" w:rsidRDefault="006044A7" w:rsidP="006044A7">
      <w:pPr>
        <w:pStyle w:val="ListBullet"/>
      </w:pPr>
      <w:r>
        <w:t>the decline in employment in agriculture, an industry in which the self</w:t>
      </w:r>
      <w:r>
        <w:noBreakHyphen/>
        <w:t xml:space="preserve">employed are relatively concentrated, </w:t>
      </w:r>
      <w:r w:rsidR="008B57B9">
        <w:t>would</w:t>
      </w:r>
      <w:r>
        <w:t xml:space="preserve"> have led to a decline in the prevalence of self</w:t>
      </w:r>
      <w:r>
        <w:noBreakHyphen/>
        <w:t>employment.</w:t>
      </w:r>
    </w:p>
    <w:p w:rsidR="006044A7" w:rsidRPr="00EC7638" w:rsidRDefault="006044A7" w:rsidP="006044A7">
      <w:pPr>
        <w:pStyle w:val="BodyText"/>
        <w:rPr>
          <w:spacing w:val="-2"/>
        </w:rPr>
      </w:pPr>
      <w:r w:rsidRPr="00EC7638">
        <w:rPr>
          <w:spacing w:val="-2"/>
        </w:rPr>
        <w:t xml:space="preserve">That said, </w:t>
      </w:r>
      <w:r w:rsidR="004B72B2">
        <w:rPr>
          <w:spacing w:val="-2"/>
        </w:rPr>
        <w:t>although</w:t>
      </w:r>
      <w:r w:rsidRPr="00EC7638">
        <w:rPr>
          <w:spacing w:val="-2"/>
        </w:rPr>
        <w:t xml:space="preserve"> </w:t>
      </w:r>
      <w:r>
        <w:rPr>
          <w:spacing w:val="-2"/>
        </w:rPr>
        <w:t xml:space="preserve">each </w:t>
      </w:r>
      <w:proofErr w:type="spellStart"/>
      <w:r>
        <w:rPr>
          <w:spacing w:val="-2"/>
        </w:rPr>
        <w:t>FOW</w:t>
      </w:r>
      <w:proofErr w:type="spellEnd"/>
      <w:r w:rsidRPr="00EC7638">
        <w:rPr>
          <w:spacing w:val="-2"/>
        </w:rPr>
        <w:t xml:space="preserve"> tend</w:t>
      </w:r>
      <w:r>
        <w:rPr>
          <w:spacing w:val="-2"/>
        </w:rPr>
        <w:t>s</w:t>
      </w:r>
      <w:r w:rsidRPr="00EC7638">
        <w:rPr>
          <w:spacing w:val="-2"/>
        </w:rPr>
        <w:t xml:space="preserve"> to be concentrated </w:t>
      </w:r>
      <w:r>
        <w:rPr>
          <w:spacing w:val="-2"/>
        </w:rPr>
        <w:t xml:space="preserve">in </w:t>
      </w:r>
      <w:r w:rsidR="008B57B9">
        <w:rPr>
          <w:spacing w:val="-2"/>
        </w:rPr>
        <w:t xml:space="preserve">particular </w:t>
      </w:r>
      <w:r>
        <w:rPr>
          <w:spacing w:val="-2"/>
        </w:rPr>
        <w:t>industries</w:t>
      </w:r>
      <w:r w:rsidRPr="00EC7638">
        <w:rPr>
          <w:spacing w:val="-2"/>
        </w:rPr>
        <w:t xml:space="preserve"> (for example, casuals are relatively concentrated in retail and accommodation (table </w:t>
      </w:r>
      <w:proofErr w:type="spellStart"/>
      <w:r w:rsidRPr="00EC7638">
        <w:rPr>
          <w:spacing w:val="-2"/>
        </w:rPr>
        <w:t>F.2</w:t>
      </w:r>
      <w:proofErr w:type="spellEnd"/>
      <w:r w:rsidRPr="00EC7638">
        <w:rPr>
          <w:spacing w:val="-2"/>
        </w:rPr>
        <w:t xml:space="preserve">)), each </w:t>
      </w:r>
      <w:proofErr w:type="spellStart"/>
      <w:r w:rsidRPr="00EC7638">
        <w:rPr>
          <w:spacing w:val="-2"/>
        </w:rPr>
        <w:t>FO</w:t>
      </w:r>
      <w:r>
        <w:rPr>
          <w:spacing w:val="-2"/>
        </w:rPr>
        <w:t>W</w:t>
      </w:r>
      <w:proofErr w:type="spellEnd"/>
      <w:r w:rsidRPr="00EC7638">
        <w:rPr>
          <w:spacing w:val="-2"/>
        </w:rPr>
        <w:t xml:space="preserve"> appears in all industries</w:t>
      </w:r>
      <w:r>
        <w:rPr>
          <w:spacing w:val="-2"/>
        </w:rPr>
        <w:t xml:space="preserve">. It is, therefore, </w:t>
      </w:r>
      <w:r w:rsidRPr="00EC7638">
        <w:rPr>
          <w:spacing w:val="-2"/>
        </w:rPr>
        <w:t>difficult to determine</w:t>
      </w:r>
      <w:r w:rsidR="00D11D12">
        <w:rPr>
          <w:spacing w:val="-2"/>
        </w:rPr>
        <w:t>,</w:t>
      </w:r>
      <w:r w:rsidRPr="00EC7638">
        <w:rPr>
          <w:spacing w:val="-2"/>
        </w:rPr>
        <w:t xml:space="preserve"> a priori</w:t>
      </w:r>
      <w:r w:rsidR="00D11D12">
        <w:rPr>
          <w:spacing w:val="-2"/>
        </w:rPr>
        <w:t>,</w:t>
      </w:r>
      <w:r w:rsidRPr="00EC7638">
        <w:rPr>
          <w:spacing w:val="-2"/>
        </w:rPr>
        <w:t xml:space="preserve"> how structural change might have affected the overall prevalence of any </w:t>
      </w:r>
      <w:proofErr w:type="spellStart"/>
      <w:r w:rsidRPr="00EC7638">
        <w:rPr>
          <w:spacing w:val="-2"/>
        </w:rPr>
        <w:t>FOW</w:t>
      </w:r>
      <w:proofErr w:type="spellEnd"/>
      <w:r w:rsidRPr="00EC7638">
        <w:rPr>
          <w:spacing w:val="-2"/>
        </w:rPr>
        <w:t xml:space="preserve">. The empirical analysis presented in section 4.4 provides </w:t>
      </w:r>
      <w:r w:rsidR="008B57B9">
        <w:rPr>
          <w:spacing w:val="-2"/>
        </w:rPr>
        <w:t xml:space="preserve">some </w:t>
      </w:r>
      <w:r w:rsidRPr="00EC7638">
        <w:rPr>
          <w:spacing w:val="-2"/>
        </w:rPr>
        <w:t>insight into this question.</w:t>
      </w:r>
    </w:p>
    <w:p w:rsidR="00852A55" w:rsidRDefault="00852A55" w:rsidP="00852A55">
      <w:pPr>
        <w:pStyle w:val="BodyText"/>
        <w:rPr>
          <w:spacing w:val="-2"/>
        </w:rPr>
      </w:pPr>
      <w:r>
        <w:rPr>
          <w:spacing w:val="-2"/>
        </w:rPr>
        <w:t xml:space="preserve">In a similar vein to industries, changes in the distribution of employment between the public and privates sectors would alter the prevalence of </w:t>
      </w:r>
      <w:proofErr w:type="spellStart"/>
      <w:r>
        <w:rPr>
          <w:spacing w:val="-2"/>
        </w:rPr>
        <w:t>FOWs</w:t>
      </w:r>
      <w:proofErr w:type="spellEnd"/>
      <w:r>
        <w:rPr>
          <w:spacing w:val="-2"/>
        </w:rPr>
        <w:t xml:space="preserve"> that were relatively concentrated in each sector. As permanent employees tend to be relatively concentrated in the public sector, relatively slow employment growth in this sector would have contributed to a decline in the prevalence of this </w:t>
      </w:r>
      <w:proofErr w:type="spellStart"/>
      <w:r>
        <w:rPr>
          <w:spacing w:val="-2"/>
        </w:rPr>
        <w:t>FOW</w:t>
      </w:r>
      <w:proofErr w:type="spellEnd"/>
      <w:r>
        <w:rPr>
          <w:spacing w:val="-2"/>
        </w:rPr>
        <w:t>.</w:t>
      </w:r>
    </w:p>
    <w:p w:rsidR="006044A7" w:rsidRDefault="006044A7" w:rsidP="006044A7">
      <w:pPr>
        <w:pStyle w:val="BodyText"/>
      </w:pPr>
      <w:r>
        <w:t>Relatively fast growth of higher</w:t>
      </w:r>
      <w:r>
        <w:noBreakHyphen/>
        <w:t xml:space="preserve">skilled occupations (for example, due to technical change), </w:t>
      </w:r>
      <w:r w:rsidR="008B57B9">
        <w:t>could</w:t>
      </w:r>
      <w:r>
        <w:t xml:space="preserve"> have led to an increase in the prevalence of permanent employees as firms sought to recoup the higher hiring and training costs associated with </w:t>
      </w:r>
      <w:r w:rsidR="00D11D12">
        <w:t>higher</w:t>
      </w:r>
      <w:r>
        <w:t xml:space="preserve"> skilled positions. Conversely, </w:t>
      </w:r>
      <w:proofErr w:type="spellStart"/>
      <w:r>
        <w:t>FOWs</w:t>
      </w:r>
      <w:proofErr w:type="spellEnd"/>
      <w:r>
        <w:t xml:space="preserve"> that are more commonly used for roles with lower recruitment and training costs (for example, casuals), might have been expected to decline in prevalence as employment in lower</w:t>
      </w:r>
      <w:r>
        <w:noBreakHyphen/>
        <w:t>skilled occupations grew relatively slowly.</w:t>
      </w:r>
    </w:p>
    <w:p w:rsidR="006044A7" w:rsidRPr="00B8751F" w:rsidRDefault="006044A7" w:rsidP="006044A7">
      <w:pPr>
        <w:pStyle w:val="BodyText"/>
      </w:pPr>
      <w:r w:rsidRPr="00B8751F">
        <w:t>Relatively fast growth of part</w:t>
      </w:r>
      <w:r w:rsidRPr="00B8751F">
        <w:noBreakHyphen/>
        <w:t>time employment might have been due to people seeking to balance work and family commitments. To the extent that these workers were looking for predictable hours, an increase in the prevalence of part</w:t>
      </w:r>
      <w:r w:rsidRPr="00B8751F">
        <w:noBreakHyphen/>
        <w:t>time permanent employees might have been expected. Alternatively, if suitable part</w:t>
      </w:r>
      <w:r w:rsidRPr="00B8751F">
        <w:noBreakHyphen/>
        <w:t xml:space="preserve">time permanent hours were not available, or flexibility in working hours to accommodate caring responsibilities was more important to workers, an increase in the prevalence </w:t>
      </w:r>
      <w:r w:rsidRPr="00B8751F">
        <w:lastRenderedPageBreak/>
        <w:t xml:space="preserve">of </w:t>
      </w:r>
      <w:proofErr w:type="spellStart"/>
      <w:r w:rsidRPr="00B8751F">
        <w:t>FOWs</w:t>
      </w:r>
      <w:proofErr w:type="spellEnd"/>
      <w:r w:rsidRPr="00B8751F">
        <w:t xml:space="preserve"> including casual arrangements and self</w:t>
      </w:r>
      <w:r w:rsidRPr="00B8751F">
        <w:noBreakHyphen/>
        <w:t>employment might have been expected. The stronger correlation between part</w:t>
      </w:r>
      <w:r w:rsidRPr="00B8751F">
        <w:noBreakHyphen/>
        <w:t>time employment and both casual roles and self</w:t>
      </w:r>
      <w:r w:rsidRPr="00B8751F">
        <w:noBreakHyphen/>
        <w:t>employment (table </w:t>
      </w:r>
      <w:proofErr w:type="spellStart"/>
      <w:r w:rsidRPr="00B8751F">
        <w:t>H.2</w:t>
      </w:r>
      <w:proofErr w:type="spellEnd"/>
      <w:r w:rsidRPr="00B8751F">
        <w:t>) suggests that the latter outcome would be more likely.</w:t>
      </w:r>
    </w:p>
    <w:p w:rsidR="006044A7" w:rsidRPr="004F0951" w:rsidRDefault="006044A7" w:rsidP="006044A7">
      <w:pPr>
        <w:pStyle w:val="BodyText"/>
        <w:rPr>
          <w:spacing w:val="-2"/>
        </w:rPr>
      </w:pPr>
      <w:r w:rsidRPr="004F0951">
        <w:rPr>
          <w:spacing w:val="-2"/>
        </w:rPr>
        <w:t xml:space="preserve">The increasing prevalence of older workers might have been associated with a larger pool of workers employed in more flexible </w:t>
      </w:r>
      <w:proofErr w:type="spellStart"/>
      <w:r w:rsidRPr="004F0951">
        <w:rPr>
          <w:spacing w:val="-2"/>
        </w:rPr>
        <w:t>FOWs</w:t>
      </w:r>
      <w:proofErr w:type="spellEnd"/>
      <w:r w:rsidRPr="004F0951">
        <w:rPr>
          <w:spacing w:val="-2"/>
        </w:rPr>
        <w:t>, including casual, self</w:t>
      </w:r>
      <w:r w:rsidRPr="004F0951">
        <w:rPr>
          <w:spacing w:val="-2"/>
        </w:rPr>
        <w:noBreakHyphen/>
        <w:t>employment, or part</w:t>
      </w:r>
      <w:r w:rsidRPr="004F0951">
        <w:rPr>
          <w:spacing w:val="-2"/>
        </w:rPr>
        <w:noBreakHyphen/>
        <w:t xml:space="preserve">time </w:t>
      </w:r>
      <w:r>
        <w:rPr>
          <w:spacing w:val="-2"/>
        </w:rPr>
        <w:t>permanent</w:t>
      </w:r>
      <w:r w:rsidRPr="004F0951">
        <w:rPr>
          <w:spacing w:val="-2"/>
        </w:rPr>
        <w:t xml:space="preserve"> employee roles, as part of a transition</w:t>
      </w:r>
      <w:r w:rsidRPr="004F0951">
        <w:rPr>
          <w:spacing w:val="-2"/>
        </w:rPr>
        <w:noBreakHyphen/>
        <w:t>to</w:t>
      </w:r>
      <w:r w:rsidRPr="004F0951">
        <w:rPr>
          <w:spacing w:val="-2"/>
        </w:rPr>
        <w:noBreakHyphen/>
        <w:t>retirement strategy. However, evidence suggests that older casual and self</w:t>
      </w:r>
      <w:r w:rsidRPr="004F0951">
        <w:rPr>
          <w:spacing w:val="-2"/>
        </w:rPr>
        <w:noBreakHyphen/>
        <w:t xml:space="preserve">employed workers are more likely than older </w:t>
      </w:r>
      <w:r>
        <w:rPr>
          <w:spacing w:val="-2"/>
        </w:rPr>
        <w:t>permanent</w:t>
      </w:r>
      <w:r w:rsidRPr="004F0951">
        <w:rPr>
          <w:spacing w:val="-2"/>
        </w:rPr>
        <w:t xml:space="preserve"> employees to report that their current job is part of a transition</w:t>
      </w:r>
      <w:r w:rsidR="00D11D12">
        <w:rPr>
          <w:spacing w:val="-2"/>
        </w:rPr>
        <w:noBreakHyphen/>
        <w:t>to</w:t>
      </w:r>
      <w:r w:rsidR="00D11D12">
        <w:rPr>
          <w:spacing w:val="-2"/>
        </w:rPr>
        <w:noBreakHyphen/>
      </w:r>
      <w:r w:rsidRPr="004F0951">
        <w:rPr>
          <w:spacing w:val="-2"/>
        </w:rPr>
        <w:t>retirement strategy (</w:t>
      </w:r>
      <w:proofErr w:type="spellStart"/>
      <w:r w:rsidRPr="004F0951">
        <w:rPr>
          <w:spacing w:val="-2"/>
        </w:rPr>
        <w:t>Buddelmeyer</w:t>
      </w:r>
      <w:proofErr w:type="spellEnd"/>
      <w:r w:rsidRPr="004F0951">
        <w:rPr>
          <w:spacing w:val="-2"/>
        </w:rPr>
        <w:t xml:space="preserve"> et al. 2006). These authors conclude that ‘[c]</w:t>
      </w:r>
      <w:proofErr w:type="spellStart"/>
      <w:r w:rsidRPr="004F0951">
        <w:rPr>
          <w:spacing w:val="-2"/>
        </w:rPr>
        <w:t>learly</w:t>
      </w:r>
      <w:proofErr w:type="spellEnd"/>
      <w:r w:rsidRPr="004F0951">
        <w:rPr>
          <w:spacing w:val="-2"/>
        </w:rPr>
        <w:t xml:space="preserve">, both casual and self-employment lend themselves much more to being used as a vehicle for transiting gradually into retirement’ (p. 75). It might, therefore, be expected that these </w:t>
      </w:r>
      <w:proofErr w:type="spellStart"/>
      <w:r w:rsidRPr="004F0951">
        <w:rPr>
          <w:spacing w:val="-2"/>
        </w:rPr>
        <w:t>FOWs</w:t>
      </w:r>
      <w:proofErr w:type="spellEnd"/>
      <w:r w:rsidRPr="004F0951">
        <w:rPr>
          <w:spacing w:val="-2"/>
        </w:rPr>
        <w:t xml:space="preserve"> would have been more l</w:t>
      </w:r>
      <w:r w:rsidR="00A7469A">
        <w:rPr>
          <w:spacing w:val="-2"/>
        </w:rPr>
        <w:t>ikely to increase in prevalence, compared with part</w:t>
      </w:r>
      <w:r w:rsidR="00A7469A">
        <w:rPr>
          <w:spacing w:val="-2"/>
        </w:rPr>
        <w:noBreakHyphen/>
        <w:t>time permanent employees, due to</w:t>
      </w:r>
      <w:r w:rsidRPr="004F0951">
        <w:rPr>
          <w:spacing w:val="-2"/>
        </w:rPr>
        <w:t xml:space="preserve"> the relatively rapid employment growth of older workers.</w:t>
      </w:r>
    </w:p>
    <w:p w:rsidR="006044A7" w:rsidRPr="00DF2F28" w:rsidRDefault="006044A7" w:rsidP="006044A7">
      <w:pPr>
        <w:pStyle w:val="BodyText"/>
      </w:pPr>
      <w:r w:rsidRPr="00DF2F28">
        <w:t>Also, as older workers are relatively concentrated in self</w:t>
      </w:r>
      <w:r w:rsidRPr="00DF2F28">
        <w:noBreakHyphen/>
        <w:t>employment (table </w:t>
      </w:r>
      <w:proofErr w:type="spellStart"/>
      <w:r w:rsidRPr="00DF2F28">
        <w:t>I.2</w:t>
      </w:r>
      <w:proofErr w:type="spellEnd"/>
      <w:r w:rsidRPr="00DF2F28">
        <w:t xml:space="preserve">), this </w:t>
      </w:r>
      <w:proofErr w:type="spellStart"/>
      <w:r w:rsidRPr="00DF2F28">
        <w:t>FOW</w:t>
      </w:r>
      <w:proofErr w:type="spellEnd"/>
      <w:r w:rsidRPr="00DF2F28">
        <w:t xml:space="preserve"> might have been expected to increase in prevalence with the ageing of the workforce.</w:t>
      </w:r>
    </w:p>
    <w:p w:rsidR="00276881" w:rsidRDefault="004F517F" w:rsidP="006044A7">
      <w:pPr>
        <w:pStyle w:val="BodyText"/>
      </w:pPr>
      <w:r>
        <w:t xml:space="preserve">If the </w:t>
      </w:r>
      <w:r w:rsidR="00681D21">
        <w:t xml:space="preserve">employment share of smaller firms </w:t>
      </w:r>
      <w:r>
        <w:t xml:space="preserve">increased, it may have been </w:t>
      </w:r>
      <w:r w:rsidR="00681D21">
        <w:t xml:space="preserve">expected to have </w:t>
      </w:r>
      <w:r>
        <w:t>led to</w:t>
      </w:r>
      <w:r w:rsidR="00681D21">
        <w:t xml:space="preserve"> an increase in the prevalence of casual, labour hire and independent contractor employment </w:t>
      </w:r>
      <w:r>
        <w:t xml:space="preserve">if these </w:t>
      </w:r>
      <w:proofErr w:type="spellStart"/>
      <w:r>
        <w:t>FOWs</w:t>
      </w:r>
      <w:proofErr w:type="spellEnd"/>
      <w:r>
        <w:t xml:space="preserve"> were associated with</w:t>
      </w:r>
      <w:r w:rsidR="00681D21">
        <w:t xml:space="preserve"> lower costs of administering employment arrangements.</w:t>
      </w:r>
    </w:p>
    <w:p w:rsidR="0069368B" w:rsidRDefault="007B0F6A" w:rsidP="006044A7">
      <w:pPr>
        <w:pStyle w:val="BodyText"/>
      </w:pPr>
      <w:r>
        <w:t xml:space="preserve">It is difficult to hypothesise about the potential effects on </w:t>
      </w:r>
      <w:proofErr w:type="spellStart"/>
      <w:r>
        <w:t>FOWs</w:t>
      </w:r>
      <w:proofErr w:type="spellEnd"/>
      <w:r>
        <w:t xml:space="preserve"> </w:t>
      </w:r>
      <w:r w:rsidR="00A7469A">
        <w:t>from</w:t>
      </w:r>
      <w:r>
        <w:t xml:space="preserve"> the disproportionate contribution of immigrants to net job creation. Although there is evidence that recent</w:t>
      </w:r>
      <w:r w:rsidR="00A7469A">
        <w:t>ly arrived</w:t>
      </w:r>
      <w:r>
        <w:t xml:space="preserve"> immigrants in 2001 were </w:t>
      </w:r>
      <w:r w:rsidR="00A7469A">
        <w:t>more likely than the Australian</w:t>
      </w:r>
      <w:r w:rsidR="00A7469A">
        <w:noBreakHyphen/>
      </w:r>
      <w:r>
        <w:t xml:space="preserve">born </w:t>
      </w:r>
      <w:r w:rsidR="00A7469A">
        <w:t xml:space="preserve">population </w:t>
      </w:r>
      <w:r>
        <w:t xml:space="preserve">to be in casual employment, and less likely to work as permanent employees or </w:t>
      </w:r>
      <w:proofErr w:type="spellStart"/>
      <w:r>
        <w:t>OMUEs</w:t>
      </w:r>
      <w:proofErr w:type="spellEnd"/>
      <w:r>
        <w:t xml:space="preserve"> (box </w:t>
      </w:r>
      <w:proofErr w:type="spellStart"/>
      <w:r>
        <w:t>A.1</w:t>
      </w:r>
      <w:proofErr w:type="spellEnd"/>
      <w:r>
        <w:t>), it is not clear that this would</w:t>
      </w:r>
      <w:r w:rsidR="00A7469A">
        <w:t xml:space="preserve"> have</w:t>
      </w:r>
      <w:r>
        <w:t xml:space="preserve"> been the case for immigrants in the decade to 2011. </w:t>
      </w:r>
      <w:r w:rsidR="007A3E08">
        <w:t xml:space="preserve">The share of </w:t>
      </w:r>
      <w:r w:rsidR="00463BD7">
        <w:t>permanent migrants</w:t>
      </w:r>
      <w:r w:rsidR="007A3E08">
        <w:t xml:space="preserve"> entering Australia under the skilled migration pr</w:t>
      </w:r>
      <w:r w:rsidR="00463BD7">
        <w:t xml:space="preserve">ogram increased </w:t>
      </w:r>
      <w:r w:rsidR="00F961C5">
        <w:t xml:space="preserve">markedly </w:t>
      </w:r>
      <w:r w:rsidR="00463BD7">
        <w:t xml:space="preserve">over the decade, </w:t>
      </w:r>
      <w:r w:rsidR="007A3E08">
        <w:t xml:space="preserve">and there was </w:t>
      </w:r>
      <w:r w:rsidR="00D06752">
        <w:t xml:space="preserve">relatively rapid growth in </w:t>
      </w:r>
      <w:r w:rsidR="007A3E08">
        <w:t xml:space="preserve">temporary </w:t>
      </w:r>
      <w:r w:rsidR="00D06752">
        <w:t>entry under business long stay (subclass 457) visa</w:t>
      </w:r>
      <w:r w:rsidR="00463BD7">
        <w:t>s</w:t>
      </w:r>
      <w:r w:rsidR="007A3E08">
        <w:t xml:space="preserve"> (</w:t>
      </w:r>
      <w:proofErr w:type="spellStart"/>
      <w:r w:rsidR="007A3E08">
        <w:t>DIAC</w:t>
      </w:r>
      <w:proofErr w:type="spellEnd"/>
      <w:r w:rsidR="007A3E08">
        <w:t> </w:t>
      </w:r>
      <w:r w:rsidR="00463BD7">
        <w:t>2012)</w:t>
      </w:r>
      <w:r w:rsidR="007A3E08">
        <w:t>.</w:t>
      </w:r>
      <w:r w:rsidR="00463BD7">
        <w:t xml:space="preserve"> </w:t>
      </w:r>
      <w:r w:rsidR="00F961C5">
        <w:t>A priori, the impact</w:t>
      </w:r>
      <w:r w:rsidR="00A7469A">
        <w:t>s</w:t>
      </w:r>
      <w:r w:rsidR="00F961C5">
        <w:t xml:space="preserve"> of immigration</w:t>
      </w:r>
      <w:r w:rsidR="00A7469A">
        <w:t xml:space="preserve"> </w:t>
      </w:r>
      <w:r w:rsidR="00F961C5">
        <w:t xml:space="preserve">on </w:t>
      </w:r>
      <w:proofErr w:type="spellStart"/>
      <w:r w:rsidR="00F961C5">
        <w:t>FOWs</w:t>
      </w:r>
      <w:proofErr w:type="spellEnd"/>
      <w:r w:rsidR="00F961C5">
        <w:t xml:space="preserve"> </w:t>
      </w:r>
      <w:r w:rsidR="00A7469A">
        <w:t>are</w:t>
      </w:r>
      <w:r w:rsidR="00F961C5">
        <w:t xml:space="preserve"> difficult to predict.</w:t>
      </w:r>
    </w:p>
    <w:p w:rsidR="006044A7" w:rsidRDefault="006044A7" w:rsidP="006044A7">
      <w:pPr>
        <w:pStyle w:val="BodyText"/>
      </w:pPr>
      <w:r>
        <w:t xml:space="preserve">Possible </w:t>
      </w:r>
      <w:r w:rsidR="00A7469A">
        <w:t xml:space="preserve">effects of economic conditions and the characteristics of net job creation on </w:t>
      </w:r>
      <w:r>
        <w:t xml:space="preserve">the prevalence of different </w:t>
      </w:r>
      <w:proofErr w:type="spellStart"/>
      <w:r>
        <w:t>FOWs</w:t>
      </w:r>
      <w:proofErr w:type="spellEnd"/>
      <w:r>
        <w:t xml:space="preserve"> are summarised in table 4.1.</w:t>
      </w:r>
    </w:p>
    <w:p w:rsidR="006044A7" w:rsidRDefault="006044A7" w:rsidP="006044A7">
      <w:pPr>
        <w:pStyle w:val="TableTitle"/>
      </w:pPr>
      <w:bookmarkStart w:id="9" w:name="OLE_LINK3"/>
      <w:r>
        <w:rPr>
          <w:b w:val="0"/>
        </w:rPr>
        <w:lastRenderedPageBreak/>
        <w:t xml:space="preserve">Table </w:t>
      </w:r>
      <w:bookmarkStart w:id="10" w:name="OLE_LINK12"/>
      <w:r>
        <w:rPr>
          <w:b w:val="0"/>
        </w:rPr>
        <w:t>4.</w:t>
      </w:r>
      <w:r>
        <w:rPr>
          <w:b w:val="0"/>
          <w:noProof/>
        </w:rPr>
        <w:t>1</w:t>
      </w:r>
      <w:bookmarkEnd w:id="10"/>
      <w:r>
        <w:tab/>
        <w:t>Summary — possible effects of economic growth and the characteristics of net jobs created</w:t>
      </w:r>
      <w:r w:rsidR="00A7469A">
        <w:t xml:space="preserve"> on </w:t>
      </w:r>
      <w:proofErr w:type="spellStart"/>
      <w:r w:rsidR="00A7469A">
        <w:t>FOWs</w:t>
      </w:r>
      <w:proofErr w:type="spellEnd"/>
    </w:p>
    <w:tbl>
      <w:tblPr>
        <w:tblW w:w="5000" w:type="pct"/>
        <w:tblCellMar>
          <w:left w:w="0" w:type="dxa"/>
          <w:right w:w="0" w:type="dxa"/>
        </w:tblCellMar>
        <w:tblLook w:val="0000" w:firstRow="0" w:lastRow="0" w:firstColumn="0" w:lastColumn="0" w:noHBand="0" w:noVBand="0"/>
      </w:tblPr>
      <w:tblGrid>
        <w:gridCol w:w="5275"/>
        <w:gridCol w:w="1114"/>
        <w:gridCol w:w="1087"/>
        <w:gridCol w:w="1313"/>
      </w:tblGrid>
      <w:tr w:rsidR="006044A7" w:rsidTr="00E630D2">
        <w:tc>
          <w:tcPr>
            <w:tcW w:w="3000" w:type="pct"/>
            <w:tcBorders>
              <w:top w:val="single" w:sz="6" w:space="0" w:color="auto"/>
              <w:bottom w:val="single" w:sz="6" w:space="0" w:color="auto"/>
            </w:tcBorders>
            <w:shd w:val="clear" w:color="auto" w:fill="auto"/>
          </w:tcPr>
          <w:p w:rsidR="006044A7" w:rsidRDefault="006044A7" w:rsidP="00EC70C7">
            <w:pPr>
              <w:pStyle w:val="TableColumnHeading"/>
              <w:jc w:val="left"/>
            </w:pPr>
          </w:p>
        </w:tc>
        <w:tc>
          <w:tcPr>
            <w:tcW w:w="634" w:type="pct"/>
            <w:tcBorders>
              <w:top w:val="single" w:sz="6" w:space="0" w:color="auto"/>
              <w:bottom w:val="single" w:sz="6" w:space="0" w:color="auto"/>
            </w:tcBorders>
            <w:shd w:val="clear" w:color="auto" w:fill="auto"/>
          </w:tcPr>
          <w:p w:rsidR="006044A7" w:rsidRDefault="006044A7" w:rsidP="00EC70C7">
            <w:pPr>
              <w:pStyle w:val="TableColumnHeading"/>
            </w:pPr>
            <w:r>
              <w:t>Permanent employees</w:t>
            </w:r>
          </w:p>
        </w:tc>
        <w:tc>
          <w:tcPr>
            <w:tcW w:w="618" w:type="pct"/>
            <w:tcBorders>
              <w:top w:val="single" w:sz="6" w:space="0" w:color="auto"/>
              <w:bottom w:val="single" w:sz="6" w:space="0" w:color="auto"/>
            </w:tcBorders>
          </w:tcPr>
          <w:p w:rsidR="006044A7" w:rsidRDefault="006044A7" w:rsidP="00EC70C7">
            <w:pPr>
              <w:pStyle w:val="TableColumnHeading"/>
            </w:pPr>
            <w:r>
              <w:t>Casual employees</w:t>
            </w:r>
          </w:p>
        </w:tc>
        <w:tc>
          <w:tcPr>
            <w:tcW w:w="747" w:type="pct"/>
            <w:tcBorders>
              <w:top w:val="single" w:sz="6" w:space="0" w:color="auto"/>
              <w:bottom w:val="single" w:sz="6" w:space="0" w:color="auto"/>
            </w:tcBorders>
            <w:shd w:val="clear" w:color="auto" w:fill="auto"/>
          </w:tcPr>
          <w:p w:rsidR="006044A7" w:rsidRDefault="006044A7" w:rsidP="00EC70C7">
            <w:pPr>
              <w:pStyle w:val="TableColumnHeading"/>
              <w:ind w:right="28"/>
            </w:pPr>
            <w:r>
              <w:t>Self</w:t>
            </w:r>
            <w:r>
              <w:noBreakHyphen/>
              <w:t>employed</w:t>
            </w:r>
          </w:p>
        </w:tc>
      </w:tr>
      <w:tr w:rsidR="006044A7" w:rsidTr="00E630D2">
        <w:tc>
          <w:tcPr>
            <w:tcW w:w="3000" w:type="pct"/>
            <w:tcBorders>
              <w:top w:val="single" w:sz="6" w:space="0" w:color="auto"/>
            </w:tcBorders>
          </w:tcPr>
          <w:p w:rsidR="006044A7" w:rsidRDefault="006044A7" w:rsidP="00EC70C7">
            <w:pPr>
              <w:pStyle w:val="TableBodyText"/>
              <w:spacing w:before="80"/>
              <w:jc w:val="left"/>
            </w:pPr>
            <w:r>
              <w:t>Strong economy and labour market</w:t>
            </w:r>
          </w:p>
        </w:tc>
        <w:tc>
          <w:tcPr>
            <w:tcW w:w="634" w:type="pct"/>
            <w:tcBorders>
              <w:top w:val="single" w:sz="6" w:space="0" w:color="auto"/>
            </w:tcBorders>
          </w:tcPr>
          <w:p w:rsidR="006044A7" w:rsidRDefault="006044A7" w:rsidP="00EC70C7">
            <w:pPr>
              <w:pStyle w:val="TableBodyText"/>
              <w:spacing w:before="80"/>
              <w:rPr>
                <w:i/>
              </w:rPr>
            </w:pPr>
            <w:r>
              <w:sym w:font="Wingdings" w:char="F0E1"/>
            </w:r>
          </w:p>
        </w:tc>
        <w:tc>
          <w:tcPr>
            <w:tcW w:w="618" w:type="pct"/>
            <w:tcBorders>
              <w:top w:val="single" w:sz="6" w:space="0" w:color="auto"/>
            </w:tcBorders>
          </w:tcPr>
          <w:p w:rsidR="006044A7" w:rsidRDefault="006044A7" w:rsidP="00EC70C7">
            <w:pPr>
              <w:pStyle w:val="TableBodyText"/>
              <w:spacing w:before="80"/>
              <w:rPr>
                <w:i/>
              </w:rPr>
            </w:pPr>
            <w:r>
              <w:sym w:font="Wingdings" w:char="F0E2"/>
            </w:r>
          </w:p>
        </w:tc>
        <w:tc>
          <w:tcPr>
            <w:tcW w:w="747" w:type="pct"/>
            <w:tcBorders>
              <w:top w:val="single" w:sz="6" w:space="0" w:color="auto"/>
            </w:tcBorders>
          </w:tcPr>
          <w:p w:rsidR="006044A7" w:rsidRDefault="006044A7" w:rsidP="00EC70C7">
            <w:pPr>
              <w:pStyle w:val="TableBodyText"/>
              <w:spacing w:before="80"/>
              <w:ind w:right="28"/>
              <w:rPr>
                <w:i/>
              </w:rPr>
            </w:pPr>
            <w:r>
              <w:sym w:font="Wingdings" w:char="F0E1"/>
            </w:r>
            <w:r>
              <w:sym w:font="Wingdings" w:char="F0E2"/>
            </w:r>
          </w:p>
        </w:tc>
      </w:tr>
      <w:tr w:rsidR="006044A7" w:rsidTr="00E630D2">
        <w:tc>
          <w:tcPr>
            <w:tcW w:w="3000" w:type="pct"/>
          </w:tcPr>
          <w:p w:rsidR="006044A7" w:rsidRDefault="006044A7" w:rsidP="00EC70C7">
            <w:pPr>
              <w:pStyle w:val="TableBodyText"/>
              <w:jc w:val="left"/>
            </w:pPr>
            <w:r>
              <w:t>Change in the industry mix of employment, for example:</w:t>
            </w:r>
          </w:p>
        </w:tc>
        <w:tc>
          <w:tcPr>
            <w:tcW w:w="634" w:type="pct"/>
          </w:tcPr>
          <w:p w:rsidR="006044A7" w:rsidRDefault="006044A7" w:rsidP="00EC70C7">
            <w:pPr>
              <w:pStyle w:val="TableBodyText"/>
            </w:pPr>
          </w:p>
        </w:tc>
        <w:tc>
          <w:tcPr>
            <w:tcW w:w="618" w:type="pct"/>
          </w:tcPr>
          <w:p w:rsidR="006044A7" w:rsidRDefault="006044A7" w:rsidP="00EC70C7">
            <w:pPr>
              <w:pStyle w:val="TableBodyText"/>
            </w:pPr>
          </w:p>
        </w:tc>
        <w:tc>
          <w:tcPr>
            <w:tcW w:w="747" w:type="pct"/>
          </w:tcPr>
          <w:p w:rsidR="006044A7" w:rsidRDefault="006044A7" w:rsidP="00EC70C7">
            <w:pPr>
              <w:pStyle w:val="TableBodyText"/>
              <w:ind w:right="28"/>
            </w:pPr>
          </w:p>
        </w:tc>
      </w:tr>
      <w:tr w:rsidR="006044A7" w:rsidTr="00E630D2">
        <w:tc>
          <w:tcPr>
            <w:tcW w:w="3000" w:type="pct"/>
          </w:tcPr>
          <w:p w:rsidR="006044A7" w:rsidRDefault="006044A7" w:rsidP="00EC70C7">
            <w:pPr>
              <w:pStyle w:val="TableBodyText"/>
              <w:jc w:val="left"/>
            </w:pPr>
            <w:r>
              <w:t>  relatively rapid job creation in health care and social</w:t>
            </w:r>
            <w:r>
              <w:br/>
              <w:t>  assistance</w:t>
            </w:r>
          </w:p>
        </w:tc>
        <w:tc>
          <w:tcPr>
            <w:tcW w:w="634" w:type="pct"/>
          </w:tcPr>
          <w:p w:rsidR="006044A7" w:rsidRDefault="006044A7" w:rsidP="00EC70C7">
            <w:pPr>
              <w:pStyle w:val="TableBodyText"/>
            </w:pPr>
            <w:r>
              <w:sym w:font="Wingdings" w:char="F0E1"/>
            </w:r>
          </w:p>
        </w:tc>
        <w:tc>
          <w:tcPr>
            <w:tcW w:w="618" w:type="pct"/>
          </w:tcPr>
          <w:p w:rsidR="006044A7" w:rsidRDefault="006044A7" w:rsidP="00EC70C7">
            <w:pPr>
              <w:pStyle w:val="TableBodyText"/>
            </w:pPr>
          </w:p>
        </w:tc>
        <w:tc>
          <w:tcPr>
            <w:tcW w:w="747" w:type="pct"/>
          </w:tcPr>
          <w:p w:rsidR="006044A7" w:rsidRDefault="006044A7" w:rsidP="00EC70C7">
            <w:pPr>
              <w:pStyle w:val="TableBodyText"/>
              <w:ind w:right="28"/>
            </w:pPr>
          </w:p>
        </w:tc>
      </w:tr>
      <w:tr w:rsidR="006044A7" w:rsidTr="00E630D2">
        <w:tc>
          <w:tcPr>
            <w:tcW w:w="3000" w:type="pct"/>
          </w:tcPr>
          <w:p w:rsidR="006044A7" w:rsidRDefault="006044A7" w:rsidP="00EC70C7">
            <w:pPr>
              <w:pStyle w:val="TableBodyText"/>
              <w:jc w:val="left"/>
            </w:pPr>
            <w:r>
              <w:t>  relatively slow net job creation in retail</w:t>
            </w:r>
          </w:p>
        </w:tc>
        <w:tc>
          <w:tcPr>
            <w:tcW w:w="634" w:type="pct"/>
          </w:tcPr>
          <w:p w:rsidR="006044A7" w:rsidRDefault="006044A7" w:rsidP="00EC70C7">
            <w:pPr>
              <w:pStyle w:val="TableBodyText"/>
            </w:pPr>
          </w:p>
        </w:tc>
        <w:tc>
          <w:tcPr>
            <w:tcW w:w="618" w:type="pct"/>
          </w:tcPr>
          <w:p w:rsidR="006044A7" w:rsidRDefault="006044A7" w:rsidP="00EC70C7">
            <w:pPr>
              <w:pStyle w:val="TableBodyText"/>
            </w:pPr>
            <w:r>
              <w:sym w:font="Wingdings" w:char="F0E2"/>
            </w:r>
          </w:p>
        </w:tc>
        <w:tc>
          <w:tcPr>
            <w:tcW w:w="747" w:type="pct"/>
          </w:tcPr>
          <w:p w:rsidR="006044A7" w:rsidRDefault="006044A7" w:rsidP="00EC70C7">
            <w:pPr>
              <w:pStyle w:val="TableBodyText"/>
              <w:ind w:right="28"/>
            </w:pPr>
          </w:p>
        </w:tc>
      </w:tr>
      <w:tr w:rsidR="006044A7" w:rsidTr="00E630D2">
        <w:tc>
          <w:tcPr>
            <w:tcW w:w="3000" w:type="pct"/>
          </w:tcPr>
          <w:p w:rsidR="006044A7" w:rsidRDefault="006044A7" w:rsidP="003D3F9D">
            <w:pPr>
              <w:pStyle w:val="TableBodyText"/>
              <w:jc w:val="left"/>
            </w:pPr>
            <w:r>
              <w:t xml:space="preserve">  relatively </w:t>
            </w:r>
            <w:r w:rsidR="003D3F9D">
              <w:t>rapid</w:t>
            </w:r>
            <w:r>
              <w:t xml:space="preserve"> net job creation in construction</w:t>
            </w:r>
          </w:p>
        </w:tc>
        <w:tc>
          <w:tcPr>
            <w:tcW w:w="634" w:type="pct"/>
          </w:tcPr>
          <w:p w:rsidR="006044A7" w:rsidRDefault="006044A7" w:rsidP="00EC70C7">
            <w:pPr>
              <w:pStyle w:val="TableBodyText"/>
            </w:pPr>
          </w:p>
        </w:tc>
        <w:tc>
          <w:tcPr>
            <w:tcW w:w="618" w:type="pct"/>
          </w:tcPr>
          <w:p w:rsidR="006044A7" w:rsidRDefault="006044A7" w:rsidP="00EC70C7">
            <w:pPr>
              <w:pStyle w:val="TableBodyText"/>
            </w:pPr>
          </w:p>
        </w:tc>
        <w:tc>
          <w:tcPr>
            <w:tcW w:w="747" w:type="pct"/>
          </w:tcPr>
          <w:p w:rsidR="006044A7" w:rsidRDefault="006044A7" w:rsidP="00EC70C7">
            <w:pPr>
              <w:pStyle w:val="TableBodyText"/>
              <w:ind w:right="28"/>
            </w:pPr>
            <w:r>
              <w:sym w:font="Wingdings" w:char="F0E1"/>
            </w:r>
          </w:p>
        </w:tc>
      </w:tr>
      <w:tr w:rsidR="006044A7" w:rsidTr="00E630D2">
        <w:tc>
          <w:tcPr>
            <w:tcW w:w="3000" w:type="pct"/>
          </w:tcPr>
          <w:p w:rsidR="006044A7" w:rsidRDefault="006044A7" w:rsidP="00EC70C7">
            <w:pPr>
              <w:pStyle w:val="TableBodyText"/>
              <w:jc w:val="left"/>
            </w:pPr>
            <w:r>
              <w:t>  a fall in employment in agriculture</w:t>
            </w:r>
          </w:p>
        </w:tc>
        <w:tc>
          <w:tcPr>
            <w:tcW w:w="634" w:type="pct"/>
          </w:tcPr>
          <w:p w:rsidR="006044A7" w:rsidRDefault="006044A7" w:rsidP="00EC70C7">
            <w:pPr>
              <w:pStyle w:val="TableBodyText"/>
            </w:pPr>
          </w:p>
        </w:tc>
        <w:tc>
          <w:tcPr>
            <w:tcW w:w="618" w:type="pct"/>
          </w:tcPr>
          <w:p w:rsidR="006044A7" w:rsidRDefault="006044A7" w:rsidP="00EC70C7">
            <w:pPr>
              <w:pStyle w:val="TableBodyText"/>
            </w:pPr>
          </w:p>
        </w:tc>
        <w:tc>
          <w:tcPr>
            <w:tcW w:w="747" w:type="pct"/>
          </w:tcPr>
          <w:p w:rsidR="006044A7" w:rsidRDefault="006044A7" w:rsidP="00EC70C7">
            <w:pPr>
              <w:pStyle w:val="TableBodyText"/>
              <w:ind w:right="28"/>
            </w:pPr>
            <w:r>
              <w:sym w:font="Wingdings" w:char="F0E2"/>
            </w:r>
          </w:p>
        </w:tc>
      </w:tr>
      <w:tr w:rsidR="00681D21" w:rsidTr="00E630D2">
        <w:tc>
          <w:tcPr>
            <w:tcW w:w="3000" w:type="pct"/>
          </w:tcPr>
          <w:p w:rsidR="00681D21" w:rsidRDefault="00681D21" w:rsidP="00EC70C7">
            <w:pPr>
              <w:pStyle w:val="TableBodyText"/>
              <w:jc w:val="left"/>
            </w:pPr>
            <w:r>
              <w:t>Relatively rapid private sector job growth</w:t>
            </w:r>
          </w:p>
        </w:tc>
        <w:tc>
          <w:tcPr>
            <w:tcW w:w="634" w:type="pct"/>
          </w:tcPr>
          <w:p w:rsidR="00681D21" w:rsidRDefault="00681D21" w:rsidP="00EC70C7">
            <w:pPr>
              <w:pStyle w:val="TableBodyText"/>
            </w:pPr>
            <w:r>
              <w:sym w:font="Wingdings" w:char="F0E2"/>
            </w:r>
          </w:p>
        </w:tc>
        <w:tc>
          <w:tcPr>
            <w:tcW w:w="618" w:type="pct"/>
          </w:tcPr>
          <w:p w:rsidR="00681D21" w:rsidRDefault="00681D21" w:rsidP="00EC70C7">
            <w:pPr>
              <w:pStyle w:val="TableBodyText"/>
            </w:pPr>
          </w:p>
        </w:tc>
        <w:tc>
          <w:tcPr>
            <w:tcW w:w="747" w:type="pct"/>
          </w:tcPr>
          <w:p w:rsidR="00681D21" w:rsidRDefault="00681D21" w:rsidP="00EC70C7">
            <w:pPr>
              <w:pStyle w:val="TableBodyText"/>
              <w:ind w:right="28"/>
            </w:pPr>
          </w:p>
        </w:tc>
      </w:tr>
      <w:tr w:rsidR="006044A7" w:rsidTr="00E630D2">
        <w:tc>
          <w:tcPr>
            <w:tcW w:w="3000" w:type="pct"/>
          </w:tcPr>
          <w:p w:rsidR="006044A7" w:rsidRDefault="006044A7" w:rsidP="00EC70C7">
            <w:pPr>
              <w:pStyle w:val="TableBodyText"/>
              <w:jc w:val="left"/>
            </w:pPr>
            <w:r>
              <w:t>Increase in the skill profile of employment</w:t>
            </w:r>
          </w:p>
        </w:tc>
        <w:tc>
          <w:tcPr>
            <w:tcW w:w="634" w:type="pct"/>
          </w:tcPr>
          <w:p w:rsidR="006044A7" w:rsidRDefault="006044A7" w:rsidP="00EC70C7">
            <w:pPr>
              <w:pStyle w:val="TableBodyText"/>
            </w:pPr>
            <w:r>
              <w:sym w:font="Wingdings" w:char="F0E1"/>
            </w:r>
          </w:p>
        </w:tc>
        <w:tc>
          <w:tcPr>
            <w:tcW w:w="618" w:type="pct"/>
          </w:tcPr>
          <w:p w:rsidR="006044A7" w:rsidRDefault="006044A7" w:rsidP="00EC70C7">
            <w:pPr>
              <w:pStyle w:val="TableBodyText"/>
            </w:pPr>
            <w:r>
              <w:sym w:font="Wingdings" w:char="F0E2"/>
            </w:r>
          </w:p>
        </w:tc>
        <w:tc>
          <w:tcPr>
            <w:tcW w:w="747" w:type="pct"/>
          </w:tcPr>
          <w:p w:rsidR="006044A7" w:rsidRDefault="006044A7" w:rsidP="00EC70C7">
            <w:pPr>
              <w:pStyle w:val="TableBodyText"/>
              <w:ind w:right="28"/>
            </w:pPr>
          </w:p>
        </w:tc>
      </w:tr>
      <w:tr w:rsidR="006044A7" w:rsidTr="00E630D2">
        <w:tc>
          <w:tcPr>
            <w:tcW w:w="3000" w:type="pct"/>
          </w:tcPr>
          <w:p w:rsidR="006044A7" w:rsidRDefault="006044A7" w:rsidP="00EC70C7">
            <w:pPr>
              <w:pStyle w:val="TableBodyText"/>
              <w:jc w:val="left"/>
            </w:pPr>
            <w:r>
              <w:t>Relatively rapid part</w:t>
            </w:r>
            <w:r>
              <w:noBreakHyphen/>
              <w:t>time employment growth</w:t>
            </w:r>
            <w:r w:rsidRPr="00D6639F">
              <w:rPr>
                <w:rStyle w:val="NoteLabel"/>
              </w:rPr>
              <w:t>a</w:t>
            </w:r>
          </w:p>
        </w:tc>
        <w:tc>
          <w:tcPr>
            <w:tcW w:w="634" w:type="pct"/>
          </w:tcPr>
          <w:p w:rsidR="006044A7" w:rsidRDefault="006044A7" w:rsidP="00EC70C7">
            <w:pPr>
              <w:pStyle w:val="TableBodyText"/>
            </w:pPr>
            <w:r>
              <w:sym w:font="Wingdings" w:char="F0E2"/>
            </w:r>
          </w:p>
        </w:tc>
        <w:tc>
          <w:tcPr>
            <w:tcW w:w="618" w:type="pct"/>
          </w:tcPr>
          <w:p w:rsidR="006044A7" w:rsidRDefault="006044A7" w:rsidP="00EC70C7">
            <w:pPr>
              <w:pStyle w:val="TableBodyText"/>
            </w:pPr>
            <w:r>
              <w:sym w:font="Wingdings" w:char="F0E1"/>
            </w:r>
          </w:p>
        </w:tc>
        <w:tc>
          <w:tcPr>
            <w:tcW w:w="747" w:type="pct"/>
          </w:tcPr>
          <w:p w:rsidR="006044A7" w:rsidRDefault="006044A7" w:rsidP="00EC70C7">
            <w:pPr>
              <w:pStyle w:val="TableBodyText"/>
              <w:ind w:right="28"/>
            </w:pPr>
            <w:r>
              <w:sym w:font="Wingdings" w:char="F0E1"/>
            </w:r>
          </w:p>
        </w:tc>
      </w:tr>
      <w:tr w:rsidR="006044A7" w:rsidTr="00E630D2">
        <w:tc>
          <w:tcPr>
            <w:tcW w:w="3000" w:type="pct"/>
            <w:shd w:val="clear" w:color="auto" w:fill="auto"/>
          </w:tcPr>
          <w:p w:rsidR="006044A7" w:rsidRDefault="006044A7" w:rsidP="00EC70C7">
            <w:pPr>
              <w:pStyle w:val="TableBodyText"/>
              <w:jc w:val="left"/>
            </w:pPr>
            <w:r>
              <w:t>Increase in the employment share of older workers</w:t>
            </w:r>
            <w:r w:rsidRPr="00D6639F">
              <w:rPr>
                <w:rStyle w:val="NoteLabel"/>
              </w:rPr>
              <w:t>a</w:t>
            </w:r>
          </w:p>
        </w:tc>
        <w:tc>
          <w:tcPr>
            <w:tcW w:w="634" w:type="pct"/>
            <w:shd w:val="clear" w:color="auto" w:fill="auto"/>
          </w:tcPr>
          <w:p w:rsidR="006044A7" w:rsidRDefault="006044A7" w:rsidP="00EC70C7">
            <w:pPr>
              <w:pStyle w:val="TableBodyText"/>
            </w:pPr>
            <w:r>
              <w:sym w:font="Wingdings" w:char="F0E2"/>
            </w:r>
          </w:p>
        </w:tc>
        <w:tc>
          <w:tcPr>
            <w:tcW w:w="618" w:type="pct"/>
          </w:tcPr>
          <w:p w:rsidR="006044A7" w:rsidRDefault="006044A7" w:rsidP="00EC70C7">
            <w:pPr>
              <w:pStyle w:val="TableBodyText"/>
            </w:pPr>
            <w:r>
              <w:sym w:font="Wingdings" w:char="F0E1"/>
            </w:r>
          </w:p>
        </w:tc>
        <w:tc>
          <w:tcPr>
            <w:tcW w:w="747" w:type="pct"/>
            <w:shd w:val="clear" w:color="auto" w:fill="auto"/>
          </w:tcPr>
          <w:p w:rsidR="006044A7" w:rsidRDefault="006044A7" w:rsidP="00EC70C7">
            <w:pPr>
              <w:pStyle w:val="TableBodyText"/>
              <w:ind w:right="28"/>
            </w:pPr>
            <w:r>
              <w:sym w:font="Wingdings" w:char="F0E1"/>
            </w:r>
          </w:p>
        </w:tc>
      </w:tr>
      <w:tr w:rsidR="00681D21" w:rsidTr="00E630D2">
        <w:tc>
          <w:tcPr>
            <w:tcW w:w="3000" w:type="pct"/>
            <w:shd w:val="clear" w:color="auto" w:fill="auto"/>
          </w:tcPr>
          <w:p w:rsidR="00681D21" w:rsidRDefault="0019245F" w:rsidP="0019245F">
            <w:pPr>
              <w:pStyle w:val="TableBodyText"/>
              <w:jc w:val="left"/>
            </w:pPr>
            <w:r>
              <w:t>Increase in the proportion of small employing businesses</w:t>
            </w:r>
          </w:p>
        </w:tc>
        <w:tc>
          <w:tcPr>
            <w:tcW w:w="634" w:type="pct"/>
            <w:shd w:val="clear" w:color="auto" w:fill="auto"/>
          </w:tcPr>
          <w:p w:rsidR="00681D21" w:rsidRDefault="00681D21" w:rsidP="00EC70C7">
            <w:pPr>
              <w:pStyle w:val="TableBodyText"/>
            </w:pPr>
          </w:p>
        </w:tc>
        <w:tc>
          <w:tcPr>
            <w:tcW w:w="618" w:type="pct"/>
          </w:tcPr>
          <w:p w:rsidR="00681D21" w:rsidRDefault="00E630D2" w:rsidP="00EC70C7">
            <w:pPr>
              <w:pStyle w:val="TableBodyText"/>
            </w:pPr>
            <w:r>
              <w:sym w:font="Wingdings" w:char="F0E1"/>
            </w:r>
          </w:p>
        </w:tc>
        <w:tc>
          <w:tcPr>
            <w:tcW w:w="747" w:type="pct"/>
            <w:shd w:val="clear" w:color="auto" w:fill="auto"/>
          </w:tcPr>
          <w:p w:rsidR="00681D21" w:rsidRDefault="00E630D2" w:rsidP="00EC70C7">
            <w:pPr>
              <w:pStyle w:val="TableBodyText"/>
              <w:ind w:right="28"/>
            </w:pPr>
            <w:r>
              <w:sym w:font="Wingdings" w:char="F0E1"/>
            </w:r>
          </w:p>
        </w:tc>
      </w:tr>
      <w:tr w:rsidR="00681D21" w:rsidTr="00E630D2">
        <w:tc>
          <w:tcPr>
            <w:tcW w:w="3000" w:type="pct"/>
            <w:tcBorders>
              <w:bottom w:val="single" w:sz="6" w:space="0" w:color="auto"/>
            </w:tcBorders>
            <w:shd w:val="clear" w:color="auto" w:fill="auto"/>
          </w:tcPr>
          <w:p w:rsidR="00681D21" w:rsidRDefault="0019245F" w:rsidP="0019245F">
            <w:pPr>
              <w:pStyle w:val="TableBodyText"/>
              <w:jc w:val="left"/>
            </w:pPr>
            <w:r>
              <w:t>Relatively large representation of immigrants in job growth</w:t>
            </w:r>
          </w:p>
        </w:tc>
        <w:tc>
          <w:tcPr>
            <w:tcW w:w="634" w:type="pct"/>
            <w:tcBorders>
              <w:bottom w:val="single" w:sz="6" w:space="0" w:color="auto"/>
            </w:tcBorders>
            <w:shd w:val="clear" w:color="auto" w:fill="auto"/>
          </w:tcPr>
          <w:p w:rsidR="00681D21" w:rsidRDefault="00681D21" w:rsidP="00EC70C7">
            <w:pPr>
              <w:pStyle w:val="TableBodyText"/>
            </w:pPr>
          </w:p>
        </w:tc>
        <w:tc>
          <w:tcPr>
            <w:tcW w:w="618" w:type="pct"/>
            <w:tcBorders>
              <w:bottom w:val="single" w:sz="6" w:space="0" w:color="auto"/>
            </w:tcBorders>
          </w:tcPr>
          <w:p w:rsidR="00681D21" w:rsidRDefault="00681D21" w:rsidP="00EC70C7">
            <w:pPr>
              <w:pStyle w:val="TableBodyText"/>
            </w:pPr>
          </w:p>
        </w:tc>
        <w:tc>
          <w:tcPr>
            <w:tcW w:w="747" w:type="pct"/>
            <w:tcBorders>
              <w:bottom w:val="single" w:sz="6" w:space="0" w:color="auto"/>
            </w:tcBorders>
            <w:shd w:val="clear" w:color="auto" w:fill="auto"/>
          </w:tcPr>
          <w:p w:rsidR="00681D21" w:rsidRDefault="00681D21" w:rsidP="00EC70C7">
            <w:pPr>
              <w:pStyle w:val="TableBodyText"/>
              <w:ind w:right="28"/>
            </w:pPr>
          </w:p>
        </w:tc>
      </w:tr>
    </w:tbl>
    <w:p w:rsidR="006044A7" w:rsidRPr="00D6639F" w:rsidRDefault="006044A7" w:rsidP="006044A7">
      <w:pPr>
        <w:pStyle w:val="Note"/>
      </w:pPr>
      <w:r w:rsidRPr="00D6639F">
        <w:rPr>
          <w:rStyle w:val="NoteLabel"/>
        </w:rPr>
        <w:t>a</w:t>
      </w:r>
      <w:r w:rsidRPr="00D6639F">
        <w:t xml:space="preserve"> </w:t>
      </w:r>
      <w:r>
        <w:t>As discussed in the preceding text, increa</w:t>
      </w:r>
      <w:r w:rsidR="00A7469A">
        <w:t>ses in the prevalence of casual work</w:t>
      </w:r>
      <w:r>
        <w:t xml:space="preserve"> and self</w:t>
      </w:r>
      <w:r>
        <w:noBreakHyphen/>
        <w:t>employment were identified as the most likely outcomes of these characteristics of net job creation. If these outcomes did occur, the prevalence of permanent employees would fall.</w:t>
      </w:r>
    </w:p>
    <w:bookmarkEnd w:id="9"/>
    <w:p w:rsidR="006044A7" w:rsidRDefault="006044A7" w:rsidP="006044A7">
      <w:pPr>
        <w:pStyle w:val="Heading2"/>
      </w:pPr>
      <w:r>
        <w:fldChar w:fldCharType="begin"/>
      </w:r>
      <w:r>
        <w:instrText xml:space="preserve"> COMMENTS  \* MERGEFORMAT </w:instrText>
      </w:r>
      <w:r>
        <w:fldChar w:fldCharType="separate"/>
      </w:r>
      <w:r w:rsidR="007B17A3">
        <w:t>4.</w:t>
      </w:r>
      <w:r>
        <w:fldChar w:fldCharType="end"/>
      </w:r>
      <w:fldSimple w:instr=" SEQ Heading2 ">
        <w:r w:rsidR="007B17A3">
          <w:rPr>
            <w:noProof/>
          </w:rPr>
          <w:t>3</w:t>
        </w:r>
      </w:fldSimple>
      <w:r>
        <w:tab/>
        <w:t>Decomposing changes in each form of work</w:t>
      </w:r>
    </w:p>
    <w:p w:rsidR="006044A7" w:rsidRDefault="006044A7" w:rsidP="006044A7">
      <w:pPr>
        <w:pStyle w:val="BodyText"/>
      </w:pPr>
      <w:r>
        <w:t xml:space="preserve">Ideally, analysis of possible explanations for changes in the prevalence of different </w:t>
      </w:r>
      <w:proofErr w:type="spellStart"/>
      <w:r>
        <w:t>FOWs</w:t>
      </w:r>
      <w:proofErr w:type="spellEnd"/>
      <w:r>
        <w:t xml:space="preserve"> would use multivariate techniques, which would allow for the potential effects of one factor to be tested while taking others into account. Unfortunately, the available data did not support this approach.</w:t>
      </w:r>
      <w:r>
        <w:rPr>
          <w:rStyle w:val="FootnoteReference"/>
        </w:rPr>
        <w:footnoteReference w:id="6"/>
      </w:r>
    </w:p>
    <w:p w:rsidR="006044A7" w:rsidRPr="008739E9" w:rsidRDefault="006044A7" w:rsidP="006044A7">
      <w:pPr>
        <w:pStyle w:val="BodyText"/>
        <w:rPr>
          <w:spacing w:val="-2"/>
        </w:rPr>
      </w:pPr>
      <w:r w:rsidRPr="008739E9">
        <w:rPr>
          <w:spacing w:val="-2"/>
        </w:rPr>
        <w:t>Instead, shift–share analysis was adopted. This technique has the advantage that it permits assessment of the extent</w:t>
      </w:r>
      <w:r w:rsidR="00520D37">
        <w:rPr>
          <w:spacing w:val="-2"/>
        </w:rPr>
        <w:t xml:space="preserve"> that</w:t>
      </w:r>
      <w:r w:rsidRPr="008739E9">
        <w:rPr>
          <w:spacing w:val="-2"/>
        </w:rPr>
        <w:t xml:space="preserve"> the characteristics of net job creation, and associat</w:t>
      </w:r>
      <w:r w:rsidR="00B8751F">
        <w:rPr>
          <w:spacing w:val="-2"/>
        </w:rPr>
        <w:t>ed</w:t>
      </w:r>
      <w:r w:rsidRPr="008739E9">
        <w:rPr>
          <w:spacing w:val="-2"/>
        </w:rPr>
        <w:t xml:space="preserve"> changes in the profile of employment, contributed to changes in the prevalence different </w:t>
      </w:r>
      <w:proofErr w:type="spellStart"/>
      <w:r w:rsidRPr="008739E9">
        <w:rPr>
          <w:spacing w:val="-2"/>
        </w:rPr>
        <w:t>FOWs</w:t>
      </w:r>
      <w:proofErr w:type="spellEnd"/>
      <w:r w:rsidRPr="008739E9">
        <w:rPr>
          <w:spacing w:val="-2"/>
        </w:rPr>
        <w:t xml:space="preserve">. On the other hand, it has the disadvantage that only one or two possible correlates of change in a </w:t>
      </w:r>
      <w:proofErr w:type="spellStart"/>
      <w:r w:rsidRPr="008739E9">
        <w:rPr>
          <w:spacing w:val="-2"/>
        </w:rPr>
        <w:t>FOW</w:t>
      </w:r>
      <w:proofErr w:type="spellEnd"/>
      <w:r w:rsidRPr="008739E9">
        <w:rPr>
          <w:spacing w:val="-2"/>
        </w:rPr>
        <w:t xml:space="preserve"> can be assessed at a time</w:t>
      </w:r>
      <w:r w:rsidR="00520D37">
        <w:rPr>
          <w:spacing w:val="-2"/>
        </w:rPr>
        <w:t>. P</w:t>
      </w:r>
      <w:r w:rsidRPr="008739E9">
        <w:rPr>
          <w:spacing w:val="-2"/>
        </w:rPr>
        <w:t xml:space="preserve">ossible relationships between </w:t>
      </w:r>
      <w:r w:rsidR="00520D37">
        <w:rPr>
          <w:spacing w:val="-2"/>
        </w:rPr>
        <w:t>multiple correlate</w:t>
      </w:r>
      <w:r w:rsidRPr="008739E9">
        <w:rPr>
          <w:spacing w:val="-2"/>
        </w:rPr>
        <w:t>s</w:t>
      </w:r>
      <w:r w:rsidR="00795307">
        <w:rPr>
          <w:spacing w:val="-2"/>
        </w:rPr>
        <w:t xml:space="preserve">, and the relative contributions of different </w:t>
      </w:r>
      <w:r w:rsidR="00520D37">
        <w:rPr>
          <w:spacing w:val="-2"/>
        </w:rPr>
        <w:t>correlates</w:t>
      </w:r>
      <w:r w:rsidR="00795307">
        <w:rPr>
          <w:spacing w:val="-2"/>
        </w:rPr>
        <w:t xml:space="preserve"> to an outcome,</w:t>
      </w:r>
      <w:r w:rsidRPr="008739E9">
        <w:rPr>
          <w:spacing w:val="-2"/>
        </w:rPr>
        <w:t xml:space="preserve"> </w:t>
      </w:r>
      <w:r w:rsidR="000C36A8">
        <w:rPr>
          <w:spacing w:val="-2"/>
        </w:rPr>
        <w:t>cannot be tested</w:t>
      </w:r>
      <w:r w:rsidRPr="008739E9">
        <w:rPr>
          <w:spacing w:val="-2"/>
        </w:rPr>
        <w:t>.</w:t>
      </w:r>
      <w:r w:rsidR="00795307">
        <w:rPr>
          <w:spacing w:val="-2"/>
        </w:rPr>
        <w:t xml:space="preserve"> </w:t>
      </w:r>
      <w:r w:rsidR="00520D37">
        <w:rPr>
          <w:spacing w:val="-2"/>
        </w:rPr>
        <w:t>Although r</w:t>
      </w:r>
      <w:r w:rsidR="00795307">
        <w:rPr>
          <w:spacing w:val="-2"/>
        </w:rPr>
        <w:t xml:space="preserve">esults from the shift–share analysis </w:t>
      </w:r>
      <w:r w:rsidR="00520D37">
        <w:rPr>
          <w:spacing w:val="-2"/>
        </w:rPr>
        <w:t xml:space="preserve">may be consistent with </w:t>
      </w:r>
      <w:r w:rsidR="00795307">
        <w:rPr>
          <w:spacing w:val="-2"/>
        </w:rPr>
        <w:t xml:space="preserve">hypotheses about why prevalence changes occurred, </w:t>
      </w:r>
      <w:r w:rsidR="00520D37">
        <w:rPr>
          <w:spacing w:val="-2"/>
        </w:rPr>
        <w:t>they can</w:t>
      </w:r>
      <w:r w:rsidR="00795307">
        <w:rPr>
          <w:spacing w:val="-2"/>
        </w:rPr>
        <w:t xml:space="preserve">not </w:t>
      </w:r>
      <w:r w:rsidR="00520D37">
        <w:rPr>
          <w:spacing w:val="-2"/>
        </w:rPr>
        <w:t xml:space="preserve">be used to draw </w:t>
      </w:r>
      <w:r w:rsidR="00795307">
        <w:rPr>
          <w:spacing w:val="-2"/>
        </w:rPr>
        <w:t>definitive conclusions.</w:t>
      </w:r>
      <w:r w:rsidR="000C36A8">
        <w:rPr>
          <w:spacing w:val="-2"/>
        </w:rPr>
        <w:t xml:space="preserve"> The results also provide an </w:t>
      </w:r>
      <w:r w:rsidR="000C36A8">
        <w:rPr>
          <w:spacing w:val="-2"/>
        </w:rPr>
        <w:lastRenderedPageBreak/>
        <w:t>indication of the types of variables that might be included if multivariate hypothesis testing could be done.</w:t>
      </w:r>
    </w:p>
    <w:p w:rsidR="006044A7" w:rsidRDefault="006044A7" w:rsidP="006044A7">
      <w:pPr>
        <w:pStyle w:val="BodyText"/>
      </w:pPr>
      <w:r>
        <w:rPr>
          <w:spacing w:val="-2"/>
        </w:rPr>
        <w:t>Using the shift</w:t>
      </w:r>
      <w:r>
        <w:rPr>
          <w:spacing w:val="-2"/>
        </w:rPr>
        <w:noBreakHyphen/>
        <w:t xml:space="preserve">share technique, changes in the number of people employed under each </w:t>
      </w:r>
      <w:proofErr w:type="spellStart"/>
      <w:r>
        <w:rPr>
          <w:spacing w:val="-2"/>
        </w:rPr>
        <w:t>FOW</w:t>
      </w:r>
      <w:proofErr w:type="spellEnd"/>
      <w:r w:rsidRPr="009E3EC7">
        <w:rPr>
          <w:spacing w:val="-2"/>
        </w:rPr>
        <w:t xml:space="preserve"> </w:t>
      </w:r>
      <w:r>
        <w:rPr>
          <w:spacing w:val="-2"/>
        </w:rPr>
        <w:t>are</w:t>
      </w:r>
      <w:r w:rsidRPr="009E3EC7">
        <w:rPr>
          <w:spacing w:val="-2"/>
        </w:rPr>
        <w:t xml:space="preserve"> decomposed into three </w:t>
      </w:r>
      <w:r>
        <w:rPr>
          <w:spacing w:val="-2"/>
        </w:rPr>
        <w:t>components</w:t>
      </w:r>
      <w:r>
        <w:t>:</w:t>
      </w:r>
    </w:p>
    <w:p w:rsidR="006044A7" w:rsidRPr="00406AED" w:rsidRDefault="006044A7" w:rsidP="006044A7">
      <w:pPr>
        <w:pStyle w:val="ListBullet"/>
      </w:pPr>
      <w:r>
        <w:t>A growth effect</w:t>
      </w:r>
      <w:r>
        <w:rPr>
          <w:spacing w:val="-2"/>
        </w:rPr>
        <w:t xml:space="preserve"> — which measures the extent to which employment in a </w:t>
      </w:r>
      <w:proofErr w:type="spellStart"/>
      <w:r>
        <w:rPr>
          <w:spacing w:val="-2"/>
        </w:rPr>
        <w:t>FOW</w:t>
      </w:r>
      <w:proofErr w:type="spellEnd"/>
      <w:r>
        <w:rPr>
          <w:spacing w:val="-2"/>
        </w:rPr>
        <w:t xml:space="preserve"> would have increased if job growth across the economy had simply replicated the profile of employment in 2001. If this had been the case, each </w:t>
      </w:r>
      <w:proofErr w:type="spellStart"/>
      <w:r>
        <w:rPr>
          <w:spacing w:val="-2"/>
        </w:rPr>
        <w:t>FOW</w:t>
      </w:r>
      <w:proofErr w:type="spellEnd"/>
      <w:r>
        <w:rPr>
          <w:spacing w:val="-2"/>
        </w:rPr>
        <w:t xml:space="preserve"> would simply have grown in step with employment overall, and its prevalence would not have changed.</w:t>
      </w:r>
    </w:p>
    <w:p w:rsidR="006044A7" w:rsidRDefault="006044A7" w:rsidP="006044A7">
      <w:pPr>
        <w:pStyle w:val="ListBullet"/>
      </w:pPr>
      <w:r>
        <w:t xml:space="preserve">A share effect — which captures the effect of changes in the profile of employment driven by the characteristics of net job creation. This component reflects the extent to which employment in a </w:t>
      </w:r>
      <w:proofErr w:type="spellStart"/>
      <w:r>
        <w:t>FOW</w:t>
      </w:r>
      <w:proofErr w:type="spellEnd"/>
      <w:r>
        <w:t xml:space="preserve"> changed because a dimension of employment with which it was associated (for example, a particular industry or occupation) grew relatively quickly or slowly.</w:t>
      </w:r>
    </w:p>
    <w:p w:rsidR="006044A7" w:rsidRDefault="006044A7" w:rsidP="006044A7">
      <w:pPr>
        <w:pStyle w:val="ListBullet"/>
      </w:pPr>
      <w:r>
        <w:t xml:space="preserve">A shift effect — which reveals how much of the change in a </w:t>
      </w:r>
      <w:proofErr w:type="spellStart"/>
      <w:r>
        <w:t>FOW</w:t>
      </w:r>
      <w:proofErr w:type="spellEnd"/>
      <w:r>
        <w:t xml:space="preserve"> occurred because it grew more rapidly or slowly than other </w:t>
      </w:r>
      <w:proofErr w:type="spellStart"/>
      <w:r>
        <w:t>FOWs</w:t>
      </w:r>
      <w:proofErr w:type="spellEnd"/>
      <w:r>
        <w:t xml:space="preserve"> within, for example, states, industries or occupations. Growth of this type would reflect broadly</w:t>
      </w:r>
      <w:r w:rsidR="008C7827">
        <w:t>-</w:t>
      </w:r>
      <w:r>
        <w:t>based influences on employment, for example, the effects of changes in institutional settings, technological change or greater competition for labour during periods of rapid economic growth.</w:t>
      </w:r>
    </w:p>
    <w:p w:rsidR="006044A7" w:rsidRDefault="006044A7" w:rsidP="006044A7">
      <w:pPr>
        <w:pStyle w:val="BodyText"/>
      </w:pPr>
      <w:r>
        <w:t>A more technical description of this analytical tool is presented in appendix D.</w:t>
      </w:r>
    </w:p>
    <w:p w:rsidR="008C2462" w:rsidRDefault="006044A7" w:rsidP="006044A7">
      <w:pPr>
        <w:pStyle w:val="BodyText"/>
        <w:rPr>
          <w:spacing w:val="-2"/>
        </w:rPr>
      </w:pPr>
      <w:r w:rsidRPr="00615382">
        <w:rPr>
          <w:spacing w:val="-2"/>
        </w:rPr>
        <w:t>Reflecting the distinctive patterns in job creation</w:t>
      </w:r>
      <w:r w:rsidR="0083551D" w:rsidRPr="00615382">
        <w:rPr>
          <w:spacing w:val="-2"/>
        </w:rPr>
        <w:t xml:space="preserve"> over the decade to 2011, shift–</w:t>
      </w:r>
      <w:r w:rsidRPr="00615382">
        <w:rPr>
          <w:spacing w:val="-2"/>
        </w:rPr>
        <w:t xml:space="preserve">share decompositions were undertaken for changes in </w:t>
      </w:r>
      <w:proofErr w:type="spellStart"/>
      <w:r w:rsidRPr="00615382">
        <w:rPr>
          <w:spacing w:val="-2"/>
        </w:rPr>
        <w:t>FOWs</w:t>
      </w:r>
      <w:proofErr w:type="spellEnd"/>
      <w:r w:rsidRPr="00615382">
        <w:rPr>
          <w:spacing w:val="-2"/>
        </w:rPr>
        <w:t xml:space="preserve"> by state, industry, occupation, age group and full</w:t>
      </w:r>
      <w:r w:rsidRPr="00615382">
        <w:rPr>
          <w:spacing w:val="-2"/>
        </w:rPr>
        <w:noBreakHyphen/>
        <w:t xml:space="preserve"> or part</w:t>
      </w:r>
      <w:r w:rsidRPr="00615382">
        <w:rPr>
          <w:spacing w:val="-2"/>
        </w:rPr>
        <w:noBreakHyphen/>
        <w:t xml:space="preserve">time status (the latter by gender because women are much </w:t>
      </w:r>
      <w:r w:rsidR="008C2462">
        <w:rPr>
          <w:spacing w:val="-2"/>
        </w:rPr>
        <w:t>more likely to work part</w:t>
      </w:r>
      <w:r w:rsidR="008C2462">
        <w:rPr>
          <w:spacing w:val="-2"/>
        </w:rPr>
        <w:noBreakHyphen/>
        <w:t>time).</w:t>
      </w:r>
    </w:p>
    <w:p w:rsidR="00615382" w:rsidRDefault="00276881" w:rsidP="006044A7">
      <w:pPr>
        <w:pStyle w:val="BodyText"/>
        <w:rPr>
          <w:spacing w:val="-2"/>
        </w:rPr>
      </w:pPr>
      <w:r w:rsidRPr="00615382">
        <w:rPr>
          <w:spacing w:val="-2"/>
        </w:rPr>
        <w:t>A</w:t>
      </w:r>
      <w:r w:rsidR="006044A7" w:rsidRPr="00615382">
        <w:rPr>
          <w:spacing w:val="-2"/>
        </w:rPr>
        <w:t>nalyses were not conducted by public and private sector employment, firm size or by workers’ country of birth.</w:t>
      </w:r>
      <w:r w:rsidR="00615382">
        <w:rPr>
          <w:spacing w:val="-2"/>
        </w:rPr>
        <w:t xml:space="preserve"> T</w:t>
      </w:r>
      <w:r w:rsidR="00615382" w:rsidRPr="00F961C5">
        <w:rPr>
          <w:spacing w:val="-2"/>
        </w:rPr>
        <w:t>he relative concentration of permanent employees in the public sector, in tandem with disproportionately rapid job creation in the private sector</w:t>
      </w:r>
      <w:r w:rsidR="00615382">
        <w:rPr>
          <w:spacing w:val="-2"/>
        </w:rPr>
        <w:t>,</w:t>
      </w:r>
      <w:r w:rsidR="00615382" w:rsidRPr="00F961C5">
        <w:rPr>
          <w:spacing w:val="-2"/>
        </w:rPr>
        <w:t xml:space="preserve"> suggests that changes in the structure of employment of this type would not have been a factor in the increased pre</w:t>
      </w:r>
      <w:r w:rsidR="00615382">
        <w:rPr>
          <w:spacing w:val="-2"/>
        </w:rPr>
        <w:t>valence of permanent employees.</w:t>
      </w:r>
    </w:p>
    <w:p w:rsidR="00615382" w:rsidRDefault="00615382" w:rsidP="006044A7">
      <w:pPr>
        <w:pStyle w:val="BodyText"/>
        <w:rPr>
          <w:spacing w:val="-2"/>
        </w:rPr>
      </w:pPr>
      <w:r w:rsidRPr="00F961C5">
        <w:rPr>
          <w:spacing w:val="-2"/>
        </w:rPr>
        <w:t>In terms of firm size, evidence suggests that permanent employees are relatively</w:t>
      </w:r>
      <w:r>
        <w:rPr>
          <w:spacing w:val="-2"/>
        </w:rPr>
        <w:t xml:space="preserve"> more</w:t>
      </w:r>
      <w:r w:rsidRPr="00F961C5">
        <w:rPr>
          <w:spacing w:val="-2"/>
        </w:rPr>
        <w:t xml:space="preserve"> prevalent in larger firms (van </w:t>
      </w:r>
      <w:proofErr w:type="spellStart"/>
      <w:r w:rsidRPr="00F961C5">
        <w:rPr>
          <w:spacing w:val="-2"/>
        </w:rPr>
        <w:t>Wanrooy</w:t>
      </w:r>
      <w:proofErr w:type="spellEnd"/>
      <w:r w:rsidRPr="00F961C5">
        <w:rPr>
          <w:spacing w:val="-2"/>
        </w:rPr>
        <w:t xml:space="preserve"> et al. 2008). Evidence that smaller firms increased as a share of Australian business over the decade, therefore, leads to a tentative conclusion that an explanation for the increased prevalence of permanent employees does not lie in changes in employment by firm size.</w:t>
      </w:r>
    </w:p>
    <w:p w:rsidR="006044A7" w:rsidRPr="00615382" w:rsidRDefault="00615382" w:rsidP="006044A7">
      <w:pPr>
        <w:pStyle w:val="BodyText"/>
        <w:rPr>
          <w:spacing w:val="-2"/>
        </w:rPr>
      </w:pPr>
      <w:r>
        <w:rPr>
          <w:spacing w:val="-2"/>
        </w:rPr>
        <w:lastRenderedPageBreak/>
        <w:t xml:space="preserve">In terms of </w:t>
      </w:r>
      <w:r w:rsidRPr="00F961C5">
        <w:rPr>
          <w:spacing w:val="-2"/>
        </w:rPr>
        <w:t>immigrants</w:t>
      </w:r>
      <w:r>
        <w:rPr>
          <w:spacing w:val="-2"/>
        </w:rPr>
        <w:t>, if recent arrivals</w:t>
      </w:r>
      <w:r w:rsidRPr="00F961C5">
        <w:rPr>
          <w:spacing w:val="-2"/>
        </w:rPr>
        <w:t xml:space="preserve"> were more likely than Australian</w:t>
      </w:r>
      <w:r w:rsidRPr="00F961C5">
        <w:rPr>
          <w:spacing w:val="-2"/>
        </w:rPr>
        <w:noBreakHyphen/>
        <w:t>born workers to be employed in casual roles, and less likely to work as permanent employees or as owner</w:t>
      </w:r>
      <w:r w:rsidRPr="00F961C5">
        <w:rPr>
          <w:spacing w:val="-2"/>
        </w:rPr>
        <w:noBreakHyphen/>
        <w:t>managers of unincorporated enterprises (box </w:t>
      </w:r>
      <w:proofErr w:type="spellStart"/>
      <w:r w:rsidRPr="00F961C5">
        <w:rPr>
          <w:spacing w:val="-2"/>
        </w:rPr>
        <w:t>A.1</w:t>
      </w:r>
      <w:proofErr w:type="spellEnd"/>
      <w:r w:rsidRPr="00F961C5">
        <w:rPr>
          <w:spacing w:val="-2"/>
        </w:rPr>
        <w:t>), the over</w:t>
      </w:r>
      <w:r w:rsidRPr="00F961C5">
        <w:rPr>
          <w:spacing w:val="-2"/>
        </w:rPr>
        <w:noBreakHyphen/>
        <w:t>representation of the overseas born in net job creation might have been expected to result in prevalence changes for casual and permanent employees different from those observed in chapter 3.</w:t>
      </w:r>
      <w:r>
        <w:rPr>
          <w:spacing w:val="-2"/>
        </w:rPr>
        <w:t xml:space="preserve"> However, the likely distribution of recent immigrants by </w:t>
      </w:r>
      <w:proofErr w:type="spellStart"/>
      <w:r>
        <w:rPr>
          <w:spacing w:val="-2"/>
        </w:rPr>
        <w:t>FOW</w:t>
      </w:r>
      <w:proofErr w:type="spellEnd"/>
      <w:r>
        <w:rPr>
          <w:spacing w:val="-2"/>
        </w:rPr>
        <w:t xml:space="preserve"> is unclear, particularly because of an increased emphasis on immigrants’ skills in the migration program over the </w:t>
      </w:r>
      <w:proofErr w:type="spellStart"/>
      <w:r>
        <w:rPr>
          <w:spacing w:val="-2"/>
        </w:rPr>
        <w:t>2000s</w:t>
      </w:r>
      <w:proofErr w:type="spellEnd"/>
      <w:r>
        <w:rPr>
          <w:spacing w:val="-2"/>
        </w:rPr>
        <w:t xml:space="preserve">. Further research could look more closely at possible links between immigration and changes in the prevalence of </w:t>
      </w:r>
      <w:proofErr w:type="spellStart"/>
      <w:r>
        <w:rPr>
          <w:spacing w:val="-2"/>
        </w:rPr>
        <w:t>FOWs</w:t>
      </w:r>
      <w:proofErr w:type="spellEnd"/>
      <w:r>
        <w:rPr>
          <w:spacing w:val="-2"/>
        </w:rPr>
        <w:t>.</w:t>
      </w:r>
    </w:p>
    <w:p w:rsidR="006044A7" w:rsidRDefault="006044A7" w:rsidP="006044A7">
      <w:pPr>
        <w:pStyle w:val="Heading3"/>
      </w:pPr>
      <w:proofErr w:type="spellStart"/>
      <w:r>
        <w:t>FOWs</w:t>
      </w:r>
      <w:proofErr w:type="spellEnd"/>
      <w:r>
        <w:t xml:space="preserve"> included in the analysis</w:t>
      </w:r>
    </w:p>
    <w:p w:rsidR="006044A7" w:rsidRDefault="006044A7" w:rsidP="006044A7">
      <w:pPr>
        <w:pStyle w:val="BodyText"/>
      </w:pPr>
      <w:r>
        <w:t xml:space="preserve">Decompositions were performed for four </w:t>
      </w:r>
      <w:proofErr w:type="spellStart"/>
      <w:r>
        <w:t>FOWs</w:t>
      </w:r>
      <w:proofErr w:type="spellEnd"/>
      <w:r>
        <w:t xml:space="preserve"> — permanent </w:t>
      </w:r>
      <w:r w:rsidR="0083551D">
        <w:t xml:space="preserve">employees, </w:t>
      </w:r>
      <w:r>
        <w:t>casual employees, owner</w:t>
      </w:r>
      <w:r>
        <w:noBreakHyphen/>
        <w:t>managers of incorporated enterprises (</w:t>
      </w:r>
      <w:proofErr w:type="spellStart"/>
      <w:r>
        <w:t>OMIEs</w:t>
      </w:r>
      <w:proofErr w:type="spellEnd"/>
      <w:r>
        <w:t xml:space="preserve">) and </w:t>
      </w:r>
      <w:proofErr w:type="spellStart"/>
      <w:r>
        <w:t>OMUEs</w:t>
      </w:r>
      <w:proofErr w:type="spellEnd"/>
      <w:r>
        <w:t>.</w:t>
      </w:r>
      <w:r>
        <w:rPr>
          <w:rStyle w:val="FootnoteReference"/>
        </w:rPr>
        <w:footnoteReference w:id="7"/>
      </w:r>
      <w:r>
        <w:t xml:space="preserve"> The latter two categories capture the self</w:t>
      </w:r>
      <w:r>
        <w:noBreakHyphen/>
        <w:t>employed. Fixed</w:t>
      </w:r>
      <w:r>
        <w:noBreakHyphen/>
        <w:t xml:space="preserve">term and labour hire employment, independent contracting and other business operators were not separately analysed </w:t>
      </w:r>
      <w:r w:rsidR="00B8751F">
        <w:t xml:space="preserve">due to </w:t>
      </w:r>
      <w:r>
        <w:t xml:space="preserve">data constraints. Results for </w:t>
      </w:r>
      <w:proofErr w:type="spellStart"/>
      <w:r>
        <w:t>OMIEs</w:t>
      </w:r>
      <w:proofErr w:type="spellEnd"/>
      <w:r>
        <w:t xml:space="preserve"> are not discussed because the prevalence changes recorded for this </w:t>
      </w:r>
      <w:proofErr w:type="spellStart"/>
      <w:r>
        <w:t>FOW</w:t>
      </w:r>
      <w:proofErr w:type="spellEnd"/>
      <w:r>
        <w:t xml:space="preserve"> (and estimated share and shift effects) were very small.</w:t>
      </w:r>
    </w:p>
    <w:p w:rsidR="006044A7" w:rsidRDefault="006044A7" w:rsidP="006044A7">
      <w:pPr>
        <w:pStyle w:val="Heading3"/>
      </w:pPr>
      <w:r>
        <w:t>A focus on the ‘mining states’</w:t>
      </w:r>
    </w:p>
    <w:p w:rsidR="006044A7" w:rsidRPr="00D65DAB" w:rsidRDefault="006044A7" w:rsidP="006044A7">
      <w:pPr>
        <w:pStyle w:val="BodyText"/>
        <w:rPr>
          <w:spacing w:val="-2"/>
        </w:rPr>
      </w:pPr>
      <w:r w:rsidRPr="00D65DAB">
        <w:rPr>
          <w:spacing w:val="-2"/>
        </w:rPr>
        <w:t xml:space="preserve">Preliminary analysis revealed that Queensland and Western Australia played a disproportionately large role in the increased prevalence of </w:t>
      </w:r>
      <w:r>
        <w:rPr>
          <w:spacing w:val="-2"/>
        </w:rPr>
        <w:t>permanent</w:t>
      </w:r>
      <w:r w:rsidRPr="00D65DAB">
        <w:rPr>
          <w:spacing w:val="-2"/>
        </w:rPr>
        <w:t xml:space="preserve"> </w:t>
      </w:r>
      <w:r>
        <w:rPr>
          <w:spacing w:val="-2"/>
        </w:rPr>
        <w:t>employees</w:t>
      </w:r>
      <w:r w:rsidRPr="00D65DAB">
        <w:rPr>
          <w:spacing w:val="-2"/>
        </w:rPr>
        <w:t>. Along with the Northern Territory, job creation in these states differed from the experience of others in a number of ways. For example, service industries, white collar occupations</w:t>
      </w:r>
      <w:r w:rsidR="00C50790">
        <w:rPr>
          <w:rStyle w:val="FootnoteReference"/>
          <w:spacing w:val="-2"/>
        </w:rPr>
        <w:footnoteReference w:id="8"/>
      </w:r>
      <w:r w:rsidRPr="00D65DAB">
        <w:rPr>
          <w:spacing w:val="-2"/>
        </w:rPr>
        <w:t xml:space="preserve"> and older workers (aged 50 years and over) were smaller contributors to employment change </w:t>
      </w:r>
      <w:r>
        <w:rPr>
          <w:spacing w:val="-2"/>
        </w:rPr>
        <w:t>relative to the non</w:t>
      </w:r>
      <w:r>
        <w:rPr>
          <w:spacing w:val="-2"/>
        </w:rPr>
        <w:noBreakHyphen/>
        <w:t xml:space="preserve">mining states’ experience </w:t>
      </w:r>
      <w:r w:rsidRPr="00D65DAB">
        <w:rPr>
          <w:spacing w:val="-2"/>
        </w:rPr>
        <w:t>(</w:t>
      </w:r>
      <w:proofErr w:type="spellStart"/>
      <w:r w:rsidRPr="00D65DAB">
        <w:rPr>
          <w:spacing w:val="-2"/>
        </w:rPr>
        <w:t>appendices</w:t>
      </w:r>
      <w:proofErr w:type="spellEnd"/>
      <w:r w:rsidRPr="00D65DAB">
        <w:rPr>
          <w:spacing w:val="-2"/>
        </w:rPr>
        <w:t xml:space="preserve"> E and H). As a result, where possible, the analysis </w:t>
      </w:r>
      <w:r>
        <w:rPr>
          <w:spacing w:val="-2"/>
        </w:rPr>
        <w:t>was</w:t>
      </w:r>
      <w:r w:rsidRPr="00D65DAB">
        <w:rPr>
          <w:spacing w:val="-2"/>
        </w:rPr>
        <w:t xml:space="preserve"> conducted separately for the ‘mining’ states (Queensland, Western Australia and the Northern Territory) and </w:t>
      </w:r>
      <w:r w:rsidR="001C366C">
        <w:rPr>
          <w:spacing w:val="-2"/>
        </w:rPr>
        <w:t>the ‘</w:t>
      </w:r>
      <w:r w:rsidRPr="00D65DAB">
        <w:rPr>
          <w:spacing w:val="-2"/>
        </w:rPr>
        <w:t>non</w:t>
      </w:r>
      <w:r w:rsidRPr="00D65DAB">
        <w:rPr>
          <w:spacing w:val="-2"/>
        </w:rPr>
        <w:noBreakHyphen/>
        <w:t>mining</w:t>
      </w:r>
      <w:r w:rsidR="001C366C">
        <w:rPr>
          <w:spacing w:val="-2"/>
        </w:rPr>
        <w:t>’</w:t>
      </w:r>
      <w:r w:rsidRPr="00D65DAB">
        <w:rPr>
          <w:spacing w:val="-2"/>
        </w:rPr>
        <w:t xml:space="preserve"> states (rest of the country).</w:t>
      </w:r>
    </w:p>
    <w:p w:rsidR="006044A7" w:rsidRDefault="006044A7" w:rsidP="006044A7">
      <w:pPr>
        <w:pStyle w:val="BodyText"/>
      </w:pPr>
      <w:r>
        <w:t xml:space="preserve">The predominance of Queensland and Western Australia in mining state employment (96 per cent in 2001), and New South Wales and Victoria in the </w:t>
      </w:r>
      <w:r>
        <w:lastRenderedPageBreak/>
        <w:t>non</w:t>
      </w:r>
      <w:r>
        <w:noBreakHyphen/>
        <w:t>mining states (83 per cent), means that these labour markets drive conclusions for the two state groupings.</w:t>
      </w:r>
    </w:p>
    <w:p w:rsidR="006044A7" w:rsidRDefault="006044A7" w:rsidP="006044A7">
      <w:pPr>
        <w:pStyle w:val="Heading3"/>
      </w:pPr>
      <w:r>
        <w:t xml:space="preserve">Data </w:t>
      </w:r>
      <w:r w:rsidR="00B8751F">
        <w:t>caveats</w:t>
      </w:r>
    </w:p>
    <w:p w:rsidR="006044A7" w:rsidRPr="00D65DAB" w:rsidRDefault="006044A7" w:rsidP="006044A7">
      <w:pPr>
        <w:pStyle w:val="BodyText"/>
        <w:rPr>
          <w:spacing w:val="-2"/>
        </w:rPr>
      </w:pPr>
      <w:r w:rsidRPr="00D65DAB">
        <w:rPr>
          <w:spacing w:val="-2"/>
        </w:rPr>
        <w:t xml:space="preserve">None of the data sources available for the </w:t>
      </w:r>
      <w:r w:rsidR="00050F40">
        <w:rPr>
          <w:spacing w:val="-2"/>
        </w:rPr>
        <w:t>shift–share</w:t>
      </w:r>
      <w:r w:rsidRPr="00D65DAB">
        <w:rPr>
          <w:spacing w:val="-2"/>
        </w:rPr>
        <w:t xml:space="preserve"> analysis was ideal and</w:t>
      </w:r>
      <w:r w:rsidR="008C7827">
        <w:rPr>
          <w:spacing w:val="-2"/>
        </w:rPr>
        <w:t xml:space="preserve">, therefore, </w:t>
      </w:r>
      <w:r w:rsidRPr="00D65DAB">
        <w:rPr>
          <w:spacing w:val="-2"/>
        </w:rPr>
        <w:t>a number of sources were used (appendix A). Reported conclusions draw on the multiple sources, and take the strengths and weaknesses of each into account.</w:t>
      </w:r>
      <w:r>
        <w:rPr>
          <w:spacing w:val="-2"/>
        </w:rPr>
        <w:t xml:space="preserve"> In </w:t>
      </w:r>
      <w:r w:rsidR="007F2C48">
        <w:rPr>
          <w:spacing w:val="-2"/>
        </w:rPr>
        <w:t>many</w:t>
      </w:r>
      <w:r>
        <w:rPr>
          <w:spacing w:val="-2"/>
        </w:rPr>
        <w:t xml:space="preserve"> instances, data limitations constrained the quantitative conclusions that could be drawn, but did, however, support qualitative conclusions.</w:t>
      </w:r>
    </w:p>
    <w:p w:rsidR="006044A7" w:rsidRPr="00050F40" w:rsidRDefault="00C80099" w:rsidP="006044A7">
      <w:pPr>
        <w:pStyle w:val="Heading2"/>
        <w:rPr>
          <w:spacing w:val="-2"/>
        </w:rPr>
      </w:pPr>
      <w:fldSimple w:instr=" COMMENTS  \* MERGEFORMAT ">
        <w:r w:rsidR="007B17A3">
          <w:t>4.</w:t>
        </w:r>
      </w:fldSimple>
      <w:fldSimple w:instr=" SEQ Heading2 ">
        <w:r w:rsidR="007B17A3">
          <w:rPr>
            <w:noProof/>
          </w:rPr>
          <w:t>4</w:t>
        </w:r>
      </w:fldSimple>
      <w:r w:rsidR="006044A7">
        <w:tab/>
      </w:r>
      <w:r w:rsidR="00FE6799" w:rsidRPr="00050F40">
        <w:rPr>
          <w:spacing w:val="-2"/>
        </w:rPr>
        <w:t>The e</w:t>
      </w:r>
      <w:r w:rsidR="006044A7" w:rsidRPr="00050F40">
        <w:rPr>
          <w:spacing w:val="-2"/>
        </w:rPr>
        <w:t xml:space="preserve">vidence on </w:t>
      </w:r>
      <w:r w:rsidR="00050F40" w:rsidRPr="00050F40">
        <w:rPr>
          <w:spacing w:val="-2"/>
        </w:rPr>
        <w:t xml:space="preserve">factors that effect </w:t>
      </w:r>
      <w:r w:rsidR="006044A7" w:rsidRPr="00050F40">
        <w:rPr>
          <w:spacing w:val="-2"/>
        </w:rPr>
        <w:t xml:space="preserve">changes in </w:t>
      </w:r>
      <w:r w:rsidR="008C2462">
        <w:rPr>
          <w:spacing w:val="-2"/>
        </w:rPr>
        <w:t xml:space="preserve">the prevalence of </w:t>
      </w:r>
      <w:proofErr w:type="spellStart"/>
      <w:r w:rsidR="006044A7" w:rsidRPr="00050F40">
        <w:rPr>
          <w:spacing w:val="-2"/>
        </w:rPr>
        <w:t>FOWs</w:t>
      </w:r>
      <w:proofErr w:type="spellEnd"/>
    </w:p>
    <w:p w:rsidR="006044A7" w:rsidRPr="00405B13" w:rsidRDefault="006044A7" w:rsidP="00BD15C6">
      <w:pPr>
        <w:pStyle w:val="Heading3"/>
        <w:spacing w:before="280"/>
      </w:pPr>
      <w:r>
        <w:t>At a state level</w:t>
      </w:r>
    </w:p>
    <w:p w:rsidR="006044A7" w:rsidRPr="00F9150F" w:rsidRDefault="006044A7" w:rsidP="006044A7">
      <w:pPr>
        <w:pStyle w:val="BodyText"/>
        <w:rPr>
          <w:spacing w:val="-2"/>
        </w:rPr>
      </w:pPr>
      <w:r w:rsidRPr="00F9150F">
        <w:rPr>
          <w:spacing w:val="-2"/>
        </w:rPr>
        <w:t>Over the decade to 2011, employment in the mining states grew much more rapidly than in the rest of the country (35</w:t>
      </w:r>
      <w:r>
        <w:rPr>
          <w:spacing w:val="-2"/>
        </w:rPr>
        <w:t> per cent versus 20 per </w:t>
      </w:r>
      <w:r w:rsidRPr="00F9150F">
        <w:rPr>
          <w:spacing w:val="-2"/>
        </w:rPr>
        <w:t>cent) (</w:t>
      </w:r>
      <w:r>
        <w:rPr>
          <w:spacing w:val="-2"/>
        </w:rPr>
        <w:t>table</w:t>
      </w:r>
      <w:r w:rsidRPr="00F9150F">
        <w:rPr>
          <w:spacing w:val="-2"/>
        </w:rPr>
        <w:t> </w:t>
      </w:r>
      <w:proofErr w:type="spellStart"/>
      <w:r w:rsidRPr="00F9150F">
        <w:rPr>
          <w:spacing w:val="-2"/>
        </w:rPr>
        <w:t>E</w:t>
      </w:r>
      <w:r>
        <w:rPr>
          <w:spacing w:val="-2"/>
        </w:rPr>
        <w:t>.1</w:t>
      </w:r>
      <w:proofErr w:type="spellEnd"/>
      <w:r w:rsidRPr="00F9150F">
        <w:rPr>
          <w:spacing w:val="-2"/>
        </w:rPr>
        <w:t xml:space="preserve">), but the </w:t>
      </w:r>
      <w:r>
        <w:rPr>
          <w:spacing w:val="-2"/>
        </w:rPr>
        <w:t xml:space="preserve">fact that net job creation occurred disproportionately in the mining states </w:t>
      </w:r>
      <w:r w:rsidRPr="00F9150F">
        <w:rPr>
          <w:spacing w:val="-2"/>
        </w:rPr>
        <w:t xml:space="preserve">played little role in </w:t>
      </w:r>
      <w:proofErr w:type="spellStart"/>
      <w:r w:rsidRPr="00F9150F">
        <w:rPr>
          <w:spacing w:val="-2"/>
        </w:rPr>
        <w:t>FOW</w:t>
      </w:r>
      <w:proofErr w:type="spellEnd"/>
      <w:r w:rsidRPr="00F9150F">
        <w:rPr>
          <w:spacing w:val="-2"/>
        </w:rPr>
        <w:t xml:space="preserve"> prevalence changes. That is, share effects in the state</w:t>
      </w:r>
      <w:r w:rsidRPr="00F9150F">
        <w:rPr>
          <w:spacing w:val="-2"/>
        </w:rPr>
        <w:noBreakHyphen/>
        <w:t>level analysis were small</w:t>
      </w:r>
      <w:r>
        <w:rPr>
          <w:spacing w:val="-2"/>
        </w:rPr>
        <w:t xml:space="preserve"> (tables </w:t>
      </w:r>
      <w:proofErr w:type="spellStart"/>
      <w:r>
        <w:rPr>
          <w:spacing w:val="-2"/>
        </w:rPr>
        <w:t>E.5</w:t>
      </w:r>
      <w:proofErr w:type="spellEnd"/>
      <w:r>
        <w:rPr>
          <w:spacing w:val="-2"/>
        </w:rPr>
        <w:t xml:space="preserve"> to </w:t>
      </w:r>
      <w:proofErr w:type="spellStart"/>
      <w:r>
        <w:rPr>
          <w:spacing w:val="-2"/>
        </w:rPr>
        <w:t>E.8</w:t>
      </w:r>
      <w:proofErr w:type="spellEnd"/>
      <w:r>
        <w:rPr>
          <w:spacing w:val="-2"/>
        </w:rPr>
        <w:t>)</w:t>
      </w:r>
      <w:r w:rsidRPr="00F9150F">
        <w:rPr>
          <w:spacing w:val="-2"/>
        </w:rPr>
        <w:t xml:space="preserve">. The changes </w:t>
      </w:r>
      <w:r>
        <w:rPr>
          <w:spacing w:val="-2"/>
        </w:rPr>
        <w:t xml:space="preserve">observed in the prevalence of different </w:t>
      </w:r>
      <w:proofErr w:type="spellStart"/>
      <w:r>
        <w:rPr>
          <w:spacing w:val="-2"/>
        </w:rPr>
        <w:t>FOWs</w:t>
      </w:r>
      <w:proofErr w:type="spellEnd"/>
      <w:r>
        <w:rPr>
          <w:spacing w:val="-2"/>
        </w:rPr>
        <w:t xml:space="preserve"> </w:t>
      </w:r>
      <w:r w:rsidRPr="00F9150F">
        <w:rPr>
          <w:spacing w:val="-2"/>
        </w:rPr>
        <w:t xml:space="preserve">reflected factors at work </w:t>
      </w:r>
      <w:r w:rsidRPr="00F90A70">
        <w:rPr>
          <w:i/>
          <w:spacing w:val="-2"/>
        </w:rPr>
        <w:t>within</w:t>
      </w:r>
      <w:r w:rsidRPr="00F9150F">
        <w:rPr>
          <w:spacing w:val="-2"/>
        </w:rPr>
        <w:t xml:space="preserve"> states (shift effects).</w:t>
      </w:r>
    </w:p>
    <w:p w:rsidR="006044A7" w:rsidRDefault="006044A7" w:rsidP="006044A7">
      <w:pPr>
        <w:pStyle w:val="BodyText"/>
      </w:pPr>
      <w:r>
        <w:t xml:space="preserve">In every state, permanent employee numbers grew more rapidly than employment overall. Nationwide, about </w:t>
      </w:r>
      <w:r>
        <w:rPr>
          <w:spacing w:val="-2"/>
        </w:rPr>
        <w:t xml:space="preserve">350 000 more permanent employee roles were created than would have been the case had this </w:t>
      </w:r>
      <w:proofErr w:type="spellStart"/>
      <w:r>
        <w:rPr>
          <w:spacing w:val="-2"/>
        </w:rPr>
        <w:t>FOW</w:t>
      </w:r>
      <w:proofErr w:type="spellEnd"/>
      <w:r>
        <w:rPr>
          <w:spacing w:val="-2"/>
        </w:rPr>
        <w:t xml:space="preserve"> grown in line with national employment (table </w:t>
      </w:r>
      <w:proofErr w:type="spellStart"/>
      <w:r>
        <w:rPr>
          <w:spacing w:val="-2"/>
        </w:rPr>
        <w:t>E.5</w:t>
      </w:r>
      <w:proofErr w:type="spellEnd"/>
      <w:r>
        <w:rPr>
          <w:spacing w:val="-2"/>
        </w:rPr>
        <w:t>).</w:t>
      </w:r>
      <w:r w:rsidR="00050F40">
        <w:rPr>
          <w:spacing w:val="-2"/>
        </w:rPr>
        <w:t xml:space="preserve"> </w:t>
      </w:r>
      <w:r>
        <w:t>Mining states were responsible for a disproportionately large share of this increase (63 per cent, in contrast with a 28 per cent share of permanent employees in 2001) (table </w:t>
      </w:r>
      <w:proofErr w:type="spellStart"/>
      <w:r>
        <w:t>E.5</w:t>
      </w:r>
      <w:proofErr w:type="spellEnd"/>
      <w:r>
        <w:t>). New S</w:t>
      </w:r>
      <w:r w:rsidR="00050F40">
        <w:t>outh Wales and Victoria (with a share of permanent employee</w:t>
      </w:r>
      <w:r w:rsidR="004A7CFF">
        <w:t>s</w:t>
      </w:r>
      <w:r>
        <w:t xml:space="preserve"> in 2001 of 61 per cent) accoun</w:t>
      </w:r>
      <w:r w:rsidR="004A7CFF">
        <w:t>ted for less than a quarter (23 </w:t>
      </w:r>
      <w:r>
        <w:t>per cent)</w:t>
      </w:r>
      <w:r w:rsidR="00050F40">
        <w:t xml:space="preserve"> of this increase</w:t>
      </w:r>
      <w:r>
        <w:t>. The shift towards permanent employees, therefore, represented a much larger change in mining state labour markets — the prevalence of permanent employees increased by 5 to 6 percentage points, compared with about 2 percentage points for the rest of the country.</w:t>
      </w:r>
      <w:r>
        <w:rPr>
          <w:rStyle w:val="FootnoteReference"/>
        </w:rPr>
        <w:footnoteReference w:id="9"/>
      </w:r>
      <w:r w:rsidRPr="00CD7033">
        <w:rPr>
          <w:rStyle w:val="FootnoteReference"/>
        </w:rPr>
        <w:t>,</w:t>
      </w:r>
      <w:r>
        <w:rPr>
          <w:rStyle w:val="FootnoteReference"/>
        </w:rPr>
        <w:footnoteReference w:id="10"/>
      </w:r>
    </w:p>
    <w:p w:rsidR="006044A7" w:rsidRDefault="006044A7" w:rsidP="006044A7">
      <w:pPr>
        <w:pStyle w:val="BodyText"/>
      </w:pPr>
      <w:r>
        <w:lastRenderedPageBreak/>
        <w:t>Much of the relatively rapid growth of permanent employee numbers in the mining states occurred between 2001 and 2008 (figure </w:t>
      </w:r>
      <w:proofErr w:type="spellStart"/>
      <w:r>
        <w:t>E.1</w:t>
      </w:r>
      <w:proofErr w:type="spellEnd"/>
      <w:r>
        <w:t>). In contrast, there was not a lot of difference between permanent employee and total employment growth in the non</w:t>
      </w:r>
      <w:r>
        <w:noBreakHyphen/>
        <w:t>mining states until the very end of the decade.</w:t>
      </w:r>
      <w:r>
        <w:rPr>
          <w:rStyle w:val="FootnoteReference"/>
        </w:rPr>
        <w:footnoteReference w:id="11"/>
      </w:r>
    </w:p>
    <w:p w:rsidR="006044A7" w:rsidRDefault="004B72B2" w:rsidP="006044A7">
      <w:pPr>
        <w:pStyle w:val="BodyText"/>
      </w:pPr>
      <w:r>
        <w:t>Although</w:t>
      </w:r>
      <w:r w:rsidR="006044A7">
        <w:t xml:space="preserve"> the prevalence of </w:t>
      </w:r>
      <w:proofErr w:type="spellStart"/>
      <w:r w:rsidR="006044A7">
        <w:t>OMUE</w:t>
      </w:r>
      <w:proofErr w:type="spellEnd"/>
      <w:r w:rsidR="006044A7">
        <w:t xml:space="preserve"> employment fell in every state across the decade, the decline was relatively pronounced in the mining states. About one third of </w:t>
      </w:r>
      <w:proofErr w:type="spellStart"/>
      <w:r w:rsidR="006044A7">
        <w:t>OMUEs</w:t>
      </w:r>
      <w:proofErr w:type="spellEnd"/>
      <w:r w:rsidR="006044A7">
        <w:t xml:space="preserve"> worked in the mining states in 2001, but these </w:t>
      </w:r>
      <w:r w:rsidR="00050F40">
        <w:t>states</w:t>
      </w:r>
      <w:r w:rsidR="006044A7">
        <w:t xml:space="preserve"> accounted for nearly 50 per cent of the shift away from this </w:t>
      </w:r>
      <w:proofErr w:type="spellStart"/>
      <w:r w:rsidR="006044A7">
        <w:t>FOW</w:t>
      </w:r>
      <w:proofErr w:type="spellEnd"/>
      <w:r w:rsidR="006044A7">
        <w:t xml:space="preserve">. Consequently, the prevalence of </w:t>
      </w:r>
      <w:proofErr w:type="spellStart"/>
      <w:r w:rsidR="006044A7">
        <w:t>OMUEs</w:t>
      </w:r>
      <w:proofErr w:type="spellEnd"/>
      <w:r w:rsidR="006044A7">
        <w:t xml:space="preserve"> fell by 4 to 5 percentage points within the mining states, but only 1 to 2 percentage points in the rest of the country.</w:t>
      </w:r>
    </w:p>
    <w:p w:rsidR="006044A7" w:rsidRDefault="006044A7" w:rsidP="006044A7">
      <w:pPr>
        <w:pStyle w:val="BodyText"/>
      </w:pPr>
      <w:r>
        <w:t xml:space="preserve">The increased prevalence of permanent employees in the mining states reflected relatively slow growth of both </w:t>
      </w:r>
      <w:proofErr w:type="spellStart"/>
      <w:r>
        <w:t>OMUE</w:t>
      </w:r>
      <w:proofErr w:type="spellEnd"/>
      <w:r>
        <w:t xml:space="preserve"> and casual employment (figure 4.8). In the non</w:t>
      </w:r>
      <w:r>
        <w:noBreakHyphen/>
        <w:t xml:space="preserve">mining states, the shift was more from </w:t>
      </w:r>
      <w:proofErr w:type="spellStart"/>
      <w:r>
        <w:t>OMUEs</w:t>
      </w:r>
      <w:proofErr w:type="spellEnd"/>
      <w:r>
        <w:t xml:space="preserve"> to permanent employees and, </w:t>
      </w:r>
      <w:r w:rsidR="00A35ACB">
        <w:t>perhaps, slightly</w:t>
      </w:r>
      <w:r>
        <w:t xml:space="preserve"> to casuals.</w:t>
      </w:r>
      <w:r>
        <w:rPr>
          <w:rStyle w:val="FootnoteReference"/>
        </w:rPr>
        <w:footnoteReference w:id="12"/>
      </w:r>
    </w:p>
    <w:p w:rsidR="00E121E5" w:rsidRPr="00E121E5" w:rsidRDefault="00E121E5" w:rsidP="006044A7">
      <w:pPr>
        <w:pStyle w:val="BodyText"/>
        <w:rPr>
          <w:spacing w:val="-2"/>
        </w:rPr>
      </w:pPr>
      <w:r w:rsidRPr="00045203">
        <w:rPr>
          <w:spacing w:val="-2"/>
        </w:rPr>
        <w:t xml:space="preserve">These observations are consistent with </w:t>
      </w:r>
      <w:r>
        <w:rPr>
          <w:spacing w:val="-2"/>
        </w:rPr>
        <w:t>a</w:t>
      </w:r>
      <w:r w:rsidRPr="00045203">
        <w:rPr>
          <w:spacing w:val="-2"/>
        </w:rPr>
        <w:t xml:space="preserve"> hypothesis that relatively buoyant economic conditions in the mining state labour markets, high business confidence and low levels of unemployment, led employers </w:t>
      </w:r>
      <w:r>
        <w:rPr>
          <w:spacing w:val="-2"/>
        </w:rPr>
        <w:t>to take</w:t>
      </w:r>
      <w:r w:rsidRPr="00045203">
        <w:rPr>
          <w:spacing w:val="-2"/>
        </w:rPr>
        <w:t xml:space="preserve"> on more </w:t>
      </w:r>
      <w:r>
        <w:rPr>
          <w:spacing w:val="-2"/>
        </w:rPr>
        <w:t>permanent</w:t>
      </w:r>
      <w:r w:rsidRPr="00045203">
        <w:rPr>
          <w:spacing w:val="-2"/>
        </w:rPr>
        <w:t xml:space="preserve"> employees. However, it is possible that </w:t>
      </w:r>
      <w:r>
        <w:rPr>
          <w:spacing w:val="-2"/>
        </w:rPr>
        <w:t xml:space="preserve">other </w:t>
      </w:r>
      <w:r w:rsidRPr="00045203">
        <w:rPr>
          <w:spacing w:val="-2"/>
        </w:rPr>
        <w:t xml:space="preserve">factors at play </w:t>
      </w:r>
      <w:r w:rsidRPr="00045203">
        <w:rPr>
          <w:i/>
          <w:spacing w:val="-2"/>
        </w:rPr>
        <w:t>within</w:t>
      </w:r>
      <w:r w:rsidRPr="00045203">
        <w:rPr>
          <w:spacing w:val="-2"/>
        </w:rPr>
        <w:t xml:space="preserve"> the state groups, for example structural change, were responsible for observed prevalence changes. To test this, </w:t>
      </w:r>
      <w:r>
        <w:rPr>
          <w:spacing w:val="-2"/>
        </w:rPr>
        <w:t>shift–</w:t>
      </w:r>
      <w:r w:rsidRPr="00045203">
        <w:rPr>
          <w:spacing w:val="-2"/>
        </w:rPr>
        <w:t xml:space="preserve">share analyses of </w:t>
      </w:r>
      <w:proofErr w:type="spellStart"/>
      <w:r w:rsidRPr="00045203">
        <w:rPr>
          <w:spacing w:val="-2"/>
        </w:rPr>
        <w:t>FOW</w:t>
      </w:r>
      <w:proofErr w:type="spellEnd"/>
      <w:r w:rsidRPr="00045203">
        <w:rPr>
          <w:spacing w:val="-2"/>
        </w:rPr>
        <w:t xml:space="preserve"> changes by industry, occupation and workers’ gender, age and hours </w:t>
      </w:r>
      <w:r>
        <w:rPr>
          <w:spacing w:val="-2"/>
        </w:rPr>
        <w:t>worked</w:t>
      </w:r>
      <w:r w:rsidRPr="00045203">
        <w:rPr>
          <w:spacing w:val="-2"/>
        </w:rPr>
        <w:t xml:space="preserve"> were conducted for mining an</w:t>
      </w:r>
      <w:r>
        <w:rPr>
          <w:spacing w:val="-2"/>
        </w:rPr>
        <w:t>d non</w:t>
      </w:r>
      <w:r>
        <w:rPr>
          <w:spacing w:val="-2"/>
        </w:rPr>
        <w:noBreakHyphen/>
        <w:t>mining states separately.</w:t>
      </w:r>
    </w:p>
    <w:p w:rsidR="006044A7" w:rsidRDefault="006044A7" w:rsidP="006044A7">
      <w:pPr>
        <w:pStyle w:val="FigureTitle"/>
      </w:pPr>
      <w:r>
        <w:rPr>
          <w:b w:val="0"/>
        </w:rPr>
        <w:lastRenderedPageBreak/>
        <w:t xml:space="preserve">Figure </w:t>
      </w:r>
      <w:bookmarkStart w:id="11" w:name="OLE_LINK13"/>
      <w:r>
        <w:rPr>
          <w:b w:val="0"/>
        </w:rPr>
        <w:t>4.</w:t>
      </w:r>
      <w:r>
        <w:rPr>
          <w:b w:val="0"/>
          <w:noProof/>
        </w:rPr>
        <w:t>8</w:t>
      </w:r>
      <w:bookmarkEnd w:id="11"/>
      <w:r>
        <w:tab/>
        <w:t>Shift effects from the state</w:t>
      </w:r>
      <w:r>
        <w:noBreakHyphen/>
        <w:t>level analysis, 2001 to 2011</w:t>
      </w:r>
      <w:r w:rsidR="00A83412">
        <w:t>, mining and non-mining states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6044A7" w:rsidTr="001D422E">
        <w:tc>
          <w:tcPr>
            <w:tcW w:w="8777" w:type="dxa"/>
          </w:tcPr>
          <w:p w:rsidR="006044A7" w:rsidRDefault="001D422E" w:rsidP="00EC70C7">
            <w:pPr>
              <w:pStyle w:val="Figure"/>
            </w:pPr>
            <w:r>
              <w:rPr>
                <w:noProof/>
              </w:rPr>
              <w:drawing>
                <wp:inline distT="0" distB="0" distL="0" distR="0" wp14:anchorId="0DE1132B" wp14:editId="0EA91F35">
                  <wp:extent cx="5410201" cy="2871788"/>
                  <wp:effectExtent l="0" t="0" r="0" b="5080"/>
                  <wp:docPr id="6" name="Chart 6" descr="Figure 4.8 Shift effects from the state-level analysis, 2001 to 2011 (in thousands). This figure shows that the mining states accounted for about 63 per cent of the shift towards permanent employees. Shifts towards permanent employees occurred from both OMUE and casual employment. In the non-mining states, the shift towards permanent employees occurred primarily from OMUEs."/>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6044A7" w:rsidRPr="00040FE1" w:rsidRDefault="00A6039A" w:rsidP="006044A7">
      <w:pPr>
        <w:pStyle w:val="Source"/>
        <w:rPr>
          <w:spacing w:val="-2"/>
        </w:rPr>
      </w:pPr>
      <w:r>
        <w:rPr>
          <w:i/>
          <w:spacing w:val="-2"/>
        </w:rPr>
        <w:t>S</w:t>
      </w:r>
      <w:r w:rsidR="006044A7" w:rsidRPr="00040FE1">
        <w:rPr>
          <w:i/>
          <w:spacing w:val="-2"/>
        </w:rPr>
        <w:t>ource</w:t>
      </w:r>
      <w:r w:rsidR="006044A7" w:rsidRPr="00040FE1">
        <w:rPr>
          <w:spacing w:val="-2"/>
        </w:rPr>
        <w:t xml:space="preserve">: </w:t>
      </w:r>
      <w:r>
        <w:rPr>
          <w:spacing w:val="-2"/>
        </w:rPr>
        <w:t>Authors’</w:t>
      </w:r>
      <w:r w:rsidR="006044A7" w:rsidRPr="00040FE1">
        <w:rPr>
          <w:spacing w:val="-2"/>
        </w:rPr>
        <w:t xml:space="preserve"> estimates based on ABS (</w:t>
      </w:r>
      <w:r w:rsidR="006044A7" w:rsidRPr="00040FE1">
        <w:rPr>
          <w:i/>
          <w:spacing w:val="-2"/>
        </w:rPr>
        <w:t>Australian Labour Market Statistics</w:t>
      </w:r>
      <w:r w:rsidR="006044A7" w:rsidRPr="00040FE1">
        <w:rPr>
          <w:spacing w:val="-2"/>
        </w:rPr>
        <w:t>, Cat. no. 6105.0).</w:t>
      </w:r>
    </w:p>
    <w:p w:rsidR="006044A7" w:rsidRDefault="006044A7" w:rsidP="006044A7">
      <w:pPr>
        <w:pStyle w:val="Heading3"/>
      </w:pPr>
      <w:r>
        <w:t>At an industry level</w:t>
      </w:r>
    </w:p>
    <w:p w:rsidR="006044A7" w:rsidRDefault="006044A7" w:rsidP="006044A7">
      <w:pPr>
        <w:pStyle w:val="BodyText"/>
      </w:pPr>
      <w:r>
        <w:t xml:space="preserve">Characteristics of net job change by industry (that is, structural change at an industry level) did not have a major effect on the prevalence of permanent employees or </w:t>
      </w:r>
      <w:proofErr w:type="spellStart"/>
      <w:r>
        <w:t>OMUEs</w:t>
      </w:r>
      <w:proofErr w:type="spellEnd"/>
      <w:r>
        <w:t xml:space="preserve"> in either the mining or non</w:t>
      </w:r>
      <w:r>
        <w:noBreakHyphen/>
        <w:t>mining states (appendix F).</w:t>
      </w:r>
      <w:r>
        <w:rPr>
          <w:rStyle w:val="FootnoteReference"/>
        </w:rPr>
        <w:footnoteReference w:id="13"/>
      </w:r>
      <w:r>
        <w:t xml:space="preserve"> </w:t>
      </w:r>
      <w:r w:rsidR="004B72B2">
        <w:t>Although</w:t>
      </w:r>
      <w:r>
        <w:t xml:space="preserve"> some industries in which permanent employees and </w:t>
      </w:r>
      <w:proofErr w:type="spellStart"/>
      <w:r>
        <w:t>OMUEs</w:t>
      </w:r>
      <w:proofErr w:type="spellEnd"/>
      <w:r>
        <w:t xml:space="preserve"> were relatively concentrated grew more slowly than others, contributing to falls in the number of people in these </w:t>
      </w:r>
      <w:proofErr w:type="spellStart"/>
      <w:r>
        <w:t>FOWs</w:t>
      </w:r>
      <w:proofErr w:type="spellEnd"/>
      <w:r>
        <w:t>, others grew relatively quickly, offsetting these declines. For example, in both the mining and non</w:t>
      </w:r>
      <w:r>
        <w:noBreakHyphen/>
        <w:t xml:space="preserve">mining states, the declining share of agriculture, forestry and fishing in employment (a sector of relatively high </w:t>
      </w:r>
      <w:proofErr w:type="spellStart"/>
      <w:r>
        <w:t>OMUE</w:t>
      </w:r>
      <w:proofErr w:type="spellEnd"/>
      <w:r>
        <w:t xml:space="preserve"> employment) contributed to falls in this </w:t>
      </w:r>
      <w:proofErr w:type="spellStart"/>
      <w:r>
        <w:t>FOW</w:t>
      </w:r>
      <w:proofErr w:type="spellEnd"/>
      <w:r>
        <w:t xml:space="preserve"> (tables </w:t>
      </w:r>
      <w:proofErr w:type="spellStart"/>
      <w:r>
        <w:t>F.11</w:t>
      </w:r>
      <w:proofErr w:type="spellEnd"/>
      <w:r>
        <w:t xml:space="preserve"> and </w:t>
      </w:r>
      <w:proofErr w:type="spellStart"/>
      <w:r>
        <w:t>F.12</w:t>
      </w:r>
      <w:proofErr w:type="spellEnd"/>
      <w:r>
        <w:t xml:space="preserve">). Ignoring changes in other parts of the economy, this structural change was responsible for about 30 per cent of the decline in the prevalence of </w:t>
      </w:r>
      <w:proofErr w:type="spellStart"/>
      <w:r>
        <w:t>OMUEs</w:t>
      </w:r>
      <w:proofErr w:type="spellEnd"/>
      <w:r>
        <w:t xml:space="preserve"> in mining states, and 55 per cent in the rest of the country. However, the impact of this structural change was offset by the effects of growth in other industries — in particular, construction (also a large employer of </w:t>
      </w:r>
      <w:proofErr w:type="spellStart"/>
      <w:r>
        <w:t>OMUEs</w:t>
      </w:r>
      <w:proofErr w:type="spellEnd"/>
      <w:r>
        <w:t xml:space="preserve">). Overall, structural change (reflected in share effects), was a relatively small contributor to changes in the prevalence of both </w:t>
      </w:r>
      <w:proofErr w:type="spellStart"/>
      <w:r>
        <w:t>OMUEs</w:t>
      </w:r>
      <w:proofErr w:type="spellEnd"/>
      <w:r>
        <w:t xml:space="preserve"> and permanent employees.</w:t>
      </w:r>
    </w:p>
    <w:p w:rsidR="006044A7" w:rsidRDefault="006044A7" w:rsidP="006044A7">
      <w:pPr>
        <w:pStyle w:val="BodyText"/>
      </w:pPr>
      <w:r>
        <w:lastRenderedPageBreak/>
        <w:t>For both mining and non</w:t>
      </w:r>
      <w:r>
        <w:noBreakHyphen/>
        <w:t xml:space="preserve">mining states, </w:t>
      </w:r>
      <w:r w:rsidR="002110F2">
        <w:t>relatively slow growth of</w:t>
      </w:r>
      <w:r>
        <w:t xml:space="preserve"> </w:t>
      </w:r>
      <w:proofErr w:type="spellStart"/>
      <w:r>
        <w:t>OMUE</w:t>
      </w:r>
      <w:proofErr w:type="spellEnd"/>
      <w:r>
        <w:t xml:space="preserve"> employment </w:t>
      </w:r>
      <w:r w:rsidRPr="001F3F98">
        <w:rPr>
          <w:i/>
        </w:rPr>
        <w:t>within industries</w:t>
      </w:r>
      <w:r w:rsidR="002110F2">
        <w:t xml:space="preserve"> (that is, shift effects) was</w:t>
      </w:r>
      <w:r>
        <w:t xml:space="preserve"> the major contributor to changes in th</w:t>
      </w:r>
      <w:r w:rsidR="002110F2">
        <w:t xml:space="preserve">e prevalence of this </w:t>
      </w:r>
      <w:proofErr w:type="spellStart"/>
      <w:r w:rsidR="002110F2">
        <w:t>FOW</w:t>
      </w:r>
      <w:proofErr w:type="spellEnd"/>
      <w:r w:rsidR="002110F2">
        <w:t xml:space="preserve">. </w:t>
      </w:r>
      <w:r w:rsidR="004B72B2">
        <w:t>Although</w:t>
      </w:r>
      <w:r w:rsidR="002110F2">
        <w:t xml:space="preserve"> shifts</w:t>
      </w:r>
      <w:r>
        <w:t xml:space="preserve"> were apparent in all industries (except producer services in the non-mining states), </w:t>
      </w:r>
      <w:r w:rsidR="002110F2">
        <w:t xml:space="preserve">they were disproportionately strong in </w:t>
      </w:r>
      <w:r>
        <w:t>construction, retail and transport, postal and warehousing.</w:t>
      </w:r>
    </w:p>
    <w:p w:rsidR="006044A7" w:rsidRDefault="006044A7" w:rsidP="006044A7">
      <w:pPr>
        <w:pStyle w:val="BodyText"/>
      </w:pPr>
      <w:r>
        <w:t xml:space="preserve">Within the mining states, these shifts away from </w:t>
      </w:r>
      <w:proofErr w:type="spellStart"/>
      <w:r>
        <w:t>OMUE</w:t>
      </w:r>
      <w:proofErr w:type="spellEnd"/>
      <w:r>
        <w:t xml:space="preserve"> employment within industries were coupled with increased numbers of permanent employees in all of these industries. In the non</w:t>
      </w:r>
      <w:r>
        <w:noBreakHyphen/>
        <w:t xml:space="preserve">mining states, </w:t>
      </w:r>
      <w:r w:rsidR="00050F40">
        <w:t>a</w:t>
      </w:r>
      <w:r>
        <w:t xml:space="preserve"> shift away from </w:t>
      </w:r>
      <w:proofErr w:type="spellStart"/>
      <w:r>
        <w:t>OMUE</w:t>
      </w:r>
      <w:proofErr w:type="spellEnd"/>
      <w:r>
        <w:t xml:space="preserve"> employment in construction was coupled with relatively fast growt</w:t>
      </w:r>
      <w:r w:rsidR="00050F40">
        <w:t>h in permanent employee numbers. However,</w:t>
      </w:r>
      <w:r>
        <w:t xml:space="preserve"> in the case of retail and transport the evidence suggests a shift into casual employment.</w:t>
      </w:r>
    </w:p>
    <w:p w:rsidR="006044A7" w:rsidRDefault="006044A7" w:rsidP="006044A7">
      <w:pPr>
        <w:pStyle w:val="BodyText"/>
      </w:pPr>
      <w:r>
        <w:t xml:space="preserve">These results support a hypothesis that the decline in the prevalence of </w:t>
      </w:r>
      <w:proofErr w:type="spellStart"/>
      <w:r>
        <w:t>OMUEs</w:t>
      </w:r>
      <w:proofErr w:type="spellEnd"/>
      <w:r>
        <w:t xml:space="preserve"> reflected lower rates of small business formation, or increased exits from this </w:t>
      </w:r>
      <w:proofErr w:type="spellStart"/>
      <w:r>
        <w:t>FOW</w:t>
      </w:r>
      <w:proofErr w:type="spellEnd"/>
      <w:r>
        <w:t>, not the effects of structural change at an industry level. In other words, on their own, the results suggest that workers became less likely to establish unincorporated enterprises (at least as their main source of employment), and more likely to work for someone else, over the decade. Possible reasons for this are discussed in section 4.5.</w:t>
      </w:r>
    </w:p>
    <w:p w:rsidR="006044A7" w:rsidRDefault="006044A7" w:rsidP="006044A7">
      <w:pPr>
        <w:pStyle w:val="Heading3"/>
      </w:pPr>
      <w:r>
        <w:t>At an occupation level</w:t>
      </w:r>
    </w:p>
    <w:p w:rsidR="006044A7" w:rsidRPr="00D952E8" w:rsidRDefault="006044A7" w:rsidP="006044A7">
      <w:pPr>
        <w:pStyle w:val="BodyText"/>
        <w:rPr>
          <w:spacing w:val="-2"/>
        </w:rPr>
      </w:pPr>
      <w:r w:rsidRPr="00D952E8">
        <w:rPr>
          <w:spacing w:val="-2"/>
        </w:rPr>
        <w:t xml:space="preserve">Share effects emerged as a more important explanation of prevalence changes in decompositions of growth in </w:t>
      </w:r>
      <w:proofErr w:type="spellStart"/>
      <w:r w:rsidRPr="00D952E8">
        <w:rPr>
          <w:spacing w:val="-2"/>
        </w:rPr>
        <w:t>FOWs</w:t>
      </w:r>
      <w:proofErr w:type="spellEnd"/>
      <w:r w:rsidRPr="00D952E8">
        <w:rPr>
          <w:spacing w:val="-2"/>
        </w:rPr>
        <w:t xml:space="preserve"> by occupation. </w:t>
      </w:r>
      <w:r>
        <w:rPr>
          <w:spacing w:val="-2"/>
        </w:rPr>
        <w:t>Permanent</w:t>
      </w:r>
      <w:r w:rsidRPr="00D952E8">
        <w:rPr>
          <w:spacing w:val="-2"/>
        </w:rPr>
        <w:t xml:space="preserve"> employees are more </w:t>
      </w:r>
      <w:r>
        <w:rPr>
          <w:spacing w:val="-2"/>
        </w:rPr>
        <w:t>prevalent</w:t>
      </w:r>
      <w:r w:rsidRPr="00D952E8">
        <w:rPr>
          <w:spacing w:val="-2"/>
        </w:rPr>
        <w:t xml:space="preserve"> in higher</w:t>
      </w:r>
      <w:r w:rsidRPr="00D952E8">
        <w:rPr>
          <w:spacing w:val="-2"/>
        </w:rPr>
        <w:noBreakHyphen/>
        <w:t>skilled occupations</w:t>
      </w:r>
      <w:r>
        <w:rPr>
          <w:spacing w:val="-2"/>
        </w:rPr>
        <w:t>,</w:t>
      </w:r>
      <w:r w:rsidR="00D77DCD">
        <w:rPr>
          <w:spacing w:val="-2"/>
        </w:rPr>
        <w:t xml:space="preserve"> with</w:t>
      </w:r>
      <w:r w:rsidRPr="00D952E8">
        <w:rPr>
          <w:spacing w:val="-2"/>
        </w:rPr>
        <w:t xml:space="preserve"> casuals </w:t>
      </w:r>
      <w:r w:rsidR="00D77DCD">
        <w:rPr>
          <w:spacing w:val="-2"/>
        </w:rPr>
        <w:t xml:space="preserve">more prevalent </w:t>
      </w:r>
      <w:r w:rsidRPr="00D952E8">
        <w:rPr>
          <w:spacing w:val="-2"/>
        </w:rPr>
        <w:t>in lower</w:t>
      </w:r>
      <w:r w:rsidRPr="00D952E8">
        <w:rPr>
          <w:spacing w:val="-2"/>
        </w:rPr>
        <w:noBreakHyphen/>
        <w:t xml:space="preserve">skilled </w:t>
      </w:r>
      <w:r w:rsidR="00D77DCD">
        <w:rPr>
          <w:spacing w:val="-2"/>
        </w:rPr>
        <w:t xml:space="preserve">occupations </w:t>
      </w:r>
      <w:r w:rsidRPr="00D952E8">
        <w:rPr>
          <w:spacing w:val="-2"/>
        </w:rPr>
        <w:t>(table </w:t>
      </w:r>
      <w:proofErr w:type="spellStart"/>
      <w:r w:rsidRPr="00D952E8">
        <w:rPr>
          <w:spacing w:val="-2"/>
        </w:rPr>
        <w:t>G.2</w:t>
      </w:r>
      <w:proofErr w:type="spellEnd"/>
      <w:r w:rsidRPr="00D952E8">
        <w:rPr>
          <w:spacing w:val="-2"/>
        </w:rPr>
        <w:t>). Relatively fast growth in higher</w:t>
      </w:r>
      <w:r w:rsidRPr="00D952E8">
        <w:rPr>
          <w:spacing w:val="-2"/>
        </w:rPr>
        <w:noBreakHyphen/>
        <w:t xml:space="preserve">skilled jobs across the decade, therefore, translated into increases in the prevalence of </w:t>
      </w:r>
      <w:r>
        <w:rPr>
          <w:spacing w:val="-2"/>
        </w:rPr>
        <w:t>permanent</w:t>
      </w:r>
      <w:r w:rsidRPr="00D952E8">
        <w:rPr>
          <w:spacing w:val="-2"/>
        </w:rPr>
        <w:t xml:space="preserve"> employees. Conversely, slower growth in lower</w:t>
      </w:r>
      <w:r w:rsidRPr="00D952E8">
        <w:rPr>
          <w:spacing w:val="-2"/>
        </w:rPr>
        <w:noBreakHyphen/>
        <w:t>skilled jobs was associated with declines in the prevalence of casual employment.</w:t>
      </w:r>
    </w:p>
    <w:p w:rsidR="006044A7" w:rsidRDefault="006044A7" w:rsidP="006044A7">
      <w:pPr>
        <w:pStyle w:val="BodyText"/>
      </w:pPr>
      <w:r>
        <w:t xml:space="preserve">In the mining states, these effects accounted for about half of the relatively slow growth of casual employment. Relatively fast growth of permanent employees within occupations (coupled with relatively slow growth of </w:t>
      </w:r>
      <w:proofErr w:type="spellStart"/>
      <w:r>
        <w:t>OMUEs</w:t>
      </w:r>
      <w:proofErr w:type="spellEnd"/>
      <w:r>
        <w:t>), however, remained the more important factor in changes in the prevalence of permanent employees. (That is, shift effects were a more important source of prevalence changes.) Relatively large shifts of this type were recorded for professionals and tradespersons.</w:t>
      </w:r>
    </w:p>
    <w:p w:rsidR="006044A7" w:rsidRDefault="006044A7" w:rsidP="006044A7">
      <w:pPr>
        <w:pStyle w:val="BodyText"/>
      </w:pPr>
      <w:r>
        <w:t>In the non</w:t>
      </w:r>
      <w:r>
        <w:noBreakHyphen/>
        <w:t xml:space="preserve">mining states, </w:t>
      </w:r>
      <w:r w:rsidR="004B72B2">
        <w:t>although</w:t>
      </w:r>
      <w:r>
        <w:t xml:space="preserve"> slower growth of lower</w:t>
      </w:r>
      <w:r>
        <w:noBreakHyphen/>
        <w:t xml:space="preserve">skilled occupations acted to reduce the prevalence of casual employment, the evidence suggests that this </w:t>
      </w:r>
      <w:r>
        <w:lastRenderedPageBreak/>
        <w:t>(share) effect was offset somewhat by a shift towards casual workers (primarily driven by activity in the New South Wales labour market).</w:t>
      </w:r>
      <w:r>
        <w:rPr>
          <w:rStyle w:val="FootnoteReference"/>
        </w:rPr>
        <w:footnoteReference w:id="14"/>
      </w:r>
      <w:r w:rsidRPr="00CD7033">
        <w:rPr>
          <w:rStyle w:val="FootnoteReference"/>
        </w:rPr>
        <w:t>,</w:t>
      </w:r>
      <w:r>
        <w:rPr>
          <w:rStyle w:val="FootnoteReference"/>
        </w:rPr>
        <w:footnoteReference w:id="15"/>
      </w:r>
    </w:p>
    <w:p w:rsidR="006044A7" w:rsidRDefault="006044A7" w:rsidP="006044A7">
      <w:pPr>
        <w:pStyle w:val="BodyText"/>
      </w:pPr>
      <w:r>
        <w:t xml:space="preserve">Share effects played little role in changes in the prevalence of </w:t>
      </w:r>
      <w:proofErr w:type="spellStart"/>
      <w:r>
        <w:t>OMUEs</w:t>
      </w:r>
      <w:proofErr w:type="spellEnd"/>
      <w:r>
        <w:t xml:space="preserve"> within mining states. However, contraction of employment in the occupation farmers and farm managers in the non</w:t>
      </w:r>
      <w:r>
        <w:noBreakHyphen/>
        <w:t>mining states</w:t>
      </w:r>
      <w:r w:rsidR="00D77DCD">
        <w:t xml:space="preserve"> (down by 29 per cent)</w:t>
      </w:r>
      <w:r>
        <w:t xml:space="preserve">, meant that share effects accounted for about 45 per cent of the change in the prevalence of </w:t>
      </w:r>
      <w:proofErr w:type="spellStart"/>
      <w:r>
        <w:t>OMUE</w:t>
      </w:r>
      <w:proofErr w:type="spellEnd"/>
      <w:r>
        <w:t xml:space="preserve"> employment in these states between 2001 and 2011.</w:t>
      </w:r>
    </w:p>
    <w:p w:rsidR="006044A7" w:rsidRDefault="006044A7" w:rsidP="006044A7">
      <w:pPr>
        <w:pStyle w:val="Heading3"/>
      </w:pPr>
      <w:r>
        <w:t>At a gender and full</w:t>
      </w:r>
      <w:r>
        <w:noBreakHyphen/>
        <w:t>time, part</w:t>
      </w:r>
      <w:r>
        <w:noBreakHyphen/>
        <w:t xml:space="preserve">time </w:t>
      </w:r>
      <w:r w:rsidR="00EE2017">
        <w:t xml:space="preserve">hours </w:t>
      </w:r>
      <w:r>
        <w:t>level</w:t>
      </w:r>
    </w:p>
    <w:p w:rsidR="006044A7" w:rsidRPr="00450BFA" w:rsidRDefault="006044A7" w:rsidP="006044A7">
      <w:pPr>
        <w:pStyle w:val="BodyText"/>
      </w:pPr>
      <w:r w:rsidRPr="00450BFA">
        <w:t>In the mining states, full- and part</w:t>
      </w:r>
      <w:r w:rsidRPr="00450BFA">
        <w:noBreakHyphen/>
        <w:t xml:space="preserve">time employment grew at close to the same rate in the decade to 2011, as did male and female employment. In the </w:t>
      </w:r>
      <w:r w:rsidR="00EE2017">
        <w:t>non</w:t>
      </w:r>
      <w:r w:rsidR="00EE2017">
        <w:noBreakHyphen/>
        <w:t>mining states</w:t>
      </w:r>
      <w:r w:rsidRPr="00450BFA">
        <w:t>, part</w:t>
      </w:r>
      <w:r w:rsidRPr="00450BFA">
        <w:noBreakHyphen/>
        <w:t>time work grew much more rapidly than full</w:t>
      </w:r>
      <w:r w:rsidRPr="00450BFA">
        <w:noBreakHyphen/>
        <w:t xml:space="preserve">time </w:t>
      </w:r>
      <w:r w:rsidR="00EE2017">
        <w:t>employment (38 </w:t>
      </w:r>
      <w:r w:rsidRPr="00450BFA">
        <w:t xml:space="preserve">versus 12 per cent), and female employment </w:t>
      </w:r>
      <w:r w:rsidR="00EE2017">
        <w:t>grew more rapidly than male employment (23 </w:t>
      </w:r>
      <w:r w:rsidRPr="00450BFA">
        <w:t>versus 16 per cent) (appendix H). The observation that net job creation was disproportionately part</w:t>
      </w:r>
      <w:r w:rsidRPr="00450BFA">
        <w:noBreakHyphen/>
        <w:t>time and female at a national level (section 4.1), therefore, reflects the experiences of the non</w:t>
      </w:r>
      <w:r w:rsidRPr="00450BFA">
        <w:noBreakHyphen/>
        <w:t>mining states.</w:t>
      </w:r>
    </w:p>
    <w:p w:rsidR="006044A7" w:rsidRDefault="006044A7" w:rsidP="006044A7">
      <w:pPr>
        <w:pStyle w:val="BodyText"/>
      </w:pPr>
      <w:r>
        <w:t>Because full</w:t>
      </w:r>
      <w:r>
        <w:noBreakHyphen/>
        <w:t xml:space="preserve"> and part</w:t>
      </w:r>
      <w:r>
        <w:noBreakHyphen/>
        <w:t xml:space="preserve">time, </w:t>
      </w:r>
      <w:r w:rsidR="001E2B28">
        <w:t>as well as</w:t>
      </w:r>
      <w:r>
        <w:t xml:space="preserve"> male and female, employment grew at similar rates in the mining states across the decade, share effects for each </w:t>
      </w:r>
      <w:proofErr w:type="spellStart"/>
      <w:r>
        <w:t>FOW</w:t>
      </w:r>
      <w:proofErr w:type="spellEnd"/>
      <w:r>
        <w:t xml:space="preserve"> were very small for this group of states (tables </w:t>
      </w:r>
      <w:proofErr w:type="spellStart"/>
      <w:r>
        <w:t>H.3</w:t>
      </w:r>
      <w:proofErr w:type="spellEnd"/>
      <w:r>
        <w:t xml:space="preserve"> to </w:t>
      </w:r>
      <w:proofErr w:type="spellStart"/>
      <w:r>
        <w:t>H.6</w:t>
      </w:r>
      <w:proofErr w:type="spellEnd"/>
      <w:r>
        <w:t xml:space="preserve">). In contrast, </w:t>
      </w:r>
      <w:r w:rsidR="00EE2017">
        <w:t>in the non</w:t>
      </w:r>
      <w:r w:rsidR="00EE2017">
        <w:noBreakHyphen/>
        <w:t xml:space="preserve">mining states, </w:t>
      </w:r>
      <w:r>
        <w:t>because permanent employees were much more likely to work full</w:t>
      </w:r>
      <w:r>
        <w:noBreakHyphen/>
        <w:t>time and casuals part</w:t>
      </w:r>
      <w:r>
        <w:noBreakHyphen/>
        <w:t>time (table </w:t>
      </w:r>
      <w:proofErr w:type="spellStart"/>
      <w:r>
        <w:t>H.2</w:t>
      </w:r>
      <w:proofErr w:type="spellEnd"/>
      <w:r>
        <w:t xml:space="preserve">), the differential rates of growth </w:t>
      </w:r>
      <w:r w:rsidR="00EE2017">
        <w:t>in full</w:t>
      </w:r>
      <w:r w:rsidR="00EE2017">
        <w:noBreakHyphen/>
        <w:t>time and part</w:t>
      </w:r>
      <w:r w:rsidR="00EE2017">
        <w:noBreakHyphen/>
        <w:t>time work</w:t>
      </w:r>
      <w:r>
        <w:t xml:space="preserve">, other things equal, would have been associated with a decline in the prevalence of permanent employees and an increase in that of casuals. Particularly strong shift effects meant that these outcomes were not observed. </w:t>
      </w:r>
      <w:r w:rsidR="004B72B2">
        <w:t>Although</w:t>
      </w:r>
      <w:r>
        <w:t xml:space="preserve"> </w:t>
      </w:r>
      <w:proofErr w:type="spellStart"/>
      <w:r>
        <w:t>OMUEs</w:t>
      </w:r>
      <w:proofErr w:type="spellEnd"/>
      <w:r>
        <w:t xml:space="preserve"> were more likely to work full</w:t>
      </w:r>
      <w:r>
        <w:noBreakHyphen/>
        <w:t>time, part</w:t>
      </w:r>
      <w:r>
        <w:noBreakHyphen/>
        <w:t xml:space="preserve">time employment was sufficiently common that relatively fast growth in </w:t>
      </w:r>
      <w:r w:rsidR="00EE2017">
        <w:t>part</w:t>
      </w:r>
      <w:r w:rsidR="00EE2017">
        <w:noBreakHyphen/>
        <w:t>time</w:t>
      </w:r>
      <w:r>
        <w:t xml:space="preserve"> employment in the non</w:t>
      </w:r>
      <w:r>
        <w:noBreakHyphen/>
        <w:t xml:space="preserve">mining states did not have an effect on the prevalence of </w:t>
      </w:r>
      <w:proofErr w:type="spellStart"/>
      <w:r>
        <w:t>OMUEs</w:t>
      </w:r>
      <w:proofErr w:type="spellEnd"/>
      <w:r>
        <w:t>. Again, shift effects were the key.</w:t>
      </w:r>
    </w:p>
    <w:p w:rsidR="006044A7" w:rsidRDefault="006044A7" w:rsidP="006044A7">
      <w:pPr>
        <w:pStyle w:val="BodyText"/>
      </w:pPr>
      <w:r>
        <w:t xml:space="preserve">In summary, shift effects were responsible for the prevalence changes recorded for permanent employees and </w:t>
      </w:r>
      <w:proofErr w:type="spellStart"/>
      <w:r>
        <w:t>OMUEs</w:t>
      </w:r>
      <w:proofErr w:type="spellEnd"/>
      <w:r>
        <w:t xml:space="preserve"> within both mining and non</w:t>
      </w:r>
      <w:r>
        <w:noBreakHyphen/>
        <w:t xml:space="preserve">mining states when changes in </w:t>
      </w:r>
      <w:proofErr w:type="spellStart"/>
      <w:r>
        <w:t>FOWs</w:t>
      </w:r>
      <w:proofErr w:type="spellEnd"/>
      <w:r>
        <w:t xml:space="preserve"> were decomposed by workers’ gender and </w:t>
      </w:r>
      <w:r w:rsidR="00450BFA">
        <w:t>full</w:t>
      </w:r>
      <w:r w:rsidR="00450BFA">
        <w:noBreakHyphen/>
        <w:t xml:space="preserve"> or part</w:t>
      </w:r>
      <w:r w:rsidR="00450BFA">
        <w:noBreakHyphen/>
        <w:t>time</w:t>
      </w:r>
      <w:r>
        <w:t xml:space="preserve"> work status.</w:t>
      </w:r>
    </w:p>
    <w:p w:rsidR="006044A7" w:rsidRDefault="006044A7" w:rsidP="006044A7">
      <w:pPr>
        <w:pStyle w:val="BodyText"/>
      </w:pPr>
      <w:r>
        <w:lastRenderedPageBreak/>
        <w:t>In the case of permanent employees, shift effects were positive for all groups of workers (that is, male and female full</w:t>
      </w:r>
      <w:r>
        <w:noBreakHyphen/>
        <w:t xml:space="preserve"> and part</w:t>
      </w:r>
      <w:r>
        <w:noBreakHyphen/>
        <w:t>time workers in mining and non</w:t>
      </w:r>
      <w:r>
        <w:noBreakHyphen/>
        <w:t>mining states) (table </w:t>
      </w:r>
      <w:proofErr w:type="spellStart"/>
      <w:r>
        <w:t>H.3</w:t>
      </w:r>
      <w:proofErr w:type="spellEnd"/>
      <w:r>
        <w:t xml:space="preserve">). </w:t>
      </w:r>
      <w:r w:rsidR="00450BFA">
        <w:t>Relatively rapid growth of permanent employee</w:t>
      </w:r>
      <w:r w:rsidR="00EE2017">
        <w:t>s</w:t>
      </w:r>
      <w:r w:rsidR="00450BFA">
        <w:t xml:space="preserve">, </w:t>
      </w:r>
      <w:r>
        <w:t xml:space="preserve">however, </w:t>
      </w:r>
      <w:r w:rsidR="00450BFA">
        <w:t>was</w:t>
      </w:r>
      <w:r>
        <w:t xml:space="preserve"> particularly strong among part</w:t>
      </w:r>
      <w:r>
        <w:noBreakHyphen/>
        <w:t>time work</w:t>
      </w:r>
      <w:r w:rsidR="00450BFA">
        <w:t>ers (especially women), and was</w:t>
      </w:r>
      <w:r>
        <w:t xml:space="preserve"> mirrored in relatively slow growth of casual employment among part</w:t>
      </w:r>
      <w:r w:rsidR="00450BFA">
        <w:noBreakHyphen/>
        <w:t>time</w:t>
      </w:r>
      <w:r>
        <w:t xml:space="preserve"> </w:t>
      </w:r>
      <w:r w:rsidR="00450BFA">
        <w:t xml:space="preserve">workers </w:t>
      </w:r>
      <w:r>
        <w:t>(table </w:t>
      </w:r>
      <w:proofErr w:type="spellStart"/>
      <w:r>
        <w:t>H.4</w:t>
      </w:r>
      <w:proofErr w:type="spellEnd"/>
      <w:r>
        <w:t>). As a result, the likelihood that a</w:t>
      </w:r>
      <w:r w:rsidR="001E2B28">
        <w:t xml:space="preserve"> part</w:t>
      </w:r>
      <w:r w:rsidR="001E2B28">
        <w:noBreakHyphen/>
        <w:t>time</w:t>
      </w:r>
      <w:r w:rsidR="00814F4F">
        <w:t xml:space="preserve"> worker</w:t>
      </w:r>
      <w:r w:rsidR="001E2B28">
        <w:t xml:space="preserve"> </w:t>
      </w:r>
      <w:r w:rsidR="00814F4F">
        <w:t>w</w:t>
      </w:r>
      <w:r w:rsidR="00450BFA">
        <w:t>as a permanent employee</w:t>
      </w:r>
      <w:r>
        <w:t xml:space="preserve"> increased over the decade. Overall, part</w:t>
      </w:r>
      <w:r>
        <w:noBreakHyphen/>
        <w:t xml:space="preserve">time workers accounted for 32 per cent of the net increase in permanent employee roles, in contrast with an employment share in this </w:t>
      </w:r>
      <w:proofErr w:type="spellStart"/>
      <w:r>
        <w:t>FOW</w:t>
      </w:r>
      <w:proofErr w:type="spellEnd"/>
      <w:r>
        <w:t xml:space="preserve"> of about 14 per cent in 2001.</w:t>
      </w:r>
    </w:p>
    <w:p w:rsidR="006044A7" w:rsidRPr="00B637D4" w:rsidRDefault="006044A7" w:rsidP="006044A7">
      <w:pPr>
        <w:pStyle w:val="BodyText"/>
        <w:rPr>
          <w:spacing w:val="-2"/>
        </w:rPr>
      </w:pPr>
      <w:r w:rsidRPr="00B637D4">
        <w:rPr>
          <w:spacing w:val="-2"/>
        </w:rPr>
        <w:t xml:space="preserve">In contrast, shifts away from </w:t>
      </w:r>
      <w:proofErr w:type="spellStart"/>
      <w:r w:rsidRPr="00B637D4">
        <w:rPr>
          <w:spacing w:val="-2"/>
        </w:rPr>
        <w:t>OMUE</w:t>
      </w:r>
      <w:proofErr w:type="spellEnd"/>
      <w:r w:rsidRPr="00B637D4">
        <w:rPr>
          <w:spacing w:val="-2"/>
        </w:rPr>
        <w:t xml:space="preserve"> employment occurred disproportionately among full</w:t>
      </w:r>
      <w:r w:rsidRPr="00B637D4">
        <w:rPr>
          <w:spacing w:val="-2"/>
        </w:rPr>
        <w:noBreakHyphen/>
        <w:t xml:space="preserve">time workers </w:t>
      </w:r>
      <w:r>
        <w:rPr>
          <w:spacing w:val="-2"/>
        </w:rPr>
        <w:t xml:space="preserve">(and were reflected in shifts towards permanent employee roles within this group) </w:t>
      </w:r>
      <w:r w:rsidRPr="00B637D4">
        <w:rPr>
          <w:spacing w:val="-2"/>
        </w:rPr>
        <w:t xml:space="preserve">(table </w:t>
      </w:r>
      <w:proofErr w:type="spellStart"/>
      <w:r w:rsidRPr="00B637D4">
        <w:rPr>
          <w:spacing w:val="-2"/>
        </w:rPr>
        <w:t>H.6</w:t>
      </w:r>
      <w:proofErr w:type="spellEnd"/>
      <w:r w:rsidRPr="00B637D4">
        <w:rPr>
          <w:spacing w:val="-2"/>
        </w:rPr>
        <w:t xml:space="preserve">). Nationally, the data suggest a very small increase in the prevalence of </w:t>
      </w:r>
      <w:proofErr w:type="spellStart"/>
      <w:r w:rsidRPr="00B637D4">
        <w:rPr>
          <w:spacing w:val="-2"/>
        </w:rPr>
        <w:t>OMUE</w:t>
      </w:r>
      <w:proofErr w:type="spellEnd"/>
      <w:r w:rsidRPr="00B637D4">
        <w:rPr>
          <w:spacing w:val="-2"/>
        </w:rPr>
        <w:t xml:space="preserve"> employment among part</w:t>
      </w:r>
      <w:r w:rsidRPr="00B637D4">
        <w:rPr>
          <w:spacing w:val="-2"/>
        </w:rPr>
        <w:noBreakHyphen/>
        <w:t xml:space="preserve">time workers. </w:t>
      </w:r>
      <w:r>
        <w:rPr>
          <w:spacing w:val="-2"/>
        </w:rPr>
        <w:t>This is consistent with a theory that part</w:t>
      </w:r>
      <w:r>
        <w:rPr>
          <w:spacing w:val="-2"/>
        </w:rPr>
        <w:noBreakHyphen/>
      </w:r>
      <w:r w:rsidR="00D428F2">
        <w:rPr>
          <w:spacing w:val="-2"/>
        </w:rPr>
        <w:t xml:space="preserve">time </w:t>
      </w:r>
      <w:r>
        <w:rPr>
          <w:spacing w:val="-2"/>
        </w:rPr>
        <w:t>workers seeking flexibilit</w:t>
      </w:r>
      <w:r w:rsidR="00EE2017">
        <w:rPr>
          <w:spacing w:val="-2"/>
        </w:rPr>
        <w:t>y might opt for self</w:t>
      </w:r>
      <w:r w:rsidR="00EE2017">
        <w:rPr>
          <w:spacing w:val="-2"/>
        </w:rPr>
        <w:noBreakHyphen/>
        <w:t>employment</w:t>
      </w:r>
      <w:r>
        <w:rPr>
          <w:spacing w:val="-2"/>
        </w:rPr>
        <w:t xml:space="preserve"> </w:t>
      </w:r>
      <w:r w:rsidR="00EE2017">
        <w:rPr>
          <w:spacing w:val="-2"/>
        </w:rPr>
        <w:t>(</w:t>
      </w:r>
      <w:r>
        <w:rPr>
          <w:spacing w:val="-2"/>
        </w:rPr>
        <w:t>but it was a very small change</w:t>
      </w:r>
      <w:r w:rsidR="00EE2017">
        <w:rPr>
          <w:spacing w:val="-2"/>
        </w:rPr>
        <w:t>)</w:t>
      </w:r>
      <w:r>
        <w:rPr>
          <w:spacing w:val="-2"/>
        </w:rPr>
        <w:t>.</w:t>
      </w:r>
    </w:p>
    <w:p w:rsidR="006044A7" w:rsidRDefault="006044A7" w:rsidP="006044A7">
      <w:pPr>
        <w:pStyle w:val="BodyText"/>
      </w:pPr>
      <w:r>
        <w:t>The hypothesis advanced in section 4.2 — that relatively fast growth in part</w:t>
      </w:r>
      <w:r>
        <w:noBreakHyphen/>
        <w:t>time employment would most likely have been associated with an increased prevalence of casuals — is not borne out by the analysis. Instead, the alternative hypothesis that workers primarily looked to balance work and family commitments via part</w:t>
      </w:r>
      <w:r>
        <w:noBreakHyphen/>
        <w:t>time permanent employee roles, and that this was facilitated by employers, is supported. Possible explanations for the relatively strong increase in the prevalence of part</w:t>
      </w:r>
      <w:r>
        <w:noBreakHyphen/>
        <w:t>time permanent employees are discussed in section 4.5.</w:t>
      </w:r>
    </w:p>
    <w:p w:rsidR="006044A7" w:rsidRDefault="006044A7" w:rsidP="006044A7">
      <w:pPr>
        <w:pStyle w:val="Heading3"/>
      </w:pPr>
      <w:r>
        <w:t>At an age cohort level</w:t>
      </w:r>
    </w:p>
    <w:p w:rsidR="006044A7" w:rsidRDefault="006044A7" w:rsidP="006044A7">
      <w:pPr>
        <w:pStyle w:val="BodyText"/>
      </w:pPr>
      <w:r>
        <w:t>As discussed above, relatively rapid employment growth among people aged 50 to 69 years might have been expected to translate into an increased prevalence of self</w:t>
      </w:r>
      <w:r>
        <w:noBreakHyphen/>
        <w:t>employment and casual work. The fact that this did not occur reflects the impact of relatively rapid employment growth among permanent employees in both the mining and non</w:t>
      </w:r>
      <w:r>
        <w:noBreakHyphen/>
        <w:t>mining states (appendix I). This phenomenon was observed among all age cohorts (with the exception of workers aged 15 to 24 years in the non</w:t>
      </w:r>
      <w:r>
        <w:noBreakHyphen/>
        <w:t xml:space="preserve">mining states), but was particularly strong among older workers. For example, nationally, workers aged 50 to 69 years accounted for 41 per cent of the shift effect for permanent employees, in contrast </w:t>
      </w:r>
      <w:r w:rsidR="001E2B28">
        <w:t>to</w:t>
      </w:r>
      <w:r>
        <w:t xml:space="preserve"> an employment share in 2001 of 19 per cent. In other words, as older Australians increasingly remained at work, rather than retiring, they were increasingly likely to do so in permanent employee roles and were less likely to be self</w:t>
      </w:r>
      <w:r>
        <w:noBreakHyphen/>
        <w:t>employed — </w:t>
      </w:r>
      <w:r w:rsidR="001E2B28">
        <w:t>contrary to</w:t>
      </w:r>
      <w:r>
        <w:t xml:space="preserve"> the hypothesis advanced in section 4.2.</w:t>
      </w:r>
    </w:p>
    <w:p w:rsidR="006044A7" w:rsidRPr="00D722E5" w:rsidRDefault="006044A7" w:rsidP="006044A7">
      <w:pPr>
        <w:pStyle w:val="BodyText"/>
        <w:rPr>
          <w:spacing w:val="-2"/>
        </w:rPr>
      </w:pPr>
      <w:r w:rsidRPr="00D722E5">
        <w:rPr>
          <w:spacing w:val="-2"/>
        </w:rPr>
        <w:lastRenderedPageBreak/>
        <w:t xml:space="preserve">Relatively slow growth in </w:t>
      </w:r>
      <w:proofErr w:type="spellStart"/>
      <w:r w:rsidRPr="00D722E5">
        <w:rPr>
          <w:spacing w:val="-2"/>
        </w:rPr>
        <w:t>OMUE</w:t>
      </w:r>
      <w:proofErr w:type="spellEnd"/>
      <w:r w:rsidRPr="00D722E5">
        <w:rPr>
          <w:spacing w:val="-2"/>
        </w:rPr>
        <w:t xml:space="preserve"> employment across age cohorts might have been due to either (or both) a decline in the rate at which workers entered self</w:t>
      </w:r>
      <w:r w:rsidRPr="00D722E5">
        <w:rPr>
          <w:spacing w:val="-2"/>
        </w:rPr>
        <w:noBreakHyphen/>
        <w:t xml:space="preserve">employment, or an increase in the rate at which they exited that </w:t>
      </w:r>
      <w:proofErr w:type="spellStart"/>
      <w:r w:rsidRPr="00D722E5">
        <w:rPr>
          <w:spacing w:val="-2"/>
        </w:rPr>
        <w:t>FOW</w:t>
      </w:r>
      <w:proofErr w:type="spellEnd"/>
      <w:r w:rsidRPr="00D722E5">
        <w:rPr>
          <w:spacing w:val="-2"/>
        </w:rPr>
        <w:t xml:space="preserve">. </w:t>
      </w:r>
      <w:proofErr w:type="spellStart"/>
      <w:r w:rsidRPr="00D722E5">
        <w:rPr>
          <w:spacing w:val="-2"/>
        </w:rPr>
        <w:t>Atalay</w:t>
      </w:r>
      <w:proofErr w:type="spellEnd"/>
      <w:r w:rsidRPr="00D722E5">
        <w:rPr>
          <w:spacing w:val="-2"/>
        </w:rPr>
        <w:t xml:space="preserve"> et al. (2013</w:t>
      </w:r>
      <w:r>
        <w:rPr>
          <w:spacing w:val="-2"/>
        </w:rPr>
        <w:t>)</w:t>
      </w:r>
      <w:r w:rsidRPr="00D722E5">
        <w:rPr>
          <w:spacing w:val="-2"/>
        </w:rPr>
        <w:t xml:space="preserve"> </w:t>
      </w:r>
      <w:r>
        <w:rPr>
          <w:spacing w:val="-2"/>
        </w:rPr>
        <w:t xml:space="preserve">analyse </w:t>
      </w:r>
      <w:r w:rsidRPr="00D722E5">
        <w:rPr>
          <w:spacing w:val="-2"/>
        </w:rPr>
        <w:t xml:space="preserve">entry and exit rates and conclude that ‘it appears to be the case that entry to, </w:t>
      </w:r>
      <w:r w:rsidR="001E2B28">
        <w:rPr>
          <w:spacing w:val="-2"/>
        </w:rPr>
        <w:t>rather than</w:t>
      </w:r>
      <w:r w:rsidRPr="00D722E5">
        <w:rPr>
          <w:spacing w:val="-2"/>
        </w:rPr>
        <w:t xml:space="preserve"> exit from, self</w:t>
      </w:r>
      <w:r w:rsidRPr="00D722E5">
        <w:rPr>
          <w:spacing w:val="-2"/>
        </w:rPr>
        <w:noBreakHyphen/>
        <w:t>employment has decreased, especially for older people’</w:t>
      </w:r>
      <w:r>
        <w:rPr>
          <w:spacing w:val="-2"/>
        </w:rPr>
        <w:t xml:space="preserve"> (</w:t>
      </w:r>
      <w:r w:rsidRPr="00D722E5">
        <w:rPr>
          <w:spacing w:val="-2"/>
        </w:rPr>
        <w:t>p. 10).</w:t>
      </w:r>
    </w:p>
    <w:p w:rsidR="006044A7" w:rsidRDefault="004B72B2" w:rsidP="006044A7">
      <w:pPr>
        <w:pStyle w:val="BodyText"/>
      </w:pPr>
      <w:r>
        <w:t>Although</w:t>
      </w:r>
      <w:r w:rsidR="006044A7">
        <w:t xml:space="preserve"> the increase in permanent employee roles was relatively rapid among part</w:t>
      </w:r>
      <w:r w:rsidR="006044A7">
        <w:noBreakHyphen/>
        <w:t>time workers, and among workers aged 50 to 69 years, part</w:t>
      </w:r>
      <w:r w:rsidR="006044A7">
        <w:noBreakHyphen/>
        <w:t>time roles accounted for only about 40 per cent of the shift effect for older workers (appendix I). In other words, it was not the case that the majority of the shift towards permanent employees was accounted for by older workers employed on a part</w:t>
      </w:r>
      <w:r w:rsidR="006044A7">
        <w:noBreakHyphen/>
        <w:t>time basis in 2011.</w:t>
      </w:r>
    </w:p>
    <w:p w:rsidR="006044A7" w:rsidRDefault="006044A7" w:rsidP="006044A7">
      <w:pPr>
        <w:pStyle w:val="BodyText"/>
      </w:pPr>
      <w:r>
        <w:t>These indicate that older workers became increasingly likely to be employed in permanent employee roles over the decade. Possible explanations for this conclusion are discussed below.</w:t>
      </w:r>
    </w:p>
    <w:p w:rsidR="006044A7" w:rsidRDefault="006044A7" w:rsidP="006044A7">
      <w:pPr>
        <w:pStyle w:val="Heading3"/>
      </w:pPr>
      <w:r>
        <w:t>Summary of the shift–share results</w:t>
      </w:r>
    </w:p>
    <w:p w:rsidR="006044A7" w:rsidRDefault="006044A7" w:rsidP="006044A7">
      <w:pPr>
        <w:pStyle w:val="BodyText"/>
      </w:pPr>
      <w:r>
        <w:t>This summary,</w:t>
      </w:r>
      <w:r w:rsidRPr="00674656">
        <w:t xml:space="preserve"> </w:t>
      </w:r>
      <w:r>
        <w:t>and the subsequent discussion, focus</w:t>
      </w:r>
      <w:r w:rsidRPr="00674656">
        <w:t xml:space="preserve"> on </w:t>
      </w:r>
      <w:r>
        <w:t>permanent</w:t>
      </w:r>
      <w:r w:rsidRPr="00674656">
        <w:t xml:space="preserve"> employees and </w:t>
      </w:r>
      <w:proofErr w:type="spellStart"/>
      <w:r w:rsidRPr="00674656">
        <w:t>OMUEs</w:t>
      </w:r>
      <w:proofErr w:type="spellEnd"/>
      <w:r w:rsidRPr="00674656">
        <w:t xml:space="preserve"> as these </w:t>
      </w:r>
      <w:r>
        <w:t xml:space="preserve">were the </w:t>
      </w:r>
      <w:proofErr w:type="spellStart"/>
      <w:r w:rsidRPr="00674656">
        <w:t>FOWs</w:t>
      </w:r>
      <w:proofErr w:type="spellEnd"/>
      <w:r w:rsidRPr="00674656">
        <w:t xml:space="preserve"> </w:t>
      </w:r>
      <w:r>
        <w:t xml:space="preserve">that </w:t>
      </w:r>
      <w:r w:rsidR="001E2B28">
        <w:t>displayed</w:t>
      </w:r>
      <w:r>
        <w:t xml:space="preserve"> marked prevalence changes.</w:t>
      </w:r>
    </w:p>
    <w:p w:rsidR="006044A7" w:rsidRPr="00674656" w:rsidRDefault="006044A7" w:rsidP="006044A7">
      <w:pPr>
        <w:pStyle w:val="BodyText"/>
      </w:pPr>
      <w:r>
        <w:t>In the state</w:t>
      </w:r>
      <w:r>
        <w:noBreakHyphen/>
        <w:t>level analysis, t</w:t>
      </w:r>
      <w:r w:rsidRPr="00674656">
        <w:t xml:space="preserve">he increased prevalence of </w:t>
      </w:r>
      <w:r>
        <w:t>permanent</w:t>
      </w:r>
      <w:r w:rsidRPr="00674656">
        <w:t xml:space="preserve"> employees</w:t>
      </w:r>
      <w:r>
        <w:t xml:space="preserve"> and the decline in the</w:t>
      </w:r>
      <w:r w:rsidRPr="00674656">
        <w:t xml:space="preserve"> share of </w:t>
      </w:r>
      <w:proofErr w:type="spellStart"/>
      <w:r w:rsidRPr="00674656">
        <w:t>OMUEs</w:t>
      </w:r>
      <w:proofErr w:type="spellEnd"/>
      <w:r w:rsidRPr="00674656">
        <w:t xml:space="preserve"> in employment</w:t>
      </w:r>
      <w:r>
        <w:t xml:space="preserve"> between 2001 and 2011</w:t>
      </w:r>
      <w:r w:rsidRPr="00674656">
        <w:t xml:space="preserve"> were due entirely to factors at work within states (shift effects)</w:t>
      </w:r>
      <w:r>
        <w:t>. T</w:t>
      </w:r>
      <w:r w:rsidRPr="00674656">
        <w:t xml:space="preserve">he mining states accounted for a disproportionate share of </w:t>
      </w:r>
      <w:r>
        <w:t>these shift effects and, as a result, p</w:t>
      </w:r>
      <w:r w:rsidRPr="00674656">
        <w:t xml:space="preserve">revalence changes were much more pronounced within </w:t>
      </w:r>
      <w:r>
        <w:t>this state grouping</w:t>
      </w:r>
      <w:r w:rsidRPr="00674656">
        <w:t xml:space="preserve"> (table 4.2).</w:t>
      </w:r>
      <w:r>
        <w:rPr>
          <w:rStyle w:val="FootnoteReference"/>
        </w:rPr>
        <w:footnoteReference w:id="16"/>
      </w:r>
    </w:p>
    <w:p w:rsidR="006044A7" w:rsidRDefault="006044A7" w:rsidP="006044A7">
      <w:pPr>
        <w:pStyle w:val="TableTitle"/>
      </w:pPr>
      <w:r>
        <w:rPr>
          <w:b w:val="0"/>
        </w:rPr>
        <w:t xml:space="preserve">Table </w:t>
      </w:r>
      <w:bookmarkStart w:id="13" w:name="OLE_LINK14"/>
      <w:r>
        <w:rPr>
          <w:b w:val="0"/>
        </w:rPr>
        <w:t>4.</w:t>
      </w:r>
      <w:r>
        <w:rPr>
          <w:b w:val="0"/>
          <w:noProof/>
        </w:rPr>
        <w:t>2</w:t>
      </w:r>
      <w:bookmarkEnd w:id="13"/>
      <w:r>
        <w:tab/>
        <w:t xml:space="preserve">Changes in the prevalence of different </w:t>
      </w:r>
      <w:proofErr w:type="spellStart"/>
      <w:r>
        <w:t>FOWs</w:t>
      </w:r>
      <w:proofErr w:type="spellEnd"/>
      <w:r>
        <w:t xml:space="preserve"> over the decade to 2011</w:t>
      </w:r>
      <w:r w:rsidR="008E4C95">
        <w:t>,</w:t>
      </w:r>
      <w:r>
        <w:t xml:space="preserve"> by state grouping</w:t>
      </w:r>
    </w:p>
    <w:p w:rsidR="006044A7" w:rsidRDefault="006044A7" w:rsidP="006044A7">
      <w:pPr>
        <w:pStyle w:val="Subtitle"/>
      </w:pPr>
      <w:r>
        <w:t>Percentage points</w:t>
      </w:r>
    </w:p>
    <w:tbl>
      <w:tblPr>
        <w:tblW w:w="5000" w:type="pct"/>
        <w:tblLayout w:type="fixed"/>
        <w:tblCellMar>
          <w:left w:w="0" w:type="dxa"/>
          <w:right w:w="0" w:type="dxa"/>
        </w:tblCellMar>
        <w:tblLook w:val="04A0" w:firstRow="1" w:lastRow="0" w:firstColumn="1" w:lastColumn="0" w:noHBand="0" w:noVBand="1"/>
      </w:tblPr>
      <w:tblGrid>
        <w:gridCol w:w="1559"/>
        <w:gridCol w:w="1986"/>
        <w:gridCol w:w="1846"/>
        <w:gridCol w:w="1846"/>
        <w:gridCol w:w="1552"/>
      </w:tblGrid>
      <w:tr w:rsidR="006044A7" w:rsidRPr="002E092C" w:rsidTr="00EC70C7">
        <w:trPr>
          <w:trHeight w:val="300"/>
        </w:trPr>
        <w:tc>
          <w:tcPr>
            <w:tcW w:w="887" w:type="pct"/>
            <w:tcBorders>
              <w:top w:val="single" w:sz="6" w:space="0" w:color="auto"/>
              <w:left w:val="nil"/>
              <w:right w:val="nil"/>
            </w:tcBorders>
            <w:shd w:val="clear" w:color="auto" w:fill="auto"/>
            <w:noWrap/>
            <w:vAlign w:val="bottom"/>
            <w:hideMark/>
          </w:tcPr>
          <w:p w:rsidR="006044A7" w:rsidRPr="002E092C" w:rsidRDefault="006044A7" w:rsidP="00EC70C7">
            <w:pPr>
              <w:pStyle w:val="TableColumnHeading"/>
            </w:pPr>
          </w:p>
        </w:tc>
        <w:tc>
          <w:tcPr>
            <w:tcW w:w="1130" w:type="pct"/>
            <w:tcBorders>
              <w:top w:val="single" w:sz="6" w:space="0" w:color="auto"/>
              <w:left w:val="nil"/>
              <w:bottom w:val="single" w:sz="4" w:space="0" w:color="auto"/>
              <w:right w:val="nil"/>
            </w:tcBorders>
            <w:shd w:val="clear" w:color="auto" w:fill="auto"/>
            <w:noWrap/>
            <w:vAlign w:val="bottom"/>
            <w:hideMark/>
          </w:tcPr>
          <w:p w:rsidR="006044A7" w:rsidRPr="002E092C" w:rsidRDefault="006044A7" w:rsidP="00EC70C7">
            <w:pPr>
              <w:pStyle w:val="TableColumnHeading"/>
            </w:pPr>
            <w:r>
              <w:t>Permanent</w:t>
            </w:r>
            <w:r w:rsidRPr="002E092C">
              <w:t xml:space="preserve"> employees</w:t>
            </w:r>
          </w:p>
        </w:tc>
        <w:tc>
          <w:tcPr>
            <w:tcW w:w="1049" w:type="pct"/>
            <w:tcBorders>
              <w:top w:val="single" w:sz="6" w:space="0" w:color="auto"/>
              <w:left w:val="nil"/>
              <w:bottom w:val="single" w:sz="4" w:space="0" w:color="auto"/>
              <w:right w:val="nil"/>
            </w:tcBorders>
            <w:shd w:val="clear" w:color="auto" w:fill="auto"/>
            <w:noWrap/>
            <w:vAlign w:val="bottom"/>
            <w:hideMark/>
          </w:tcPr>
          <w:p w:rsidR="006044A7" w:rsidRPr="002E092C" w:rsidRDefault="006044A7" w:rsidP="00EC70C7">
            <w:pPr>
              <w:pStyle w:val="TableColumnHeading"/>
            </w:pPr>
            <w:r w:rsidRPr="002E092C">
              <w:t>Casuals</w:t>
            </w:r>
          </w:p>
        </w:tc>
        <w:tc>
          <w:tcPr>
            <w:tcW w:w="1050" w:type="pct"/>
            <w:tcBorders>
              <w:top w:val="single" w:sz="6" w:space="0" w:color="auto"/>
              <w:left w:val="nil"/>
              <w:bottom w:val="single" w:sz="4" w:space="0" w:color="auto"/>
              <w:right w:val="nil"/>
            </w:tcBorders>
            <w:shd w:val="clear" w:color="auto" w:fill="auto"/>
            <w:noWrap/>
            <w:vAlign w:val="bottom"/>
            <w:hideMark/>
          </w:tcPr>
          <w:p w:rsidR="006044A7" w:rsidRPr="002E092C" w:rsidRDefault="006044A7" w:rsidP="00EC70C7">
            <w:pPr>
              <w:pStyle w:val="TableColumnHeading"/>
            </w:pPr>
            <w:proofErr w:type="spellStart"/>
            <w:r w:rsidRPr="002E092C">
              <w:t>OMIEs</w:t>
            </w:r>
            <w:proofErr w:type="spellEnd"/>
          </w:p>
        </w:tc>
        <w:tc>
          <w:tcPr>
            <w:tcW w:w="884" w:type="pct"/>
            <w:tcBorders>
              <w:top w:val="single" w:sz="6" w:space="0" w:color="auto"/>
              <w:left w:val="nil"/>
              <w:bottom w:val="single" w:sz="4" w:space="0" w:color="auto"/>
              <w:right w:val="nil"/>
            </w:tcBorders>
            <w:shd w:val="clear" w:color="auto" w:fill="auto"/>
            <w:noWrap/>
            <w:vAlign w:val="bottom"/>
            <w:hideMark/>
          </w:tcPr>
          <w:p w:rsidR="006044A7" w:rsidRPr="002E092C" w:rsidRDefault="006044A7" w:rsidP="00EC70C7">
            <w:pPr>
              <w:pStyle w:val="TableColumnHeading"/>
              <w:ind w:right="28"/>
            </w:pPr>
            <w:proofErr w:type="spellStart"/>
            <w:r w:rsidRPr="002E092C">
              <w:t>OMUEs</w:t>
            </w:r>
            <w:proofErr w:type="spellEnd"/>
          </w:p>
        </w:tc>
      </w:tr>
      <w:tr w:rsidR="006044A7" w:rsidRPr="002E092C" w:rsidTr="00EC70C7">
        <w:trPr>
          <w:trHeight w:val="300"/>
        </w:trPr>
        <w:tc>
          <w:tcPr>
            <w:tcW w:w="887" w:type="pct"/>
            <w:tcBorders>
              <w:top w:val="single" w:sz="4" w:space="0" w:color="auto"/>
              <w:left w:val="nil"/>
              <w:right w:val="nil"/>
            </w:tcBorders>
            <w:shd w:val="clear" w:color="auto" w:fill="auto"/>
            <w:noWrap/>
            <w:vAlign w:val="bottom"/>
            <w:hideMark/>
          </w:tcPr>
          <w:p w:rsidR="006044A7" w:rsidRPr="002E092C" w:rsidRDefault="006044A7" w:rsidP="00EC70C7">
            <w:pPr>
              <w:pStyle w:val="TableBodyText"/>
              <w:jc w:val="left"/>
            </w:pPr>
            <w:r w:rsidRPr="002E092C">
              <w:t>Mining</w:t>
            </w:r>
          </w:p>
        </w:tc>
        <w:tc>
          <w:tcPr>
            <w:tcW w:w="1129" w:type="pct"/>
            <w:tcBorders>
              <w:top w:val="single" w:sz="4" w:space="0" w:color="auto"/>
              <w:left w:val="nil"/>
              <w:right w:val="nil"/>
            </w:tcBorders>
            <w:shd w:val="clear" w:color="auto" w:fill="auto"/>
            <w:noWrap/>
            <w:vAlign w:val="bottom"/>
            <w:hideMark/>
          </w:tcPr>
          <w:p w:rsidR="006044A7" w:rsidRPr="002E092C" w:rsidRDefault="006044A7" w:rsidP="00EC70C7">
            <w:pPr>
              <w:pStyle w:val="TableBodyText"/>
            </w:pPr>
            <w:r>
              <w:t>6.0</w:t>
            </w:r>
          </w:p>
        </w:tc>
        <w:tc>
          <w:tcPr>
            <w:tcW w:w="1050" w:type="pct"/>
            <w:tcBorders>
              <w:top w:val="single" w:sz="4" w:space="0" w:color="auto"/>
              <w:left w:val="nil"/>
              <w:right w:val="nil"/>
            </w:tcBorders>
            <w:shd w:val="clear" w:color="auto" w:fill="auto"/>
            <w:noWrap/>
            <w:vAlign w:val="bottom"/>
            <w:hideMark/>
          </w:tcPr>
          <w:p w:rsidR="006044A7" w:rsidRPr="002E092C" w:rsidRDefault="006044A7" w:rsidP="00EC70C7">
            <w:pPr>
              <w:pStyle w:val="TableBodyText"/>
            </w:pPr>
            <w:r>
              <w:t>-1.5</w:t>
            </w:r>
          </w:p>
        </w:tc>
        <w:tc>
          <w:tcPr>
            <w:tcW w:w="1050" w:type="pct"/>
            <w:tcBorders>
              <w:top w:val="single" w:sz="4" w:space="0" w:color="auto"/>
              <w:left w:val="nil"/>
              <w:right w:val="nil"/>
            </w:tcBorders>
            <w:shd w:val="clear" w:color="auto" w:fill="auto"/>
            <w:noWrap/>
            <w:vAlign w:val="bottom"/>
            <w:hideMark/>
          </w:tcPr>
          <w:p w:rsidR="006044A7" w:rsidRPr="002E092C" w:rsidRDefault="006044A7" w:rsidP="00EC70C7">
            <w:pPr>
              <w:pStyle w:val="TableBodyText"/>
            </w:pPr>
            <w:r>
              <w:t>0.2</w:t>
            </w:r>
          </w:p>
        </w:tc>
        <w:tc>
          <w:tcPr>
            <w:tcW w:w="884" w:type="pct"/>
            <w:tcBorders>
              <w:top w:val="single" w:sz="4" w:space="0" w:color="auto"/>
              <w:left w:val="nil"/>
              <w:right w:val="nil"/>
            </w:tcBorders>
            <w:shd w:val="clear" w:color="auto" w:fill="auto"/>
            <w:noWrap/>
            <w:vAlign w:val="bottom"/>
            <w:hideMark/>
          </w:tcPr>
          <w:p w:rsidR="006044A7" w:rsidRPr="002E092C" w:rsidRDefault="006044A7" w:rsidP="00EC70C7">
            <w:pPr>
              <w:pStyle w:val="TableBodyText"/>
            </w:pPr>
            <w:r>
              <w:t>-4.7</w:t>
            </w:r>
          </w:p>
        </w:tc>
      </w:tr>
      <w:tr w:rsidR="006044A7" w:rsidRPr="002E092C" w:rsidTr="00EC70C7">
        <w:trPr>
          <w:trHeight w:val="300"/>
        </w:trPr>
        <w:tc>
          <w:tcPr>
            <w:tcW w:w="887" w:type="pct"/>
            <w:tcBorders>
              <w:top w:val="nil"/>
              <w:left w:val="nil"/>
              <w:bottom w:val="nil"/>
              <w:right w:val="nil"/>
            </w:tcBorders>
            <w:shd w:val="clear" w:color="auto" w:fill="auto"/>
            <w:noWrap/>
            <w:vAlign w:val="bottom"/>
            <w:hideMark/>
          </w:tcPr>
          <w:p w:rsidR="006044A7" w:rsidRPr="002E092C" w:rsidRDefault="006044A7" w:rsidP="00EC70C7">
            <w:pPr>
              <w:pStyle w:val="TableBodyText"/>
              <w:jc w:val="left"/>
            </w:pPr>
            <w:r w:rsidRPr="002E092C">
              <w:t>Non-mining</w:t>
            </w:r>
          </w:p>
        </w:tc>
        <w:tc>
          <w:tcPr>
            <w:tcW w:w="1129" w:type="pct"/>
            <w:tcBorders>
              <w:left w:val="nil"/>
              <w:right w:val="nil"/>
            </w:tcBorders>
            <w:shd w:val="clear" w:color="auto" w:fill="auto"/>
            <w:noWrap/>
            <w:vAlign w:val="bottom"/>
            <w:hideMark/>
          </w:tcPr>
          <w:p w:rsidR="006044A7" w:rsidRPr="002E092C" w:rsidRDefault="006044A7" w:rsidP="00EC70C7">
            <w:pPr>
              <w:pStyle w:val="TableBodyText"/>
            </w:pPr>
            <w:r>
              <w:t>1.7</w:t>
            </w:r>
          </w:p>
        </w:tc>
        <w:tc>
          <w:tcPr>
            <w:tcW w:w="1050" w:type="pct"/>
            <w:tcBorders>
              <w:left w:val="nil"/>
              <w:right w:val="nil"/>
            </w:tcBorders>
            <w:shd w:val="clear" w:color="auto" w:fill="auto"/>
            <w:noWrap/>
            <w:vAlign w:val="bottom"/>
            <w:hideMark/>
          </w:tcPr>
          <w:p w:rsidR="006044A7" w:rsidRPr="002E092C" w:rsidRDefault="006044A7" w:rsidP="00EC70C7">
            <w:pPr>
              <w:pStyle w:val="TableBodyText"/>
            </w:pPr>
            <w:r>
              <w:t>0.5</w:t>
            </w:r>
          </w:p>
        </w:tc>
        <w:tc>
          <w:tcPr>
            <w:tcW w:w="1050" w:type="pct"/>
            <w:tcBorders>
              <w:left w:val="nil"/>
              <w:right w:val="nil"/>
            </w:tcBorders>
            <w:shd w:val="clear" w:color="auto" w:fill="auto"/>
            <w:noWrap/>
            <w:vAlign w:val="bottom"/>
            <w:hideMark/>
          </w:tcPr>
          <w:p w:rsidR="006044A7" w:rsidRPr="002E092C" w:rsidRDefault="006044A7" w:rsidP="00EC70C7">
            <w:pPr>
              <w:pStyle w:val="TableBodyText"/>
            </w:pPr>
            <w:r>
              <w:t>0.1</w:t>
            </w:r>
          </w:p>
        </w:tc>
        <w:tc>
          <w:tcPr>
            <w:tcW w:w="884" w:type="pct"/>
            <w:tcBorders>
              <w:left w:val="nil"/>
              <w:right w:val="nil"/>
            </w:tcBorders>
            <w:shd w:val="clear" w:color="auto" w:fill="auto"/>
            <w:noWrap/>
            <w:vAlign w:val="bottom"/>
            <w:hideMark/>
          </w:tcPr>
          <w:p w:rsidR="006044A7" w:rsidRPr="002E092C" w:rsidRDefault="006044A7" w:rsidP="00EC70C7">
            <w:pPr>
              <w:pStyle w:val="TableBodyText"/>
            </w:pPr>
            <w:r>
              <w:t>-2.4</w:t>
            </w:r>
          </w:p>
        </w:tc>
      </w:tr>
      <w:tr w:rsidR="006044A7" w:rsidRPr="002E092C" w:rsidTr="00EC70C7">
        <w:trPr>
          <w:trHeight w:val="300"/>
        </w:trPr>
        <w:tc>
          <w:tcPr>
            <w:tcW w:w="887" w:type="pct"/>
            <w:tcBorders>
              <w:top w:val="nil"/>
              <w:left w:val="nil"/>
              <w:bottom w:val="single" w:sz="4" w:space="0" w:color="auto"/>
              <w:right w:val="nil"/>
            </w:tcBorders>
            <w:shd w:val="clear" w:color="auto" w:fill="auto"/>
            <w:noWrap/>
            <w:vAlign w:val="bottom"/>
          </w:tcPr>
          <w:p w:rsidR="006044A7" w:rsidRPr="002E092C" w:rsidRDefault="006044A7" w:rsidP="00EC70C7">
            <w:pPr>
              <w:pStyle w:val="TableBodyText"/>
              <w:jc w:val="left"/>
            </w:pPr>
            <w:r>
              <w:t>Australia</w:t>
            </w:r>
          </w:p>
        </w:tc>
        <w:tc>
          <w:tcPr>
            <w:tcW w:w="1129" w:type="pct"/>
            <w:tcBorders>
              <w:left w:val="nil"/>
              <w:bottom w:val="single" w:sz="4" w:space="0" w:color="auto"/>
              <w:right w:val="nil"/>
            </w:tcBorders>
            <w:shd w:val="clear" w:color="auto" w:fill="auto"/>
            <w:noWrap/>
            <w:vAlign w:val="bottom"/>
          </w:tcPr>
          <w:p w:rsidR="006044A7" w:rsidRDefault="006044A7" w:rsidP="00EC70C7">
            <w:pPr>
              <w:pStyle w:val="TableBodyText"/>
            </w:pPr>
            <w:r>
              <w:t>3.0</w:t>
            </w:r>
          </w:p>
        </w:tc>
        <w:tc>
          <w:tcPr>
            <w:tcW w:w="1050" w:type="pct"/>
            <w:tcBorders>
              <w:left w:val="nil"/>
              <w:bottom w:val="single" w:sz="4" w:space="0" w:color="auto"/>
              <w:right w:val="nil"/>
            </w:tcBorders>
            <w:shd w:val="clear" w:color="auto" w:fill="auto"/>
            <w:noWrap/>
            <w:vAlign w:val="bottom"/>
          </w:tcPr>
          <w:p w:rsidR="006044A7" w:rsidRDefault="006044A7" w:rsidP="00EC70C7">
            <w:pPr>
              <w:pStyle w:val="TableBodyText"/>
            </w:pPr>
            <w:r>
              <w:t>–</w:t>
            </w:r>
          </w:p>
        </w:tc>
        <w:tc>
          <w:tcPr>
            <w:tcW w:w="1050" w:type="pct"/>
            <w:tcBorders>
              <w:left w:val="nil"/>
              <w:bottom w:val="single" w:sz="4" w:space="0" w:color="auto"/>
              <w:right w:val="nil"/>
            </w:tcBorders>
            <w:shd w:val="clear" w:color="auto" w:fill="auto"/>
            <w:noWrap/>
            <w:vAlign w:val="bottom"/>
          </w:tcPr>
          <w:p w:rsidR="006044A7" w:rsidRDefault="006044A7" w:rsidP="00EC70C7">
            <w:pPr>
              <w:pStyle w:val="TableBodyText"/>
            </w:pPr>
            <w:r>
              <w:t>0.1</w:t>
            </w:r>
          </w:p>
        </w:tc>
        <w:tc>
          <w:tcPr>
            <w:tcW w:w="884" w:type="pct"/>
            <w:tcBorders>
              <w:left w:val="nil"/>
              <w:bottom w:val="single" w:sz="4" w:space="0" w:color="auto"/>
              <w:right w:val="nil"/>
            </w:tcBorders>
            <w:shd w:val="clear" w:color="auto" w:fill="auto"/>
            <w:noWrap/>
            <w:vAlign w:val="bottom"/>
          </w:tcPr>
          <w:p w:rsidR="006044A7" w:rsidRDefault="006044A7" w:rsidP="00EC70C7">
            <w:pPr>
              <w:pStyle w:val="TableBodyText"/>
            </w:pPr>
            <w:r>
              <w:t>-3.0</w:t>
            </w:r>
          </w:p>
        </w:tc>
      </w:tr>
    </w:tbl>
    <w:p w:rsidR="006044A7" w:rsidRPr="009C4FCA" w:rsidRDefault="006044A7" w:rsidP="006044A7">
      <w:pPr>
        <w:pStyle w:val="Note"/>
      </w:pPr>
      <w:r>
        <w:t>– Nil</w:t>
      </w:r>
    </w:p>
    <w:p w:rsidR="006044A7" w:rsidRPr="00701DFD" w:rsidRDefault="006044A7" w:rsidP="006044A7">
      <w:pPr>
        <w:pStyle w:val="Source"/>
        <w:rPr>
          <w:spacing w:val="-2"/>
        </w:rPr>
      </w:pPr>
      <w:r w:rsidRPr="00701DFD">
        <w:rPr>
          <w:i/>
          <w:spacing w:val="-2"/>
        </w:rPr>
        <w:t>Source</w:t>
      </w:r>
      <w:r w:rsidRPr="00701DFD">
        <w:rPr>
          <w:spacing w:val="-2"/>
        </w:rPr>
        <w:t xml:space="preserve">: </w:t>
      </w:r>
      <w:r w:rsidR="008C7827">
        <w:rPr>
          <w:spacing w:val="-2"/>
        </w:rPr>
        <w:t xml:space="preserve">Authors’ </w:t>
      </w:r>
      <w:r w:rsidRPr="00701DFD">
        <w:rPr>
          <w:spacing w:val="-2"/>
        </w:rPr>
        <w:t>estimates based on ABS (</w:t>
      </w:r>
      <w:r w:rsidRPr="00701DFD">
        <w:rPr>
          <w:i/>
          <w:spacing w:val="-2"/>
        </w:rPr>
        <w:t>Australian Labour Market Statistics</w:t>
      </w:r>
      <w:r w:rsidRPr="00701DFD">
        <w:rPr>
          <w:spacing w:val="-2"/>
        </w:rPr>
        <w:t>, Cat. no. 6105.0).</w:t>
      </w:r>
    </w:p>
    <w:p w:rsidR="006044A7" w:rsidRDefault="006044A7" w:rsidP="006044A7">
      <w:pPr>
        <w:pStyle w:val="BodyText"/>
      </w:pPr>
      <w:r>
        <w:lastRenderedPageBreak/>
        <w:t>The fact that relatively large prevalence changes occurred in the mining states suggests that state</w:t>
      </w:r>
      <w:r>
        <w:noBreakHyphen/>
        <w:t>level factors, and not national</w:t>
      </w:r>
      <w:r>
        <w:noBreakHyphen/>
        <w:t xml:space="preserve">level changes, were </w:t>
      </w:r>
      <w:r w:rsidR="00EA590B">
        <w:t>the primary contributor to</w:t>
      </w:r>
      <w:r>
        <w:t xml:space="preserve"> changing employment shares of different </w:t>
      </w:r>
      <w:proofErr w:type="spellStart"/>
      <w:r>
        <w:t>FOWs</w:t>
      </w:r>
      <w:proofErr w:type="spellEnd"/>
      <w:r>
        <w:t>.</w:t>
      </w:r>
    </w:p>
    <w:p w:rsidR="006044A7" w:rsidRDefault="006044A7" w:rsidP="006044A7">
      <w:pPr>
        <w:pStyle w:val="BodyText"/>
        <w:rPr>
          <w:spacing w:val="-2"/>
        </w:rPr>
      </w:pPr>
      <w:r w:rsidRPr="00FD1A30">
        <w:rPr>
          <w:spacing w:val="-2"/>
        </w:rPr>
        <w:t xml:space="preserve">Structural change at an industry level (share effects) explained little of the changes in the prevalence of </w:t>
      </w:r>
      <w:r>
        <w:rPr>
          <w:spacing w:val="-2"/>
        </w:rPr>
        <w:t>permanent</w:t>
      </w:r>
      <w:r w:rsidRPr="00FD1A30">
        <w:rPr>
          <w:spacing w:val="-2"/>
        </w:rPr>
        <w:t xml:space="preserve"> and </w:t>
      </w:r>
      <w:proofErr w:type="spellStart"/>
      <w:r w:rsidRPr="00FD1A30">
        <w:rPr>
          <w:spacing w:val="-2"/>
        </w:rPr>
        <w:t>OMUE</w:t>
      </w:r>
      <w:proofErr w:type="spellEnd"/>
      <w:r w:rsidRPr="00FD1A30">
        <w:rPr>
          <w:spacing w:val="-2"/>
        </w:rPr>
        <w:t xml:space="preserve"> employment within either mining or non</w:t>
      </w:r>
      <w:r w:rsidRPr="00FD1A30">
        <w:rPr>
          <w:spacing w:val="-2"/>
        </w:rPr>
        <w:noBreakHyphen/>
        <w:t>mining states; shift effects were key, indicating that prevalence changes did not have an industry</w:t>
      </w:r>
      <w:r w:rsidRPr="00FD1A30">
        <w:rPr>
          <w:spacing w:val="-2"/>
        </w:rPr>
        <w:noBreakHyphen/>
        <w:t xml:space="preserve">specific source (table 4.3). Increases in the prevalence of </w:t>
      </w:r>
      <w:r>
        <w:rPr>
          <w:spacing w:val="-2"/>
        </w:rPr>
        <w:t>permanent</w:t>
      </w:r>
      <w:r w:rsidRPr="00FD1A30">
        <w:rPr>
          <w:spacing w:val="-2"/>
        </w:rPr>
        <w:t xml:space="preserve"> employees occurred in all industries in the mining states, and in most industries in the non-mining states. Similarly, </w:t>
      </w:r>
      <w:proofErr w:type="spellStart"/>
      <w:r w:rsidRPr="00FD1A30">
        <w:rPr>
          <w:spacing w:val="-2"/>
        </w:rPr>
        <w:t>OMUEs</w:t>
      </w:r>
      <w:proofErr w:type="spellEnd"/>
      <w:r w:rsidRPr="00FD1A30">
        <w:rPr>
          <w:spacing w:val="-2"/>
        </w:rPr>
        <w:t xml:space="preserve"> became less prevalent in all industries (except producer services in the non</w:t>
      </w:r>
      <w:r w:rsidRPr="00FD1A30">
        <w:rPr>
          <w:spacing w:val="-2"/>
        </w:rPr>
        <w:noBreakHyphen/>
        <w:t>mining states), but particularly in construction, retail and transport, postal and warehousing. Across the decade, the likelihood that a worker was an employee, and not in self</w:t>
      </w:r>
      <w:r w:rsidRPr="00FD1A30">
        <w:rPr>
          <w:spacing w:val="-2"/>
        </w:rPr>
        <w:noBreakHyphen/>
        <w:t>employment, increased.</w:t>
      </w:r>
    </w:p>
    <w:p w:rsidR="007472B8" w:rsidRDefault="007472B8" w:rsidP="007472B8">
      <w:pPr>
        <w:pStyle w:val="TableTitle"/>
      </w:pPr>
      <w:r>
        <w:rPr>
          <w:b w:val="0"/>
        </w:rPr>
        <w:t xml:space="preserve">Table </w:t>
      </w:r>
      <w:bookmarkStart w:id="14" w:name="OLE_LINK15"/>
      <w:r>
        <w:rPr>
          <w:b w:val="0"/>
        </w:rPr>
        <w:t>4.</w:t>
      </w:r>
      <w:r>
        <w:rPr>
          <w:b w:val="0"/>
          <w:noProof/>
        </w:rPr>
        <w:t>3</w:t>
      </w:r>
      <w:bookmarkEnd w:id="14"/>
      <w:r>
        <w:tab/>
        <w:t xml:space="preserve">Indicators of contributions of shift effects to the increased prevalence of permanent employees and decreased prevalence of </w:t>
      </w:r>
      <w:proofErr w:type="spellStart"/>
      <w:r>
        <w:t>OMUEs</w:t>
      </w:r>
      <w:proofErr w:type="spellEnd"/>
      <w:r>
        <w:t xml:space="preserve"> over the decade to 2011</w:t>
      </w:r>
      <w:r w:rsidRPr="00FE175E">
        <w:rPr>
          <w:rStyle w:val="NoteLabel"/>
          <w:b/>
        </w:rPr>
        <w:t>a</w:t>
      </w:r>
      <w:r>
        <w:rPr>
          <w:rStyle w:val="NoteLabel"/>
          <w:b/>
        </w:rPr>
        <w:t>, b</w:t>
      </w:r>
    </w:p>
    <w:p w:rsidR="007472B8" w:rsidRPr="00DF56FD" w:rsidRDefault="007472B8" w:rsidP="007472B8">
      <w:pPr>
        <w:pStyle w:val="Subtitle"/>
      </w:pPr>
      <w:r w:rsidRPr="00DF56FD">
        <w:t>Per cent</w:t>
      </w:r>
    </w:p>
    <w:tbl>
      <w:tblPr>
        <w:tblW w:w="5000" w:type="pct"/>
        <w:tblCellMar>
          <w:left w:w="0" w:type="dxa"/>
          <w:right w:w="0" w:type="dxa"/>
        </w:tblCellMar>
        <w:tblLook w:val="0000" w:firstRow="0" w:lastRow="0" w:firstColumn="0" w:lastColumn="0" w:noHBand="0" w:noVBand="0"/>
      </w:tblPr>
      <w:tblGrid>
        <w:gridCol w:w="2931"/>
        <w:gridCol w:w="2930"/>
        <w:gridCol w:w="2928"/>
      </w:tblGrid>
      <w:tr w:rsidR="007472B8" w:rsidTr="00D9427D">
        <w:tc>
          <w:tcPr>
            <w:tcW w:w="1667" w:type="pct"/>
            <w:tcBorders>
              <w:top w:val="single" w:sz="6" w:space="0" w:color="auto"/>
              <w:bottom w:val="single" w:sz="6" w:space="0" w:color="auto"/>
            </w:tcBorders>
            <w:shd w:val="clear" w:color="auto" w:fill="auto"/>
          </w:tcPr>
          <w:p w:rsidR="007472B8" w:rsidRDefault="007472B8" w:rsidP="00D9427D">
            <w:pPr>
              <w:pStyle w:val="TableColumnHeading"/>
              <w:jc w:val="left"/>
            </w:pPr>
          </w:p>
        </w:tc>
        <w:tc>
          <w:tcPr>
            <w:tcW w:w="1667" w:type="pct"/>
            <w:tcBorders>
              <w:top w:val="single" w:sz="6" w:space="0" w:color="auto"/>
              <w:bottom w:val="single" w:sz="6" w:space="0" w:color="auto"/>
            </w:tcBorders>
            <w:shd w:val="clear" w:color="auto" w:fill="auto"/>
          </w:tcPr>
          <w:p w:rsidR="007472B8" w:rsidRDefault="007472B8" w:rsidP="00D9427D">
            <w:pPr>
              <w:pStyle w:val="TableColumnHeading"/>
            </w:pPr>
            <w:r>
              <w:t>Permanent employees</w:t>
            </w:r>
          </w:p>
        </w:tc>
        <w:tc>
          <w:tcPr>
            <w:tcW w:w="1666" w:type="pct"/>
            <w:tcBorders>
              <w:top w:val="single" w:sz="6" w:space="0" w:color="auto"/>
              <w:bottom w:val="single" w:sz="6" w:space="0" w:color="auto"/>
            </w:tcBorders>
            <w:shd w:val="clear" w:color="auto" w:fill="auto"/>
          </w:tcPr>
          <w:p w:rsidR="007472B8" w:rsidRDefault="007472B8" w:rsidP="00D9427D">
            <w:pPr>
              <w:pStyle w:val="TableColumnHeading"/>
              <w:ind w:right="28"/>
            </w:pPr>
            <w:proofErr w:type="spellStart"/>
            <w:r>
              <w:t>OMUEs</w:t>
            </w:r>
            <w:proofErr w:type="spellEnd"/>
          </w:p>
        </w:tc>
      </w:tr>
      <w:tr w:rsidR="007472B8" w:rsidTr="00D9427D">
        <w:tc>
          <w:tcPr>
            <w:tcW w:w="1667" w:type="pct"/>
          </w:tcPr>
          <w:p w:rsidR="007472B8" w:rsidRDefault="007472B8" w:rsidP="00D9427D">
            <w:pPr>
              <w:pStyle w:val="TableBodyText"/>
              <w:jc w:val="left"/>
            </w:pPr>
            <w:r>
              <w:t>State</w:t>
            </w:r>
            <w:r>
              <w:noBreakHyphen/>
              <w:t>level analysis</w:t>
            </w:r>
          </w:p>
        </w:tc>
        <w:tc>
          <w:tcPr>
            <w:tcW w:w="1667" w:type="pct"/>
          </w:tcPr>
          <w:p w:rsidR="007472B8" w:rsidRDefault="007472B8" w:rsidP="00D9427D">
            <w:pPr>
              <w:pStyle w:val="TableBodyText"/>
            </w:pPr>
            <w:r>
              <w:t>100</w:t>
            </w:r>
          </w:p>
        </w:tc>
        <w:tc>
          <w:tcPr>
            <w:tcW w:w="1666" w:type="pct"/>
          </w:tcPr>
          <w:p w:rsidR="007472B8" w:rsidRDefault="007472B8" w:rsidP="00D9427D">
            <w:pPr>
              <w:pStyle w:val="TableBodyText"/>
              <w:ind w:right="28"/>
            </w:pPr>
            <w:r>
              <w:t>100</w:t>
            </w:r>
          </w:p>
        </w:tc>
      </w:tr>
      <w:tr w:rsidR="007472B8" w:rsidTr="00D9427D">
        <w:tc>
          <w:tcPr>
            <w:tcW w:w="1667" w:type="pct"/>
          </w:tcPr>
          <w:p w:rsidR="007472B8" w:rsidRDefault="007472B8" w:rsidP="00D9427D">
            <w:pPr>
              <w:pStyle w:val="TableBodyText"/>
              <w:jc w:val="left"/>
            </w:pPr>
            <w:r>
              <w:t>Industry</w:t>
            </w:r>
            <w:r>
              <w:noBreakHyphen/>
              <w:t>level analysis</w:t>
            </w:r>
          </w:p>
        </w:tc>
        <w:tc>
          <w:tcPr>
            <w:tcW w:w="1667" w:type="pct"/>
          </w:tcPr>
          <w:p w:rsidR="007472B8" w:rsidRDefault="007472B8" w:rsidP="00D9427D">
            <w:pPr>
              <w:pStyle w:val="TableBodyText"/>
            </w:pPr>
          </w:p>
        </w:tc>
        <w:tc>
          <w:tcPr>
            <w:tcW w:w="1666" w:type="pct"/>
          </w:tcPr>
          <w:p w:rsidR="007472B8" w:rsidRDefault="007472B8" w:rsidP="00D9427D">
            <w:pPr>
              <w:pStyle w:val="TableBodyText"/>
              <w:ind w:right="28"/>
            </w:pPr>
          </w:p>
        </w:tc>
      </w:tr>
      <w:tr w:rsidR="007472B8" w:rsidTr="00D9427D">
        <w:tc>
          <w:tcPr>
            <w:tcW w:w="1667" w:type="pct"/>
          </w:tcPr>
          <w:p w:rsidR="007472B8" w:rsidRDefault="007472B8" w:rsidP="00D9427D">
            <w:pPr>
              <w:pStyle w:val="TableBodyText"/>
              <w:jc w:val="left"/>
            </w:pPr>
            <w:r>
              <w:t>  Mining states</w:t>
            </w:r>
          </w:p>
        </w:tc>
        <w:tc>
          <w:tcPr>
            <w:tcW w:w="1667" w:type="pct"/>
          </w:tcPr>
          <w:p w:rsidR="007472B8" w:rsidRDefault="007472B8" w:rsidP="00D9427D">
            <w:pPr>
              <w:pStyle w:val="TableBodyText"/>
            </w:pPr>
            <w:r>
              <w:t>99</w:t>
            </w:r>
          </w:p>
        </w:tc>
        <w:tc>
          <w:tcPr>
            <w:tcW w:w="1666" w:type="pct"/>
          </w:tcPr>
          <w:p w:rsidR="007472B8" w:rsidRDefault="007472B8" w:rsidP="00D9427D">
            <w:pPr>
              <w:pStyle w:val="TableBodyText"/>
              <w:ind w:right="28"/>
            </w:pPr>
            <w:r>
              <w:t>78</w:t>
            </w:r>
          </w:p>
        </w:tc>
      </w:tr>
      <w:tr w:rsidR="007472B8" w:rsidTr="00D9427D">
        <w:tc>
          <w:tcPr>
            <w:tcW w:w="1667" w:type="pct"/>
          </w:tcPr>
          <w:p w:rsidR="007472B8" w:rsidRDefault="007472B8" w:rsidP="00D9427D">
            <w:pPr>
              <w:pStyle w:val="TableBodyText"/>
              <w:jc w:val="left"/>
            </w:pPr>
            <w:r>
              <w:t>  Non-mining states</w:t>
            </w:r>
          </w:p>
        </w:tc>
        <w:tc>
          <w:tcPr>
            <w:tcW w:w="1667" w:type="pct"/>
          </w:tcPr>
          <w:p w:rsidR="007472B8" w:rsidRDefault="007472B8" w:rsidP="00D9427D">
            <w:pPr>
              <w:pStyle w:val="TableBodyText"/>
            </w:pPr>
            <w:r>
              <w:t>88</w:t>
            </w:r>
          </w:p>
        </w:tc>
        <w:tc>
          <w:tcPr>
            <w:tcW w:w="1666" w:type="pct"/>
          </w:tcPr>
          <w:p w:rsidR="007472B8" w:rsidRDefault="007472B8" w:rsidP="00D9427D">
            <w:pPr>
              <w:pStyle w:val="TableBodyText"/>
              <w:ind w:right="28"/>
            </w:pPr>
            <w:r>
              <w:t>78</w:t>
            </w:r>
          </w:p>
        </w:tc>
      </w:tr>
      <w:tr w:rsidR="007472B8" w:rsidTr="00D9427D">
        <w:tc>
          <w:tcPr>
            <w:tcW w:w="1667" w:type="pct"/>
          </w:tcPr>
          <w:p w:rsidR="007472B8" w:rsidRDefault="007472B8" w:rsidP="00D9427D">
            <w:pPr>
              <w:pStyle w:val="TableBodyText"/>
              <w:jc w:val="left"/>
            </w:pPr>
            <w:r>
              <w:t>Occupation</w:t>
            </w:r>
            <w:r>
              <w:noBreakHyphen/>
              <w:t>level analysis</w:t>
            </w:r>
          </w:p>
        </w:tc>
        <w:tc>
          <w:tcPr>
            <w:tcW w:w="1667" w:type="pct"/>
          </w:tcPr>
          <w:p w:rsidR="007472B8" w:rsidRDefault="007472B8" w:rsidP="00D9427D">
            <w:pPr>
              <w:pStyle w:val="TableBodyText"/>
            </w:pPr>
          </w:p>
        </w:tc>
        <w:tc>
          <w:tcPr>
            <w:tcW w:w="1666" w:type="pct"/>
          </w:tcPr>
          <w:p w:rsidR="007472B8" w:rsidRDefault="007472B8" w:rsidP="00D9427D">
            <w:pPr>
              <w:pStyle w:val="TableBodyText"/>
              <w:ind w:right="28"/>
            </w:pPr>
          </w:p>
        </w:tc>
      </w:tr>
      <w:tr w:rsidR="007472B8" w:rsidTr="00D9427D">
        <w:tc>
          <w:tcPr>
            <w:tcW w:w="1667" w:type="pct"/>
          </w:tcPr>
          <w:p w:rsidR="007472B8" w:rsidRDefault="007472B8" w:rsidP="00D9427D">
            <w:pPr>
              <w:pStyle w:val="TableBodyText"/>
              <w:jc w:val="left"/>
            </w:pPr>
            <w:r>
              <w:t>  Mining states</w:t>
            </w:r>
          </w:p>
        </w:tc>
        <w:tc>
          <w:tcPr>
            <w:tcW w:w="1667" w:type="pct"/>
          </w:tcPr>
          <w:p w:rsidR="007472B8" w:rsidRDefault="007472B8" w:rsidP="00D9427D">
            <w:pPr>
              <w:pStyle w:val="TableBodyText"/>
            </w:pPr>
            <w:r>
              <w:t>79</w:t>
            </w:r>
          </w:p>
        </w:tc>
        <w:tc>
          <w:tcPr>
            <w:tcW w:w="1666" w:type="pct"/>
          </w:tcPr>
          <w:p w:rsidR="007472B8" w:rsidRDefault="007472B8" w:rsidP="00D9427D">
            <w:pPr>
              <w:pStyle w:val="TableBodyText"/>
              <w:ind w:right="28"/>
            </w:pPr>
            <w:r>
              <w:t>89</w:t>
            </w:r>
          </w:p>
        </w:tc>
      </w:tr>
      <w:tr w:rsidR="007472B8" w:rsidTr="00D9427D">
        <w:tc>
          <w:tcPr>
            <w:tcW w:w="1667" w:type="pct"/>
          </w:tcPr>
          <w:p w:rsidR="007472B8" w:rsidRDefault="007472B8" w:rsidP="00D9427D">
            <w:pPr>
              <w:pStyle w:val="TableBodyText"/>
              <w:jc w:val="left"/>
            </w:pPr>
            <w:r>
              <w:t>  Non-mining states</w:t>
            </w:r>
          </w:p>
        </w:tc>
        <w:tc>
          <w:tcPr>
            <w:tcW w:w="1667" w:type="pct"/>
          </w:tcPr>
          <w:p w:rsidR="007472B8" w:rsidRDefault="007472B8" w:rsidP="00D9427D">
            <w:pPr>
              <w:pStyle w:val="TableBodyText"/>
            </w:pPr>
            <w:r>
              <w:t>36</w:t>
            </w:r>
          </w:p>
        </w:tc>
        <w:tc>
          <w:tcPr>
            <w:tcW w:w="1666" w:type="pct"/>
          </w:tcPr>
          <w:p w:rsidR="007472B8" w:rsidRDefault="007472B8" w:rsidP="00D9427D">
            <w:pPr>
              <w:pStyle w:val="TableBodyText"/>
              <w:ind w:right="28"/>
            </w:pPr>
            <w:r>
              <w:t>55</w:t>
            </w:r>
          </w:p>
        </w:tc>
      </w:tr>
      <w:tr w:rsidR="007472B8" w:rsidTr="00D9427D">
        <w:tc>
          <w:tcPr>
            <w:tcW w:w="1667" w:type="pct"/>
          </w:tcPr>
          <w:p w:rsidR="007472B8" w:rsidRDefault="007472B8" w:rsidP="00D9427D">
            <w:pPr>
              <w:pStyle w:val="TableBodyText"/>
              <w:jc w:val="left"/>
            </w:pPr>
            <w:r>
              <w:t>Full- and part-time employment by gender analysis</w:t>
            </w:r>
          </w:p>
        </w:tc>
        <w:tc>
          <w:tcPr>
            <w:tcW w:w="1667" w:type="pct"/>
          </w:tcPr>
          <w:p w:rsidR="007472B8" w:rsidRDefault="007472B8" w:rsidP="00D9427D">
            <w:pPr>
              <w:pStyle w:val="TableBodyText"/>
            </w:pPr>
          </w:p>
        </w:tc>
        <w:tc>
          <w:tcPr>
            <w:tcW w:w="1666" w:type="pct"/>
          </w:tcPr>
          <w:p w:rsidR="007472B8" w:rsidRDefault="007472B8" w:rsidP="00D9427D">
            <w:pPr>
              <w:pStyle w:val="TableBodyText"/>
              <w:ind w:right="28"/>
            </w:pPr>
          </w:p>
        </w:tc>
      </w:tr>
      <w:tr w:rsidR="007472B8" w:rsidTr="00D9427D">
        <w:tc>
          <w:tcPr>
            <w:tcW w:w="1667" w:type="pct"/>
          </w:tcPr>
          <w:p w:rsidR="007472B8" w:rsidRDefault="007472B8" w:rsidP="00D9427D">
            <w:pPr>
              <w:pStyle w:val="TableBodyText"/>
              <w:jc w:val="left"/>
            </w:pPr>
            <w:r>
              <w:t>  Mining states</w:t>
            </w:r>
          </w:p>
        </w:tc>
        <w:tc>
          <w:tcPr>
            <w:tcW w:w="1667" w:type="pct"/>
          </w:tcPr>
          <w:p w:rsidR="007472B8" w:rsidRDefault="007472B8" w:rsidP="00D9427D">
            <w:pPr>
              <w:pStyle w:val="TableBodyText"/>
            </w:pPr>
            <w:r>
              <w:t>100</w:t>
            </w:r>
          </w:p>
        </w:tc>
        <w:tc>
          <w:tcPr>
            <w:tcW w:w="1666" w:type="pct"/>
          </w:tcPr>
          <w:p w:rsidR="007472B8" w:rsidRDefault="007472B8" w:rsidP="00D9427D">
            <w:pPr>
              <w:pStyle w:val="TableBodyText"/>
              <w:ind w:right="28"/>
            </w:pPr>
            <w:r>
              <w:t>97</w:t>
            </w:r>
          </w:p>
        </w:tc>
      </w:tr>
      <w:tr w:rsidR="007472B8" w:rsidTr="00D9427D">
        <w:tc>
          <w:tcPr>
            <w:tcW w:w="1667" w:type="pct"/>
          </w:tcPr>
          <w:p w:rsidR="007472B8" w:rsidRDefault="007472B8" w:rsidP="00D9427D">
            <w:pPr>
              <w:pStyle w:val="TableBodyText"/>
              <w:jc w:val="left"/>
            </w:pPr>
            <w:r>
              <w:t>  Non-mining states</w:t>
            </w:r>
          </w:p>
        </w:tc>
        <w:tc>
          <w:tcPr>
            <w:tcW w:w="1667" w:type="pct"/>
          </w:tcPr>
          <w:p w:rsidR="007472B8" w:rsidRDefault="007472B8" w:rsidP="00D9427D">
            <w:pPr>
              <w:pStyle w:val="TableBodyText"/>
            </w:pPr>
            <w:r>
              <w:t>100</w:t>
            </w:r>
          </w:p>
        </w:tc>
        <w:tc>
          <w:tcPr>
            <w:tcW w:w="1666" w:type="pct"/>
          </w:tcPr>
          <w:p w:rsidR="007472B8" w:rsidRDefault="007472B8" w:rsidP="00D9427D">
            <w:pPr>
              <w:pStyle w:val="TableBodyText"/>
              <w:ind w:right="28"/>
            </w:pPr>
            <w:r>
              <w:t>98</w:t>
            </w:r>
          </w:p>
        </w:tc>
      </w:tr>
      <w:tr w:rsidR="007472B8" w:rsidTr="00D9427D">
        <w:tc>
          <w:tcPr>
            <w:tcW w:w="1667" w:type="pct"/>
          </w:tcPr>
          <w:p w:rsidR="007472B8" w:rsidRDefault="007472B8" w:rsidP="00D9427D">
            <w:pPr>
              <w:pStyle w:val="TableBodyText"/>
              <w:jc w:val="left"/>
            </w:pPr>
            <w:r>
              <w:t>Age cohort analysis</w:t>
            </w:r>
          </w:p>
        </w:tc>
        <w:tc>
          <w:tcPr>
            <w:tcW w:w="1667" w:type="pct"/>
          </w:tcPr>
          <w:p w:rsidR="007472B8" w:rsidRDefault="007472B8" w:rsidP="00D9427D">
            <w:pPr>
              <w:pStyle w:val="TableBodyText"/>
            </w:pPr>
          </w:p>
        </w:tc>
        <w:tc>
          <w:tcPr>
            <w:tcW w:w="1666" w:type="pct"/>
          </w:tcPr>
          <w:p w:rsidR="007472B8" w:rsidRDefault="007472B8" w:rsidP="00D9427D">
            <w:pPr>
              <w:pStyle w:val="TableBodyText"/>
              <w:ind w:right="28"/>
            </w:pPr>
          </w:p>
        </w:tc>
      </w:tr>
      <w:tr w:rsidR="007472B8" w:rsidTr="00D9427D">
        <w:tc>
          <w:tcPr>
            <w:tcW w:w="1667" w:type="pct"/>
          </w:tcPr>
          <w:p w:rsidR="007472B8" w:rsidRDefault="007472B8" w:rsidP="00D9427D">
            <w:pPr>
              <w:pStyle w:val="TableBodyText"/>
              <w:jc w:val="left"/>
            </w:pPr>
            <w:r>
              <w:t>  Mining states</w:t>
            </w:r>
          </w:p>
        </w:tc>
        <w:tc>
          <w:tcPr>
            <w:tcW w:w="1667" w:type="pct"/>
          </w:tcPr>
          <w:p w:rsidR="007472B8" w:rsidRDefault="007472B8" w:rsidP="00D9427D">
            <w:pPr>
              <w:pStyle w:val="TableBodyText"/>
            </w:pPr>
            <w:r>
              <w:t>100</w:t>
            </w:r>
          </w:p>
        </w:tc>
        <w:tc>
          <w:tcPr>
            <w:tcW w:w="1666" w:type="pct"/>
          </w:tcPr>
          <w:p w:rsidR="007472B8" w:rsidRDefault="007472B8" w:rsidP="00D9427D">
            <w:pPr>
              <w:pStyle w:val="TableBodyText"/>
              <w:ind w:right="28"/>
            </w:pPr>
            <w:r>
              <w:t>100</w:t>
            </w:r>
          </w:p>
        </w:tc>
      </w:tr>
      <w:tr w:rsidR="007472B8" w:rsidTr="00D9427D">
        <w:tc>
          <w:tcPr>
            <w:tcW w:w="1667" w:type="pct"/>
            <w:tcBorders>
              <w:bottom w:val="single" w:sz="4" w:space="0" w:color="auto"/>
            </w:tcBorders>
          </w:tcPr>
          <w:p w:rsidR="007472B8" w:rsidRDefault="007472B8" w:rsidP="00D9427D">
            <w:pPr>
              <w:pStyle w:val="TableBodyText"/>
              <w:jc w:val="left"/>
            </w:pPr>
            <w:r>
              <w:t>  Non-mining states</w:t>
            </w:r>
          </w:p>
        </w:tc>
        <w:tc>
          <w:tcPr>
            <w:tcW w:w="1667" w:type="pct"/>
            <w:tcBorders>
              <w:bottom w:val="single" w:sz="4" w:space="0" w:color="auto"/>
            </w:tcBorders>
          </w:tcPr>
          <w:p w:rsidR="007472B8" w:rsidRDefault="007472B8" w:rsidP="00D9427D">
            <w:pPr>
              <w:pStyle w:val="TableBodyText"/>
            </w:pPr>
            <w:r>
              <w:t>100</w:t>
            </w:r>
          </w:p>
        </w:tc>
        <w:tc>
          <w:tcPr>
            <w:tcW w:w="1666" w:type="pct"/>
            <w:tcBorders>
              <w:bottom w:val="single" w:sz="4" w:space="0" w:color="auto"/>
            </w:tcBorders>
          </w:tcPr>
          <w:p w:rsidR="007472B8" w:rsidRDefault="007472B8" w:rsidP="00D9427D">
            <w:pPr>
              <w:pStyle w:val="TableBodyText"/>
              <w:ind w:right="28"/>
            </w:pPr>
            <w:r>
              <w:t>100</w:t>
            </w:r>
          </w:p>
        </w:tc>
      </w:tr>
    </w:tbl>
    <w:p w:rsidR="007472B8" w:rsidRPr="00FE175E" w:rsidRDefault="007472B8" w:rsidP="007472B8">
      <w:pPr>
        <w:pStyle w:val="Note"/>
      </w:pPr>
      <w:r w:rsidRPr="00FE175E">
        <w:rPr>
          <w:rStyle w:val="NoteLabel"/>
        </w:rPr>
        <w:t>a</w:t>
      </w:r>
      <w:r w:rsidRPr="00FE175E">
        <w:t xml:space="preserve"> </w:t>
      </w:r>
      <w:r>
        <w:t xml:space="preserve">Share effects account for the remaining percentage of prevalence changes.  </w:t>
      </w:r>
      <w:r w:rsidRPr="00D41053">
        <w:rPr>
          <w:rStyle w:val="NoteLabel"/>
        </w:rPr>
        <w:t>b</w:t>
      </w:r>
      <w:r>
        <w:t xml:space="preserve"> Confidence intervals cannot be attached to these indicators. That said, results from different time points and datasets support these indicators, with the exception of the figure presented for permanent employees from the occupation level analysis for the non</w:t>
      </w:r>
      <w:r>
        <w:noBreakHyphen/>
        <w:t>mining states.</w:t>
      </w:r>
    </w:p>
    <w:p w:rsidR="007472B8" w:rsidRDefault="007472B8" w:rsidP="007472B8">
      <w:pPr>
        <w:pStyle w:val="Source"/>
      </w:pPr>
      <w:r>
        <w:rPr>
          <w:i/>
        </w:rPr>
        <w:t>Sources</w:t>
      </w:r>
      <w:r>
        <w:t xml:space="preserve">: </w:t>
      </w:r>
      <w:proofErr w:type="spellStart"/>
      <w:r>
        <w:t>Appendices</w:t>
      </w:r>
      <w:proofErr w:type="spellEnd"/>
      <w:r>
        <w:t xml:space="preserve"> E through I.</w:t>
      </w:r>
    </w:p>
    <w:p w:rsidR="00AD1C45" w:rsidRDefault="00AD1C45" w:rsidP="00AD1C45">
      <w:pPr>
        <w:pStyle w:val="BodyText"/>
      </w:pPr>
      <w:r>
        <w:t>Changes in the profile of employment at an occupation level (share effects) played a more important role in observed prevalence changes. Relatively rapid employment growth in higher</w:t>
      </w:r>
      <w:r>
        <w:noBreakHyphen/>
        <w:t xml:space="preserve">skilled occupations — jobs in which permanent employees are concentrated — contributed to prevalence increases for this </w:t>
      </w:r>
      <w:proofErr w:type="spellStart"/>
      <w:r>
        <w:t>FOW</w:t>
      </w:r>
      <w:proofErr w:type="spellEnd"/>
      <w:r>
        <w:t>. In the non</w:t>
      </w:r>
      <w:r>
        <w:noBreakHyphen/>
        <w:t xml:space="preserve">mining states, declines in employment of farmers and farm managers meant that changes in the profile of employment at an occupation level (share effects) </w:t>
      </w:r>
      <w:r>
        <w:lastRenderedPageBreak/>
        <w:t xml:space="preserve">accounted for about one half of the change in the prevalence of </w:t>
      </w:r>
      <w:proofErr w:type="spellStart"/>
      <w:r>
        <w:t>OMUEs</w:t>
      </w:r>
      <w:proofErr w:type="spellEnd"/>
      <w:r>
        <w:t xml:space="preserve">. In the mining states, however, shift effects remained the major factor in prevalence changes for both permanent employees and </w:t>
      </w:r>
      <w:proofErr w:type="spellStart"/>
      <w:r>
        <w:t>OMUEs</w:t>
      </w:r>
      <w:proofErr w:type="spellEnd"/>
      <w:r>
        <w:t>.</w:t>
      </w:r>
    </w:p>
    <w:p w:rsidR="00AD1C45" w:rsidRPr="00AD1C45" w:rsidRDefault="00AD1C45" w:rsidP="00AD1C45">
      <w:pPr>
        <w:pStyle w:val="BodyText"/>
        <w:rPr>
          <w:spacing w:val="-2"/>
        </w:rPr>
      </w:pPr>
      <w:r>
        <w:rPr>
          <w:spacing w:val="-2"/>
        </w:rPr>
        <w:t>Since</w:t>
      </w:r>
      <w:r w:rsidRPr="00E83F4F">
        <w:rPr>
          <w:spacing w:val="-2"/>
        </w:rPr>
        <w:t xml:space="preserve"> the majority of </w:t>
      </w:r>
      <w:r>
        <w:rPr>
          <w:spacing w:val="-2"/>
        </w:rPr>
        <w:t>permanent</w:t>
      </w:r>
      <w:r w:rsidRPr="00E83F4F">
        <w:rPr>
          <w:spacing w:val="-2"/>
        </w:rPr>
        <w:t xml:space="preserve"> employees work on a full</w:t>
      </w:r>
      <w:r w:rsidRPr="00E83F4F">
        <w:rPr>
          <w:spacing w:val="-2"/>
        </w:rPr>
        <w:noBreakHyphen/>
        <w:t xml:space="preserve">time basis, and </w:t>
      </w:r>
      <w:r>
        <w:rPr>
          <w:spacing w:val="-2"/>
        </w:rPr>
        <w:t xml:space="preserve">the majority of </w:t>
      </w:r>
      <w:r w:rsidRPr="00E83F4F">
        <w:rPr>
          <w:spacing w:val="-2"/>
        </w:rPr>
        <w:t xml:space="preserve">casuals </w:t>
      </w:r>
      <w:r>
        <w:rPr>
          <w:spacing w:val="-2"/>
        </w:rPr>
        <w:t xml:space="preserve">work </w:t>
      </w:r>
      <w:r w:rsidRPr="00E83F4F">
        <w:rPr>
          <w:spacing w:val="-2"/>
        </w:rPr>
        <w:t>on a part</w:t>
      </w:r>
      <w:r w:rsidRPr="00E83F4F">
        <w:rPr>
          <w:spacing w:val="-2"/>
        </w:rPr>
        <w:noBreakHyphen/>
        <w:t>time basis, relatively rapid growth in part</w:t>
      </w:r>
      <w:r w:rsidRPr="00E83F4F">
        <w:rPr>
          <w:spacing w:val="-2"/>
        </w:rPr>
        <w:noBreakHyphen/>
        <w:t xml:space="preserve">time work over the decade to 2011 might have been expected to have been associated with a fall in the prevalence of </w:t>
      </w:r>
      <w:r>
        <w:rPr>
          <w:spacing w:val="-2"/>
        </w:rPr>
        <w:t>permanent</w:t>
      </w:r>
      <w:r w:rsidRPr="00E83F4F">
        <w:rPr>
          <w:spacing w:val="-2"/>
        </w:rPr>
        <w:t xml:space="preserve"> employees. </w:t>
      </w:r>
      <w:r>
        <w:rPr>
          <w:spacing w:val="-2"/>
        </w:rPr>
        <w:t>Relatively rapid growth of employment in permanent</w:t>
      </w:r>
      <w:r w:rsidRPr="00E83F4F">
        <w:rPr>
          <w:spacing w:val="-2"/>
        </w:rPr>
        <w:t xml:space="preserve"> employee roles among both full</w:t>
      </w:r>
      <w:r w:rsidRPr="00E83F4F">
        <w:rPr>
          <w:spacing w:val="-2"/>
        </w:rPr>
        <w:noBreakHyphen/>
        <w:t xml:space="preserve"> and part</w:t>
      </w:r>
      <w:r w:rsidRPr="00E83F4F">
        <w:rPr>
          <w:spacing w:val="-2"/>
        </w:rPr>
        <w:noBreakHyphen/>
        <w:t>time workers (shift effects), however, explain why t</w:t>
      </w:r>
      <w:r>
        <w:rPr>
          <w:spacing w:val="-2"/>
        </w:rPr>
        <w:t>his outcome did not emerge. The</w:t>
      </w:r>
      <w:r w:rsidRPr="00E83F4F">
        <w:rPr>
          <w:spacing w:val="-2"/>
        </w:rPr>
        <w:t xml:space="preserve"> shift towards </w:t>
      </w:r>
      <w:r>
        <w:rPr>
          <w:spacing w:val="-2"/>
        </w:rPr>
        <w:t>permanent employee roles</w:t>
      </w:r>
      <w:r w:rsidRPr="00E83F4F">
        <w:rPr>
          <w:spacing w:val="-2"/>
        </w:rPr>
        <w:t xml:space="preserve"> was particularly strong among part</w:t>
      </w:r>
      <w:r w:rsidRPr="00E83F4F">
        <w:rPr>
          <w:spacing w:val="-2"/>
        </w:rPr>
        <w:noBreakHyphen/>
        <w:t xml:space="preserve">time workers (especially women). In contrast, </w:t>
      </w:r>
      <w:r>
        <w:rPr>
          <w:spacing w:val="-2"/>
        </w:rPr>
        <w:t>shifts away from</w:t>
      </w:r>
      <w:r w:rsidRPr="00E83F4F">
        <w:rPr>
          <w:spacing w:val="-2"/>
        </w:rPr>
        <w:t xml:space="preserve"> </w:t>
      </w:r>
      <w:proofErr w:type="spellStart"/>
      <w:r w:rsidRPr="00E83F4F">
        <w:rPr>
          <w:spacing w:val="-2"/>
        </w:rPr>
        <w:t>OMUE</w:t>
      </w:r>
      <w:proofErr w:type="spellEnd"/>
      <w:r w:rsidRPr="00E83F4F">
        <w:rPr>
          <w:spacing w:val="-2"/>
        </w:rPr>
        <w:t xml:space="preserve"> employment occurred primarily among full</w:t>
      </w:r>
      <w:r w:rsidRPr="00E83F4F">
        <w:rPr>
          <w:spacing w:val="-2"/>
        </w:rPr>
        <w:noBreakHyphen/>
        <w:t xml:space="preserve">time workers. The results </w:t>
      </w:r>
      <w:r>
        <w:rPr>
          <w:spacing w:val="-2"/>
        </w:rPr>
        <w:t xml:space="preserve">might </w:t>
      </w:r>
      <w:r w:rsidRPr="00E83F4F">
        <w:rPr>
          <w:spacing w:val="-2"/>
        </w:rPr>
        <w:t>suggest that workers seeking to balance work and family commitments were increasingly likely to do so in part</w:t>
      </w:r>
      <w:r w:rsidRPr="00E83F4F">
        <w:rPr>
          <w:spacing w:val="-2"/>
        </w:rPr>
        <w:noBreakHyphen/>
        <w:t xml:space="preserve">time </w:t>
      </w:r>
      <w:r>
        <w:rPr>
          <w:spacing w:val="-2"/>
        </w:rPr>
        <w:t>permanent employee roles.</w:t>
      </w:r>
    </w:p>
    <w:p w:rsidR="006044A7" w:rsidRDefault="006044A7" w:rsidP="006044A7">
      <w:pPr>
        <w:pStyle w:val="BodyText"/>
        <w:rPr>
          <w:spacing w:val="-2"/>
        </w:rPr>
      </w:pPr>
      <w:r w:rsidRPr="00674656">
        <w:rPr>
          <w:spacing w:val="-2"/>
        </w:rPr>
        <w:t xml:space="preserve">The large contribution of older workers (aged 50 to 69 years) to net job creation over the decade to 2011 might have been expected to result in an increase in the prevalence of </w:t>
      </w:r>
      <w:proofErr w:type="spellStart"/>
      <w:r w:rsidRPr="00674656">
        <w:rPr>
          <w:spacing w:val="-2"/>
        </w:rPr>
        <w:t>OMUEs</w:t>
      </w:r>
      <w:proofErr w:type="spellEnd"/>
      <w:r w:rsidR="008E4C95">
        <w:rPr>
          <w:spacing w:val="-2"/>
        </w:rPr>
        <w:t>,</w:t>
      </w:r>
      <w:r w:rsidRPr="00674656">
        <w:rPr>
          <w:spacing w:val="-2"/>
        </w:rPr>
        <w:t xml:space="preserve"> because older workers are relatively concentrated in this </w:t>
      </w:r>
      <w:proofErr w:type="spellStart"/>
      <w:r w:rsidRPr="00674656">
        <w:rPr>
          <w:spacing w:val="-2"/>
        </w:rPr>
        <w:t>FOW</w:t>
      </w:r>
      <w:proofErr w:type="spellEnd"/>
      <w:r w:rsidRPr="00674656">
        <w:rPr>
          <w:spacing w:val="-2"/>
        </w:rPr>
        <w:t xml:space="preserve">. Instead, relatively slow growth of </w:t>
      </w:r>
      <w:proofErr w:type="spellStart"/>
      <w:r w:rsidRPr="00674656">
        <w:rPr>
          <w:spacing w:val="-2"/>
        </w:rPr>
        <w:t>OMUE</w:t>
      </w:r>
      <w:proofErr w:type="spellEnd"/>
      <w:r w:rsidRPr="00674656">
        <w:rPr>
          <w:spacing w:val="-2"/>
        </w:rPr>
        <w:t xml:space="preserve"> employment among workers of all ages </w:t>
      </w:r>
      <w:r>
        <w:rPr>
          <w:spacing w:val="-2"/>
        </w:rPr>
        <w:t xml:space="preserve">(shift effects) </w:t>
      </w:r>
      <w:r w:rsidRPr="00674656">
        <w:rPr>
          <w:spacing w:val="-2"/>
        </w:rPr>
        <w:t xml:space="preserve">meant that this </w:t>
      </w:r>
      <w:r w:rsidR="008E4C95">
        <w:rPr>
          <w:spacing w:val="-2"/>
        </w:rPr>
        <w:t xml:space="preserve">expected </w:t>
      </w:r>
      <w:r>
        <w:rPr>
          <w:spacing w:val="-2"/>
        </w:rPr>
        <w:t xml:space="preserve">prevalence increase </w:t>
      </w:r>
      <w:r w:rsidRPr="00674656">
        <w:rPr>
          <w:spacing w:val="-2"/>
        </w:rPr>
        <w:t xml:space="preserve">did not occur. </w:t>
      </w:r>
      <w:r w:rsidR="00941AAD">
        <w:rPr>
          <w:spacing w:val="-2"/>
        </w:rPr>
        <w:t xml:space="preserve">The shift away from </w:t>
      </w:r>
      <w:proofErr w:type="spellStart"/>
      <w:r w:rsidR="00941AAD">
        <w:rPr>
          <w:spacing w:val="-2"/>
        </w:rPr>
        <w:t>OMUE</w:t>
      </w:r>
      <w:proofErr w:type="spellEnd"/>
      <w:r w:rsidR="00941AAD">
        <w:rPr>
          <w:spacing w:val="-2"/>
        </w:rPr>
        <w:t xml:space="preserve"> employment was particularly</w:t>
      </w:r>
      <w:r w:rsidRPr="00674656">
        <w:rPr>
          <w:spacing w:val="-2"/>
        </w:rPr>
        <w:t xml:space="preserve"> </w:t>
      </w:r>
      <w:r w:rsidR="00941AAD">
        <w:rPr>
          <w:spacing w:val="-2"/>
        </w:rPr>
        <w:t>pronounced</w:t>
      </w:r>
      <w:r w:rsidRPr="00674656">
        <w:rPr>
          <w:spacing w:val="-2"/>
        </w:rPr>
        <w:t xml:space="preserve"> among workers aged 50 to 69 years. It is possible that older workers </w:t>
      </w:r>
      <w:r>
        <w:rPr>
          <w:spacing w:val="-2"/>
        </w:rPr>
        <w:t>transitioning</w:t>
      </w:r>
      <w:r w:rsidRPr="00674656">
        <w:rPr>
          <w:spacing w:val="-2"/>
        </w:rPr>
        <w:t xml:space="preserve"> to retirement became increasingly likely to do so </w:t>
      </w:r>
      <w:r>
        <w:rPr>
          <w:spacing w:val="-2"/>
        </w:rPr>
        <w:t>as permanent employees</w:t>
      </w:r>
      <w:r w:rsidRPr="00674656">
        <w:rPr>
          <w:spacing w:val="-2"/>
        </w:rPr>
        <w:t>.</w:t>
      </w:r>
    </w:p>
    <w:p w:rsidR="006044A7" w:rsidRPr="00674656" w:rsidRDefault="006044A7" w:rsidP="006044A7">
      <w:pPr>
        <w:pStyle w:val="BodyText"/>
        <w:rPr>
          <w:spacing w:val="-2"/>
        </w:rPr>
      </w:pPr>
      <w:r>
        <w:rPr>
          <w:spacing w:val="-2"/>
        </w:rPr>
        <w:t xml:space="preserve">Overall, explanations for changes in the prevalence of permanent employees and </w:t>
      </w:r>
      <w:proofErr w:type="spellStart"/>
      <w:r>
        <w:rPr>
          <w:spacing w:val="-2"/>
        </w:rPr>
        <w:t>OMUEs</w:t>
      </w:r>
      <w:proofErr w:type="spellEnd"/>
      <w:r>
        <w:rPr>
          <w:spacing w:val="-2"/>
        </w:rPr>
        <w:t xml:space="preserve"> over the decade to 2011 lie in potential causes of the observed shift effects, not in the characteristics of net job creation (that is, in share effects).</w:t>
      </w:r>
    </w:p>
    <w:p w:rsidR="006044A7" w:rsidRDefault="00C80099" w:rsidP="006044A7">
      <w:pPr>
        <w:pStyle w:val="Heading2"/>
      </w:pPr>
      <w:fldSimple w:instr=" COMMENTS  \* MERGEFORMAT ">
        <w:r w:rsidR="007B17A3">
          <w:t>4.</w:t>
        </w:r>
      </w:fldSimple>
      <w:fldSimple w:instr=" SEQ Heading2 ">
        <w:r w:rsidR="007B17A3">
          <w:rPr>
            <w:noProof/>
          </w:rPr>
          <w:t>5</w:t>
        </w:r>
      </w:fldSimple>
      <w:r w:rsidR="006044A7">
        <w:tab/>
        <w:t xml:space="preserve">What </w:t>
      </w:r>
      <w:r w:rsidR="002A1009">
        <w:t xml:space="preserve">could </w:t>
      </w:r>
      <w:r w:rsidR="006044A7">
        <w:t>explain the observed shift effects?</w:t>
      </w:r>
    </w:p>
    <w:p w:rsidR="002A1009" w:rsidRPr="007472B8" w:rsidRDefault="006044A7" w:rsidP="006044A7">
      <w:pPr>
        <w:pStyle w:val="BodyText"/>
        <w:rPr>
          <w:spacing w:val="-2"/>
        </w:rPr>
      </w:pPr>
      <w:r w:rsidRPr="007472B8">
        <w:rPr>
          <w:spacing w:val="-2"/>
        </w:rPr>
        <w:t xml:space="preserve">The fact that increases in the prevalence of permanent employees and declines for </w:t>
      </w:r>
      <w:proofErr w:type="spellStart"/>
      <w:r w:rsidRPr="007472B8">
        <w:rPr>
          <w:spacing w:val="-2"/>
        </w:rPr>
        <w:t>OMUEs</w:t>
      </w:r>
      <w:proofErr w:type="spellEnd"/>
      <w:r w:rsidRPr="007472B8">
        <w:rPr>
          <w:spacing w:val="-2"/>
        </w:rPr>
        <w:t xml:space="preserve"> </w:t>
      </w:r>
      <w:r w:rsidR="002A1009" w:rsidRPr="007472B8">
        <w:rPr>
          <w:spacing w:val="-2"/>
        </w:rPr>
        <w:t>were much larger</w:t>
      </w:r>
      <w:r w:rsidRPr="007472B8">
        <w:rPr>
          <w:spacing w:val="-2"/>
        </w:rPr>
        <w:t xml:space="preserve"> in </w:t>
      </w:r>
      <w:r w:rsidR="008915B6" w:rsidRPr="007472B8">
        <w:rPr>
          <w:spacing w:val="-2"/>
        </w:rPr>
        <w:t>the mining</w:t>
      </w:r>
      <w:r w:rsidR="00941AAD" w:rsidRPr="007472B8">
        <w:rPr>
          <w:spacing w:val="-2"/>
        </w:rPr>
        <w:t xml:space="preserve"> </w:t>
      </w:r>
      <w:r w:rsidRPr="007472B8">
        <w:rPr>
          <w:spacing w:val="-2"/>
        </w:rPr>
        <w:t>st</w:t>
      </w:r>
      <w:r w:rsidR="0027023C" w:rsidRPr="007472B8">
        <w:rPr>
          <w:spacing w:val="-2"/>
        </w:rPr>
        <w:t>ates</w:t>
      </w:r>
      <w:r w:rsidRPr="007472B8">
        <w:rPr>
          <w:spacing w:val="-2"/>
        </w:rPr>
        <w:t xml:space="preserve"> suggests that changes at a national level (for example, in tax settings</w:t>
      </w:r>
      <w:r w:rsidR="002A1009" w:rsidRPr="007472B8">
        <w:rPr>
          <w:spacing w:val="-2"/>
        </w:rPr>
        <w:t>, business regulation and superannuation rules</w:t>
      </w:r>
      <w:r w:rsidRPr="007472B8">
        <w:rPr>
          <w:spacing w:val="-2"/>
        </w:rPr>
        <w:t>)</w:t>
      </w:r>
      <w:r w:rsidR="0027023C" w:rsidRPr="007472B8">
        <w:rPr>
          <w:spacing w:val="-2"/>
        </w:rPr>
        <w:t xml:space="preserve"> were not the main driver of observed prevalence changes</w:t>
      </w:r>
      <w:r w:rsidRPr="007472B8">
        <w:rPr>
          <w:spacing w:val="-2"/>
        </w:rPr>
        <w:t>.</w:t>
      </w:r>
      <w:r w:rsidR="008915B6" w:rsidRPr="007472B8">
        <w:rPr>
          <w:spacing w:val="-2"/>
        </w:rPr>
        <w:t xml:space="preserve"> </w:t>
      </w:r>
      <w:r w:rsidR="0027023C" w:rsidRPr="007472B8">
        <w:rPr>
          <w:spacing w:val="-2"/>
        </w:rPr>
        <w:t>Measures to support part</w:t>
      </w:r>
      <w:r w:rsidR="0027023C" w:rsidRPr="007472B8">
        <w:rPr>
          <w:spacing w:val="-2"/>
        </w:rPr>
        <w:noBreakHyphen/>
        <w:t xml:space="preserve">time permanent work for </w:t>
      </w:r>
      <w:r w:rsidR="00B80FD2" w:rsidRPr="007472B8">
        <w:rPr>
          <w:spacing w:val="-2"/>
        </w:rPr>
        <w:t>parents</w:t>
      </w:r>
      <w:r w:rsidR="0027023C" w:rsidRPr="007472B8">
        <w:rPr>
          <w:spacing w:val="-2"/>
        </w:rPr>
        <w:t xml:space="preserve"> returning from </w:t>
      </w:r>
      <w:r w:rsidR="00B80FD2" w:rsidRPr="007472B8">
        <w:rPr>
          <w:spacing w:val="-2"/>
        </w:rPr>
        <w:t>parental</w:t>
      </w:r>
      <w:r w:rsidR="0027023C" w:rsidRPr="007472B8">
        <w:rPr>
          <w:spacing w:val="-2"/>
        </w:rPr>
        <w:t xml:space="preserve"> leave, however, might have played some role in the increased pr</w:t>
      </w:r>
      <w:r w:rsidR="00B80FD2" w:rsidRPr="007472B8">
        <w:rPr>
          <w:spacing w:val="-2"/>
        </w:rPr>
        <w:t>evalence of permanent employees nationally.</w:t>
      </w:r>
    </w:p>
    <w:p w:rsidR="001F7D21" w:rsidRDefault="00DA20CB" w:rsidP="0079479A">
      <w:pPr>
        <w:pStyle w:val="BodyText"/>
        <w:rPr>
          <w:spacing w:val="-2"/>
        </w:rPr>
      </w:pPr>
      <w:r>
        <w:rPr>
          <w:spacing w:val="-2"/>
        </w:rPr>
        <w:t>Across both full</w:t>
      </w:r>
      <w:r>
        <w:rPr>
          <w:spacing w:val="-2"/>
        </w:rPr>
        <w:noBreakHyphen/>
        <w:t>and part</w:t>
      </w:r>
      <w:r>
        <w:rPr>
          <w:spacing w:val="-2"/>
        </w:rPr>
        <w:noBreakHyphen/>
        <w:t>time workers, th</w:t>
      </w:r>
      <w:r w:rsidR="006044A7" w:rsidRPr="00322B91">
        <w:rPr>
          <w:spacing w:val="-2"/>
        </w:rPr>
        <w:t xml:space="preserve">e increased prevalence of </w:t>
      </w:r>
      <w:r w:rsidR="006044A7">
        <w:rPr>
          <w:spacing w:val="-2"/>
        </w:rPr>
        <w:t>permanent</w:t>
      </w:r>
      <w:r w:rsidR="006044A7" w:rsidRPr="00322B91">
        <w:rPr>
          <w:spacing w:val="-2"/>
        </w:rPr>
        <w:t xml:space="preserve"> employees</w:t>
      </w:r>
      <w:r w:rsidR="003F2AA7">
        <w:rPr>
          <w:spacing w:val="-2"/>
        </w:rPr>
        <w:t>,</w:t>
      </w:r>
      <w:r w:rsidR="006044A7" w:rsidRPr="00322B91">
        <w:rPr>
          <w:spacing w:val="-2"/>
        </w:rPr>
        <w:t xml:space="preserve"> </w:t>
      </w:r>
      <w:r w:rsidR="005757CB">
        <w:rPr>
          <w:spacing w:val="-2"/>
        </w:rPr>
        <w:t>in the mining states in particular</w:t>
      </w:r>
      <w:r w:rsidR="003F2AA7">
        <w:rPr>
          <w:spacing w:val="-2"/>
        </w:rPr>
        <w:t>,</w:t>
      </w:r>
      <w:r w:rsidR="005757CB">
        <w:rPr>
          <w:spacing w:val="-2"/>
        </w:rPr>
        <w:t xml:space="preserve"> </w:t>
      </w:r>
      <w:r w:rsidR="006044A7" w:rsidRPr="00322B91">
        <w:rPr>
          <w:spacing w:val="-2"/>
        </w:rPr>
        <w:t>is consistent with relatively buoyant economic conditions, low rates of unemployment and higher business confidence</w:t>
      </w:r>
      <w:r w:rsidR="003F2AA7">
        <w:rPr>
          <w:spacing w:val="-2"/>
        </w:rPr>
        <w:t xml:space="preserve">. </w:t>
      </w:r>
      <w:r w:rsidR="003F2AA7">
        <w:rPr>
          <w:spacing w:val="-2"/>
        </w:rPr>
        <w:lastRenderedPageBreak/>
        <w:t>The mining states recorded considerably stronger economic growth and labour market strength than the non</w:t>
      </w:r>
      <w:r w:rsidR="003F2AA7">
        <w:rPr>
          <w:spacing w:val="-2"/>
        </w:rPr>
        <w:noBreakHyphen/>
        <w:t>mining states during the decade to 2011 (table 4.4). Unemployment, for example, was higher in the mining states in 2001, but fell</w:t>
      </w:r>
      <w:r w:rsidR="00ED24DC">
        <w:rPr>
          <w:spacing w:val="-2"/>
        </w:rPr>
        <w:t xml:space="preserve"> </w:t>
      </w:r>
      <w:r w:rsidR="00FE0BF7">
        <w:rPr>
          <w:spacing w:val="-2"/>
        </w:rPr>
        <w:t>more markedly</w:t>
      </w:r>
      <w:r w:rsidR="00ED24DC">
        <w:rPr>
          <w:spacing w:val="-2"/>
        </w:rPr>
        <w:t>, reaching a low</w:t>
      </w:r>
      <w:r w:rsidR="00FE0BF7">
        <w:rPr>
          <w:spacing w:val="-2"/>
        </w:rPr>
        <w:t xml:space="preserve"> </w:t>
      </w:r>
      <w:r w:rsidR="00ED24DC">
        <w:rPr>
          <w:spacing w:val="-2"/>
        </w:rPr>
        <w:t>in 2008, before ending</w:t>
      </w:r>
      <w:r w:rsidR="00381B03">
        <w:rPr>
          <w:spacing w:val="-2"/>
        </w:rPr>
        <w:t xml:space="preserve"> the decade at </w:t>
      </w:r>
      <w:r w:rsidR="00FE0BF7">
        <w:rPr>
          <w:spacing w:val="-2"/>
        </w:rPr>
        <w:t xml:space="preserve">about the same </w:t>
      </w:r>
      <w:r w:rsidR="00381B03">
        <w:rPr>
          <w:spacing w:val="-2"/>
        </w:rPr>
        <w:t xml:space="preserve">level </w:t>
      </w:r>
      <w:r w:rsidR="00FE0BF7">
        <w:rPr>
          <w:spacing w:val="-2"/>
        </w:rPr>
        <w:t xml:space="preserve">as </w:t>
      </w:r>
      <w:r w:rsidR="00C80099">
        <w:rPr>
          <w:spacing w:val="-2"/>
        </w:rPr>
        <w:t>that</w:t>
      </w:r>
      <w:r w:rsidR="00381B03">
        <w:rPr>
          <w:spacing w:val="-2"/>
        </w:rPr>
        <w:t xml:space="preserve"> recorded in the non</w:t>
      </w:r>
      <w:r w:rsidR="00381B03">
        <w:rPr>
          <w:spacing w:val="-2"/>
        </w:rPr>
        <w:noBreakHyphen/>
        <w:t>mining states</w:t>
      </w:r>
      <w:r w:rsidR="006044A7" w:rsidRPr="00322B91">
        <w:rPr>
          <w:spacing w:val="-2"/>
        </w:rPr>
        <w:t xml:space="preserve">. Employers </w:t>
      </w:r>
      <w:r w:rsidR="00CD401F">
        <w:rPr>
          <w:spacing w:val="-2"/>
        </w:rPr>
        <w:t>may have</w:t>
      </w:r>
      <w:r w:rsidR="006044A7" w:rsidRPr="00322B91">
        <w:rPr>
          <w:spacing w:val="-2"/>
        </w:rPr>
        <w:t xml:space="preserve"> used </w:t>
      </w:r>
      <w:r w:rsidR="006044A7">
        <w:rPr>
          <w:spacing w:val="-2"/>
        </w:rPr>
        <w:t>permanent</w:t>
      </w:r>
      <w:r w:rsidR="006044A7" w:rsidRPr="00322B91">
        <w:rPr>
          <w:spacing w:val="-2"/>
        </w:rPr>
        <w:t xml:space="preserve"> employment as a strategy to reduce the costs associated with turnover (for example, recruitment</w:t>
      </w:r>
      <w:r>
        <w:rPr>
          <w:spacing w:val="-2"/>
        </w:rPr>
        <w:t xml:space="preserve"> and</w:t>
      </w:r>
      <w:r w:rsidR="006044A7" w:rsidRPr="00322B91">
        <w:rPr>
          <w:spacing w:val="-2"/>
        </w:rPr>
        <w:t xml:space="preserve"> induction) in a tight labour market.</w:t>
      </w:r>
    </w:p>
    <w:p w:rsidR="0079479A" w:rsidRDefault="001F7D21" w:rsidP="0079479A">
      <w:pPr>
        <w:pStyle w:val="BodyText"/>
      </w:pPr>
      <w:r>
        <w:t>F</w:t>
      </w:r>
      <w:r w:rsidR="0079479A">
        <w:t>all</w:t>
      </w:r>
      <w:r w:rsidR="00DB643B">
        <w:t>s</w:t>
      </w:r>
      <w:r w:rsidR="0079479A">
        <w:t xml:space="preserve"> in the prevalence of casuals </w:t>
      </w:r>
      <w:r w:rsidR="00DB643B">
        <w:t xml:space="preserve">and </w:t>
      </w:r>
      <w:proofErr w:type="spellStart"/>
      <w:r w:rsidR="00DB643B">
        <w:t>OMUEs</w:t>
      </w:r>
      <w:proofErr w:type="spellEnd"/>
      <w:r w:rsidR="00DB643B">
        <w:t xml:space="preserve"> </w:t>
      </w:r>
      <w:r w:rsidR="0079479A">
        <w:t>during the middle years of the decade, when increases in the prevalence of permanent employees were most rapid (figures 3.2</w:t>
      </w:r>
      <w:r w:rsidR="00DB643B">
        <w:t>,</w:t>
      </w:r>
      <w:r w:rsidR="0079479A">
        <w:t xml:space="preserve"> 3.3</w:t>
      </w:r>
      <w:r w:rsidR="00DB643B">
        <w:t xml:space="preserve"> and 3.5</w:t>
      </w:r>
      <w:r>
        <w:t>), fit</w:t>
      </w:r>
      <w:r w:rsidR="0079479A">
        <w:t xml:space="preserve"> with this hypothesis.</w:t>
      </w:r>
    </w:p>
    <w:p w:rsidR="00594F43" w:rsidRDefault="00594F43" w:rsidP="00594F43">
      <w:pPr>
        <w:pStyle w:val="TableTitle"/>
      </w:pPr>
      <w:r>
        <w:rPr>
          <w:b w:val="0"/>
        </w:rPr>
        <w:t xml:space="preserve">Table </w:t>
      </w:r>
      <w:bookmarkStart w:id="15" w:name="OLE_LINK16"/>
      <w:r>
        <w:rPr>
          <w:b w:val="0"/>
        </w:rPr>
        <w:t>4.</w:t>
      </w:r>
      <w:r>
        <w:rPr>
          <w:b w:val="0"/>
          <w:noProof/>
        </w:rPr>
        <w:t>4</w:t>
      </w:r>
      <w:bookmarkEnd w:id="15"/>
      <w:r>
        <w:tab/>
        <w:t>Relative economic strength of the mining states</w:t>
      </w:r>
    </w:p>
    <w:p w:rsidR="00594F43" w:rsidRPr="00ED1E26" w:rsidRDefault="00594F43" w:rsidP="00594F43">
      <w:pPr>
        <w:pStyle w:val="Subtitle"/>
      </w:pPr>
      <w:r w:rsidRPr="00ED1E26">
        <w:t>Per cent</w:t>
      </w:r>
    </w:p>
    <w:tbl>
      <w:tblPr>
        <w:tblW w:w="5000" w:type="pct"/>
        <w:tblCellMar>
          <w:left w:w="0" w:type="dxa"/>
          <w:right w:w="0" w:type="dxa"/>
        </w:tblCellMar>
        <w:tblLook w:val="0000" w:firstRow="0" w:lastRow="0" w:firstColumn="0" w:lastColumn="0" w:noHBand="0" w:noVBand="0"/>
      </w:tblPr>
      <w:tblGrid>
        <w:gridCol w:w="1734"/>
        <w:gridCol w:w="1857"/>
        <w:gridCol w:w="1733"/>
        <w:gridCol w:w="123"/>
        <w:gridCol w:w="1114"/>
        <w:gridCol w:w="1114"/>
        <w:gridCol w:w="1114"/>
      </w:tblGrid>
      <w:tr w:rsidR="00381B03" w:rsidTr="00381B03">
        <w:trPr>
          <w:trHeight w:val="401"/>
        </w:trPr>
        <w:tc>
          <w:tcPr>
            <w:tcW w:w="986" w:type="pct"/>
            <w:vMerge w:val="restart"/>
            <w:tcBorders>
              <w:top w:val="single" w:sz="6" w:space="0" w:color="auto"/>
            </w:tcBorders>
            <w:shd w:val="clear" w:color="auto" w:fill="auto"/>
          </w:tcPr>
          <w:p w:rsidR="00381B03" w:rsidRDefault="00381B03" w:rsidP="00C9516A">
            <w:pPr>
              <w:pStyle w:val="TableColumnHeading"/>
              <w:jc w:val="left"/>
            </w:pPr>
          </w:p>
        </w:tc>
        <w:tc>
          <w:tcPr>
            <w:tcW w:w="1056" w:type="pct"/>
            <w:vMerge w:val="restart"/>
            <w:tcBorders>
              <w:top w:val="single" w:sz="6" w:space="0" w:color="auto"/>
            </w:tcBorders>
          </w:tcPr>
          <w:p w:rsidR="00381B03" w:rsidRDefault="00381B03" w:rsidP="001B1757">
            <w:pPr>
              <w:pStyle w:val="TableColumnHeading"/>
              <w:ind w:right="0"/>
            </w:pPr>
            <w:r>
              <w:t>Real state gross  </w:t>
            </w:r>
            <w:r>
              <w:br/>
              <w:t>domestic product </w:t>
            </w:r>
            <w:r w:rsidRPr="003650CF">
              <w:rPr>
                <w:sz w:val="16"/>
                <w:szCs w:val="16"/>
              </w:rPr>
              <w:t> </w:t>
            </w:r>
            <w:r>
              <w:br/>
              <w:t>2001 to 2011</w:t>
            </w:r>
            <w:r w:rsidRPr="00273C92">
              <w:rPr>
                <w:rStyle w:val="NoteLabel"/>
                <w:i w:val="0"/>
              </w:rPr>
              <w:t>a</w:t>
            </w:r>
          </w:p>
        </w:tc>
        <w:tc>
          <w:tcPr>
            <w:tcW w:w="986" w:type="pct"/>
            <w:vMerge w:val="restart"/>
            <w:tcBorders>
              <w:top w:val="single" w:sz="6" w:space="0" w:color="auto"/>
            </w:tcBorders>
            <w:shd w:val="clear" w:color="auto" w:fill="auto"/>
          </w:tcPr>
          <w:p w:rsidR="00381B03" w:rsidRDefault="00381B03" w:rsidP="0085380C">
            <w:pPr>
              <w:pStyle w:val="TableColumnHeading"/>
              <w:ind w:right="0"/>
            </w:pPr>
            <w:r>
              <w:t>Employment growth  </w:t>
            </w:r>
            <w:r>
              <w:br/>
              <w:t>2001 to 2011</w:t>
            </w:r>
            <w:r w:rsidRPr="00273C92">
              <w:rPr>
                <w:rStyle w:val="NoteLabel"/>
                <w:i w:val="0"/>
              </w:rPr>
              <w:t>a</w:t>
            </w:r>
          </w:p>
        </w:tc>
        <w:tc>
          <w:tcPr>
            <w:tcW w:w="70" w:type="pct"/>
            <w:tcBorders>
              <w:top w:val="single" w:sz="6" w:space="0" w:color="auto"/>
            </w:tcBorders>
          </w:tcPr>
          <w:p w:rsidR="00381B03" w:rsidRDefault="00381B03" w:rsidP="00C9516A">
            <w:pPr>
              <w:pStyle w:val="TableColumnHeading"/>
              <w:ind w:right="28"/>
              <w:jc w:val="center"/>
            </w:pPr>
          </w:p>
        </w:tc>
        <w:tc>
          <w:tcPr>
            <w:tcW w:w="1901" w:type="pct"/>
            <w:gridSpan w:val="3"/>
            <w:tcBorders>
              <w:top w:val="single" w:sz="6" w:space="0" w:color="auto"/>
              <w:bottom w:val="single" w:sz="4" w:space="0" w:color="auto"/>
            </w:tcBorders>
            <w:shd w:val="clear" w:color="auto" w:fill="auto"/>
          </w:tcPr>
          <w:p w:rsidR="00381B03" w:rsidRDefault="00381B03" w:rsidP="00C9516A">
            <w:pPr>
              <w:pStyle w:val="TableColumnHeading"/>
              <w:ind w:right="28"/>
              <w:jc w:val="center"/>
            </w:pPr>
            <w:r>
              <w:t>Unemployment rate</w:t>
            </w:r>
            <w:bookmarkStart w:id="16" w:name="_GoBack"/>
            <w:r w:rsidRPr="001E4DAB">
              <w:rPr>
                <w:rStyle w:val="NoteLabel"/>
                <w:i w:val="0"/>
              </w:rPr>
              <w:t>b</w:t>
            </w:r>
            <w:bookmarkEnd w:id="16"/>
          </w:p>
        </w:tc>
      </w:tr>
      <w:tr w:rsidR="00381B03" w:rsidTr="007B17A3">
        <w:trPr>
          <w:trHeight w:val="401"/>
        </w:trPr>
        <w:tc>
          <w:tcPr>
            <w:tcW w:w="986" w:type="pct"/>
            <w:vMerge/>
            <w:tcBorders>
              <w:bottom w:val="single" w:sz="6" w:space="0" w:color="auto"/>
            </w:tcBorders>
            <w:shd w:val="clear" w:color="auto" w:fill="auto"/>
          </w:tcPr>
          <w:p w:rsidR="00381B03" w:rsidRDefault="00381B03" w:rsidP="00C9516A">
            <w:pPr>
              <w:pStyle w:val="TableColumnHeading"/>
              <w:jc w:val="left"/>
            </w:pPr>
          </w:p>
        </w:tc>
        <w:tc>
          <w:tcPr>
            <w:tcW w:w="1056" w:type="pct"/>
            <w:vMerge/>
            <w:tcBorders>
              <w:bottom w:val="single" w:sz="6" w:space="0" w:color="auto"/>
            </w:tcBorders>
          </w:tcPr>
          <w:p w:rsidR="00381B03" w:rsidRDefault="00381B03" w:rsidP="00C9516A">
            <w:pPr>
              <w:pStyle w:val="TableColumnHeading"/>
            </w:pPr>
          </w:p>
        </w:tc>
        <w:tc>
          <w:tcPr>
            <w:tcW w:w="986" w:type="pct"/>
            <w:vMerge/>
            <w:tcBorders>
              <w:bottom w:val="single" w:sz="6" w:space="0" w:color="auto"/>
            </w:tcBorders>
            <w:shd w:val="clear" w:color="auto" w:fill="auto"/>
          </w:tcPr>
          <w:p w:rsidR="00381B03" w:rsidRDefault="00381B03" w:rsidP="00C9516A">
            <w:pPr>
              <w:pStyle w:val="TableColumnHeading"/>
            </w:pPr>
          </w:p>
        </w:tc>
        <w:tc>
          <w:tcPr>
            <w:tcW w:w="70" w:type="pct"/>
            <w:tcBorders>
              <w:bottom w:val="single" w:sz="4" w:space="0" w:color="auto"/>
            </w:tcBorders>
          </w:tcPr>
          <w:p w:rsidR="00381B03" w:rsidRDefault="00381B03" w:rsidP="00C9516A">
            <w:pPr>
              <w:pStyle w:val="TableColumnHeading"/>
              <w:ind w:right="28"/>
            </w:pPr>
          </w:p>
        </w:tc>
        <w:tc>
          <w:tcPr>
            <w:tcW w:w="634" w:type="pct"/>
            <w:tcBorders>
              <w:top w:val="single" w:sz="4" w:space="0" w:color="auto"/>
              <w:bottom w:val="single" w:sz="4" w:space="0" w:color="auto"/>
            </w:tcBorders>
            <w:shd w:val="clear" w:color="auto" w:fill="auto"/>
          </w:tcPr>
          <w:p w:rsidR="00381B03" w:rsidRDefault="00381B03" w:rsidP="00A6039A">
            <w:pPr>
              <w:pStyle w:val="TableColumnHeading"/>
            </w:pPr>
            <w:r>
              <w:t>2001</w:t>
            </w:r>
          </w:p>
        </w:tc>
        <w:tc>
          <w:tcPr>
            <w:tcW w:w="634" w:type="pct"/>
            <w:tcBorders>
              <w:top w:val="single" w:sz="4" w:space="0" w:color="auto"/>
              <w:bottom w:val="single" w:sz="4" w:space="0" w:color="auto"/>
            </w:tcBorders>
            <w:shd w:val="clear" w:color="auto" w:fill="auto"/>
          </w:tcPr>
          <w:p w:rsidR="00381B03" w:rsidRDefault="00381B03" w:rsidP="007B17A3">
            <w:pPr>
              <w:pStyle w:val="TableColumnHeading"/>
              <w:rPr>
                <w:i w:val="0"/>
              </w:rPr>
            </w:pPr>
            <w:r>
              <w:t>2008</w:t>
            </w:r>
          </w:p>
        </w:tc>
        <w:tc>
          <w:tcPr>
            <w:tcW w:w="634" w:type="pct"/>
            <w:tcBorders>
              <w:top w:val="single" w:sz="4" w:space="0" w:color="auto"/>
              <w:bottom w:val="single" w:sz="4" w:space="0" w:color="auto"/>
            </w:tcBorders>
          </w:tcPr>
          <w:p w:rsidR="00381B03" w:rsidRDefault="00381B03" w:rsidP="00381B03">
            <w:pPr>
              <w:pStyle w:val="TableColumnHeading"/>
              <w:ind w:right="28"/>
            </w:pPr>
            <w:r>
              <w:t>2011</w:t>
            </w:r>
          </w:p>
        </w:tc>
      </w:tr>
      <w:tr w:rsidR="00381B03" w:rsidTr="007B17A3">
        <w:tc>
          <w:tcPr>
            <w:tcW w:w="986" w:type="pct"/>
          </w:tcPr>
          <w:p w:rsidR="00381B03" w:rsidRDefault="00381B03" w:rsidP="00C9516A">
            <w:pPr>
              <w:pStyle w:val="TableBodyText"/>
              <w:spacing w:before="80"/>
              <w:jc w:val="left"/>
              <w:rPr>
                <w:i/>
              </w:rPr>
            </w:pPr>
            <w:r>
              <w:t>Mining states</w:t>
            </w:r>
          </w:p>
        </w:tc>
        <w:tc>
          <w:tcPr>
            <w:tcW w:w="1056" w:type="pct"/>
          </w:tcPr>
          <w:p w:rsidR="00381B03" w:rsidRDefault="00381B03" w:rsidP="00C9516A">
            <w:pPr>
              <w:pStyle w:val="TableBodyText"/>
              <w:spacing w:before="80"/>
              <w:rPr>
                <w:i/>
              </w:rPr>
            </w:pPr>
            <w:r>
              <w:t>6.7</w:t>
            </w:r>
          </w:p>
        </w:tc>
        <w:tc>
          <w:tcPr>
            <w:tcW w:w="986" w:type="pct"/>
          </w:tcPr>
          <w:p w:rsidR="00381B03" w:rsidRDefault="00381B03" w:rsidP="00C9516A">
            <w:pPr>
              <w:pStyle w:val="TableBodyText"/>
              <w:spacing w:before="80"/>
              <w:rPr>
                <w:i/>
              </w:rPr>
            </w:pPr>
            <w:r>
              <w:t>3.1</w:t>
            </w:r>
          </w:p>
        </w:tc>
        <w:tc>
          <w:tcPr>
            <w:tcW w:w="70" w:type="pct"/>
          </w:tcPr>
          <w:p w:rsidR="00381B03" w:rsidRDefault="00381B03" w:rsidP="00C9516A">
            <w:pPr>
              <w:pStyle w:val="TableBodyText"/>
              <w:spacing w:before="80"/>
              <w:ind w:right="28"/>
            </w:pPr>
          </w:p>
        </w:tc>
        <w:tc>
          <w:tcPr>
            <w:tcW w:w="634" w:type="pct"/>
            <w:tcBorders>
              <w:top w:val="single" w:sz="4" w:space="0" w:color="auto"/>
            </w:tcBorders>
          </w:tcPr>
          <w:p w:rsidR="00381B03" w:rsidRPr="00A6039A" w:rsidRDefault="00381B03" w:rsidP="00A6039A">
            <w:pPr>
              <w:pStyle w:val="TableBodyText"/>
              <w:spacing w:before="80"/>
            </w:pPr>
            <w:r>
              <w:t>7.</w:t>
            </w:r>
            <w:r w:rsidR="00FE0BF7">
              <w:t>8</w:t>
            </w:r>
          </w:p>
        </w:tc>
        <w:tc>
          <w:tcPr>
            <w:tcW w:w="634" w:type="pct"/>
            <w:tcBorders>
              <w:top w:val="single" w:sz="4" w:space="0" w:color="auto"/>
            </w:tcBorders>
          </w:tcPr>
          <w:p w:rsidR="00381B03" w:rsidRPr="003319CC" w:rsidRDefault="00FE0BF7" w:rsidP="007B17A3">
            <w:pPr>
              <w:pStyle w:val="TableBodyText"/>
              <w:framePr w:w="2155" w:hSpace="227" w:vSpace="181" w:wrap="around" w:vAnchor="text" w:hAnchor="page" w:xAlign="outside" w:y="1"/>
              <w:spacing w:before="80"/>
            </w:pPr>
            <w:r>
              <w:t>3.5</w:t>
            </w:r>
          </w:p>
        </w:tc>
        <w:tc>
          <w:tcPr>
            <w:tcW w:w="634" w:type="pct"/>
            <w:tcBorders>
              <w:top w:val="single" w:sz="4" w:space="0" w:color="auto"/>
            </w:tcBorders>
          </w:tcPr>
          <w:p w:rsidR="00381B03" w:rsidRPr="003319CC" w:rsidRDefault="00FE0BF7" w:rsidP="00C9516A">
            <w:pPr>
              <w:pStyle w:val="TableBodyText"/>
              <w:framePr w:w="2155" w:hSpace="227" w:vSpace="181" w:wrap="around" w:vAnchor="text" w:hAnchor="page" w:xAlign="outside" w:y="1"/>
              <w:spacing w:before="80"/>
              <w:ind w:right="28"/>
            </w:pPr>
            <w:r>
              <w:t>5.0</w:t>
            </w:r>
          </w:p>
        </w:tc>
      </w:tr>
      <w:tr w:rsidR="00381B03" w:rsidTr="007B17A3">
        <w:tc>
          <w:tcPr>
            <w:tcW w:w="986" w:type="pct"/>
            <w:tcBorders>
              <w:bottom w:val="single" w:sz="6" w:space="0" w:color="auto"/>
            </w:tcBorders>
            <w:shd w:val="clear" w:color="auto" w:fill="auto"/>
          </w:tcPr>
          <w:p w:rsidR="00381B03" w:rsidRDefault="00381B03" w:rsidP="00C9516A">
            <w:pPr>
              <w:pStyle w:val="TableBodyText"/>
              <w:jc w:val="left"/>
            </w:pPr>
            <w:r>
              <w:t>Non-mining states</w:t>
            </w:r>
          </w:p>
        </w:tc>
        <w:tc>
          <w:tcPr>
            <w:tcW w:w="1056" w:type="pct"/>
            <w:tcBorders>
              <w:bottom w:val="single" w:sz="6" w:space="0" w:color="auto"/>
            </w:tcBorders>
          </w:tcPr>
          <w:p w:rsidR="00381B03" w:rsidRDefault="00381B03" w:rsidP="00C9516A">
            <w:pPr>
              <w:pStyle w:val="TableBodyText"/>
            </w:pPr>
            <w:r>
              <w:t>3.3</w:t>
            </w:r>
          </w:p>
        </w:tc>
        <w:tc>
          <w:tcPr>
            <w:tcW w:w="986" w:type="pct"/>
            <w:tcBorders>
              <w:bottom w:val="single" w:sz="6" w:space="0" w:color="auto"/>
            </w:tcBorders>
            <w:shd w:val="clear" w:color="auto" w:fill="auto"/>
          </w:tcPr>
          <w:p w:rsidR="00381B03" w:rsidRDefault="00381B03" w:rsidP="00C9516A">
            <w:pPr>
              <w:pStyle w:val="TableBodyText"/>
            </w:pPr>
            <w:r>
              <w:t>1.9</w:t>
            </w:r>
          </w:p>
        </w:tc>
        <w:tc>
          <w:tcPr>
            <w:tcW w:w="70" w:type="pct"/>
            <w:tcBorders>
              <w:bottom w:val="single" w:sz="6" w:space="0" w:color="auto"/>
            </w:tcBorders>
          </w:tcPr>
          <w:p w:rsidR="00381B03" w:rsidRDefault="00381B03" w:rsidP="00C9516A">
            <w:pPr>
              <w:pStyle w:val="TableBodyText"/>
              <w:ind w:right="28"/>
            </w:pPr>
          </w:p>
        </w:tc>
        <w:tc>
          <w:tcPr>
            <w:tcW w:w="634" w:type="pct"/>
            <w:tcBorders>
              <w:bottom w:val="single" w:sz="6" w:space="0" w:color="auto"/>
            </w:tcBorders>
            <w:shd w:val="clear" w:color="auto" w:fill="auto"/>
          </w:tcPr>
          <w:p w:rsidR="00381B03" w:rsidRDefault="00381B03" w:rsidP="00A6039A">
            <w:pPr>
              <w:pStyle w:val="TableBodyText"/>
            </w:pPr>
            <w:r>
              <w:t>6.</w:t>
            </w:r>
            <w:r w:rsidR="00FE0BF7">
              <w:t>3</w:t>
            </w:r>
          </w:p>
        </w:tc>
        <w:tc>
          <w:tcPr>
            <w:tcW w:w="634" w:type="pct"/>
            <w:tcBorders>
              <w:bottom w:val="single" w:sz="6" w:space="0" w:color="auto"/>
            </w:tcBorders>
            <w:shd w:val="clear" w:color="auto" w:fill="auto"/>
          </w:tcPr>
          <w:p w:rsidR="00381B03" w:rsidRDefault="00381B03" w:rsidP="007B17A3">
            <w:pPr>
              <w:pStyle w:val="TableBodyText"/>
              <w:rPr>
                <w:i/>
              </w:rPr>
            </w:pPr>
            <w:r>
              <w:t>4.</w:t>
            </w:r>
            <w:r w:rsidR="00FE0BF7">
              <w:t>6</w:t>
            </w:r>
          </w:p>
        </w:tc>
        <w:tc>
          <w:tcPr>
            <w:tcW w:w="634" w:type="pct"/>
            <w:tcBorders>
              <w:bottom w:val="single" w:sz="6" w:space="0" w:color="auto"/>
            </w:tcBorders>
          </w:tcPr>
          <w:p w:rsidR="00381B03" w:rsidRDefault="00FE0BF7" w:rsidP="00C9516A">
            <w:pPr>
              <w:pStyle w:val="TableBodyText"/>
              <w:ind w:right="28"/>
            </w:pPr>
            <w:r>
              <w:t>5.1</w:t>
            </w:r>
          </w:p>
        </w:tc>
      </w:tr>
    </w:tbl>
    <w:p w:rsidR="00594F43" w:rsidRPr="00273C92" w:rsidRDefault="00594F43" w:rsidP="00594F43">
      <w:pPr>
        <w:pStyle w:val="Note"/>
      </w:pPr>
      <w:proofErr w:type="spellStart"/>
      <w:r>
        <w:rPr>
          <w:rStyle w:val="NoteLabel"/>
        </w:rPr>
        <w:t>a</w:t>
      </w:r>
      <w:proofErr w:type="spellEnd"/>
      <w:r>
        <w:t xml:space="preserve"> Average growth per annum.</w:t>
      </w:r>
      <w:r w:rsidR="00381B03">
        <w:t xml:space="preserve">  </w:t>
      </w:r>
      <w:r w:rsidR="00381B03" w:rsidRPr="007B17A3">
        <w:rPr>
          <w:rStyle w:val="NoteLabel"/>
        </w:rPr>
        <w:t>b</w:t>
      </w:r>
      <w:r w:rsidR="00381B03">
        <w:t xml:space="preserve"> </w:t>
      </w:r>
      <w:r w:rsidR="00FE0BF7">
        <w:t>Annual average monthly unemployment rate.</w:t>
      </w:r>
    </w:p>
    <w:p w:rsidR="00594F43" w:rsidRPr="008E77FE" w:rsidRDefault="00594F43" w:rsidP="00594F43">
      <w:pPr>
        <w:pStyle w:val="Source"/>
      </w:pPr>
      <w:r>
        <w:rPr>
          <w:i/>
        </w:rPr>
        <w:t>Sources</w:t>
      </w:r>
      <w:r>
        <w:t>: ABS (</w:t>
      </w:r>
      <w:r w:rsidRPr="00C57A21">
        <w:rPr>
          <w:i/>
        </w:rPr>
        <w:t>Australian National Accounts: State Accounts 2011–12</w:t>
      </w:r>
      <w:r>
        <w:t xml:space="preserve">, Cat. no. 5220.0; and </w:t>
      </w:r>
      <w:r w:rsidRPr="00C1702E">
        <w:rPr>
          <w:i/>
        </w:rPr>
        <w:t>Labour Force, Australia</w:t>
      </w:r>
      <w:r>
        <w:t>,</w:t>
      </w:r>
      <w:r w:rsidRPr="00AD5058">
        <w:rPr>
          <w:i/>
        </w:rPr>
        <w:t xml:space="preserve"> Detailed,</w:t>
      </w:r>
      <w:r>
        <w:t xml:space="preserve"> Cat. no. 6291.0.55.001).</w:t>
      </w:r>
    </w:p>
    <w:p w:rsidR="006044A7" w:rsidRPr="003F30D6" w:rsidRDefault="0057110C" w:rsidP="00664FB1">
      <w:pPr>
        <w:pStyle w:val="BodyText"/>
      </w:pPr>
      <w:r>
        <w:t xml:space="preserve">Turning to </w:t>
      </w:r>
      <w:proofErr w:type="spellStart"/>
      <w:r>
        <w:t>OMUEs</w:t>
      </w:r>
      <w:proofErr w:type="spellEnd"/>
      <w:r w:rsidR="00664FB1">
        <w:t xml:space="preserve">, </w:t>
      </w:r>
      <w:r>
        <w:t>beyond the effect of declines in farmer and farm manager numbers in the non</w:t>
      </w:r>
      <w:r>
        <w:noBreakHyphen/>
        <w:t xml:space="preserve">mining states, </w:t>
      </w:r>
      <w:r w:rsidR="00664FB1">
        <w:t>i</w:t>
      </w:r>
      <w:r w:rsidR="006044A7" w:rsidRPr="003F30D6">
        <w:t xml:space="preserve">t is not clear why </w:t>
      </w:r>
      <w:r w:rsidR="00664FB1">
        <w:t xml:space="preserve">the prevalence of </w:t>
      </w:r>
      <w:r>
        <w:t xml:space="preserve">this </w:t>
      </w:r>
      <w:proofErr w:type="spellStart"/>
      <w:r>
        <w:t>FOW</w:t>
      </w:r>
      <w:proofErr w:type="spellEnd"/>
      <w:r w:rsidR="00664FB1">
        <w:t xml:space="preserve"> fell.</w:t>
      </w:r>
      <w:r w:rsidR="006044A7" w:rsidRPr="003F30D6">
        <w:t xml:space="preserve"> </w:t>
      </w:r>
      <w:r w:rsidR="006044A7">
        <w:t xml:space="preserve">If the decline was due to </w:t>
      </w:r>
      <w:r w:rsidR="00664FB1">
        <w:t>fewer people entering</w:t>
      </w:r>
      <w:r w:rsidR="006044A7">
        <w:t xml:space="preserve"> this </w:t>
      </w:r>
      <w:proofErr w:type="spellStart"/>
      <w:r w:rsidR="006044A7">
        <w:t>FOW</w:t>
      </w:r>
      <w:proofErr w:type="spellEnd"/>
      <w:r w:rsidR="006044A7">
        <w:t xml:space="preserve"> and not to an increase in the </w:t>
      </w:r>
      <w:r w:rsidR="00664FB1">
        <w:t>number leaving</w:t>
      </w:r>
      <w:r w:rsidR="0087327D">
        <w:t xml:space="preserve"> (</w:t>
      </w:r>
      <w:proofErr w:type="spellStart"/>
      <w:r w:rsidR="0087327D">
        <w:t>Atalay</w:t>
      </w:r>
      <w:proofErr w:type="spellEnd"/>
      <w:r w:rsidR="0087327D">
        <w:t xml:space="preserve"> et al. </w:t>
      </w:r>
      <w:r w:rsidR="006044A7">
        <w:t xml:space="preserve">2013), it suggests that </w:t>
      </w:r>
      <w:r w:rsidR="00664FB1">
        <w:t xml:space="preserve">workers increasingly viewed </w:t>
      </w:r>
      <w:proofErr w:type="spellStart"/>
      <w:r w:rsidR="006044A7">
        <w:t>OMUE</w:t>
      </w:r>
      <w:proofErr w:type="spellEnd"/>
      <w:r w:rsidR="006044A7">
        <w:t xml:space="preserve"> employment </w:t>
      </w:r>
      <w:r w:rsidR="00664FB1">
        <w:t xml:space="preserve">as </w:t>
      </w:r>
      <w:r w:rsidR="006044A7">
        <w:t xml:space="preserve">less attractive </w:t>
      </w:r>
      <w:r w:rsidR="00664FB1">
        <w:t>than</w:t>
      </w:r>
      <w:r w:rsidR="006044A7">
        <w:t xml:space="preserve"> other </w:t>
      </w:r>
      <w:proofErr w:type="spellStart"/>
      <w:r w:rsidR="006044A7">
        <w:t>FOWs</w:t>
      </w:r>
      <w:proofErr w:type="spellEnd"/>
      <w:r w:rsidR="006044A7">
        <w:t xml:space="preserve">. </w:t>
      </w:r>
      <w:r w:rsidR="001D26C5">
        <w:t>Perhaps</w:t>
      </w:r>
      <w:r w:rsidR="006044A7" w:rsidRPr="003F30D6">
        <w:t xml:space="preserve"> workers who </w:t>
      </w:r>
      <w:r w:rsidR="00CD401F">
        <w:t xml:space="preserve">otherwise </w:t>
      </w:r>
      <w:r w:rsidR="006044A7" w:rsidRPr="003F30D6">
        <w:t>might have entered self</w:t>
      </w:r>
      <w:r w:rsidR="006044A7" w:rsidRPr="003F30D6">
        <w:noBreakHyphen/>
        <w:t xml:space="preserve">employment </w:t>
      </w:r>
      <w:r w:rsidR="00504449">
        <w:t>if</w:t>
      </w:r>
      <w:r w:rsidR="00664FB1">
        <w:t xml:space="preserve"> </w:t>
      </w:r>
      <w:r w:rsidR="006044A7">
        <w:t>labo</w:t>
      </w:r>
      <w:r w:rsidR="00664FB1">
        <w:t xml:space="preserve">ur market conditions </w:t>
      </w:r>
      <w:r w:rsidR="00504449">
        <w:t xml:space="preserve">had been </w:t>
      </w:r>
      <w:r w:rsidR="00664FB1">
        <w:t>weak</w:t>
      </w:r>
      <w:r w:rsidR="00504449">
        <w:t>er</w:t>
      </w:r>
      <w:r w:rsidR="006044A7">
        <w:t xml:space="preserve"> </w:t>
      </w:r>
      <w:r w:rsidR="006044A7" w:rsidRPr="003F30D6">
        <w:t>obtained employee ro</w:t>
      </w:r>
      <w:r w:rsidR="00213204">
        <w:t xml:space="preserve">les </w:t>
      </w:r>
      <w:r w:rsidR="0085380C">
        <w:t xml:space="preserve">instead </w:t>
      </w:r>
      <w:r w:rsidR="00213204">
        <w:t>as unemployment rates fell.</w:t>
      </w:r>
    </w:p>
    <w:p w:rsidR="006044A7" w:rsidRDefault="001D26C5" w:rsidP="006044A7">
      <w:pPr>
        <w:pStyle w:val="BodyText"/>
        <w:rPr>
          <w:spacing w:val="-2"/>
        </w:rPr>
      </w:pPr>
      <w:r>
        <w:rPr>
          <w:spacing w:val="-2"/>
        </w:rPr>
        <w:t>T</w:t>
      </w:r>
      <w:r w:rsidR="006044A7" w:rsidRPr="003F30D6">
        <w:rPr>
          <w:spacing w:val="-2"/>
        </w:rPr>
        <w:t xml:space="preserve">he enactment of the </w:t>
      </w:r>
      <w:r w:rsidR="006044A7" w:rsidRPr="003F30D6">
        <w:rPr>
          <w:i/>
          <w:spacing w:val="-2"/>
        </w:rPr>
        <w:t>Alienation of Personal Services Income Act 2000</w:t>
      </w:r>
      <w:r w:rsidR="006044A7" w:rsidRPr="003F30D6">
        <w:rPr>
          <w:spacing w:val="-2"/>
        </w:rPr>
        <w:t xml:space="preserve"> (</w:t>
      </w:r>
      <w:proofErr w:type="spellStart"/>
      <w:r w:rsidR="006044A7" w:rsidRPr="003F30D6">
        <w:rPr>
          <w:spacing w:val="-2"/>
        </w:rPr>
        <w:t>Cwlth</w:t>
      </w:r>
      <w:proofErr w:type="spellEnd"/>
      <w:r w:rsidR="006044A7" w:rsidRPr="003F30D6">
        <w:rPr>
          <w:spacing w:val="-2"/>
        </w:rPr>
        <w:t xml:space="preserve">) </w:t>
      </w:r>
      <w:r w:rsidR="00A534AE">
        <w:rPr>
          <w:spacing w:val="-2"/>
        </w:rPr>
        <w:t>might have</w:t>
      </w:r>
      <w:r w:rsidR="006044A7">
        <w:rPr>
          <w:spacing w:val="-2"/>
        </w:rPr>
        <w:t xml:space="preserve"> </w:t>
      </w:r>
      <w:r w:rsidR="00504449">
        <w:rPr>
          <w:spacing w:val="-2"/>
        </w:rPr>
        <w:t>reduce</w:t>
      </w:r>
      <w:r w:rsidR="00A534AE">
        <w:rPr>
          <w:spacing w:val="-2"/>
        </w:rPr>
        <w:t>d</w:t>
      </w:r>
      <w:r w:rsidR="00504449">
        <w:rPr>
          <w:spacing w:val="-2"/>
        </w:rPr>
        <w:t xml:space="preserve"> the attractiveness of self</w:t>
      </w:r>
      <w:r w:rsidR="00504449">
        <w:rPr>
          <w:spacing w:val="-2"/>
        </w:rPr>
        <w:noBreakHyphen/>
        <w:t>employment to some workers</w:t>
      </w:r>
      <w:r w:rsidR="006044A7" w:rsidRPr="003F30D6">
        <w:rPr>
          <w:spacing w:val="-2"/>
        </w:rPr>
        <w:t xml:space="preserve">. </w:t>
      </w:r>
      <w:r w:rsidR="0097384A">
        <w:rPr>
          <w:spacing w:val="-2"/>
        </w:rPr>
        <w:t>I</w:t>
      </w:r>
      <w:r w:rsidR="006044A7" w:rsidRPr="003F30D6">
        <w:rPr>
          <w:spacing w:val="-2"/>
        </w:rPr>
        <w:t xml:space="preserve">f </w:t>
      </w:r>
      <w:r w:rsidR="00504449">
        <w:rPr>
          <w:spacing w:val="-2"/>
        </w:rPr>
        <w:t xml:space="preserve">that had been the case, however, </w:t>
      </w:r>
      <w:r w:rsidR="00027829">
        <w:rPr>
          <w:spacing w:val="-2"/>
        </w:rPr>
        <w:t xml:space="preserve">relatively slow growth of </w:t>
      </w:r>
      <w:proofErr w:type="spellStart"/>
      <w:r>
        <w:rPr>
          <w:spacing w:val="-2"/>
        </w:rPr>
        <w:t>OMUE</w:t>
      </w:r>
      <w:proofErr w:type="spellEnd"/>
      <w:r>
        <w:rPr>
          <w:spacing w:val="-2"/>
        </w:rPr>
        <w:t xml:space="preserve"> employment should have occurred </w:t>
      </w:r>
      <w:r w:rsidR="00CD401F">
        <w:rPr>
          <w:spacing w:val="-2"/>
        </w:rPr>
        <w:t xml:space="preserve">more </w:t>
      </w:r>
      <w:r>
        <w:rPr>
          <w:spacing w:val="-2"/>
        </w:rPr>
        <w:t>evenly across the labour market</w:t>
      </w:r>
      <w:r w:rsidR="0097384A">
        <w:rPr>
          <w:spacing w:val="-2"/>
        </w:rPr>
        <w:t>.</w:t>
      </w:r>
      <w:r w:rsidR="006044A7" w:rsidRPr="003F30D6">
        <w:rPr>
          <w:spacing w:val="-2"/>
        </w:rPr>
        <w:t xml:space="preserve"> </w:t>
      </w:r>
      <w:r>
        <w:rPr>
          <w:spacing w:val="-2"/>
        </w:rPr>
        <w:t>Instead</w:t>
      </w:r>
      <w:r w:rsidR="0097384A">
        <w:rPr>
          <w:spacing w:val="-2"/>
        </w:rPr>
        <w:t xml:space="preserve">, shift effects for </w:t>
      </w:r>
      <w:proofErr w:type="spellStart"/>
      <w:r w:rsidR="0097384A">
        <w:rPr>
          <w:spacing w:val="-2"/>
        </w:rPr>
        <w:t>OMUEs</w:t>
      </w:r>
      <w:proofErr w:type="spellEnd"/>
      <w:r w:rsidR="0097384A">
        <w:rPr>
          <w:spacing w:val="-2"/>
        </w:rPr>
        <w:t xml:space="preserve"> varied between industries, full</w:t>
      </w:r>
      <w:r w:rsidR="0097384A">
        <w:rPr>
          <w:spacing w:val="-2"/>
        </w:rPr>
        <w:noBreakHyphen/>
        <w:t>and part</w:t>
      </w:r>
      <w:r w:rsidR="0097384A">
        <w:rPr>
          <w:spacing w:val="-2"/>
        </w:rPr>
        <w:noBreakHyphen/>
        <w:t>time workers and different age cohorts</w:t>
      </w:r>
      <w:r w:rsidR="00E87205">
        <w:rPr>
          <w:spacing w:val="-2"/>
        </w:rPr>
        <w:t>, indicating that this national</w:t>
      </w:r>
      <w:r w:rsidR="00E87205">
        <w:rPr>
          <w:spacing w:val="-2"/>
        </w:rPr>
        <w:noBreakHyphen/>
        <w:t xml:space="preserve">level change was not a </w:t>
      </w:r>
      <w:r w:rsidR="00CD401F">
        <w:rPr>
          <w:spacing w:val="-2"/>
        </w:rPr>
        <w:t xml:space="preserve">major </w:t>
      </w:r>
      <w:r w:rsidR="00E87205">
        <w:rPr>
          <w:spacing w:val="-2"/>
        </w:rPr>
        <w:t xml:space="preserve">factor in the decline in the prevalence of </w:t>
      </w:r>
      <w:proofErr w:type="spellStart"/>
      <w:r w:rsidR="00E87205">
        <w:rPr>
          <w:spacing w:val="-2"/>
        </w:rPr>
        <w:t>OMUEs</w:t>
      </w:r>
      <w:proofErr w:type="spellEnd"/>
      <w:r w:rsidR="0097384A">
        <w:rPr>
          <w:spacing w:val="-2"/>
        </w:rPr>
        <w:t xml:space="preserve">. </w:t>
      </w:r>
      <w:r w:rsidR="006044A7">
        <w:rPr>
          <w:spacing w:val="-2"/>
        </w:rPr>
        <w:t xml:space="preserve">(A similar argument could be applied to the potential effects of </w:t>
      </w:r>
      <w:r w:rsidR="00E87205">
        <w:rPr>
          <w:spacing w:val="-2"/>
        </w:rPr>
        <w:t>national</w:t>
      </w:r>
      <w:r w:rsidR="00E87205">
        <w:rPr>
          <w:spacing w:val="-2"/>
        </w:rPr>
        <w:noBreakHyphen/>
        <w:t xml:space="preserve">level </w:t>
      </w:r>
      <w:r w:rsidR="006044A7">
        <w:rPr>
          <w:spacing w:val="-2"/>
        </w:rPr>
        <w:t>changes in regulation relevant to small business ownership.)</w:t>
      </w:r>
    </w:p>
    <w:p w:rsidR="006044A7" w:rsidRDefault="006044A7" w:rsidP="0006147F">
      <w:pPr>
        <w:pStyle w:val="BodyText"/>
      </w:pPr>
      <w:r>
        <w:t>The Australian Industrial Relations Commission reached a determination in August 2005</w:t>
      </w:r>
      <w:r w:rsidR="00076818">
        <w:t xml:space="preserve"> that workers returning from parental leave</w:t>
      </w:r>
      <w:r w:rsidR="00027829">
        <w:t xml:space="preserve"> could request part</w:t>
      </w:r>
      <w:r w:rsidR="00027829">
        <w:noBreakHyphen/>
        <w:t>time work until their children reached school age</w:t>
      </w:r>
      <w:r>
        <w:t xml:space="preserve">, and published a model award clause consistent </w:t>
      </w:r>
      <w:r>
        <w:lastRenderedPageBreak/>
        <w:t>with its decision (</w:t>
      </w:r>
      <w:proofErr w:type="spellStart"/>
      <w:r>
        <w:t>AIRC</w:t>
      </w:r>
      <w:proofErr w:type="spellEnd"/>
      <w:r>
        <w:t xml:space="preserve"> 2005). Employers were only permitted to refuse a request on ‘reasonable grounds’. </w:t>
      </w:r>
      <w:r w:rsidR="0006147F">
        <w:t>Evidence on t</w:t>
      </w:r>
      <w:r w:rsidR="00027829">
        <w:t xml:space="preserve">he number of awards (and then agreements) modified as a result of this determination, and the </w:t>
      </w:r>
      <w:r w:rsidR="0006147F">
        <w:t xml:space="preserve">number of </w:t>
      </w:r>
      <w:r w:rsidR="00076818">
        <w:t>people</w:t>
      </w:r>
      <w:r w:rsidR="0006147F">
        <w:t xml:space="preserve"> who then requested part</w:t>
      </w:r>
      <w:r w:rsidR="0006147F">
        <w:noBreakHyphen/>
        <w:t>time hours</w:t>
      </w:r>
      <w:r w:rsidR="00027829">
        <w:t xml:space="preserve">, </w:t>
      </w:r>
      <w:r w:rsidR="0006147F">
        <w:t>has not been located</w:t>
      </w:r>
      <w:r w:rsidR="00027829">
        <w:t xml:space="preserve">. </w:t>
      </w:r>
      <w:r w:rsidR="00E87205">
        <w:t>That said, a</w:t>
      </w:r>
      <w:r w:rsidR="0006147F">
        <w:t xml:space="preserve">ccording to the Australian Government (2008), </w:t>
      </w:r>
      <w:r>
        <w:t xml:space="preserve">43 per cent of federal collective agreements </w:t>
      </w:r>
      <w:r w:rsidR="0006147F">
        <w:t xml:space="preserve">in 2008 </w:t>
      </w:r>
      <w:r>
        <w:t xml:space="preserve">included provisions </w:t>
      </w:r>
      <w:r w:rsidR="00E0188C">
        <w:t>for flexible working arrangements related to hours of work</w:t>
      </w:r>
      <w:r w:rsidR="00027829">
        <w:t>.</w:t>
      </w:r>
      <w:r w:rsidR="0006147F">
        <w:t xml:space="preserve"> The right to ask for flexible work arrangements, including reduced hours of work, was extended to all permanent employees and long</w:t>
      </w:r>
      <w:r w:rsidR="0006147F">
        <w:noBreakHyphen/>
        <w:t xml:space="preserve">term casuals with young children with the introduction of the </w:t>
      </w:r>
      <w:r>
        <w:t>National Employment Standards (</w:t>
      </w:r>
      <w:proofErr w:type="spellStart"/>
      <w:r w:rsidR="001857C5">
        <w:t>FWO</w:t>
      </w:r>
      <w:proofErr w:type="spellEnd"/>
      <w:r>
        <w:t xml:space="preserve"> </w:t>
      </w:r>
      <w:proofErr w:type="spellStart"/>
      <w:r>
        <w:t>2012</w:t>
      </w:r>
      <w:r w:rsidR="001857C5">
        <w:t>b</w:t>
      </w:r>
      <w:proofErr w:type="spellEnd"/>
      <w:r>
        <w:t>)</w:t>
      </w:r>
      <w:r w:rsidR="00DA115D">
        <w:t>. T</w:t>
      </w:r>
      <w:r>
        <w:t>his standard</w:t>
      </w:r>
      <w:r w:rsidR="00DA115D">
        <w:t>, however,</w:t>
      </w:r>
      <w:r>
        <w:t xml:space="preserve"> only </w:t>
      </w:r>
      <w:r w:rsidR="002F117A">
        <w:t>took effect from</w:t>
      </w:r>
      <w:r>
        <w:t xml:space="preserve"> 1 January 2010.</w:t>
      </w:r>
    </w:p>
    <w:p w:rsidR="006044A7" w:rsidRPr="00076818" w:rsidRDefault="006044A7" w:rsidP="006044A7">
      <w:pPr>
        <w:pStyle w:val="BodyText"/>
        <w:rPr>
          <w:spacing w:val="-2"/>
        </w:rPr>
      </w:pPr>
      <w:r w:rsidRPr="00076818">
        <w:rPr>
          <w:spacing w:val="-2"/>
        </w:rPr>
        <w:t xml:space="preserve">These changes are likely to have made it easier for </w:t>
      </w:r>
      <w:r w:rsidR="00076818" w:rsidRPr="00076818">
        <w:rPr>
          <w:spacing w:val="-2"/>
        </w:rPr>
        <w:t xml:space="preserve">workers (particularly women) </w:t>
      </w:r>
      <w:r w:rsidRPr="00076818">
        <w:rPr>
          <w:spacing w:val="-2"/>
        </w:rPr>
        <w:t>to return to work on a part</w:t>
      </w:r>
      <w:r w:rsidRPr="00076818">
        <w:rPr>
          <w:spacing w:val="-2"/>
        </w:rPr>
        <w:noBreakHyphen/>
        <w:t>time permanent basis with their pre</w:t>
      </w:r>
      <w:r w:rsidRPr="00076818">
        <w:rPr>
          <w:spacing w:val="-2"/>
        </w:rPr>
        <w:noBreakHyphen/>
      </w:r>
      <w:r w:rsidR="00076818" w:rsidRPr="00076818">
        <w:rPr>
          <w:spacing w:val="-2"/>
        </w:rPr>
        <w:t>parental</w:t>
      </w:r>
      <w:r w:rsidRPr="00076818">
        <w:rPr>
          <w:spacing w:val="-2"/>
        </w:rPr>
        <w:t xml:space="preserve"> leave employer rather</w:t>
      </w:r>
      <w:r w:rsidR="00594F43">
        <w:rPr>
          <w:spacing w:val="-2"/>
        </w:rPr>
        <w:t xml:space="preserve"> than</w:t>
      </w:r>
      <w:r w:rsidRPr="00076818">
        <w:rPr>
          <w:spacing w:val="-2"/>
        </w:rPr>
        <w:t>, perhaps, resigning and working part</w:t>
      </w:r>
      <w:r w:rsidRPr="00076818">
        <w:rPr>
          <w:spacing w:val="-2"/>
        </w:rPr>
        <w:noBreakHyphen/>
        <w:t xml:space="preserve">time </w:t>
      </w:r>
      <w:r w:rsidR="0006147F" w:rsidRPr="00076818">
        <w:rPr>
          <w:spacing w:val="-2"/>
        </w:rPr>
        <w:t>in</w:t>
      </w:r>
      <w:r w:rsidRPr="00076818">
        <w:rPr>
          <w:spacing w:val="-2"/>
        </w:rPr>
        <w:t xml:space="preserve"> casual or self</w:t>
      </w:r>
      <w:r w:rsidRPr="00076818">
        <w:rPr>
          <w:spacing w:val="-2"/>
        </w:rPr>
        <w:noBreakHyphen/>
        <w:t>employment.</w:t>
      </w:r>
    </w:p>
    <w:p w:rsidR="006044A7" w:rsidRPr="0034689C" w:rsidRDefault="00481B5D" w:rsidP="006044A7">
      <w:pPr>
        <w:pStyle w:val="BodyText"/>
        <w:rPr>
          <w:spacing w:val="-2"/>
        </w:rPr>
      </w:pPr>
      <w:r w:rsidRPr="0034689C">
        <w:rPr>
          <w:spacing w:val="-2"/>
        </w:rPr>
        <w:t>I</w:t>
      </w:r>
      <w:r w:rsidR="006044A7" w:rsidRPr="0034689C">
        <w:rPr>
          <w:spacing w:val="-2"/>
        </w:rPr>
        <w:t xml:space="preserve">t is </w:t>
      </w:r>
      <w:r w:rsidRPr="0034689C">
        <w:rPr>
          <w:spacing w:val="-2"/>
        </w:rPr>
        <w:t xml:space="preserve">also </w:t>
      </w:r>
      <w:r w:rsidR="006044A7" w:rsidRPr="0034689C">
        <w:rPr>
          <w:spacing w:val="-2"/>
        </w:rPr>
        <w:t>possible</w:t>
      </w:r>
      <w:r w:rsidR="00E0188C" w:rsidRPr="0034689C">
        <w:rPr>
          <w:spacing w:val="-2"/>
        </w:rPr>
        <w:t>, however,</w:t>
      </w:r>
      <w:r w:rsidR="006044A7" w:rsidRPr="0034689C">
        <w:rPr>
          <w:spacing w:val="-2"/>
        </w:rPr>
        <w:t xml:space="preserve"> that</w:t>
      </w:r>
      <w:r w:rsidR="00213204" w:rsidRPr="0034689C">
        <w:rPr>
          <w:spacing w:val="-2"/>
        </w:rPr>
        <w:t>,</w:t>
      </w:r>
      <w:r w:rsidR="006044A7" w:rsidRPr="0034689C">
        <w:rPr>
          <w:spacing w:val="-2"/>
        </w:rPr>
        <w:t xml:space="preserve"> </w:t>
      </w:r>
      <w:r w:rsidR="00213204" w:rsidRPr="0034689C">
        <w:rPr>
          <w:spacing w:val="-2"/>
        </w:rPr>
        <w:t xml:space="preserve">in seeking to attract and retain employees in a strong labour market, </w:t>
      </w:r>
      <w:r w:rsidR="006044A7" w:rsidRPr="0034689C">
        <w:rPr>
          <w:spacing w:val="-2"/>
        </w:rPr>
        <w:t xml:space="preserve">employers </w:t>
      </w:r>
      <w:r w:rsidR="0034689C" w:rsidRPr="0034689C">
        <w:rPr>
          <w:spacing w:val="-2"/>
        </w:rPr>
        <w:t xml:space="preserve">increasingly </w:t>
      </w:r>
      <w:r w:rsidRPr="0034689C">
        <w:rPr>
          <w:spacing w:val="-2"/>
        </w:rPr>
        <w:t>offered</w:t>
      </w:r>
      <w:r w:rsidR="006044A7" w:rsidRPr="0034689C">
        <w:rPr>
          <w:spacing w:val="-2"/>
        </w:rPr>
        <w:t xml:space="preserve"> </w:t>
      </w:r>
      <w:r w:rsidR="0034689C" w:rsidRPr="0034689C">
        <w:rPr>
          <w:spacing w:val="-2"/>
        </w:rPr>
        <w:t>permanent part</w:t>
      </w:r>
      <w:r w:rsidR="0034689C" w:rsidRPr="0034689C">
        <w:rPr>
          <w:spacing w:val="-2"/>
        </w:rPr>
        <w:noBreakHyphen/>
        <w:t xml:space="preserve">time </w:t>
      </w:r>
      <w:r w:rsidR="006044A7" w:rsidRPr="0034689C">
        <w:rPr>
          <w:spacing w:val="-2"/>
        </w:rPr>
        <w:t>arrangements</w:t>
      </w:r>
      <w:r w:rsidR="00076818">
        <w:rPr>
          <w:spacing w:val="-2"/>
        </w:rPr>
        <w:t xml:space="preserve"> to employees (including, but not only, parents with young children)</w:t>
      </w:r>
      <w:r w:rsidR="006044A7" w:rsidRPr="0034689C">
        <w:rPr>
          <w:spacing w:val="-2"/>
        </w:rPr>
        <w:t xml:space="preserve">. The Western Australian government, for example, has advocated the use of flexible work arrangements </w:t>
      </w:r>
      <w:r w:rsidR="0087327D">
        <w:rPr>
          <w:spacing w:val="-2"/>
        </w:rPr>
        <w:t>to address labour shortages (</w:t>
      </w:r>
      <w:proofErr w:type="spellStart"/>
      <w:r w:rsidR="0087327D">
        <w:rPr>
          <w:spacing w:val="-2"/>
        </w:rPr>
        <w:t>WA</w:t>
      </w:r>
      <w:r w:rsidR="006044A7" w:rsidRPr="0034689C">
        <w:rPr>
          <w:spacing w:val="-2"/>
        </w:rPr>
        <w:t>DOC</w:t>
      </w:r>
      <w:proofErr w:type="spellEnd"/>
      <w:r w:rsidR="006044A7" w:rsidRPr="0034689C">
        <w:rPr>
          <w:spacing w:val="-2"/>
        </w:rPr>
        <w:t xml:space="preserve"> 2010, p. 1):</w:t>
      </w:r>
    </w:p>
    <w:p w:rsidR="006044A7" w:rsidRPr="00322B91" w:rsidRDefault="006044A7" w:rsidP="006044A7">
      <w:pPr>
        <w:pStyle w:val="Quote"/>
      </w:pPr>
      <w:r w:rsidRPr="00322B91">
        <w:t>Long term business success … depends on putting strategies in place to ensure a reliable source of employees going into the future … workplace flexibility can be a valuable tool for attracting and retaining employees — particularly women, those with family responsibilities, and mature age workers.</w:t>
      </w:r>
    </w:p>
    <w:p w:rsidR="00213204" w:rsidRDefault="00213204" w:rsidP="00601BEE">
      <w:pPr>
        <w:pStyle w:val="BodyText"/>
      </w:pPr>
      <w:r>
        <w:t>Relatively fast growth in part</w:t>
      </w:r>
      <w:r>
        <w:noBreakHyphen/>
        <w:t>time permanent roles among workers aged 50 to 69</w:t>
      </w:r>
      <w:r w:rsidR="00601BEE">
        <w:t>, for example,</w:t>
      </w:r>
      <w:r>
        <w:t xml:space="preserve"> is </w:t>
      </w:r>
      <w:r w:rsidR="006B5662">
        <w:t xml:space="preserve">consistent with this hypothesis. This </w:t>
      </w:r>
      <w:r w:rsidR="00601BEE">
        <w:t>growth</w:t>
      </w:r>
      <w:r w:rsidR="006B5662">
        <w:t xml:space="preserve"> also </w:t>
      </w:r>
      <w:r w:rsidR="00601BEE">
        <w:t xml:space="preserve">indicates that </w:t>
      </w:r>
      <w:r w:rsidR="006B5662">
        <w:t>part</w:t>
      </w:r>
      <w:r w:rsidR="006B5662">
        <w:noBreakHyphen/>
        <w:t xml:space="preserve">time work provisions for </w:t>
      </w:r>
      <w:r w:rsidR="00076818">
        <w:t>parents</w:t>
      </w:r>
      <w:r w:rsidR="006B5662">
        <w:t xml:space="preserve"> with young children </w:t>
      </w:r>
      <w:r w:rsidR="00601BEE">
        <w:t>are</w:t>
      </w:r>
      <w:r w:rsidR="006B5662">
        <w:t xml:space="preserve"> only one possible explanation for the </w:t>
      </w:r>
      <w:r w:rsidR="00601BEE">
        <w:t>relatively fast growth of part</w:t>
      </w:r>
      <w:r w:rsidR="00601BEE">
        <w:noBreakHyphen/>
        <w:t xml:space="preserve">time permanent roles overall. On this point, </w:t>
      </w:r>
      <w:r w:rsidR="004B72B2">
        <w:t>although</w:t>
      </w:r>
      <w:r w:rsidR="006B5662">
        <w:t xml:space="preserve"> transition</w:t>
      </w:r>
      <w:r w:rsidR="006B5662">
        <w:noBreakHyphen/>
        <w:t>to</w:t>
      </w:r>
      <w:r w:rsidR="006B5662">
        <w:noBreakHyphen/>
      </w:r>
      <w:r w:rsidR="007F3DAD">
        <w:t>retirement</w:t>
      </w:r>
      <w:r w:rsidR="006B5662">
        <w:t xml:space="preserve"> arrangements introduced in 2005 might have given older workers an incentive to move to part</w:t>
      </w:r>
      <w:r w:rsidR="006B5662">
        <w:noBreakHyphen/>
        <w:t>time employment, those arrangements are applicable to both employees and the self</w:t>
      </w:r>
      <w:r w:rsidR="006B5662">
        <w:noBreakHyphen/>
        <w:t>employed</w:t>
      </w:r>
      <w:r w:rsidR="00601BEE">
        <w:t>. T</w:t>
      </w:r>
      <w:r w:rsidR="006B5662">
        <w:t xml:space="preserve">hey should not have </w:t>
      </w:r>
      <w:r w:rsidR="0067622E">
        <w:t xml:space="preserve">disproportionately </w:t>
      </w:r>
      <w:r w:rsidR="006B5662">
        <w:t xml:space="preserve">affected workers’ preferences between different </w:t>
      </w:r>
      <w:proofErr w:type="spellStart"/>
      <w:r w:rsidR="006B5662">
        <w:t>FOWs</w:t>
      </w:r>
      <w:proofErr w:type="spellEnd"/>
      <w:r w:rsidR="006B5662">
        <w:t>.</w:t>
      </w:r>
    </w:p>
    <w:p w:rsidR="002F117A" w:rsidRDefault="0067622E" w:rsidP="006044A7">
      <w:pPr>
        <w:pStyle w:val="BodyText"/>
      </w:pPr>
      <w:r>
        <w:t xml:space="preserve">Finally, </w:t>
      </w:r>
      <w:r w:rsidR="006044A7">
        <w:t xml:space="preserve">businesses </w:t>
      </w:r>
      <w:r w:rsidR="00DA115D">
        <w:t>might have been</w:t>
      </w:r>
      <w:r w:rsidR="006044A7">
        <w:t xml:space="preserve"> more accommodating of </w:t>
      </w:r>
      <w:r w:rsidR="0034689C">
        <w:t>employee</w:t>
      </w:r>
      <w:r w:rsidR="006044A7">
        <w:t xml:space="preserve"> requests for part</w:t>
      </w:r>
      <w:r w:rsidR="006044A7">
        <w:noBreakHyphen/>
        <w:t xml:space="preserve">time work, and perhaps sought reductions in hours, during the </w:t>
      </w:r>
      <w:proofErr w:type="spellStart"/>
      <w:r w:rsidR="006044A7">
        <w:t>GFC</w:t>
      </w:r>
      <w:proofErr w:type="spellEnd"/>
      <w:r w:rsidR="006044A7">
        <w:t>. However, the relatively rapid growth of part</w:t>
      </w:r>
      <w:r w:rsidR="006044A7">
        <w:noBreakHyphen/>
        <w:t xml:space="preserve">time permanent employee roles </w:t>
      </w:r>
      <w:r w:rsidR="0085380C">
        <w:t>was occurring</w:t>
      </w:r>
      <w:r w:rsidR="006044A7">
        <w:t xml:space="preserve"> well before the </w:t>
      </w:r>
      <w:proofErr w:type="spellStart"/>
      <w:r w:rsidR="006044A7">
        <w:t>GFC</w:t>
      </w:r>
      <w:proofErr w:type="spellEnd"/>
      <w:r w:rsidR="006044A7">
        <w:t xml:space="preserve">, and most of the increased prevalence of permanent employees occurred prior to the onset of the </w:t>
      </w:r>
      <w:proofErr w:type="spellStart"/>
      <w:r w:rsidR="006044A7">
        <w:t>GFC</w:t>
      </w:r>
      <w:proofErr w:type="spellEnd"/>
      <w:r w:rsidR="006044A7">
        <w:t>.</w:t>
      </w:r>
    </w:p>
    <w:p w:rsidR="00F151C9" w:rsidRDefault="00F151C9" w:rsidP="006044A7">
      <w:pPr>
        <w:pStyle w:val="BodyText"/>
      </w:pPr>
      <w:r>
        <w:t>Overall, the extent to which the particularly rapid growth of permanent roles among part</w:t>
      </w:r>
      <w:r>
        <w:noBreakHyphen/>
        <w:t xml:space="preserve">time workers reflected </w:t>
      </w:r>
      <w:r w:rsidR="00A03794">
        <w:t>increased use of part</w:t>
      </w:r>
      <w:r w:rsidR="00A03794">
        <w:noBreakHyphen/>
        <w:t xml:space="preserve">time work provisions by </w:t>
      </w:r>
      <w:r w:rsidR="00076818">
        <w:t>parents</w:t>
      </w:r>
      <w:r w:rsidR="00A03794">
        <w:t xml:space="preserve"> with </w:t>
      </w:r>
      <w:r w:rsidR="00076818">
        <w:t xml:space="preserve">young </w:t>
      </w:r>
      <w:r w:rsidR="00A03794">
        <w:t>children,</w:t>
      </w:r>
      <w:r w:rsidR="0034689C">
        <w:t xml:space="preserve"> </w:t>
      </w:r>
      <w:r>
        <w:t xml:space="preserve">employers’ hiring strategies </w:t>
      </w:r>
      <w:r w:rsidR="00A03794">
        <w:t xml:space="preserve">or other factors, </w:t>
      </w:r>
      <w:r>
        <w:t>is unclear.</w:t>
      </w:r>
    </w:p>
    <w:p w:rsidR="006044A7" w:rsidRPr="00E12435" w:rsidRDefault="00076818" w:rsidP="00A03794">
      <w:pPr>
        <w:pStyle w:val="BodyText"/>
        <w:rPr>
          <w:spacing w:val="-2"/>
        </w:rPr>
      </w:pPr>
      <w:r w:rsidRPr="00E12435">
        <w:rPr>
          <w:spacing w:val="-2"/>
        </w:rPr>
        <w:lastRenderedPageBreak/>
        <w:t xml:space="preserve">Looking at older workers more generally, </w:t>
      </w:r>
      <w:r w:rsidR="00A03794" w:rsidRPr="00E12435">
        <w:rPr>
          <w:spacing w:val="-2"/>
        </w:rPr>
        <w:t>the drivers of the disproportionately rapid growth in permanent employee roles (and slow growth of self</w:t>
      </w:r>
      <w:r w:rsidR="00A03794" w:rsidRPr="00E12435">
        <w:rPr>
          <w:spacing w:val="-2"/>
        </w:rPr>
        <w:noBreakHyphen/>
        <w:t xml:space="preserve">employment) </w:t>
      </w:r>
      <w:r w:rsidRPr="00E12435">
        <w:rPr>
          <w:spacing w:val="-2"/>
        </w:rPr>
        <w:t>among this cohort are unclear</w:t>
      </w:r>
      <w:r w:rsidR="00A03794" w:rsidRPr="00E12435">
        <w:rPr>
          <w:spacing w:val="-2"/>
        </w:rPr>
        <w:t>.</w:t>
      </w:r>
      <w:r w:rsidR="006044A7" w:rsidRPr="00E12435">
        <w:rPr>
          <w:spacing w:val="-2"/>
        </w:rPr>
        <w:t xml:space="preserve"> The effect was apparent among both </w:t>
      </w:r>
      <w:r w:rsidR="006223AD">
        <w:rPr>
          <w:spacing w:val="-2"/>
        </w:rPr>
        <w:t>men</w:t>
      </w:r>
      <w:r w:rsidR="006044A7" w:rsidRPr="00E12435">
        <w:rPr>
          <w:spacing w:val="-2"/>
        </w:rPr>
        <w:t xml:space="preserve"> and </w:t>
      </w:r>
      <w:r w:rsidR="006223AD">
        <w:rPr>
          <w:spacing w:val="-2"/>
        </w:rPr>
        <w:t>women</w:t>
      </w:r>
      <w:r w:rsidR="006044A7" w:rsidRPr="00E12435">
        <w:rPr>
          <w:spacing w:val="-2"/>
        </w:rPr>
        <w:t>, and for full</w:t>
      </w:r>
      <w:r w:rsidR="006044A7" w:rsidRPr="00E12435">
        <w:rPr>
          <w:spacing w:val="-2"/>
        </w:rPr>
        <w:noBreakHyphen/>
        <w:t xml:space="preserve"> and part</w:t>
      </w:r>
      <w:r w:rsidR="006044A7" w:rsidRPr="00E12435">
        <w:rPr>
          <w:spacing w:val="-2"/>
        </w:rPr>
        <w:noBreakHyphen/>
        <w:t xml:space="preserve">time workers. </w:t>
      </w:r>
      <w:r w:rsidR="004B72B2">
        <w:rPr>
          <w:spacing w:val="-2"/>
        </w:rPr>
        <w:t>Although</w:t>
      </w:r>
      <w:r w:rsidR="006044A7" w:rsidRPr="00E12435">
        <w:rPr>
          <w:spacing w:val="-2"/>
        </w:rPr>
        <w:t xml:space="preserve"> the </w:t>
      </w:r>
      <w:proofErr w:type="spellStart"/>
      <w:r w:rsidR="006044A7" w:rsidRPr="00E12435">
        <w:rPr>
          <w:spacing w:val="-2"/>
        </w:rPr>
        <w:t>GFC</w:t>
      </w:r>
      <w:proofErr w:type="spellEnd"/>
      <w:r w:rsidR="00A03794" w:rsidRPr="00E12435">
        <w:rPr>
          <w:spacing w:val="-2"/>
        </w:rPr>
        <w:t>,</w:t>
      </w:r>
      <w:r w:rsidR="006044A7" w:rsidRPr="00E12435">
        <w:rPr>
          <w:spacing w:val="-2"/>
        </w:rPr>
        <w:t xml:space="preserve"> and resulting fall in superannuation balances</w:t>
      </w:r>
      <w:r w:rsidR="00A03794" w:rsidRPr="00E12435">
        <w:rPr>
          <w:spacing w:val="-2"/>
        </w:rPr>
        <w:t>,</w:t>
      </w:r>
      <w:r w:rsidR="006044A7" w:rsidRPr="00E12435">
        <w:rPr>
          <w:spacing w:val="-2"/>
        </w:rPr>
        <w:t xml:space="preserve"> probably led to delayed retirement </w:t>
      </w:r>
      <w:r w:rsidR="00D32CCD">
        <w:rPr>
          <w:spacing w:val="-2"/>
        </w:rPr>
        <w:t>and/or reduced hours</w:t>
      </w:r>
      <w:r w:rsidR="00D32CCD" w:rsidRPr="00E12435">
        <w:rPr>
          <w:spacing w:val="-2"/>
        </w:rPr>
        <w:t xml:space="preserve"> </w:t>
      </w:r>
      <w:r w:rsidR="006044A7" w:rsidRPr="00E12435">
        <w:rPr>
          <w:spacing w:val="-2"/>
        </w:rPr>
        <w:t xml:space="preserve">among some older workers, </w:t>
      </w:r>
      <w:r w:rsidR="00D32CCD">
        <w:rPr>
          <w:spacing w:val="-2"/>
        </w:rPr>
        <w:t xml:space="preserve">it is not clear why </w:t>
      </w:r>
      <w:r w:rsidR="00470CE4" w:rsidRPr="00E12435">
        <w:rPr>
          <w:spacing w:val="-2"/>
        </w:rPr>
        <w:t xml:space="preserve">this phenomenon </w:t>
      </w:r>
      <w:r w:rsidR="00D32CCD">
        <w:rPr>
          <w:spacing w:val="-2"/>
        </w:rPr>
        <w:t>would have</w:t>
      </w:r>
      <w:r w:rsidR="00E12435">
        <w:rPr>
          <w:spacing w:val="-2"/>
        </w:rPr>
        <w:t xml:space="preserve"> </w:t>
      </w:r>
      <w:r w:rsidR="00D32CCD">
        <w:rPr>
          <w:spacing w:val="-2"/>
        </w:rPr>
        <w:t>affected permanent employees more, for example, than the self</w:t>
      </w:r>
      <w:r w:rsidR="00D32CCD">
        <w:rPr>
          <w:spacing w:val="-2"/>
        </w:rPr>
        <w:noBreakHyphen/>
        <w:t>employed</w:t>
      </w:r>
      <w:r w:rsidR="006044A7" w:rsidRPr="00E12435">
        <w:rPr>
          <w:spacing w:val="-2"/>
        </w:rPr>
        <w:t xml:space="preserve">. Similarly, increases in the pension age for </w:t>
      </w:r>
      <w:r w:rsidR="006223AD">
        <w:rPr>
          <w:spacing w:val="-2"/>
        </w:rPr>
        <w:t>women</w:t>
      </w:r>
      <w:r w:rsidR="006044A7" w:rsidRPr="00E12435">
        <w:rPr>
          <w:spacing w:val="-2"/>
        </w:rPr>
        <w:t xml:space="preserve"> might have encouraged greater workforce participation among older women, but it is </w:t>
      </w:r>
      <w:r w:rsidR="00470CE4" w:rsidRPr="00E12435">
        <w:rPr>
          <w:spacing w:val="-2"/>
        </w:rPr>
        <w:t>un</w:t>
      </w:r>
      <w:r w:rsidR="006044A7" w:rsidRPr="00E12435">
        <w:rPr>
          <w:spacing w:val="-2"/>
        </w:rPr>
        <w:t xml:space="preserve">clear why this would have affected </w:t>
      </w:r>
      <w:proofErr w:type="spellStart"/>
      <w:r w:rsidR="006044A7" w:rsidRPr="00E12435">
        <w:rPr>
          <w:spacing w:val="-2"/>
        </w:rPr>
        <w:t>FOWs</w:t>
      </w:r>
      <w:proofErr w:type="spellEnd"/>
      <w:r w:rsidR="006044A7" w:rsidRPr="00E12435">
        <w:rPr>
          <w:spacing w:val="-2"/>
        </w:rPr>
        <w:t xml:space="preserve"> in different ways. </w:t>
      </w:r>
      <w:proofErr w:type="spellStart"/>
      <w:r w:rsidR="006044A7" w:rsidRPr="00E12435">
        <w:rPr>
          <w:spacing w:val="-2"/>
        </w:rPr>
        <w:t>Atalay</w:t>
      </w:r>
      <w:proofErr w:type="spellEnd"/>
      <w:r w:rsidR="006044A7" w:rsidRPr="00E12435">
        <w:rPr>
          <w:spacing w:val="-2"/>
        </w:rPr>
        <w:t xml:space="preserve"> et al. (2013) hypothesise</w:t>
      </w:r>
      <w:r w:rsidR="00594F43" w:rsidRPr="00E12435">
        <w:rPr>
          <w:spacing w:val="-2"/>
        </w:rPr>
        <w:t>d</w:t>
      </w:r>
      <w:r w:rsidR="006044A7" w:rsidRPr="00E12435">
        <w:rPr>
          <w:spacing w:val="-2"/>
        </w:rPr>
        <w:t xml:space="preserve"> that the introduction of the </w:t>
      </w:r>
      <w:r w:rsidR="0085380C">
        <w:rPr>
          <w:i/>
          <w:spacing w:val="-2"/>
        </w:rPr>
        <w:t xml:space="preserve">Age Discrimination Act </w:t>
      </w:r>
      <w:r w:rsidR="006044A7" w:rsidRPr="00E12435">
        <w:rPr>
          <w:i/>
          <w:spacing w:val="-2"/>
        </w:rPr>
        <w:t>2004</w:t>
      </w:r>
      <w:r w:rsidR="006044A7" w:rsidRPr="00E12435">
        <w:rPr>
          <w:spacing w:val="-2"/>
        </w:rPr>
        <w:t xml:space="preserve"> </w:t>
      </w:r>
      <w:r w:rsidR="0085380C">
        <w:rPr>
          <w:spacing w:val="-2"/>
        </w:rPr>
        <w:t>(</w:t>
      </w:r>
      <w:proofErr w:type="spellStart"/>
      <w:r w:rsidR="0085380C">
        <w:rPr>
          <w:spacing w:val="-2"/>
        </w:rPr>
        <w:t>Cwlth</w:t>
      </w:r>
      <w:proofErr w:type="spellEnd"/>
      <w:r w:rsidR="0085380C">
        <w:rPr>
          <w:spacing w:val="-2"/>
        </w:rPr>
        <w:t xml:space="preserve">) </w:t>
      </w:r>
      <w:r w:rsidR="00F90A70">
        <w:rPr>
          <w:spacing w:val="-2"/>
        </w:rPr>
        <w:t>could</w:t>
      </w:r>
      <w:r w:rsidR="006044A7" w:rsidRPr="00E12435">
        <w:rPr>
          <w:spacing w:val="-2"/>
        </w:rPr>
        <w:t xml:space="preserve"> have played a role</w:t>
      </w:r>
      <w:r w:rsidR="00470CE4" w:rsidRPr="00E12435">
        <w:rPr>
          <w:spacing w:val="-2"/>
        </w:rPr>
        <w:t xml:space="preserve"> on the grounds</w:t>
      </w:r>
      <w:r w:rsidR="006044A7" w:rsidRPr="00E12435">
        <w:rPr>
          <w:spacing w:val="-2"/>
        </w:rPr>
        <w:t xml:space="preserve"> that older workers </w:t>
      </w:r>
      <w:r w:rsidR="00470CE4" w:rsidRPr="00E12435">
        <w:rPr>
          <w:spacing w:val="-2"/>
        </w:rPr>
        <w:t>experiencing</w:t>
      </w:r>
      <w:r w:rsidR="006044A7" w:rsidRPr="00E12435">
        <w:rPr>
          <w:spacing w:val="-2"/>
        </w:rPr>
        <w:t xml:space="preserve"> discrimination </w:t>
      </w:r>
      <w:r w:rsidR="00470CE4" w:rsidRPr="00E12435">
        <w:rPr>
          <w:spacing w:val="-2"/>
        </w:rPr>
        <w:t>might have entered self</w:t>
      </w:r>
      <w:r w:rsidR="00470CE4" w:rsidRPr="00E12435">
        <w:rPr>
          <w:spacing w:val="-2"/>
        </w:rPr>
        <w:noBreakHyphen/>
        <w:t>employment</w:t>
      </w:r>
      <w:r w:rsidR="006044A7" w:rsidRPr="00E12435">
        <w:rPr>
          <w:spacing w:val="-2"/>
        </w:rPr>
        <w:t xml:space="preserve">. However, as </w:t>
      </w:r>
      <w:proofErr w:type="spellStart"/>
      <w:r w:rsidR="006044A7" w:rsidRPr="00E12435">
        <w:rPr>
          <w:spacing w:val="-2"/>
        </w:rPr>
        <w:t>Atalay</w:t>
      </w:r>
      <w:proofErr w:type="spellEnd"/>
      <w:r w:rsidR="006044A7" w:rsidRPr="00E12435">
        <w:rPr>
          <w:spacing w:val="-2"/>
        </w:rPr>
        <w:t xml:space="preserve"> et al. (2013) note</w:t>
      </w:r>
      <w:r w:rsidR="00594F43" w:rsidRPr="00E12435">
        <w:rPr>
          <w:spacing w:val="-2"/>
        </w:rPr>
        <w:t>d</w:t>
      </w:r>
      <w:r w:rsidR="006044A7" w:rsidRPr="00E12435">
        <w:rPr>
          <w:spacing w:val="-2"/>
        </w:rPr>
        <w:t>, the decline in the prevalence of older workers in self</w:t>
      </w:r>
      <w:r w:rsidR="006044A7" w:rsidRPr="00E12435">
        <w:rPr>
          <w:spacing w:val="-2"/>
        </w:rPr>
        <w:noBreakHyphen/>
        <w:t>employment pre</w:t>
      </w:r>
      <w:r w:rsidR="00156353" w:rsidRPr="00E12435">
        <w:rPr>
          <w:spacing w:val="-2"/>
        </w:rPr>
        <w:noBreakHyphen/>
      </w:r>
      <w:r w:rsidR="006044A7" w:rsidRPr="00E12435">
        <w:rPr>
          <w:spacing w:val="-2"/>
        </w:rPr>
        <w:t>dated the introduction of the Act.</w:t>
      </w:r>
    </w:p>
    <w:p w:rsidR="00FC0163" w:rsidRDefault="00C80099" w:rsidP="007F3DAD">
      <w:pPr>
        <w:pStyle w:val="Heading2"/>
      </w:pPr>
      <w:fldSimple w:instr=" COMMENTS  \* MERGEFORMAT ">
        <w:r w:rsidR="007B17A3">
          <w:t>4.</w:t>
        </w:r>
      </w:fldSimple>
      <w:fldSimple w:instr=" SEQ Heading2 ">
        <w:r w:rsidR="007B17A3">
          <w:rPr>
            <w:noProof/>
          </w:rPr>
          <w:t>6</w:t>
        </w:r>
      </w:fldSimple>
      <w:r w:rsidR="006044A7">
        <w:tab/>
      </w:r>
      <w:r w:rsidR="0013243F">
        <w:t>Some d</w:t>
      </w:r>
      <w:r w:rsidR="00FC0163">
        <w:t>irections for future research</w:t>
      </w:r>
    </w:p>
    <w:p w:rsidR="00FC0163" w:rsidRDefault="00FC0163" w:rsidP="00120072">
      <w:pPr>
        <w:pStyle w:val="BodyText"/>
      </w:pPr>
      <w:r>
        <w:t xml:space="preserve">Longitudinal analysis could be used to further investigate the characteristics of people who enter and exit permanent employee and </w:t>
      </w:r>
      <w:proofErr w:type="spellStart"/>
      <w:r>
        <w:t>OMUE</w:t>
      </w:r>
      <w:proofErr w:type="spellEnd"/>
      <w:r>
        <w:t xml:space="preserve"> </w:t>
      </w:r>
      <w:r w:rsidR="007A6112">
        <w:t>roles</w:t>
      </w:r>
      <w:r>
        <w:t xml:space="preserve">. In the case of </w:t>
      </w:r>
      <w:proofErr w:type="spellStart"/>
      <w:r>
        <w:t>OMUEs</w:t>
      </w:r>
      <w:proofErr w:type="spellEnd"/>
      <w:r>
        <w:t xml:space="preserve">, the </w:t>
      </w:r>
      <w:r w:rsidR="00CD4546" w:rsidRPr="00CD4546">
        <w:rPr>
          <w:i/>
        </w:rPr>
        <w:t>Longitudinal Labour Force</w:t>
      </w:r>
      <w:r w:rsidR="00CD4546">
        <w:t xml:space="preserve"> </w:t>
      </w:r>
      <w:proofErr w:type="spellStart"/>
      <w:r w:rsidR="00CD4546">
        <w:t>confidentialised</w:t>
      </w:r>
      <w:proofErr w:type="spellEnd"/>
      <w:r w:rsidR="00CD4546">
        <w:t xml:space="preserve"> unit record file </w:t>
      </w:r>
      <w:r w:rsidR="00C954A1">
        <w:t>(ABS </w:t>
      </w:r>
      <w:proofErr w:type="spellStart"/>
      <w:r w:rsidR="007A6112">
        <w:t>2013b</w:t>
      </w:r>
      <w:proofErr w:type="spellEnd"/>
      <w:r w:rsidR="007A6112">
        <w:t xml:space="preserve">) </w:t>
      </w:r>
      <w:r w:rsidR="00CD4546">
        <w:t xml:space="preserve">could be used to look at why the prevalence of </w:t>
      </w:r>
      <w:proofErr w:type="spellStart"/>
      <w:r w:rsidR="00CD4546">
        <w:t>OMUEs</w:t>
      </w:r>
      <w:proofErr w:type="spellEnd"/>
      <w:r w:rsidR="00CD4546">
        <w:t xml:space="preserve"> </w:t>
      </w:r>
      <w:r w:rsidR="00C954A1">
        <w:t>varies</w:t>
      </w:r>
      <w:r w:rsidR="00CD4546">
        <w:t xml:space="preserve"> </w:t>
      </w:r>
      <w:r w:rsidR="00C954A1">
        <w:t>seasonally</w:t>
      </w:r>
      <w:r w:rsidR="00CD4546">
        <w:t xml:space="preserve"> (</w:t>
      </w:r>
      <w:r w:rsidR="007A6112">
        <w:t>appendix A).</w:t>
      </w:r>
    </w:p>
    <w:p w:rsidR="00C954A1" w:rsidRDefault="00356D38" w:rsidP="00120072">
      <w:pPr>
        <w:pStyle w:val="BodyText"/>
      </w:pPr>
      <w:r>
        <w:t>The feasibility of assessing the contribution of</w:t>
      </w:r>
      <w:r w:rsidR="00C954A1">
        <w:t xml:space="preserve"> immigration to changes in the prevalence of different </w:t>
      </w:r>
      <w:proofErr w:type="spellStart"/>
      <w:r w:rsidR="00C954A1">
        <w:t>FOWs</w:t>
      </w:r>
      <w:proofErr w:type="spellEnd"/>
      <w:r w:rsidR="00C954A1">
        <w:t xml:space="preserve"> could be explored. </w:t>
      </w:r>
      <w:r>
        <w:t>It is unclear whether data that would support research of this type are available.</w:t>
      </w:r>
      <w:r w:rsidR="007D2F23">
        <w:t xml:space="preserve"> </w:t>
      </w:r>
    </w:p>
    <w:p w:rsidR="002E2799" w:rsidRDefault="004A00D4" w:rsidP="007D2F23">
      <w:pPr>
        <w:pStyle w:val="BodyText"/>
      </w:pPr>
      <w:r>
        <w:t>The puzzling finding reached by Watson (2005) that the wage premium earned by part</w:t>
      </w:r>
      <w:r>
        <w:noBreakHyphen/>
        <w:t>time casuals relative to part</w:t>
      </w:r>
      <w:r>
        <w:noBreakHyphen/>
        <w:t xml:space="preserve">time permanent employees was markedly lower than the casual loadings then in force in awards and agreements (chapter 2) also merits investigation </w:t>
      </w:r>
      <w:r w:rsidR="00202368">
        <w:t>using</w:t>
      </w:r>
      <w:r>
        <w:t xml:space="preserve"> more recent data.</w:t>
      </w:r>
    </w:p>
    <w:sectPr w:rsidR="002E2799" w:rsidSect="007B17A3">
      <w:headerReference w:type="even" r:id="rId22"/>
      <w:headerReference w:type="default" r:id="rId23"/>
      <w:footerReference w:type="even" r:id="rId24"/>
      <w:footerReference w:type="default" r:id="rId25"/>
      <w:footnotePr>
        <w:numStart w:val="21"/>
      </w:footnotePr>
      <w:pgSz w:w="11907" w:h="16840" w:code="9"/>
      <w:pgMar w:top="1985" w:right="1304" w:bottom="1418" w:left="1814" w:header="1701" w:footer="567" w:gutter="0"/>
      <w:pgNumType w:start="4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0CF" w:rsidRDefault="003650CF">
      <w:r>
        <w:separator/>
      </w:r>
    </w:p>
  </w:endnote>
  <w:endnote w:type="continuationSeparator" w:id="0">
    <w:p w:rsidR="003650CF" w:rsidRDefault="0036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3650CF">
      <w:trPr>
        <w:trHeight w:hRule="exact" w:val="740"/>
      </w:trPr>
      <w:tc>
        <w:tcPr>
          <w:tcW w:w="510" w:type="dxa"/>
          <w:tcBorders>
            <w:top w:val="single" w:sz="6" w:space="0" w:color="auto"/>
          </w:tcBorders>
        </w:tcPr>
        <w:p w:rsidR="003650CF" w:rsidRDefault="003650CF"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1E4DAB">
            <w:rPr>
              <w:rStyle w:val="PageNumber"/>
              <w:noProof/>
            </w:rPr>
            <w:t>64</w:t>
          </w:r>
          <w:r>
            <w:rPr>
              <w:rStyle w:val="PageNumber"/>
            </w:rPr>
            <w:fldChar w:fldCharType="end"/>
          </w:r>
        </w:p>
      </w:tc>
      <w:tc>
        <w:tcPr>
          <w:tcW w:w="1644" w:type="dxa"/>
          <w:tcBorders>
            <w:top w:val="single" w:sz="6" w:space="0" w:color="auto"/>
          </w:tcBorders>
        </w:tcPr>
        <w:p w:rsidR="003650CF" w:rsidRDefault="001E4DAB" w:rsidP="0019293B">
          <w:pPr>
            <w:pStyle w:val="Footer"/>
          </w:pPr>
          <w:r>
            <w:fldChar w:fldCharType="begin"/>
          </w:r>
          <w:r>
            <w:instrText xml:space="preserve"> SUBJECT  \* MERGEFORMAT </w:instrText>
          </w:r>
          <w:r>
            <w:fldChar w:fldCharType="separate"/>
          </w:r>
          <w:r w:rsidR="007B17A3">
            <w:t>Forms of work</w:t>
          </w:r>
          <w:r>
            <w:fldChar w:fldCharType="end"/>
          </w:r>
        </w:p>
      </w:tc>
      <w:tc>
        <w:tcPr>
          <w:tcW w:w="6634" w:type="dxa"/>
        </w:tcPr>
        <w:p w:rsidR="003650CF" w:rsidRDefault="003650CF" w:rsidP="0019293B">
          <w:pPr>
            <w:pStyle w:val="Footer"/>
          </w:pPr>
        </w:p>
      </w:tc>
    </w:tr>
  </w:tbl>
  <w:p w:rsidR="003650CF" w:rsidRDefault="003650CF"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3650CF">
      <w:trPr>
        <w:trHeight w:hRule="exact" w:val="740"/>
      </w:trPr>
      <w:tc>
        <w:tcPr>
          <w:tcW w:w="6634" w:type="dxa"/>
        </w:tcPr>
        <w:p w:rsidR="003650CF" w:rsidRDefault="003650CF">
          <w:pPr>
            <w:pStyle w:val="Footer"/>
            <w:ind w:right="360" w:firstLine="360"/>
          </w:pPr>
        </w:p>
      </w:tc>
      <w:tc>
        <w:tcPr>
          <w:tcW w:w="1644" w:type="dxa"/>
          <w:tcBorders>
            <w:top w:val="single" w:sz="6" w:space="0" w:color="auto"/>
          </w:tcBorders>
        </w:tcPr>
        <w:p w:rsidR="003650CF" w:rsidRDefault="001E4DAB">
          <w:pPr>
            <w:pStyle w:val="Footer"/>
          </w:pPr>
          <w:r>
            <w:fldChar w:fldCharType="begin"/>
          </w:r>
          <w:r>
            <w:instrText xml:space="preserve"> TITLE  \* MERGEFORMAT </w:instrText>
          </w:r>
          <w:r>
            <w:fldChar w:fldCharType="separate"/>
          </w:r>
          <w:r w:rsidR="007B17A3">
            <w:t>Explaining prevalence changes</w:t>
          </w:r>
          <w:r>
            <w:fldChar w:fldCharType="end"/>
          </w:r>
        </w:p>
      </w:tc>
      <w:tc>
        <w:tcPr>
          <w:tcW w:w="510" w:type="dxa"/>
          <w:tcBorders>
            <w:top w:val="single" w:sz="6" w:space="0" w:color="auto"/>
          </w:tcBorders>
        </w:tcPr>
        <w:p w:rsidR="003650CF" w:rsidRDefault="003650CF">
          <w:pPr>
            <w:pStyle w:val="Footer"/>
            <w:jc w:val="right"/>
          </w:pPr>
          <w:r>
            <w:rPr>
              <w:rStyle w:val="PageNumber"/>
            </w:rPr>
            <w:fldChar w:fldCharType="begin"/>
          </w:r>
          <w:r>
            <w:rPr>
              <w:rStyle w:val="PageNumber"/>
            </w:rPr>
            <w:instrText xml:space="preserve">PAGE  </w:instrText>
          </w:r>
          <w:r>
            <w:rPr>
              <w:rStyle w:val="PageNumber"/>
            </w:rPr>
            <w:fldChar w:fldCharType="separate"/>
          </w:r>
          <w:r w:rsidR="001E4DAB">
            <w:rPr>
              <w:rStyle w:val="PageNumber"/>
              <w:noProof/>
            </w:rPr>
            <w:t>65</w:t>
          </w:r>
          <w:r>
            <w:rPr>
              <w:rStyle w:val="PageNumber"/>
            </w:rPr>
            <w:fldChar w:fldCharType="end"/>
          </w:r>
        </w:p>
      </w:tc>
    </w:tr>
  </w:tbl>
  <w:p w:rsidR="003650CF" w:rsidRDefault="003650CF">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0CF" w:rsidRDefault="003650CF">
      <w:r>
        <w:separator/>
      </w:r>
    </w:p>
  </w:footnote>
  <w:footnote w:type="continuationSeparator" w:id="0">
    <w:p w:rsidR="003650CF" w:rsidRDefault="003650CF">
      <w:r>
        <w:continuationSeparator/>
      </w:r>
    </w:p>
  </w:footnote>
  <w:footnote w:id="1">
    <w:p w:rsidR="003650CF" w:rsidRDefault="003650CF" w:rsidP="006044A7">
      <w:pPr>
        <w:pStyle w:val="FootnoteText"/>
      </w:pPr>
      <w:r>
        <w:rPr>
          <w:rStyle w:val="FootnoteReference"/>
        </w:rPr>
        <w:footnoteRef/>
      </w:r>
      <w:r>
        <w:tab/>
        <w:t>In practice, the number of jobs in the economy differs from the level of employment to the extent that people work in multiple jobs. Data presented in this report relate to ‘main job’ only, that is, the job in which a person works the most hours.</w:t>
      </w:r>
    </w:p>
  </w:footnote>
  <w:footnote w:id="2">
    <w:p w:rsidR="003650CF" w:rsidRDefault="003650CF">
      <w:pPr>
        <w:pStyle w:val="FootnoteText"/>
      </w:pPr>
      <w:r>
        <w:rPr>
          <w:rStyle w:val="FootnoteReference"/>
        </w:rPr>
        <w:footnoteRef/>
      </w:r>
      <w:r>
        <w:tab/>
        <w:t>Unit labour costs capture the average labour cost to producers of producing a unit of output. They are defined as average labour costs divided by average labour productivity (ABS </w:t>
      </w:r>
      <w:proofErr w:type="spellStart"/>
      <w:r>
        <w:t>2012b</w:t>
      </w:r>
      <w:proofErr w:type="spellEnd"/>
      <w:r>
        <w:t xml:space="preserve">). </w:t>
      </w:r>
    </w:p>
  </w:footnote>
  <w:footnote w:id="3">
    <w:p w:rsidR="003650CF" w:rsidRDefault="003650CF">
      <w:pPr>
        <w:pStyle w:val="FootnoteText"/>
      </w:pPr>
      <w:r>
        <w:rPr>
          <w:rStyle w:val="FootnoteReference"/>
        </w:rPr>
        <w:footnoteRef/>
      </w:r>
      <w:r>
        <w:tab/>
        <w:t>Although real labour costs fell, real wages did not (Parham forthcoming). This outcome reflected more rapid growth in producer prices (used to calculate real unit labour costs) than consumer prices (used to calculate real wages).</w:t>
      </w:r>
    </w:p>
  </w:footnote>
  <w:footnote w:id="4">
    <w:p w:rsidR="003650CF" w:rsidRDefault="003650CF" w:rsidP="006044A7">
      <w:pPr>
        <w:pStyle w:val="FootnoteText"/>
      </w:pPr>
      <w:r>
        <w:rPr>
          <w:rStyle w:val="FootnoteReference"/>
        </w:rPr>
        <w:footnoteRef/>
      </w:r>
      <w:r>
        <w:tab/>
        <w:t>The term ‘states’ is used throughout as shorthand for states and territories.</w:t>
      </w:r>
    </w:p>
  </w:footnote>
  <w:footnote w:id="5">
    <w:p w:rsidR="003650CF" w:rsidRPr="0037283B" w:rsidRDefault="003650CF" w:rsidP="006044A7">
      <w:pPr>
        <w:pStyle w:val="FootnoteText"/>
        <w:rPr>
          <w:sz w:val="24"/>
        </w:rPr>
      </w:pPr>
      <w:r>
        <w:rPr>
          <w:rStyle w:val="FootnoteReference"/>
        </w:rPr>
        <w:footnoteRef/>
      </w:r>
      <w:r>
        <w:tab/>
        <w:t>In the data underlying the figure, an individual is assigned to an occupational category within the Australian and New Zealand Standard Classification of Occupations (</w:t>
      </w:r>
      <w:proofErr w:type="spellStart"/>
      <w:r>
        <w:t>ANZSCO</w:t>
      </w:r>
      <w:proofErr w:type="spellEnd"/>
      <w:r>
        <w:t xml:space="preserve">) on the basis of the characteristics of his or her job, not his or her skills, per se. However, given the nature of the classification, the correlation between an individual’s skills and the occupation in which he or she works is likely to be strong. </w:t>
      </w:r>
      <w:proofErr w:type="spellStart"/>
      <w:r>
        <w:t>ANZSCO</w:t>
      </w:r>
      <w:proofErr w:type="spellEnd"/>
      <w:r>
        <w:t xml:space="preserve"> is a skill-based classification of occupations (ABS 2009), in which both the skill level and specialisation required to competently perform a job are taken into account in determining its location within the classification.</w:t>
      </w:r>
    </w:p>
  </w:footnote>
  <w:footnote w:id="6">
    <w:p w:rsidR="003650CF" w:rsidRDefault="003650CF" w:rsidP="006044A7">
      <w:pPr>
        <w:pStyle w:val="FootnoteText"/>
      </w:pPr>
      <w:r>
        <w:rPr>
          <w:rStyle w:val="FootnoteReference"/>
        </w:rPr>
        <w:footnoteRef/>
      </w:r>
      <w:r>
        <w:tab/>
        <w:t xml:space="preserve">For example, data on permanent employees were available only on an annual basis — providing ten observations over the decade at a national level. Data on industry and occupation were available on a consistent basis for this </w:t>
      </w:r>
      <w:proofErr w:type="spellStart"/>
      <w:r>
        <w:t>FOW</w:t>
      </w:r>
      <w:proofErr w:type="spellEnd"/>
      <w:r>
        <w:t xml:space="preserve"> only until 2009, reducing the potential time series to eight observations. Even if the national data were disaggregated by state, the smaller jurisdictions would have had to have been aggregated — leading at most to a panel dataset with 40 observations.</w:t>
      </w:r>
    </w:p>
  </w:footnote>
  <w:footnote w:id="7">
    <w:p w:rsidR="003650CF" w:rsidRDefault="003650CF" w:rsidP="006044A7">
      <w:pPr>
        <w:pStyle w:val="FootnoteText"/>
      </w:pPr>
      <w:r>
        <w:rPr>
          <w:rStyle w:val="FootnoteReference"/>
        </w:rPr>
        <w:footnoteRef/>
      </w:r>
      <w:r>
        <w:tab/>
        <w:t>As discussed in chapter 3, insights for permanent and casual employees are drawn from data for employees with and without leave entitlements, respectively.</w:t>
      </w:r>
    </w:p>
  </w:footnote>
  <w:footnote w:id="8">
    <w:p w:rsidR="003650CF" w:rsidRDefault="003650CF">
      <w:pPr>
        <w:pStyle w:val="FootnoteText"/>
      </w:pPr>
      <w:r>
        <w:rPr>
          <w:rStyle w:val="FootnoteReference"/>
        </w:rPr>
        <w:footnoteRef/>
      </w:r>
      <w:r>
        <w:tab/>
        <w:t>White collar occupations are defined to include the Australian and New Zealand Standard Classification of Occupations (</w:t>
      </w:r>
      <w:proofErr w:type="spellStart"/>
      <w:r>
        <w:t>ANZSCO</w:t>
      </w:r>
      <w:proofErr w:type="spellEnd"/>
      <w:r>
        <w:t>) categories of: managers; professionals; community and personal services workers; clerical and administrative workers; and sales workers.</w:t>
      </w:r>
    </w:p>
  </w:footnote>
  <w:footnote w:id="9">
    <w:p w:rsidR="003650CF" w:rsidRDefault="003650CF" w:rsidP="006044A7">
      <w:pPr>
        <w:pStyle w:val="FootnoteText"/>
      </w:pPr>
      <w:r>
        <w:rPr>
          <w:rStyle w:val="FootnoteReference"/>
        </w:rPr>
        <w:footnoteRef/>
      </w:r>
      <w:r>
        <w:tab/>
        <w:t>Over the period to 2010, the mining states accounted for 80 to 85 per cent of the increased prevalence of permanent employees. The fall in their share in 2011 reflected an unusually rapid increase in permanent employees in the non</w:t>
      </w:r>
      <w:r>
        <w:noBreakHyphen/>
        <w:t>mining states between 2010 and 2011. The possibility that this was an artefact of the data (and not a reflection of what actually happened) cannot be dismissed (appendix E). Over the period 2001 to 2010, the increase in permanent employees translated into a prevalence gain of only about 0.5 percentage points in the non</w:t>
      </w:r>
      <w:r>
        <w:noBreakHyphen/>
        <w:t>mining states.</w:t>
      </w:r>
    </w:p>
  </w:footnote>
  <w:footnote w:id="10">
    <w:p w:rsidR="003650CF" w:rsidRPr="00532350" w:rsidRDefault="003650CF" w:rsidP="006044A7">
      <w:pPr>
        <w:pStyle w:val="FootnoteText"/>
        <w:rPr>
          <w:spacing w:val="-2"/>
        </w:rPr>
      </w:pPr>
      <w:r w:rsidRPr="00532350">
        <w:rPr>
          <w:rStyle w:val="FootnoteReference"/>
          <w:spacing w:val="-2"/>
        </w:rPr>
        <w:footnoteRef/>
      </w:r>
      <w:r w:rsidRPr="00532350">
        <w:rPr>
          <w:spacing w:val="-2"/>
        </w:rPr>
        <w:tab/>
      </w:r>
      <w:r w:rsidRPr="0097374B">
        <w:t>In New South Wales and Victoria, the increases to 2011 were 1 and 1.7 percentage points, respectively. The data point to faster increases in South Australia, Tasmania and the Australian Capital Territory (3.1, 5.3 and 4.9 percentage points</w:t>
      </w:r>
      <w:r>
        <w:t>,</w:t>
      </w:r>
      <w:r w:rsidRPr="0097374B">
        <w:t xml:space="preserve"> respectively). However, the relatively small size of these states means that these estimates have larger standard errors and are considered less reliable.</w:t>
      </w:r>
    </w:p>
  </w:footnote>
  <w:footnote w:id="11">
    <w:p w:rsidR="003650CF" w:rsidRDefault="003650CF" w:rsidP="006044A7">
      <w:pPr>
        <w:pStyle w:val="FootnoteText"/>
      </w:pPr>
      <w:r>
        <w:rPr>
          <w:rStyle w:val="FootnoteReference"/>
        </w:rPr>
        <w:footnoteRef/>
      </w:r>
      <w:r>
        <w:tab/>
        <w:t>As noted in footnote 28, the validity of this apparent change on the trend is questionable.</w:t>
      </w:r>
    </w:p>
  </w:footnote>
  <w:footnote w:id="12">
    <w:p w:rsidR="003650CF" w:rsidRPr="000264B3" w:rsidRDefault="003650CF" w:rsidP="006044A7">
      <w:pPr>
        <w:pStyle w:val="FootnoteText"/>
        <w:rPr>
          <w:spacing w:val="-2"/>
        </w:rPr>
      </w:pPr>
      <w:r>
        <w:rPr>
          <w:rStyle w:val="FootnoteReference"/>
        </w:rPr>
        <w:footnoteRef/>
      </w:r>
      <w:r>
        <w:tab/>
      </w:r>
      <w:r w:rsidRPr="000264B3">
        <w:rPr>
          <w:spacing w:val="-2"/>
        </w:rPr>
        <w:t>The positive shift effect for casuals in non</w:t>
      </w:r>
      <w:r w:rsidRPr="000264B3">
        <w:rPr>
          <w:spacing w:val="-2"/>
        </w:rPr>
        <w:noBreakHyphen/>
        <w:t>mining states was primarily a function of factors at play in the New South Wales labour market, although across much of the decade, a similar positive, albeit smaller, effect was apparent in Victoria.</w:t>
      </w:r>
      <w:r>
        <w:rPr>
          <w:spacing w:val="-2"/>
        </w:rPr>
        <w:t xml:space="preserve"> These conclusions are tentative. Data from an alternative source suggest that the prevalence of casuals fell slightly in the non</w:t>
      </w:r>
      <w:r>
        <w:rPr>
          <w:spacing w:val="-2"/>
        </w:rPr>
        <w:noBreakHyphen/>
        <w:t>mining states over the decade. It is unclear why the two sources suggest different conclusions, but an error in the alternative source is one possibility. The alternative estimates, and possible explanations for differences between the two sources, are presented in appendix E.</w:t>
      </w:r>
    </w:p>
  </w:footnote>
  <w:footnote w:id="13">
    <w:p w:rsidR="003650CF" w:rsidRDefault="003650CF" w:rsidP="006044A7">
      <w:pPr>
        <w:pStyle w:val="FootnoteText"/>
      </w:pPr>
      <w:bookmarkStart w:id="12" w:name="OLE_LINK1"/>
      <w:r>
        <w:rPr>
          <w:rStyle w:val="FootnoteReference"/>
        </w:rPr>
        <w:footnoteRef/>
      </w:r>
      <w:bookmarkEnd w:id="12"/>
      <w:r>
        <w:tab/>
        <w:t xml:space="preserve">Analysis in this section mainly focuses on permanent employees and </w:t>
      </w:r>
      <w:proofErr w:type="spellStart"/>
      <w:r>
        <w:t>OMUEs</w:t>
      </w:r>
      <w:proofErr w:type="spellEnd"/>
      <w:r>
        <w:t xml:space="preserve"> because these were the </w:t>
      </w:r>
      <w:proofErr w:type="spellStart"/>
      <w:r>
        <w:t>FOWs</w:t>
      </w:r>
      <w:proofErr w:type="spellEnd"/>
      <w:r>
        <w:t xml:space="preserve"> for which the largest changes were recorded, and because of concerns about the data underlying results for casual employees in the non</w:t>
      </w:r>
      <w:r>
        <w:noBreakHyphen/>
        <w:t>mining states.</w:t>
      </w:r>
    </w:p>
  </w:footnote>
  <w:footnote w:id="14">
    <w:p w:rsidR="003650CF" w:rsidRDefault="003650CF" w:rsidP="006044A7">
      <w:pPr>
        <w:pStyle w:val="FootnoteText"/>
      </w:pPr>
      <w:r>
        <w:rPr>
          <w:rStyle w:val="FootnoteReference"/>
        </w:rPr>
        <w:footnoteRef/>
      </w:r>
      <w:r>
        <w:tab/>
        <w:t>Refer to previous footnote.</w:t>
      </w:r>
    </w:p>
  </w:footnote>
  <w:footnote w:id="15">
    <w:p w:rsidR="003650CF" w:rsidRDefault="003650CF" w:rsidP="006044A7">
      <w:pPr>
        <w:pStyle w:val="FootnoteText"/>
      </w:pPr>
      <w:r>
        <w:rPr>
          <w:rStyle w:val="FootnoteReference"/>
        </w:rPr>
        <w:footnoteRef/>
      </w:r>
      <w:r>
        <w:tab/>
        <w:t>Data concerns preclude a conclusion about the relative contributions of share and shift effects at an occupation level to changes in the prevalence of permanent employees in the non</w:t>
      </w:r>
      <w:r>
        <w:noBreakHyphen/>
        <w:t>mining states.</w:t>
      </w:r>
    </w:p>
  </w:footnote>
  <w:footnote w:id="16">
    <w:p w:rsidR="003650CF" w:rsidRDefault="003650CF" w:rsidP="006044A7">
      <w:pPr>
        <w:pStyle w:val="FootnoteText"/>
      </w:pPr>
      <w:r>
        <w:rPr>
          <w:rStyle w:val="FootnoteReference"/>
        </w:rPr>
        <w:footnoteRef/>
      </w:r>
      <w:r>
        <w:tab/>
        <w:t>Slightly different prevalence estimates for the two state groupings were obtained from an alternative data source. These are presented and discussed in appendix 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3650CF">
      <w:tc>
        <w:tcPr>
          <w:tcW w:w="2155" w:type="dxa"/>
          <w:tcBorders>
            <w:top w:val="single" w:sz="24" w:space="0" w:color="auto"/>
          </w:tcBorders>
        </w:tcPr>
        <w:p w:rsidR="003650CF" w:rsidRDefault="003650CF" w:rsidP="0019293B">
          <w:pPr>
            <w:pStyle w:val="HeaderEven"/>
          </w:pPr>
        </w:p>
      </w:tc>
      <w:tc>
        <w:tcPr>
          <w:tcW w:w="6634" w:type="dxa"/>
          <w:tcBorders>
            <w:top w:val="single" w:sz="6" w:space="0" w:color="auto"/>
          </w:tcBorders>
        </w:tcPr>
        <w:p w:rsidR="003650CF" w:rsidRDefault="003650CF" w:rsidP="0019293B">
          <w:pPr>
            <w:pStyle w:val="HeaderEven"/>
          </w:pPr>
        </w:p>
      </w:tc>
    </w:tr>
  </w:tbl>
  <w:p w:rsidR="003650CF" w:rsidRDefault="003650CF"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650CF">
      <w:tc>
        <w:tcPr>
          <w:tcW w:w="6634" w:type="dxa"/>
          <w:tcBorders>
            <w:top w:val="single" w:sz="6" w:space="0" w:color="auto"/>
          </w:tcBorders>
        </w:tcPr>
        <w:p w:rsidR="003650CF" w:rsidRDefault="003650CF" w:rsidP="00E669E2">
          <w:pPr>
            <w:pStyle w:val="HeaderOdd"/>
          </w:pPr>
        </w:p>
      </w:tc>
      <w:tc>
        <w:tcPr>
          <w:tcW w:w="2155" w:type="dxa"/>
          <w:tcBorders>
            <w:top w:val="single" w:sz="24" w:space="0" w:color="auto"/>
          </w:tcBorders>
        </w:tcPr>
        <w:p w:rsidR="003650CF" w:rsidRDefault="003650CF" w:rsidP="00E669E2">
          <w:pPr>
            <w:pStyle w:val="HeaderOdd"/>
          </w:pPr>
        </w:p>
      </w:tc>
    </w:tr>
  </w:tbl>
  <w:p w:rsidR="003650CF" w:rsidRDefault="003650CF"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1594038D"/>
    <w:multiLevelType w:val="multilevel"/>
    <w:tmpl w:val="AFC2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5">
    <w:nsid w:val="51F74561"/>
    <w:multiLevelType w:val="singleLevel"/>
    <w:tmpl w:val="ED98921A"/>
    <w:lvl w:ilvl="0">
      <w:start w:val="1"/>
      <w:numFmt w:val="decimal"/>
      <w:lvlText w:val="%1."/>
      <w:legacy w:legacy="1" w:legacySpace="0" w:legacyIndent="340"/>
      <w:lvlJc w:val="left"/>
      <w:pPr>
        <w:ind w:left="340" w:hanging="340"/>
      </w:pPr>
    </w:lvl>
  </w:abstractNum>
  <w:abstractNum w:abstractNumId="26">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7">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8">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9">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0">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2">
    <w:nsid w:val="5A096576"/>
    <w:multiLevelType w:val="singleLevel"/>
    <w:tmpl w:val="ED98921A"/>
    <w:lvl w:ilvl="0">
      <w:start w:val="1"/>
      <w:numFmt w:val="decimal"/>
      <w:lvlText w:val="%1."/>
      <w:legacy w:legacy="1" w:legacySpace="0" w:legacyIndent="340"/>
      <w:lvlJc w:val="left"/>
      <w:pPr>
        <w:ind w:left="340" w:hanging="340"/>
      </w:pPr>
    </w:lvl>
  </w:abstractNum>
  <w:abstractNum w:abstractNumId="33">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5D0373B1"/>
    <w:multiLevelType w:val="multilevel"/>
    <w:tmpl w:val="38D2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055F7F"/>
    <w:multiLevelType w:val="singleLevel"/>
    <w:tmpl w:val="ED98921A"/>
    <w:lvl w:ilvl="0">
      <w:start w:val="1"/>
      <w:numFmt w:val="decimal"/>
      <w:lvlText w:val="%1."/>
      <w:legacy w:legacy="1" w:legacySpace="0" w:legacyIndent="340"/>
      <w:lvlJc w:val="left"/>
      <w:pPr>
        <w:ind w:left="340" w:hanging="340"/>
      </w:pPr>
    </w:lvl>
  </w:abstractNum>
  <w:abstractNum w:abstractNumId="36">
    <w:nsid w:val="608E741E"/>
    <w:multiLevelType w:val="singleLevel"/>
    <w:tmpl w:val="ED98921A"/>
    <w:lvl w:ilvl="0">
      <w:start w:val="1"/>
      <w:numFmt w:val="decimal"/>
      <w:lvlText w:val="%1."/>
      <w:legacy w:legacy="1" w:legacySpace="0" w:legacyIndent="340"/>
      <w:lvlJc w:val="left"/>
      <w:pPr>
        <w:ind w:left="340" w:hanging="340"/>
      </w:pPr>
    </w:lvl>
  </w:abstractNum>
  <w:abstractNum w:abstractNumId="37">
    <w:nsid w:val="61320C1E"/>
    <w:multiLevelType w:val="singleLevel"/>
    <w:tmpl w:val="C444122C"/>
    <w:lvl w:ilvl="0">
      <w:start w:val="1"/>
      <w:numFmt w:val="decimal"/>
      <w:lvlText w:val="%1."/>
      <w:legacy w:legacy="1" w:legacySpace="0" w:legacyIndent="284"/>
      <w:lvlJc w:val="left"/>
      <w:pPr>
        <w:ind w:left="284" w:hanging="284"/>
      </w:pPr>
    </w:lvl>
  </w:abstractNum>
  <w:abstractNum w:abstractNumId="38">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9">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40">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1">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2">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6">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0"/>
  </w:num>
  <w:num w:numId="3">
    <w:abstractNumId w:val="44"/>
  </w:num>
  <w:num w:numId="4">
    <w:abstractNumId w:val="7"/>
  </w:num>
  <w:num w:numId="5">
    <w:abstractNumId w:val="5"/>
  </w:num>
  <w:num w:numId="6">
    <w:abstractNumId w:val="26"/>
  </w:num>
  <w:num w:numId="7">
    <w:abstractNumId w:val="3"/>
  </w:num>
  <w:num w:numId="8">
    <w:abstractNumId w:val="9"/>
  </w:num>
  <w:num w:numId="9">
    <w:abstractNumId w:val="2"/>
  </w:num>
  <w:num w:numId="10">
    <w:abstractNumId w:val="39"/>
  </w:num>
  <w:num w:numId="11">
    <w:abstractNumId w:val="4"/>
  </w:num>
  <w:num w:numId="12">
    <w:abstractNumId w:val="1"/>
  </w:num>
  <w:num w:numId="13">
    <w:abstractNumId w:val="0"/>
  </w:num>
  <w:num w:numId="14">
    <w:abstractNumId w:val="29"/>
  </w:num>
  <w:num w:numId="15">
    <w:abstractNumId w:val="45"/>
  </w:num>
  <w:num w:numId="16">
    <w:abstractNumId w:val="18"/>
  </w:num>
  <w:num w:numId="17">
    <w:abstractNumId w:val="16"/>
  </w:num>
  <w:num w:numId="18">
    <w:abstractNumId w:val="27"/>
  </w:num>
  <w:num w:numId="19">
    <w:abstractNumId w:val="12"/>
  </w:num>
  <w:num w:numId="20">
    <w:abstractNumId w:val="36"/>
  </w:num>
  <w:num w:numId="21">
    <w:abstractNumId w:val="38"/>
  </w:num>
  <w:num w:numId="22">
    <w:abstractNumId w:val="25"/>
  </w:num>
  <w:num w:numId="23">
    <w:abstractNumId w:val="28"/>
  </w:num>
  <w:num w:numId="24">
    <w:abstractNumId w:val="30"/>
  </w:num>
  <w:num w:numId="25">
    <w:abstractNumId w:val="43"/>
  </w:num>
  <w:num w:numId="26">
    <w:abstractNumId w:val="35"/>
  </w:num>
  <w:num w:numId="27">
    <w:abstractNumId w:val="40"/>
  </w:num>
  <w:num w:numId="28">
    <w:abstractNumId w:val="41"/>
  </w:num>
  <w:num w:numId="29">
    <w:abstractNumId w:val="32"/>
  </w:num>
  <w:num w:numId="30">
    <w:abstractNumId w:val="22"/>
  </w:num>
  <w:num w:numId="31">
    <w:abstractNumId w:val="46"/>
  </w:num>
  <w:num w:numId="32">
    <w:abstractNumId w:val="15"/>
  </w:num>
  <w:num w:numId="33">
    <w:abstractNumId w:val="8"/>
  </w:num>
  <w:num w:numId="34">
    <w:abstractNumId w:val="19"/>
  </w:num>
  <w:num w:numId="35">
    <w:abstractNumId w:val="42"/>
  </w:num>
  <w:num w:numId="36">
    <w:abstractNumId w:val="33"/>
  </w:num>
  <w:num w:numId="37">
    <w:abstractNumId w:val="13"/>
  </w:num>
  <w:num w:numId="38">
    <w:abstractNumId w:val="37"/>
  </w:num>
  <w:num w:numId="39">
    <w:abstractNumId w:val="14"/>
  </w:num>
  <w:num w:numId="40">
    <w:abstractNumId w:val="18"/>
  </w:num>
  <w:num w:numId="41">
    <w:abstractNumId w:val="9"/>
  </w:num>
  <w:num w:numId="42">
    <w:abstractNumId w:val="24"/>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0"/>
  </w:num>
  <w:num w:numId="46">
    <w:abstractNumId w:val="23"/>
  </w:num>
  <w:num w:numId="47">
    <w:abstractNumId w:val="10"/>
  </w:num>
  <w:num w:numId="48">
    <w:abstractNumId w:val="31"/>
  </w:num>
  <w:num w:numId="49">
    <w:abstractNumId w:val="17"/>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9153"/>
  </w:hdrShapeDefaults>
  <w:footnotePr>
    <w:numStart w:val="2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Explaining prevalence changes"/>
    <w:docVar w:name="ShortReportTitle" w:val="Forms of work"/>
  </w:docVars>
  <w:rsids>
    <w:rsidRoot w:val="006044A7"/>
    <w:rsid w:val="000227D5"/>
    <w:rsid w:val="000245AA"/>
    <w:rsid w:val="00027829"/>
    <w:rsid w:val="0003664B"/>
    <w:rsid w:val="0004111F"/>
    <w:rsid w:val="00050F40"/>
    <w:rsid w:val="000565B3"/>
    <w:rsid w:val="0006147F"/>
    <w:rsid w:val="0007150B"/>
    <w:rsid w:val="00074C5B"/>
    <w:rsid w:val="00076818"/>
    <w:rsid w:val="000938F5"/>
    <w:rsid w:val="00095CB7"/>
    <w:rsid w:val="00096E55"/>
    <w:rsid w:val="000A0D86"/>
    <w:rsid w:val="000A2DDC"/>
    <w:rsid w:val="000B601B"/>
    <w:rsid w:val="000C207E"/>
    <w:rsid w:val="000C36A8"/>
    <w:rsid w:val="000F0035"/>
    <w:rsid w:val="000F420B"/>
    <w:rsid w:val="000F51E8"/>
    <w:rsid w:val="00105233"/>
    <w:rsid w:val="00110116"/>
    <w:rsid w:val="00120072"/>
    <w:rsid w:val="00126EB8"/>
    <w:rsid w:val="001274D4"/>
    <w:rsid w:val="0013243F"/>
    <w:rsid w:val="001363AA"/>
    <w:rsid w:val="00140035"/>
    <w:rsid w:val="00142A02"/>
    <w:rsid w:val="00145887"/>
    <w:rsid w:val="00156353"/>
    <w:rsid w:val="0016648E"/>
    <w:rsid w:val="00172EE9"/>
    <w:rsid w:val="00183E82"/>
    <w:rsid w:val="001857C5"/>
    <w:rsid w:val="001878BB"/>
    <w:rsid w:val="00191AE0"/>
    <w:rsid w:val="0019245F"/>
    <w:rsid w:val="0019293B"/>
    <w:rsid w:val="0019753F"/>
    <w:rsid w:val="001A2EC7"/>
    <w:rsid w:val="001B1757"/>
    <w:rsid w:val="001B3930"/>
    <w:rsid w:val="001C0865"/>
    <w:rsid w:val="001C2950"/>
    <w:rsid w:val="001C366C"/>
    <w:rsid w:val="001C3ABA"/>
    <w:rsid w:val="001D26C5"/>
    <w:rsid w:val="001D422E"/>
    <w:rsid w:val="001D5C3C"/>
    <w:rsid w:val="001D6FF1"/>
    <w:rsid w:val="001E2B28"/>
    <w:rsid w:val="001E3C59"/>
    <w:rsid w:val="001E4DAB"/>
    <w:rsid w:val="001E7BE8"/>
    <w:rsid w:val="001F0248"/>
    <w:rsid w:val="001F3EB3"/>
    <w:rsid w:val="001F4F86"/>
    <w:rsid w:val="001F7D21"/>
    <w:rsid w:val="00202368"/>
    <w:rsid w:val="00202C2C"/>
    <w:rsid w:val="002110F2"/>
    <w:rsid w:val="00213204"/>
    <w:rsid w:val="002135AB"/>
    <w:rsid w:val="002144BE"/>
    <w:rsid w:val="00217FE9"/>
    <w:rsid w:val="00220CD2"/>
    <w:rsid w:val="002418B7"/>
    <w:rsid w:val="00242279"/>
    <w:rsid w:val="00245C82"/>
    <w:rsid w:val="0027023C"/>
    <w:rsid w:val="00276881"/>
    <w:rsid w:val="00291B40"/>
    <w:rsid w:val="002A1009"/>
    <w:rsid w:val="002B4008"/>
    <w:rsid w:val="002C46F2"/>
    <w:rsid w:val="002D0E8E"/>
    <w:rsid w:val="002E2799"/>
    <w:rsid w:val="002F117A"/>
    <w:rsid w:val="00301189"/>
    <w:rsid w:val="003119B1"/>
    <w:rsid w:val="0031207B"/>
    <w:rsid w:val="0032005F"/>
    <w:rsid w:val="00323E09"/>
    <w:rsid w:val="0032579E"/>
    <w:rsid w:val="00333932"/>
    <w:rsid w:val="00337054"/>
    <w:rsid w:val="00340912"/>
    <w:rsid w:val="0034689C"/>
    <w:rsid w:val="003518AA"/>
    <w:rsid w:val="00352165"/>
    <w:rsid w:val="00353182"/>
    <w:rsid w:val="003565D9"/>
    <w:rsid w:val="00356D38"/>
    <w:rsid w:val="003602E1"/>
    <w:rsid w:val="003650CF"/>
    <w:rsid w:val="0037026F"/>
    <w:rsid w:val="00371240"/>
    <w:rsid w:val="00374731"/>
    <w:rsid w:val="00376E59"/>
    <w:rsid w:val="00381B03"/>
    <w:rsid w:val="003919F9"/>
    <w:rsid w:val="003C38B5"/>
    <w:rsid w:val="003C5D99"/>
    <w:rsid w:val="003D09FB"/>
    <w:rsid w:val="003D3F9D"/>
    <w:rsid w:val="003E2F59"/>
    <w:rsid w:val="003F0789"/>
    <w:rsid w:val="003F2AA7"/>
    <w:rsid w:val="00401882"/>
    <w:rsid w:val="004100C8"/>
    <w:rsid w:val="00411DBD"/>
    <w:rsid w:val="00412ACE"/>
    <w:rsid w:val="00420BB6"/>
    <w:rsid w:val="00423376"/>
    <w:rsid w:val="004246D8"/>
    <w:rsid w:val="00431249"/>
    <w:rsid w:val="00434C19"/>
    <w:rsid w:val="00436568"/>
    <w:rsid w:val="00442D87"/>
    <w:rsid w:val="00450810"/>
    <w:rsid w:val="00450BFA"/>
    <w:rsid w:val="00463BD7"/>
    <w:rsid w:val="004700B6"/>
    <w:rsid w:val="00470CE4"/>
    <w:rsid w:val="00477144"/>
    <w:rsid w:val="00481B5D"/>
    <w:rsid w:val="00490CA1"/>
    <w:rsid w:val="00491380"/>
    <w:rsid w:val="0049459F"/>
    <w:rsid w:val="004A00D4"/>
    <w:rsid w:val="004A38DD"/>
    <w:rsid w:val="004A7CFF"/>
    <w:rsid w:val="004B3138"/>
    <w:rsid w:val="004B43AE"/>
    <w:rsid w:val="004B72B2"/>
    <w:rsid w:val="004C30ED"/>
    <w:rsid w:val="004D262C"/>
    <w:rsid w:val="004D5675"/>
    <w:rsid w:val="004F517F"/>
    <w:rsid w:val="004F5A41"/>
    <w:rsid w:val="00500AEF"/>
    <w:rsid w:val="00503192"/>
    <w:rsid w:val="00504449"/>
    <w:rsid w:val="00520D37"/>
    <w:rsid w:val="00523639"/>
    <w:rsid w:val="005302EE"/>
    <w:rsid w:val="00531FE5"/>
    <w:rsid w:val="005402FA"/>
    <w:rsid w:val="00541180"/>
    <w:rsid w:val="0057110C"/>
    <w:rsid w:val="0057416D"/>
    <w:rsid w:val="005757CB"/>
    <w:rsid w:val="00583C39"/>
    <w:rsid w:val="00587F28"/>
    <w:rsid w:val="005909CF"/>
    <w:rsid w:val="00591E71"/>
    <w:rsid w:val="00594F43"/>
    <w:rsid w:val="005A0D41"/>
    <w:rsid w:val="005A5F97"/>
    <w:rsid w:val="005C4A49"/>
    <w:rsid w:val="005D4AA5"/>
    <w:rsid w:val="005D770D"/>
    <w:rsid w:val="00601BEE"/>
    <w:rsid w:val="006044A7"/>
    <w:rsid w:val="00607BF1"/>
    <w:rsid w:val="00615382"/>
    <w:rsid w:val="00615B6B"/>
    <w:rsid w:val="006205D8"/>
    <w:rsid w:val="006223AD"/>
    <w:rsid w:val="00630CB1"/>
    <w:rsid w:val="00630D4D"/>
    <w:rsid w:val="00632A74"/>
    <w:rsid w:val="00640FC5"/>
    <w:rsid w:val="00664FB1"/>
    <w:rsid w:val="0067622E"/>
    <w:rsid w:val="00681D21"/>
    <w:rsid w:val="0069368B"/>
    <w:rsid w:val="006A4655"/>
    <w:rsid w:val="006A47A7"/>
    <w:rsid w:val="006B2B3C"/>
    <w:rsid w:val="006B5662"/>
    <w:rsid w:val="006C1D81"/>
    <w:rsid w:val="006C7038"/>
    <w:rsid w:val="006E5C78"/>
    <w:rsid w:val="006E73EF"/>
    <w:rsid w:val="00714B49"/>
    <w:rsid w:val="00714D4D"/>
    <w:rsid w:val="0073205E"/>
    <w:rsid w:val="007472B8"/>
    <w:rsid w:val="007604BB"/>
    <w:rsid w:val="00785232"/>
    <w:rsid w:val="00785A42"/>
    <w:rsid w:val="0078634E"/>
    <w:rsid w:val="0079479A"/>
    <w:rsid w:val="00795307"/>
    <w:rsid w:val="007A0765"/>
    <w:rsid w:val="007A21EB"/>
    <w:rsid w:val="007A3D4A"/>
    <w:rsid w:val="007A3E08"/>
    <w:rsid w:val="007A6112"/>
    <w:rsid w:val="007B0F6A"/>
    <w:rsid w:val="007B17A3"/>
    <w:rsid w:val="007B1A93"/>
    <w:rsid w:val="007C36C9"/>
    <w:rsid w:val="007C40A4"/>
    <w:rsid w:val="007D2F23"/>
    <w:rsid w:val="007D6401"/>
    <w:rsid w:val="007E01E4"/>
    <w:rsid w:val="007E0FF2"/>
    <w:rsid w:val="007F2C48"/>
    <w:rsid w:val="007F3DAD"/>
    <w:rsid w:val="007F7107"/>
    <w:rsid w:val="00800D4C"/>
    <w:rsid w:val="0081030F"/>
    <w:rsid w:val="00814F4F"/>
    <w:rsid w:val="0082087D"/>
    <w:rsid w:val="00826973"/>
    <w:rsid w:val="0083551D"/>
    <w:rsid w:val="00835771"/>
    <w:rsid w:val="00837F75"/>
    <w:rsid w:val="00842933"/>
    <w:rsid w:val="00852A55"/>
    <w:rsid w:val="0085380C"/>
    <w:rsid w:val="0086082C"/>
    <w:rsid w:val="00864ADC"/>
    <w:rsid w:val="0087327D"/>
    <w:rsid w:val="00880153"/>
    <w:rsid w:val="00880F97"/>
    <w:rsid w:val="0088133A"/>
    <w:rsid w:val="008915B6"/>
    <w:rsid w:val="0089285E"/>
    <w:rsid w:val="0089436C"/>
    <w:rsid w:val="008B28A2"/>
    <w:rsid w:val="008B5645"/>
    <w:rsid w:val="008B57B9"/>
    <w:rsid w:val="008C2462"/>
    <w:rsid w:val="008C7827"/>
    <w:rsid w:val="008D365C"/>
    <w:rsid w:val="008E4C95"/>
    <w:rsid w:val="009030BF"/>
    <w:rsid w:val="0091032F"/>
    <w:rsid w:val="00912808"/>
    <w:rsid w:val="00914368"/>
    <w:rsid w:val="00931076"/>
    <w:rsid w:val="009345D9"/>
    <w:rsid w:val="00934B15"/>
    <w:rsid w:val="00940C87"/>
    <w:rsid w:val="00941AAD"/>
    <w:rsid w:val="00942B62"/>
    <w:rsid w:val="0095323B"/>
    <w:rsid w:val="00956A0C"/>
    <w:rsid w:val="00956BD9"/>
    <w:rsid w:val="00962489"/>
    <w:rsid w:val="0097384A"/>
    <w:rsid w:val="009908A8"/>
    <w:rsid w:val="00990C2C"/>
    <w:rsid w:val="00992729"/>
    <w:rsid w:val="009E0316"/>
    <w:rsid w:val="009E1844"/>
    <w:rsid w:val="009E2238"/>
    <w:rsid w:val="009F0D1B"/>
    <w:rsid w:val="009F696D"/>
    <w:rsid w:val="009F6BC6"/>
    <w:rsid w:val="00A03794"/>
    <w:rsid w:val="00A17328"/>
    <w:rsid w:val="00A23A20"/>
    <w:rsid w:val="00A24AC6"/>
    <w:rsid w:val="00A2611D"/>
    <w:rsid w:val="00A268B9"/>
    <w:rsid w:val="00A2703A"/>
    <w:rsid w:val="00A33DFF"/>
    <w:rsid w:val="00A344E6"/>
    <w:rsid w:val="00A35115"/>
    <w:rsid w:val="00A35ACB"/>
    <w:rsid w:val="00A36D9A"/>
    <w:rsid w:val="00A534AE"/>
    <w:rsid w:val="00A554AB"/>
    <w:rsid w:val="00A57062"/>
    <w:rsid w:val="00A6039A"/>
    <w:rsid w:val="00A7469A"/>
    <w:rsid w:val="00A76ACD"/>
    <w:rsid w:val="00A8001B"/>
    <w:rsid w:val="00A83412"/>
    <w:rsid w:val="00A92B53"/>
    <w:rsid w:val="00A94FA6"/>
    <w:rsid w:val="00AA49A0"/>
    <w:rsid w:val="00AA6710"/>
    <w:rsid w:val="00AB0681"/>
    <w:rsid w:val="00AB6542"/>
    <w:rsid w:val="00AC18BE"/>
    <w:rsid w:val="00AC5E19"/>
    <w:rsid w:val="00AD1C45"/>
    <w:rsid w:val="00AD520B"/>
    <w:rsid w:val="00AF5D3E"/>
    <w:rsid w:val="00B02585"/>
    <w:rsid w:val="00B23B3E"/>
    <w:rsid w:val="00B33951"/>
    <w:rsid w:val="00B425C3"/>
    <w:rsid w:val="00B440AD"/>
    <w:rsid w:val="00B479BB"/>
    <w:rsid w:val="00B53E7E"/>
    <w:rsid w:val="00B6342E"/>
    <w:rsid w:val="00B7113F"/>
    <w:rsid w:val="00B729A3"/>
    <w:rsid w:val="00B76C39"/>
    <w:rsid w:val="00B80E62"/>
    <w:rsid w:val="00B80FD2"/>
    <w:rsid w:val="00B8751F"/>
    <w:rsid w:val="00BA73B6"/>
    <w:rsid w:val="00BA7E27"/>
    <w:rsid w:val="00BB2603"/>
    <w:rsid w:val="00BB4FCD"/>
    <w:rsid w:val="00BC04E9"/>
    <w:rsid w:val="00BD13EA"/>
    <w:rsid w:val="00BD15C6"/>
    <w:rsid w:val="00BD43C6"/>
    <w:rsid w:val="00BE0D92"/>
    <w:rsid w:val="00BE3808"/>
    <w:rsid w:val="00BF4CF9"/>
    <w:rsid w:val="00C053F3"/>
    <w:rsid w:val="00C062E9"/>
    <w:rsid w:val="00C07B64"/>
    <w:rsid w:val="00C13721"/>
    <w:rsid w:val="00C14FE4"/>
    <w:rsid w:val="00C23A4F"/>
    <w:rsid w:val="00C3066D"/>
    <w:rsid w:val="00C50790"/>
    <w:rsid w:val="00C52416"/>
    <w:rsid w:val="00C543F4"/>
    <w:rsid w:val="00C6291C"/>
    <w:rsid w:val="00C633CB"/>
    <w:rsid w:val="00C736B7"/>
    <w:rsid w:val="00C74B75"/>
    <w:rsid w:val="00C80099"/>
    <w:rsid w:val="00C81D4A"/>
    <w:rsid w:val="00C8762C"/>
    <w:rsid w:val="00C9516A"/>
    <w:rsid w:val="00C954A1"/>
    <w:rsid w:val="00CA00F9"/>
    <w:rsid w:val="00CA2961"/>
    <w:rsid w:val="00CB50D7"/>
    <w:rsid w:val="00CB7177"/>
    <w:rsid w:val="00CC1998"/>
    <w:rsid w:val="00CC4946"/>
    <w:rsid w:val="00CD401F"/>
    <w:rsid w:val="00CD4546"/>
    <w:rsid w:val="00CD7033"/>
    <w:rsid w:val="00CE5655"/>
    <w:rsid w:val="00D01F56"/>
    <w:rsid w:val="00D06752"/>
    <w:rsid w:val="00D11D12"/>
    <w:rsid w:val="00D26E2F"/>
    <w:rsid w:val="00D270A4"/>
    <w:rsid w:val="00D31FE9"/>
    <w:rsid w:val="00D32CCD"/>
    <w:rsid w:val="00D34E1B"/>
    <w:rsid w:val="00D376BA"/>
    <w:rsid w:val="00D428F2"/>
    <w:rsid w:val="00D45634"/>
    <w:rsid w:val="00D5568A"/>
    <w:rsid w:val="00D576FB"/>
    <w:rsid w:val="00D63D73"/>
    <w:rsid w:val="00D64452"/>
    <w:rsid w:val="00D66E1E"/>
    <w:rsid w:val="00D75722"/>
    <w:rsid w:val="00D77DCD"/>
    <w:rsid w:val="00D80CF5"/>
    <w:rsid w:val="00D9427D"/>
    <w:rsid w:val="00DA115D"/>
    <w:rsid w:val="00DA20CB"/>
    <w:rsid w:val="00DA2A00"/>
    <w:rsid w:val="00DA5BBA"/>
    <w:rsid w:val="00DB26D2"/>
    <w:rsid w:val="00DB4CE7"/>
    <w:rsid w:val="00DB643B"/>
    <w:rsid w:val="00DB67C9"/>
    <w:rsid w:val="00DB6E04"/>
    <w:rsid w:val="00DC0C95"/>
    <w:rsid w:val="00DD6580"/>
    <w:rsid w:val="00E0188C"/>
    <w:rsid w:val="00E121E5"/>
    <w:rsid w:val="00E12435"/>
    <w:rsid w:val="00E17C72"/>
    <w:rsid w:val="00E20057"/>
    <w:rsid w:val="00E21FC6"/>
    <w:rsid w:val="00E26E73"/>
    <w:rsid w:val="00E2760B"/>
    <w:rsid w:val="00E431A9"/>
    <w:rsid w:val="00E630D2"/>
    <w:rsid w:val="00E669E2"/>
    <w:rsid w:val="00E76135"/>
    <w:rsid w:val="00E82F4F"/>
    <w:rsid w:val="00E87205"/>
    <w:rsid w:val="00EA590B"/>
    <w:rsid w:val="00EC2844"/>
    <w:rsid w:val="00EC5500"/>
    <w:rsid w:val="00EC70C7"/>
    <w:rsid w:val="00ED18F8"/>
    <w:rsid w:val="00ED24DC"/>
    <w:rsid w:val="00EE2017"/>
    <w:rsid w:val="00EF6C6C"/>
    <w:rsid w:val="00F0356A"/>
    <w:rsid w:val="00F044AD"/>
    <w:rsid w:val="00F056FC"/>
    <w:rsid w:val="00F10476"/>
    <w:rsid w:val="00F135D8"/>
    <w:rsid w:val="00F151C9"/>
    <w:rsid w:val="00F306BD"/>
    <w:rsid w:val="00F31299"/>
    <w:rsid w:val="00F3534A"/>
    <w:rsid w:val="00F51609"/>
    <w:rsid w:val="00F64BEF"/>
    <w:rsid w:val="00F7020F"/>
    <w:rsid w:val="00F81006"/>
    <w:rsid w:val="00F813F1"/>
    <w:rsid w:val="00F85325"/>
    <w:rsid w:val="00F90A70"/>
    <w:rsid w:val="00F961C5"/>
    <w:rsid w:val="00FC0163"/>
    <w:rsid w:val="00FD22B1"/>
    <w:rsid w:val="00FD41ED"/>
    <w:rsid w:val="00FE0BF7"/>
    <w:rsid w:val="00FE5397"/>
    <w:rsid w:val="00FE67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Strong" w:uiPriority="22"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044A7"/>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6044A7"/>
    <w:rPr>
      <w:sz w:val="26"/>
    </w:rPr>
  </w:style>
  <w:style w:type="character" w:customStyle="1" w:styleId="FootnoteTextChar">
    <w:name w:val="Footnote Text Char"/>
    <w:basedOn w:val="DefaultParagraphFont"/>
    <w:link w:val="FootnoteText"/>
    <w:rsid w:val="006044A7"/>
    <w:rPr>
      <w:sz w:val="22"/>
    </w:rPr>
  </w:style>
  <w:style w:type="paragraph" w:styleId="CommentSubject">
    <w:name w:val="annotation subject"/>
    <w:basedOn w:val="CommentText"/>
    <w:next w:val="CommentText"/>
    <w:link w:val="CommentSubjectChar"/>
    <w:rsid w:val="006044A7"/>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6044A7"/>
    <w:rPr>
      <w:szCs w:val="24"/>
    </w:rPr>
  </w:style>
  <w:style w:type="character" w:customStyle="1" w:styleId="CommentSubjectChar">
    <w:name w:val="Comment Subject Char"/>
    <w:basedOn w:val="CommentTextChar"/>
    <w:link w:val="CommentSubject"/>
    <w:rsid w:val="006044A7"/>
    <w:rPr>
      <w:b/>
      <w:bCs/>
      <w:szCs w:val="24"/>
    </w:rPr>
  </w:style>
  <w:style w:type="paragraph" w:styleId="NormalWeb">
    <w:name w:val="Normal (Web)"/>
    <w:basedOn w:val="Normal"/>
    <w:uiPriority w:val="99"/>
    <w:unhideWhenUsed/>
    <w:rsid w:val="006044A7"/>
    <w:pPr>
      <w:spacing w:before="100" w:beforeAutospacing="1" w:after="100" w:afterAutospacing="1"/>
    </w:pPr>
    <w:rPr>
      <w:sz w:val="24"/>
    </w:rPr>
  </w:style>
  <w:style w:type="paragraph" w:customStyle="1" w:styleId="Default">
    <w:name w:val="Default"/>
    <w:rsid w:val="006044A7"/>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32005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Strong" w:uiPriority="22"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044A7"/>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6044A7"/>
    <w:rPr>
      <w:sz w:val="26"/>
    </w:rPr>
  </w:style>
  <w:style w:type="character" w:customStyle="1" w:styleId="FootnoteTextChar">
    <w:name w:val="Footnote Text Char"/>
    <w:basedOn w:val="DefaultParagraphFont"/>
    <w:link w:val="FootnoteText"/>
    <w:rsid w:val="006044A7"/>
    <w:rPr>
      <w:sz w:val="22"/>
    </w:rPr>
  </w:style>
  <w:style w:type="paragraph" w:styleId="CommentSubject">
    <w:name w:val="annotation subject"/>
    <w:basedOn w:val="CommentText"/>
    <w:next w:val="CommentText"/>
    <w:link w:val="CommentSubjectChar"/>
    <w:rsid w:val="006044A7"/>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6044A7"/>
    <w:rPr>
      <w:szCs w:val="24"/>
    </w:rPr>
  </w:style>
  <w:style w:type="character" w:customStyle="1" w:styleId="CommentSubjectChar">
    <w:name w:val="Comment Subject Char"/>
    <w:basedOn w:val="CommentTextChar"/>
    <w:link w:val="CommentSubject"/>
    <w:rsid w:val="006044A7"/>
    <w:rPr>
      <w:b/>
      <w:bCs/>
      <w:szCs w:val="24"/>
    </w:rPr>
  </w:style>
  <w:style w:type="paragraph" w:styleId="NormalWeb">
    <w:name w:val="Normal (Web)"/>
    <w:basedOn w:val="Normal"/>
    <w:uiPriority w:val="99"/>
    <w:unhideWhenUsed/>
    <w:rsid w:val="006044A7"/>
    <w:pPr>
      <w:spacing w:before="100" w:beforeAutospacing="1" w:after="100" w:afterAutospacing="1"/>
    </w:pPr>
    <w:rPr>
      <w:sz w:val="24"/>
    </w:rPr>
  </w:style>
  <w:style w:type="paragraph" w:customStyle="1" w:styleId="Default">
    <w:name w:val="Default"/>
    <w:rsid w:val="006044A7"/>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3200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chart" Target="charts/chart1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Data\ABS%20data\Spreadsheet%20analysis\Strength%20of%20econ\Real%20GDP%20and%20GDI.xls" TargetMode="Externa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8.xml"/><Relationship Id="rId1" Type="http://schemas.openxmlformats.org/officeDocument/2006/relationships/oleObject" Target="file:///\\MEL_1\groups\Elmrb\04_Current%20projects\Forms%20of%20work\02_Research\Data\ABS%20data\Spreadsheet%20analysis\M%20&amp;%20NM%20analysis\PT_FT%20emp%20growth%20ann%20avg.xls.xlsx" TargetMode="External"/></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oleObject" Target="file:///\\MEL_1\groups\Elmrb\04_Current%20projects\Forms%20of%20work\02_Research\Data\ABS%20data\Spreadsheet%20analysis\M%20&amp;%20NM%20analysis\Age%20LFS%205%20yr%20age%20groups.xls" TargetMode="Externa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MEL_1\groups\Elmrb\04_Current%20projects\Forms%20of%20work\02_Research\Data\ABS%20data\Spreadsheet%20analysis\M%20&amp;%20NM%20analysis\Age%20LFS%205%20yr%20age%20groups.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Data\Presentation%20slides\Presentation%20slide%20workin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Data\ABS%20data\Spreadsheet%20analysis\Strength%20of%20econ\M%20&amp;%20NM%20labour%20market%20strength.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MEL_1\groups\Elmrb\04_Current%20projects\Forms%20of%20work\02_Research\Data\ABS%20data\Spreadsheet%20analysis\M%20&amp;%20NM%20analysis\Employment%20growth%20by%20state.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MEL_1\groups\Elmrb\04_Current%20projects\Forms%20of%20work\02_Research\Data\ABS%20data\Spreadsheet%20analysis\M%20&amp;%20NM%20analysis\Employment%20growth%20by%20state.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MEL_1\groups\Elmrb\04_Current%20projects\Forms%20of%20work\02_Research\Data\ABS%20data\Spreadsheet%20analysis\M%20&amp;%20NM%20analysis\Inds%2001,%2007,%2011.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MEL_1\groups\Elmrb\04_Current%20projects\Forms%20of%20work\02_Research\Data\ABS%20data\Spreadsheet%20analysis\M%20&amp;%20NM%20analysis\Inds%2001,%2007,%2011.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MEL_1\groups\Elmrb\04_Current%20projects\Forms%20of%20work\02_Research\Data\ABS%20data\Spreadsheet%20analysis\M%20&amp;%20NM%20analysis\Occs%2001,%2007,%2011.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MEL_1\groups\Elmrb\04_Current%20projects\Forms%20of%20work\02_Research\Data\ABS%20data\Spreadsheet%20analysis\M%20&amp;%20NM%20analysis\Occs%2001,%2007,%2011.xlsx" TargetMode="Externa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7.xml"/><Relationship Id="rId1" Type="http://schemas.openxmlformats.org/officeDocument/2006/relationships/oleObject" Target="file:///\\MEL_1\groups\Elmrb\04_Current%20projects\Forms%20of%20work\02_Research\Data\ABS%20data\Spreadsheet%20analysis\M%20&amp;%20NM%20analysis\PT_FT%20emp%20growth%20ann%20avg.xl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5042203795322046E-2"/>
          <c:y val="4.6770924467774859E-2"/>
          <c:w val="0.8810511694887696"/>
          <c:h val="0.78632327209098862"/>
        </c:manualLayout>
      </c:layout>
      <c:lineChart>
        <c:grouping val="standard"/>
        <c:varyColors val="0"/>
        <c:ser>
          <c:idx val="0"/>
          <c:order val="0"/>
          <c:tx>
            <c:v>Real gross domestic income</c:v>
          </c:tx>
          <c:spPr>
            <a:ln w="25400">
              <a:solidFill>
                <a:schemeClr val="tx1"/>
              </a:solidFill>
            </a:ln>
          </c:spPr>
          <c:marker>
            <c:symbol val="none"/>
          </c:marker>
          <c:cat>
            <c:numRef>
              <c:f>Sheet1!$A$30:$A$59</c:f>
              <c:numCache>
                <c:formatCode>General</c:formatCode>
                <c:ptCount val="30"/>
                <c:pt idx="0">
                  <c:v>1982</c:v>
                </c:pt>
                <c:pt idx="1">
                  <c:v>1983</c:v>
                </c:pt>
                <c:pt idx="2">
                  <c:v>1984</c:v>
                </c:pt>
                <c:pt idx="3">
                  <c:v>1985</c:v>
                </c:pt>
                <c:pt idx="4">
                  <c:v>1986</c:v>
                </c:pt>
                <c:pt idx="5">
                  <c:v>1987</c:v>
                </c:pt>
                <c:pt idx="6">
                  <c:v>1988</c:v>
                </c:pt>
                <c:pt idx="7">
                  <c:v>1989</c:v>
                </c:pt>
                <c:pt idx="8">
                  <c:v>1990</c:v>
                </c:pt>
                <c:pt idx="9">
                  <c:v>1991</c:v>
                </c:pt>
                <c:pt idx="10">
                  <c:v>1992</c:v>
                </c:pt>
                <c:pt idx="11">
                  <c:v>1993</c:v>
                </c:pt>
                <c:pt idx="12">
                  <c:v>1994</c:v>
                </c:pt>
                <c:pt idx="13">
                  <c:v>1995</c:v>
                </c:pt>
                <c:pt idx="14">
                  <c:v>1996</c:v>
                </c:pt>
                <c:pt idx="15">
                  <c:v>1997</c:v>
                </c:pt>
                <c:pt idx="16">
                  <c:v>1998</c:v>
                </c:pt>
                <c:pt idx="17">
                  <c:v>1999</c:v>
                </c:pt>
                <c:pt idx="18">
                  <c:v>2000</c:v>
                </c:pt>
                <c:pt idx="19">
                  <c:v>2001</c:v>
                </c:pt>
                <c:pt idx="20">
                  <c:v>2002</c:v>
                </c:pt>
                <c:pt idx="21">
                  <c:v>2003</c:v>
                </c:pt>
                <c:pt idx="22">
                  <c:v>2004</c:v>
                </c:pt>
                <c:pt idx="23">
                  <c:v>2005</c:v>
                </c:pt>
                <c:pt idx="24">
                  <c:v>2006</c:v>
                </c:pt>
                <c:pt idx="25">
                  <c:v>2007</c:v>
                </c:pt>
                <c:pt idx="26">
                  <c:v>2008</c:v>
                </c:pt>
                <c:pt idx="27">
                  <c:v>2009</c:v>
                </c:pt>
                <c:pt idx="28">
                  <c:v>2010</c:v>
                </c:pt>
                <c:pt idx="29">
                  <c:v>2011</c:v>
                </c:pt>
              </c:numCache>
            </c:numRef>
          </c:cat>
          <c:val>
            <c:numRef>
              <c:f>Sheet1!$K$30:$K$59</c:f>
              <c:numCache>
                <c:formatCode>0.0</c:formatCode>
                <c:ptCount val="30"/>
                <c:pt idx="0">
                  <c:v>2.9086635339892641</c:v>
                </c:pt>
                <c:pt idx="1">
                  <c:v>-2.6636512382256838</c:v>
                </c:pt>
                <c:pt idx="2">
                  <c:v>5.8589956669468313</c:v>
                </c:pt>
                <c:pt idx="3">
                  <c:v>4.7323878639781825</c:v>
                </c:pt>
                <c:pt idx="4">
                  <c:v>2.9210421816426857</c:v>
                </c:pt>
                <c:pt idx="5">
                  <c:v>1.7229316236318404</c:v>
                </c:pt>
                <c:pt idx="6">
                  <c:v>7.1074686130963016</c:v>
                </c:pt>
                <c:pt idx="7">
                  <c:v>6.3154238465578771</c:v>
                </c:pt>
                <c:pt idx="8">
                  <c:v>3.6347959959392107</c:v>
                </c:pt>
                <c:pt idx="9">
                  <c:v>-1.2390237901179546</c:v>
                </c:pt>
                <c:pt idx="10">
                  <c:v>-0.10261393026924637</c:v>
                </c:pt>
                <c:pt idx="11">
                  <c:v>3.3738391468216333</c:v>
                </c:pt>
                <c:pt idx="12">
                  <c:v>3.509052335724272</c:v>
                </c:pt>
                <c:pt idx="13">
                  <c:v>4.6051471948560074</c:v>
                </c:pt>
                <c:pt idx="14">
                  <c:v>4.6185404493067628</c:v>
                </c:pt>
                <c:pt idx="15">
                  <c:v>4.5239328105594723</c:v>
                </c:pt>
                <c:pt idx="16">
                  <c:v>4.4147293485389705</c:v>
                </c:pt>
                <c:pt idx="17">
                  <c:v>3.9804805702151835</c:v>
                </c:pt>
                <c:pt idx="18">
                  <c:v>4.6372180914142191</c:v>
                </c:pt>
                <c:pt idx="19">
                  <c:v>2.2573315352701684</c:v>
                </c:pt>
                <c:pt idx="20">
                  <c:v>4.2435497167312652</c:v>
                </c:pt>
                <c:pt idx="21">
                  <c:v>3.4514016981485263</c:v>
                </c:pt>
                <c:pt idx="22">
                  <c:v>5.5625583234560461</c:v>
                </c:pt>
                <c:pt idx="23">
                  <c:v>4.8711600554282919</c:v>
                </c:pt>
                <c:pt idx="24">
                  <c:v>5.0437815184694035</c:v>
                </c:pt>
                <c:pt idx="25">
                  <c:v>5.270928597091018</c:v>
                </c:pt>
                <c:pt idx="26">
                  <c:v>4.9153388232382911</c:v>
                </c:pt>
                <c:pt idx="27">
                  <c:v>3.1912241336325087</c:v>
                </c:pt>
                <c:pt idx="28">
                  <c:v>1.1366137821803513</c:v>
                </c:pt>
                <c:pt idx="29">
                  <c:v>6.4677492256962621</c:v>
                </c:pt>
              </c:numCache>
            </c:numRef>
          </c:val>
          <c:smooth val="0"/>
        </c:ser>
        <c:ser>
          <c:idx val="2"/>
          <c:order val="1"/>
          <c:tx>
            <c:strRef>
              <c:f>Sheet1!$N$28</c:f>
              <c:strCache>
                <c:ptCount val="1"/>
                <c:pt idx="0">
                  <c:v>Annual average real gross domestic income</c:v>
                </c:pt>
              </c:strCache>
            </c:strRef>
          </c:tx>
          <c:spPr>
            <a:ln w="25400">
              <a:solidFill>
                <a:schemeClr val="tx1"/>
              </a:solidFill>
              <a:prstDash val="dash"/>
            </a:ln>
          </c:spPr>
          <c:marker>
            <c:symbol val="none"/>
          </c:marker>
          <c:val>
            <c:numRef>
              <c:f>Sheet1!$O$30:$O$59</c:f>
              <c:numCache>
                <c:formatCode>General</c:formatCode>
                <c:ptCount val="30"/>
                <c:pt idx="10" formatCode="0.0">
                  <c:v>3.6</c:v>
                </c:pt>
                <c:pt idx="11" formatCode="0.0">
                  <c:v>3.6</c:v>
                </c:pt>
                <c:pt idx="12" formatCode="0.0">
                  <c:v>3.6</c:v>
                </c:pt>
                <c:pt idx="13" formatCode="0.0">
                  <c:v>3.6</c:v>
                </c:pt>
                <c:pt idx="14" formatCode="0.0">
                  <c:v>3.6</c:v>
                </c:pt>
                <c:pt idx="15" formatCode="0.0">
                  <c:v>3.6</c:v>
                </c:pt>
                <c:pt idx="16" formatCode="0.0">
                  <c:v>3.6</c:v>
                </c:pt>
                <c:pt idx="17" formatCode="0.0">
                  <c:v>3.6</c:v>
                </c:pt>
                <c:pt idx="18" formatCode="0.0">
                  <c:v>3.6</c:v>
                </c:pt>
                <c:pt idx="19" formatCode="0.0">
                  <c:v>3.6</c:v>
                </c:pt>
              </c:numCache>
            </c:numRef>
          </c:val>
          <c:smooth val="0"/>
        </c:ser>
        <c:ser>
          <c:idx val="3"/>
          <c:order val="2"/>
          <c:tx>
            <c:strRef>
              <c:f>Sheet1!$N$28</c:f>
              <c:strCache>
                <c:ptCount val="1"/>
                <c:pt idx="0">
                  <c:v>Annual average real gross domestic income</c:v>
                </c:pt>
              </c:strCache>
            </c:strRef>
          </c:tx>
          <c:spPr>
            <a:ln w="25400">
              <a:solidFill>
                <a:schemeClr val="tx1"/>
              </a:solidFill>
              <a:prstDash val="dash"/>
            </a:ln>
          </c:spPr>
          <c:marker>
            <c:symbol val="none"/>
          </c:marker>
          <c:val>
            <c:numRef>
              <c:f>Sheet1!$P$30:$P$59</c:f>
              <c:numCache>
                <c:formatCode>General</c:formatCode>
                <c:ptCount val="30"/>
                <c:pt idx="20" formatCode="0.0">
                  <c:v>4.4154305874071955</c:v>
                </c:pt>
                <c:pt idx="21" formatCode="0.0">
                  <c:v>4.4154305874071955</c:v>
                </c:pt>
                <c:pt idx="22" formatCode="0.0">
                  <c:v>4.4154305874071955</c:v>
                </c:pt>
                <c:pt idx="23" formatCode="0.0">
                  <c:v>4.4154305874071955</c:v>
                </c:pt>
                <c:pt idx="24" formatCode="0.0">
                  <c:v>4.4154305874071955</c:v>
                </c:pt>
                <c:pt idx="25" formatCode="0.0">
                  <c:v>4.4154305874071955</c:v>
                </c:pt>
                <c:pt idx="26" formatCode="0.0">
                  <c:v>4.4154305874071955</c:v>
                </c:pt>
                <c:pt idx="27" formatCode="0.0">
                  <c:v>4.4154305874071955</c:v>
                </c:pt>
                <c:pt idx="28" formatCode="0.0">
                  <c:v>4.4154305874071955</c:v>
                </c:pt>
                <c:pt idx="29" formatCode="0.0">
                  <c:v>4.4154305874071955</c:v>
                </c:pt>
              </c:numCache>
            </c:numRef>
          </c:val>
          <c:smooth val="0"/>
        </c:ser>
        <c:ser>
          <c:idx val="1"/>
          <c:order val="3"/>
          <c:tx>
            <c:v>Annual average </c:v>
          </c:tx>
          <c:spPr>
            <a:ln w="25400">
              <a:solidFill>
                <a:schemeClr val="tx1"/>
              </a:solidFill>
              <a:prstDash val="dash"/>
            </a:ln>
          </c:spPr>
          <c:marker>
            <c:symbol val="none"/>
          </c:marker>
          <c:val>
            <c:numRef>
              <c:f>Sheet1!$N$30:$N$59</c:f>
              <c:numCache>
                <c:formatCode>General</c:formatCode>
                <c:ptCount val="30"/>
                <c:pt idx="0">
                  <c:v>3.1</c:v>
                </c:pt>
                <c:pt idx="1">
                  <c:v>3.1</c:v>
                </c:pt>
                <c:pt idx="2">
                  <c:v>3.1</c:v>
                </c:pt>
                <c:pt idx="3">
                  <c:v>3.1</c:v>
                </c:pt>
                <c:pt idx="4">
                  <c:v>3.1</c:v>
                </c:pt>
                <c:pt idx="5">
                  <c:v>3.1</c:v>
                </c:pt>
                <c:pt idx="6">
                  <c:v>3.1</c:v>
                </c:pt>
                <c:pt idx="7">
                  <c:v>3.1</c:v>
                </c:pt>
                <c:pt idx="8">
                  <c:v>3.1</c:v>
                </c:pt>
                <c:pt idx="9">
                  <c:v>3.1</c:v>
                </c:pt>
              </c:numCache>
            </c:numRef>
          </c:val>
          <c:smooth val="0"/>
        </c:ser>
        <c:dLbls>
          <c:showLegendKey val="0"/>
          <c:showVal val="0"/>
          <c:showCatName val="0"/>
          <c:showSerName val="0"/>
          <c:showPercent val="0"/>
          <c:showBubbleSize val="0"/>
        </c:dLbls>
        <c:marker val="1"/>
        <c:smooth val="0"/>
        <c:axId val="144663296"/>
        <c:axId val="149046016"/>
      </c:lineChart>
      <c:catAx>
        <c:axId val="144663296"/>
        <c:scaling>
          <c:orientation val="minMax"/>
        </c:scaling>
        <c:delete val="0"/>
        <c:axPos val="b"/>
        <c:numFmt formatCode="General" sourceLinked="1"/>
        <c:majorTickMark val="out"/>
        <c:minorTickMark val="none"/>
        <c:tickLblPos val="nextTo"/>
        <c:txPr>
          <a:bodyPr rot="-2580000"/>
          <a:lstStyle/>
          <a:p>
            <a:pPr>
              <a:defRPr/>
            </a:pPr>
            <a:endParaRPr lang="en-US"/>
          </a:p>
        </c:txPr>
        <c:crossAx val="149046016"/>
        <c:crossesAt val="-4"/>
        <c:auto val="1"/>
        <c:lblAlgn val="ctr"/>
        <c:lblOffset val="100"/>
        <c:noMultiLvlLbl val="0"/>
      </c:catAx>
      <c:valAx>
        <c:axId val="149046016"/>
        <c:scaling>
          <c:orientation val="minMax"/>
        </c:scaling>
        <c:delete val="0"/>
        <c:axPos val="l"/>
        <c:majorGridlines/>
        <c:title>
          <c:tx>
            <c:rich>
              <a:bodyPr rot="-5400000" vert="horz"/>
              <a:lstStyle/>
              <a:p>
                <a:pPr>
                  <a:defRPr/>
                </a:pPr>
                <a:r>
                  <a:rPr lang="en-US"/>
                  <a:t>Per cent per annum</a:t>
                </a:r>
              </a:p>
            </c:rich>
          </c:tx>
          <c:layout/>
          <c:overlay val="0"/>
        </c:title>
        <c:numFmt formatCode="0" sourceLinked="0"/>
        <c:majorTickMark val="out"/>
        <c:minorTickMark val="none"/>
        <c:tickLblPos val="nextTo"/>
        <c:crossAx val="144663296"/>
        <c:crosses val="autoZero"/>
        <c:crossBetween val="between"/>
      </c:valAx>
      <c:spPr>
        <a:ln>
          <a:solidFill>
            <a:schemeClr val="tx1"/>
          </a:solidFill>
        </a:ln>
      </c:spPr>
    </c:plotArea>
    <c:legend>
      <c:legendPos val="r"/>
      <c:legendEntry>
        <c:idx val="1"/>
        <c:delete val="1"/>
      </c:legendEntry>
      <c:legendEntry>
        <c:idx val="3"/>
        <c:delete val="1"/>
      </c:legendEntry>
      <c:layout>
        <c:manualLayout>
          <c:xMode val="edge"/>
          <c:yMode val="edge"/>
          <c:x val="0.42039869712940076"/>
          <c:y val="0.62384842519685035"/>
          <c:w val="0.50327252456274829"/>
          <c:h val="0.18672061825605135"/>
        </c:manualLayout>
      </c:layout>
      <c:overlay val="1"/>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9805088796890083E-2"/>
          <c:y val="5.0925925925925923E-2"/>
          <c:w val="0.8559735187740708"/>
          <c:h val="0.86488990959463397"/>
        </c:manualLayout>
      </c:layout>
      <c:pieChart>
        <c:varyColors val="1"/>
        <c:ser>
          <c:idx val="0"/>
          <c:order val="0"/>
          <c:explosion val="25"/>
          <c:dPt>
            <c:idx val="0"/>
            <c:bubble3D val="0"/>
            <c:explosion val="19"/>
            <c:spPr>
              <a:solidFill>
                <a:schemeClr val="bg1">
                  <a:lumMod val="50000"/>
                </a:schemeClr>
              </a:solidFill>
            </c:spPr>
          </c:dPt>
          <c:dPt>
            <c:idx val="1"/>
            <c:bubble3D val="0"/>
            <c:explosion val="18"/>
            <c:spPr>
              <a:noFill/>
              <a:ln>
                <a:solidFill>
                  <a:schemeClr val="tx1"/>
                </a:solidFill>
              </a:ln>
            </c:spPr>
          </c:dPt>
          <c:dPt>
            <c:idx val="2"/>
            <c:bubble3D val="0"/>
            <c:explosion val="0"/>
            <c:spPr>
              <a:solidFill>
                <a:schemeClr val="bg1">
                  <a:lumMod val="85000"/>
                </a:schemeClr>
              </a:solidFill>
            </c:spPr>
          </c:dPt>
          <c:dPt>
            <c:idx val="3"/>
            <c:bubble3D val="0"/>
            <c:explosion val="0"/>
            <c:spPr>
              <a:solidFill>
                <a:schemeClr val="tx1">
                  <a:lumMod val="85000"/>
                  <a:lumOff val="15000"/>
                </a:schemeClr>
              </a:solidFill>
            </c:spPr>
          </c:dPt>
          <c:dLbls>
            <c:dLbl>
              <c:idx val="1"/>
              <c:numFmt formatCode="#,##0" sourceLinked="0"/>
              <c:spPr/>
              <c:txPr>
                <a:bodyPr/>
                <a:lstStyle/>
                <a:p>
                  <a:pPr>
                    <a:defRPr>
                      <a:solidFill>
                        <a:sysClr val="windowText" lastClr="000000"/>
                      </a:solidFill>
                    </a:defRPr>
                  </a:pPr>
                  <a:endParaRPr lang="en-US"/>
                </a:p>
              </c:txPr>
              <c:dLblPos val="ctr"/>
              <c:showLegendKey val="0"/>
              <c:showVal val="1"/>
              <c:showCatName val="0"/>
              <c:showSerName val="0"/>
              <c:showPercent val="0"/>
              <c:showBubbleSize val="0"/>
            </c:dLbl>
            <c:dLbl>
              <c:idx val="2"/>
              <c:numFmt formatCode="#,##0" sourceLinked="0"/>
              <c:spPr/>
              <c:txPr>
                <a:bodyPr/>
                <a:lstStyle/>
                <a:p>
                  <a:pPr>
                    <a:defRPr>
                      <a:solidFill>
                        <a:sysClr val="windowText" lastClr="000000"/>
                      </a:solidFill>
                    </a:defRPr>
                  </a:pPr>
                  <a:endParaRPr lang="en-US"/>
                </a:p>
              </c:txPr>
              <c:dLblPos val="ctr"/>
              <c:showLegendKey val="0"/>
              <c:showVal val="1"/>
              <c:showCatName val="0"/>
              <c:showSerName val="0"/>
              <c:showPercent val="0"/>
              <c:showBubbleSize val="0"/>
            </c:dLbl>
            <c:numFmt formatCode="#,##0" sourceLinked="0"/>
            <c:txPr>
              <a:bodyPr/>
              <a:lstStyle/>
              <a:p>
                <a:pPr>
                  <a:defRPr>
                    <a:solidFill>
                      <a:schemeClr val="bg1"/>
                    </a:solidFill>
                  </a:defRPr>
                </a:pPr>
                <a:endParaRPr lang="en-US"/>
              </a:p>
            </c:txPr>
            <c:dLblPos val="ctr"/>
            <c:showLegendKey val="0"/>
            <c:showVal val="1"/>
            <c:showCatName val="0"/>
            <c:showSerName val="0"/>
            <c:showPercent val="0"/>
            <c:showBubbleSize val="0"/>
            <c:showLeaderLines val="1"/>
          </c:dLbls>
          <c:cat>
            <c:strRef>
              <c:f>'Pres slide figs'!$G$78:$G$81</c:f>
              <c:strCache>
                <c:ptCount val="4"/>
                <c:pt idx="0">
                  <c:v>Part-time female</c:v>
                </c:pt>
                <c:pt idx="1">
                  <c:v>Part-time male</c:v>
                </c:pt>
                <c:pt idx="2">
                  <c:v>Full-time female</c:v>
                </c:pt>
                <c:pt idx="3">
                  <c:v>Full-time male</c:v>
                </c:pt>
              </c:strCache>
            </c:strRef>
          </c:cat>
          <c:val>
            <c:numRef>
              <c:f>'Pres slide figs'!$L$78:$L$81</c:f>
              <c:numCache>
                <c:formatCode>0.0</c:formatCode>
                <c:ptCount val="4"/>
                <c:pt idx="0">
                  <c:v>25.078004919900764</c:v>
                </c:pt>
                <c:pt idx="1">
                  <c:v>13.037027045255279</c:v>
                </c:pt>
                <c:pt idx="2">
                  <c:v>24.575010737878642</c:v>
                </c:pt>
                <c:pt idx="3">
                  <c:v>37.309957296965408</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2.8278990899333459E-2"/>
          <c:y val="0.86515509424958248"/>
          <c:w val="0.9717210091006665"/>
          <c:h val="0.13484470691163605"/>
        </c:manualLayout>
      </c:layou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1353580802399749E-4"/>
          <c:y val="0.158017577348286"/>
          <c:w val="0.79341566893179449"/>
          <c:h val="0.84246318301121448"/>
        </c:manualLayout>
      </c:layout>
      <c:pieChart>
        <c:varyColors val="1"/>
        <c:ser>
          <c:idx val="0"/>
          <c:order val="0"/>
          <c:spPr>
            <a:solidFill>
              <a:srgbClr val="666699"/>
            </a:solidFill>
            <a:ln w="25400">
              <a:noFill/>
            </a:ln>
          </c:spPr>
          <c:explosion val="25"/>
          <c:dPt>
            <c:idx val="0"/>
            <c:bubble3D val="0"/>
            <c:explosion val="24"/>
            <c:spPr>
              <a:solidFill>
                <a:srgbClr val="808080"/>
              </a:solidFill>
              <a:ln w="25400">
                <a:noFill/>
              </a:ln>
            </c:spPr>
          </c:dPt>
          <c:dPt>
            <c:idx val="1"/>
            <c:bubble3D val="0"/>
            <c:explosion val="0"/>
            <c:spPr>
              <a:solidFill>
                <a:schemeClr val="tx1">
                  <a:lumMod val="85000"/>
                  <a:lumOff val="15000"/>
                </a:schemeClr>
              </a:solidFill>
              <a:ln w="25400">
                <a:noFill/>
              </a:ln>
            </c:spPr>
          </c:dPt>
          <c:dPt>
            <c:idx val="2"/>
            <c:bubble3D val="0"/>
            <c:explosion val="0"/>
            <c:spPr>
              <a:solidFill>
                <a:srgbClr val="C0C0C0"/>
              </a:solidFill>
              <a:ln w="25400">
                <a:noFill/>
              </a:ln>
            </c:spPr>
          </c:dPt>
          <c:dLbls>
            <c:dLbl>
              <c:idx val="0"/>
              <c:spPr/>
              <c:txPr>
                <a:bodyPr/>
                <a:lstStyle/>
                <a:p>
                  <a:pPr>
                    <a:defRPr>
                      <a:solidFill>
                        <a:schemeClr val="bg1"/>
                      </a:solidFill>
                    </a:defRPr>
                  </a:pPr>
                  <a:endParaRPr lang="en-US"/>
                </a:p>
              </c:txPr>
              <c:dLblPos val="ctr"/>
              <c:showLegendKey val="0"/>
              <c:showVal val="1"/>
              <c:showCatName val="0"/>
              <c:showSerName val="0"/>
              <c:showPercent val="0"/>
              <c:showBubbleSize val="0"/>
            </c:dLbl>
            <c:dLbl>
              <c:idx val="1"/>
              <c:spPr/>
              <c:txPr>
                <a:bodyPr/>
                <a:lstStyle/>
                <a:p>
                  <a:pPr>
                    <a:defRPr>
                      <a:solidFill>
                        <a:schemeClr val="bg1"/>
                      </a:solidFill>
                    </a:defRPr>
                  </a:pPr>
                  <a:endParaRPr lang="en-US"/>
                </a:p>
              </c:txPr>
              <c:dLblPos val="ctr"/>
              <c:showLegendKey val="0"/>
              <c:showVal val="1"/>
              <c:showCatName val="0"/>
              <c:showSerName val="0"/>
              <c:showPercent val="0"/>
              <c:showBubbleSize val="0"/>
            </c:dLbl>
            <c:dLblPos val="ctr"/>
            <c:showLegendKey val="0"/>
            <c:showVal val="1"/>
            <c:showCatName val="0"/>
            <c:showSerName val="0"/>
            <c:showPercent val="0"/>
            <c:showBubbleSize val="0"/>
            <c:showLeaderLines val="0"/>
          </c:dLbls>
          <c:cat>
            <c:strRef>
              <c:f>'Pres figs'!$N$60:$N$62</c:f>
              <c:strCache>
                <c:ptCount val="3"/>
                <c:pt idx="0">
                  <c:v>50 to 69</c:v>
                </c:pt>
                <c:pt idx="1">
                  <c:v>25 to 49</c:v>
                </c:pt>
                <c:pt idx="2">
                  <c:v>15 to 24</c:v>
                </c:pt>
              </c:strCache>
            </c:strRef>
          </c:cat>
          <c:val>
            <c:numRef>
              <c:f>'Pres figs'!$P$60:$P$62</c:f>
              <c:numCache>
                <c:formatCode>0</c:formatCode>
                <c:ptCount val="3"/>
                <c:pt idx="0">
                  <c:v>21.379279934739952</c:v>
                </c:pt>
                <c:pt idx="1">
                  <c:v>60.918932028132375</c:v>
                </c:pt>
                <c:pt idx="2">
                  <c:v>17.701788037127677</c:v>
                </c:pt>
              </c:numCache>
            </c:numRef>
          </c:val>
        </c:ser>
        <c:dLbls>
          <c:showLegendKey val="0"/>
          <c:showVal val="0"/>
          <c:showCatName val="0"/>
          <c:showSerName val="0"/>
          <c:showPercent val="0"/>
          <c:showBubbleSize val="0"/>
          <c:showLeaderLines val="0"/>
        </c:dLbls>
        <c:firstSliceAng val="0"/>
      </c:pieChart>
      <c:spPr>
        <a:noFill/>
        <a:ln w="25400">
          <a:noFill/>
        </a:ln>
      </c:spPr>
    </c:plotArea>
    <c:legend>
      <c:legendPos val="r"/>
      <c:layout>
        <c:manualLayout>
          <c:xMode val="edge"/>
          <c:yMode val="edge"/>
          <c:x val="0.70058174235069937"/>
          <c:y val="0.76209591982820324"/>
          <c:w val="0.29429942832488409"/>
          <c:h val="0.23558062514912909"/>
        </c:manualLayout>
      </c:layout>
      <c:overlay val="0"/>
      <c:spPr>
        <a:noFill/>
        <a:ln w="25400">
          <a:noFill/>
        </a:ln>
      </c:spPr>
    </c:legend>
    <c:plotVisOnly val="1"/>
    <c:dispBlanksAs val="zero"/>
    <c:showDLblsOverMax val="0"/>
  </c:chart>
  <c:spPr>
    <a:solidFill>
      <a:srgbClr val="FFFFFF"/>
    </a:solidFill>
    <a:ln w="12700">
      <a:noFill/>
      <a:prstDash val="solid"/>
    </a:ln>
  </c:spPr>
  <c:txPr>
    <a:bodyPr/>
    <a:lstStyle/>
    <a:p>
      <a:pPr>
        <a:defRPr sz="10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userShapes r:id="rId2"/>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2.2017877135987371E-3"/>
          <c:y val="0.13668489620615604"/>
          <c:w val="0.82215296514509117"/>
          <c:h val="0.85503908375089477"/>
        </c:manualLayout>
      </c:layout>
      <c:pieChart>
        <c:varyColors val="1"/>
        <c:ser>
          <c:idx val="0"/>
          <c:order val="0"/>
          <c:spPr>
            <a:solidFill>
              <a:srgbClr val="666699"/>
            </a:solidFill>
            <a:ln w="25400">
              <a:noFill/>
            </a:ln>
          </c:spPr>
          <c:explosion val="25"/>
          <c:dPt>
            <c:idx val="0"/>
            <c:bubble3D val="0"/>
            <c:explosion val="15"/>
            <c:spPr>
              <a:solidFill>
                <a:srgbClr val="808080"/>
              </a:solidFill>
              <a:ln w="25400">
                <a:noFill/>
              </a:ln>
            </c:spPr>
          </c:dPt>
          <c:dPt>
            <c:idx val="1"/>
            <c:bubble3D val="0"/>
            <c:explosion val="0"/>
            <c:spPr>
              <a:solidFill>
                <a:schemeClr val="tx1">
                  <a:lumMod val="85000"/>
                  <a:lumOff val="15000"/>
                </a:schemeClr>
              </a:solidFill>
              <a:ln w="25400">
                <a:noFill/>
              </a:ln>
            </c:spPr>
          </c:dPt>
          <c:dPt>
            <c:idx val="2"/>
            <c:bubble3D val="0"/>
            <c:explosion val="0"/>
            <c:spPr>
              <a:solidFill>
                <a:srgbClr val="C0C0C0"/>
              </a:solidFill>
              <a:ln w="25400">
                <a:noFill/>
              </a:ln>
            </c:spPr>
          </c:dPt>
          <c:dLbls>
            <c:dLbl>
              <c:idx val="0"/>
              <c:spPr/>
              <c:txPr>
                <a:bodyPr/>
                <a:lstStyle/>
                <a:p>
                  <a:pPr>
                    <a:defRPr>
                      <a:solidFill>
                        <a:schemeClr val="bg1"/>
                      </a:solidFill>
                    </a:defRPr>
                  </a:pPr>
                  <a:endParaRPr lang="en-US"/>
                </a:p>
              </c:txPr>
              <c:dLblPos val="ctr"/>
              <c:showLegendKey val="0"/>
              <c:showVal val="1"/>
              <c:showCatName val="0"/>
              <c:showSerName val="0"/>
              <c:showPercent val="0"/>
              <c:showBubbleSize val="0"/>
            </c:dLbl>
            <c:dLbl>
              <c:idx val="1"/>
              <c:spPr/>
              <c:txPr>
                <a:bodyPr/>
                <a:lstStyle/>
                <a:p>
                  <a:pPr>
                    <a:defRPr>
                      <a:solidFill>
                        <a:schemeClr val="bg1"/>
                      </a:solidFill>
                    </a:defRPr>
                  </a:pPr>
                  <a:endParaRPr lang="en-US"/>
                </a:p>
              </c:txPr>
              <c:dLblPos val="ctr"/>
              <c:showLegendKey val="0"/>
              <c:showVal val="1"/>
              <c:showCatName val="0"/>
              <c:showSerName val="0"/>
              <c:showPercent val="0"/>
              <c:showBubbleSize val="0"/>
            </c:dLbl>
            <c:dLblPos val="ctr"/>
            <c:showLegendKey val="0"/>
            <c:showVal val="1"/>
            <c:showCatName val="0"/>
            <c:showSerName val="0"/>
            <c:showPercent val="0"/>
            <c:showBubbleSize val="0"/>
            <c:showLeaderLines val="0"/>
          </c:dLbls>
          <c:cat>
            <c:strRef>
              <c:f>'Pres figs'!$S$60:$S$62</c:f>
              <c:strCache>
                <c:ptCount val="3"/>
                <c:pt idx="0">
                  <c:v>50 to 69</c:v>
                </c:pt>
                <c:pt idx="1">
                  <c:v>25 to 49</c:v>
                </c:pt>
                <c:pt idx="2">
                  <c:v>15 to 24</c:v>
                </c:pt>
              </c:strCache>
            </c:strRef>
          </c:cat>
          <c:val>
            <c:numRef>
              <c:f>'Pres figs'!$U$60:$U$62</c:f>
              <c:numCache>
                <c:formatCode>0</c:formatCode>
                <c:ptCount val="3"/>
                <c:pt idx="0">
                  <c:v>48.88091122634399</c:v>
                </c:pt>
                <c:pt idx="1">
                  <c:v>39.445109249656497</c:v>
                </c:pt>
                <c:pt idx="2">
                  <c:v>11.673979523999467</c:v>
                </c:pt>
              </c:numCache>
            </c:numRef>
          </c:val>
        </c:ser>
        <c:dLbls>
          <c:showLegendKey val="0"/>
          <c:showVal val="0"/>
          <c:showCatName val="0"/>
          <c:showSerName val="0"/>
          <c:showPercent val="0"/>
          <c:showBubbleSize val="0"/>
          <c:showLeaderLines val="0"/>
        </c:dLbls>
        <c:firstSliceAng val="0"/>
      </c:pieChart>
      <c:spPr>
        <a:noFill/>
        <a:ln w="25400">
          <a:noFill/>
        </a:ln>
      </c:spPr>
    </c:plotArea>
    <c:legend>
      <c:legendPos val="r"/>
      <c:layout>
        <c:manualLayout>
          <c:xMode val="edge"/>
          <c:yMode val="edge"/>
          <c:x val="0.67752987170310008"/>
          <c:y val="0.77664137437365788"/>
          <c:w val="0.31717930363599656"/>
          <c:h val="0.21762634216177523"/>
        </c:manualLayout>
      </c:layout>
      <c:overlay val="0"/>
      <c:spPr>
        <a:noFill/>
        <a:ln w="25400">
          <a:noFill/>
        </a:ln>
      </c:spPr>
    </c:legend>
    <c:plotVisOnly val="1"/>
    <c:dispBlanksAs val="zero"/>
    <c:showDLblsOverMax val="0"/>
  </c:chart>
  <c:spPr>
    <a:solidFill>
      <a:srgbClr val="FFFFFF"/>
    </a:solidFill>
    <a:ln w="12700">
      <a:noFill/>
      <a:prstDash val="solid"/>
    </a:ln>
  </c:spPr>
  <c:txPr>
    <a:bodyPr/>
    <a:lstStyle/>
    <a:p>
      <a:pPr>
        <a:defRPr sz="10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userShapes r:id="rId2"/>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568285214348207"/>
          <c:y val="2.8252405949256341E-2"/>
          <c:w val="0.85591491688538945"/>
          <c:h val="0.82241105278506854"/>
        </c:manualLayout>
      </c:layout>
      <c:barChart>
        <c:barDir val="col"/>
        <c:grouping val="clustered"/>
        <c:varyColors val="0"/>
        <c:ser>
          <c:idx val="0"/>
          <c:order val="0"/>
          <c:tx>
            <c:strRef>
              <c:f>States!$K$8</c:f>
              <c:strCache>
                <c:ptCount val="1"/>
                <c:pt idx="0">
                  <c:v>Mining states</c:v>
                </c:pt>
              </c:strCache>
            </c:strRef>
          </c:tx>
          <c:spPr>
            <a:solidFill>
              <a:schemeClr val="bg1">
                <a:lumMod val="65000"/>
              </a:schemeClr>
            </a:solidFill>
          </c:spPr>
          <c:invertIfNegative val="0"/>
          <c:cat>
            <c:strRef>
              <c:f>States!$L$5:$O$5</c:f>
              <c:strCache>
                <c:ptCount val="4"/>
                <c:pt idx="0">
                  <c:v>Permanent employees</c:v>
                </c:pt>
                <c:pt idx="1">
                  <c:v>Casual employees</c:v>
                </c:pt>
                <c:pt idx="2">
                  <c:v>OMIEs</c:v>
                </c:pt>
                <c:pt idx="3">
                  <c:v>OMUEs</c:v>
                </c:pt>
              </c:strCache>
            </c:strRef>
          </c:cat>
          <c:val>
            <c:numRef>
              <c:f>States!$L$8:$O$8</c:f>
              <c:numCache>
                <c:formatCode>0.0</c:formatCode>
                <c:ptCount val="4"/>
                <c:pt idx="0">
                  <c:v>221.4335402993357</c:v>
                </c:pt>
                <c:pt idx="1">
                  <c:v>-57.468464701284013</c:v>
                </c:pt>
                <c:pt idx="2">
                  <c:v>7.5438625640970907</c:v>
                </c:pt>
                <c:pt idx="3">
                  <c:v>-171.50893816214898</c:v>
                </c:pt>
              </c:numCache>
            </c:numRef>
          </c:val>
        </c:ser>
        <c:ser>
          <c:idx val="1"/>
          <c:order val="1"/>
          <c:tx>
            <c:strRef>
              <c:f>States!$K$9</c:f>
              <c:strCache>
                <c:ptCount val="1"/>
                <c:pt idx="0">
                  <c:v>Non-mining states</c:v>
                </c:pt>
              </c:strCache>
            </c:strRef>
          </c:tx>
          <c:spPr>
            <a:solidFill>
              <a:schemeClr val="tx1">
                <a:lumMod val="85000"/>
                <a:lumOff val="15000"/>
              </a:schemeClr>
            </a:solidFill>
          </c:spPr>
          <c:invertIfNegative val="0"/>
          <c:cat>
            <c:strRef>
              <c:f>States!$L$5:$O$5</c:f>
              <c:strCache>
                <c:ptCount val="4"/>
                <c:pt idx="0">
                  <c:v>Permanent employees</c:v>
                </c:pt>
                <c:pt idx="1">
                  <c:v>Casual employees</c:v>
                </c:pt>
                <c:pt idx="2">
                  <c:v>OMIEs</c:v>
                </c:pt>
                <c:pt idx="3">
                  <c:v>OMUEs</c:v>
                </c:pt>
              </c:strCache>
            </c:strRef>
          </c:cat>
          <c:val>
            <c:numRef>
              <c:f>States!$L$9:$O$9</c:f>
              <c:numCache>
                <c:formatCode>0.0</c:formatCode>
                <c:ptCount val="4"/>
                <c:pt idx="0">
                  <c:v>130.34789805488424</c:v>
                </c:pt>
                <c:pt idx="1">
                  <c:v>40.171297955230493</c:v>
                </c:pt>
                <c:pt idx="2">
                  <c:v>10.447235964389154</c:v>
                </c:pt>
                <c:pt idx="3">
                  <c:v>-180.96643197450479</c:v>
                </c:pt>
              </c:numCache>
            </c:numRef>
          </c:val>
        </c:ser>
        <c:dLbls>
          <c:showLegendKey val="0"/>
          <c:showVal val="0"/>
          <c:showCatName val="0"/>
          <c:showSerName val="0"/>
          <c:showPercent val="0"/>
          <c:showBubbleSize val="0"/>
        </c:dLbls>
        <c:gapWidth val="150"/>
        <c:axId val="148865792"/>
        <c:axId val="148867328"/>
      </c:barChart>
      <c:catAx>
        <c:axId val="148865792"/>
        <c:scaling>
          <c:orientation val="minMax"/>
        </c:scaling>
        <c:delete val="0"/>
        <c:axPos val="b"/>
        <c:majorTickMark val="out"/>
        <c:minorTickMark val="none"/>
        <c:tickLblPos val="low"/>
        <c:crossAx val="148867328"/>
        <c:crossesAt val="0"/>
        <c:auto val="1"/>
        <c:lblAlgn val="ctr"/>
        <c:lblOffset val="100"/>
        <c:noMultiLvlLbl val="0"/>
      </c:catAx>
      <c:valAx>
        <c:axId val="148867328"/>
        <c:scaling>
          <c:orientation val="minMax"/>
          <c:min val="-200"/>
        </c:scaling>
        <c:delete val="0"/>
        <c:axPos val="l"/>
        <c:majorGridlines/>
        <c:title>
          <c:tx>
            <c:rich>
              <a:bodyPr rot="-5400000" vert="horz"/>
              <a:lstStyle/>
              <a:p>
                <a:pPr>
                  <a:defRPr/>
                </a:pPr>
                <a:r>
                  <a:rPr lang="en-US"/>
                  <a:t>Thousands</a:t>
                </a:r>
              </a:p>
            </c:rich>
          </c:tx>
          <c:layout/>
          <c:overlay val="0"/>
        </c:title>
        <c:numFmt formatCode="0" sourceLinked="0"/>
        <c:majorTickMark val="out"/>
        <c:minorTickMark val="none"/>
        <c:tickLblPos val="nextTo"/>
        <c:crossAx val="148865792"/>
        <c:crosses val="autoZero"/>
        <c:crossBetween val="between"/>
      </c:valAx>
      <c:spPr>
        <a:ln>
          <a:solidFill>
            <a:schemeClr val="tx1"/>
          </a:solidFill>
        </a:ln>
      </c:spPr>
    </c:plotArea>
    <c:legend>
      <c:legendPos val="r"/>
      <c:layout>
        <c:manualLayout>
          <c:xMode val="edge"/>
          <c:yMode val="edge"/>
          <c:x val="0.46896091933791872"/>
          <c:y val="9.9005387484459181E-2"/>
          <c:w val="0.42394403164393185"/>
          <c:h val="0.16743438320209975"/>
        </c:manualLayout>
      </c:layou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3085739282589675E-2"/>
          <c:y val="5.6030183727034111E-2"/>
          <c:w val="0.81208005249343829"/>
          <c:h val="0.79060586176727909"/>
        </c:manualLayout>
      </c:layout>
      <c:lineChart>
        <c:grouping val="standard"/>
        <c:varyColors val="0"/>
        <c:ser>
          <c:idx val="4"/>
          <c:order val="0"/>
          <c:tx>
            <c:strRef>
              <c:f>'UE, part'!$AD$5</c:f>
              <c:strCache>
                <c:ptCount val="1"/>
                <c:pt idx="0">
                  <c:v>Unemployment rate (LHS)</c:v>
                </c:pt>
              </c:strCache>
            </c:strRef>
          </c:tx>
          <c:spPr>
            <a:ln w="25400">
              <a:solidFill>
                <a:schemeClr val="tx1"/>
              </a:solidFill>
            </a:ln>
          </c:spPr>
          <c:marker>
            <c:symbol val="none"/>
          </c:marker>
          <c:cat>
            <c:numRef>
              <c:f>'UE, part'!$AA$8:$AA$38</c:f>
              <c:numCache>
                <c:formatCode>General</c:formatCode>
                <c:ptCount val="31"/>
                <c:pt idx="0">
                  <c:v>1981</c:v>
                </c:pt>
                <c:pt idx="1">
                  <c:v>1982</c:v>
                </c:pt>
                <c:pt idx="2">
                  <c:v>1983</c:v>
                </c:pt>
                <c:pt idx="3">
                  <c:v>1984</c:v>
                </c:pt>
                <c:pt idx="4">
                  <c:v>1985</c:v>
                </c:pt>
                <c:pt idx="5">
                  <c:v>1986</c:v>
                </c:pt>
                <c:pt idx="6">
                  <c:v>1987</c:v>
                </c:pt>
                <c:pt idx="7">
                  <c:v>1988</c:v>
                </c:pt>
                <c:pt idx="8">
                  <c:v>1989</c:v>
                </c:pt>
                <c:pt idx="9">
                  <c:v>1990</c:v>
                </c:pt>
                <c:pt idx="10">
                  <c:v>1991</c:v>
                </c:pt>
                <c:pt idx="11">
                  <c:v>1992</c:v>
                </c:pt>
                <c:pt idx="12">
                  <c:v>1993</c:v>
                </c:pt>
                <c:pt idx="13">
                  <c:v>1994</c:v>
                </c:pt>
                <c:pt idx="14">
                  <c:v>1995</c:v>
                </c:pt>
                <c:pt idx="15">
                  <c:v>1996</c:v>
                </c:pt>
                <c:pt idx="16">
                  <c:v>1997</c:v>
                </c:pt>
                <c:pt idx="17">
                  <c:v>1998</c:v>
                </c:pt>
                <c:pt idx="18">
                  <c:v>1999</c:v>
                </c:pt>
                <c:pt idx="19">
                  <c:v>2000</c:v>
                </c:pt>
                <c:pt idx="20">
                  <c:v>2001</c:v>
                </c:pt>
                <c:pt idx="21">
                  <c:v>2002</c:v>
                </c:pt>
                <c:pt idx="22">
                  <c:v>2003</c:v>
                </c:pt>
                <c:pt idx="23">
                  <c:v>2004</c:v>
                </c:pt>
                <c:pt idx="24">
                  <c:v>2005</c:v>
                </c:pt>
                <c:pt idx="25">
                  <c:v>2006</c:v>
                </c:pt>
                <c:pt idx="26">
                  <c:v>2007</c:v>
                </c:pt>
                <c:pt idx="27">
                  <c:v>2008</c:v>
                </c:pt>
                <c:pt idx="28">
                  <c:v>2009</c:v>
                </c:pt>
                <c:pt idx="29">
                  <c:v>2010</c:v>
                </c:pt>
                <c:pt idx="30">
                  <c:v>2011</c:v>
                </c:pt>
              </c:numCache>
            </c:numRef>
          </c:cat>
          <c:val>
            <c:numRef>
              <c:f>'UE, part'!$AD$8:$AD$38</c:f>
              <c:numCache>
                <c:formatCode>0.0</c:formatCode>
                <c:ptCount val="31"/>
                <c:pt idx="0">
                  <c:v>5.5</c:v>
                </c:pt>
                <c:pt idx="1">
                  <c:v>8</c:v>
                </c:pt>
                <c:pt idx="2">
                  <c:v>8.9</c:v>
                </c:pt>
                <c:pt idx="3">
                  <c:v>8</c:v>
                </c:pt>
                <c:pt idx="4">
                  <c:v>7.3</c:v>
                </c:pt>
                <c:pt idx="5">
                  <c:v>7.7</c:v>
                </c:pt>
                <c:pt idx="6">
                  <c:v>7.3</c:v>
                </c:pt>
                <c:pt idx="7">
                  <c:v>6.1</c:v>
                </c:pt>
                <c:pt idx="8">
                  <c:v>5.4</c:v>
                </c:pt>
                <c:pt idx="9">
                  <c:v>7.4</c:v>
                </c:pt>
                <c:pt idx="10">
                  <c:v>9.6</c:v>
                </c:pt>
                <c:pt idx="11">
                  <c:v>10.4</c:v>
                </c:pt>
                <c:pt idx="12">
                  <c:v>10.3</c:v>
                </c:pt>
                <c:pt idx="13">
                  <c:v>8.6999999999999993</c:v>
                </c:pt>
                <c:pt idx="14">
                  <c:v>8.1</c:v>
                </c:pt>
                <c:pt idx="15">
                  <c:v>8</c:v>
                </c:pt>
                <c:pt idx="16">
                  <c:v>7.7</c:v>
                </c:pt>
                <c:pt idx="17">
                  <c:v>7.4</c:v>
                </c:pt>
                <c:pt idx="18">
                  <c:v>6.1</c:v>
                </c:pt>
                <c:pt idx="19">
                  <c:v>5.9</c:v>
                </c:pt>
                <c:pt idx="20">
                  <c:v>6.5</c:v>
                </c:pt>
                <c:pt idx="21">
                  <c:v>5.8</c:v>
                </c:pt>
                <c:pt idx="22">
                  <c:v>5.3</c:v>
                </c:pt>
                <c:pt idx="23">
                  <c:v>4.8</c:v>
                </c:pt>
                <c:pt idx="24">
                  <c:v>4.5999999999999996</c:v>
                </c:pt>
                <c:pt idx="25">
                  <c:v>4.2</c:v>
                </c:pt>
                <c:pt idx="26">
                  <c:v>4.0999999999999996</c:v>
                </c:pt>
                <c:pt idx="27">
                  <c:v>4.2</c:v>
                </c:pt>
                <c:pt idx="28">
                  <c:v>5.2</c:v>
                </c:pt>
                <c:pt idx="29">
                  <c:v>4.8</c:v>
                </c:pt>
                <c:pt idx="30">
                  <c:v>4.9000000000000004</c:v>
                </c:pt>
              </c:numCache>
            </c:numRef>
          </c:val>
          <c:smooth val="0"/>
        </c:ser>
        <c:dLbls>
          <c:showLegendKey val="0"/>
          <c:showVal val="0"/>
          <c:showCatName val="0"/>
          <c:showSerName val="0"/>
          <c:showPercent val="0"/>
          <c:showBubbleSize val="0"/>
        </c:dLbls>
        <c:marker val="1"/>
        <c:smooth val="0"/>
        <c:axId val="125576320"/>
        <c:axId val="125577856"/>
      </c:lineChart>
      <c:lineChart>
        <c:grouping val="standard"/>
        <c:varyColors val="0"/>
        <c:ser>
          <c:idx val="1"/>
          <c:order val="1"/>
          <c:tx>
            <c:strRef>
              <c:f>'UE, part'!$AG$5</c:f>
              <c:strCache>
                <c:ptCount val="1"/>
                <c:pt idx="0">
                  <c:v>Average annual employment growth 1981–01 (RHS)</c:v>
                </c:pt>
              </c:strCache>
            </c:strRef>
          </c:tx>
          <c:spPr>
            <a:ln w="25400">
              <a:solidFill>
                <a:schemeClr val="tx1"/>
              </a:solidFill>
              <a:prstDash val="dashDot"/>
            </a:ln>
          </c:spPr>
          <c:marker>
            <c:symbol val="none"/>
          </c:marker>
          <c:val>
            <c:numRef>
              <c:f>'UE, part'!$AG$8:$AG$38</c:f>
              <c:numCache>
                <c:formatCode>0.0</c:formatCode>
                <c:ptCount val="31"/>
                <c:pt idx="0">
                  <c:v>1.7837850230227645</c:v>
                </c:pt>
                <c:pt idx="1">
                  <c:v>1.7837850230227645</c:v>
                </c:pt>
                <c:pt idx="2">
                  <c:v>1.7837850230227645</c:v>
                </c:pt>
                <c:pt idx="3">
                  <c:v>1.7837850230227645</c:v>
                </c:pt>
                <c:pt idx="4">
                  <c:v>1.7837850230227645</c:v>
                </c:pt>
                <c:pt idx="5">
                  <c:v>1.7837850230227645</c:v>
                </c:pt>
                <c:pt idx="6">
                  <c:v>1.7837850230227645</c:v>
                </c:pt>
                <c:pt idx="7">
                  <c:v>1.7837850230227645</c:v>
                </c:pt>
                <c:pt idx="8">
                  <c:v>1.7837850230227645</c:v>
                </c:pt>
                <c:pt idx="9">
                  <c:v>1.7837850230227645</c:v>
                </c:pt>
                <c:pt idx="10">
                  <c:v>1.7837850230227645</c:v>
                </c:pt>
                <c:pt idx="11">
                  <c:v>1.7837850230227645</c:v>
                </c:pt>
                <c:pt idx="12">
                  <c:v>1.7837850230227645</c:v>
                </c:pt>
                <c:pt idx="13">
                  <c:v>1.7837850230227645</c:v>
                </c:pt>
                <c:pt idx="14">
                  <c:v>1.7837850230227645</c:v>
                </c:pt>
                <c:pt idx="15">
                  <c:v>1.7837850230227645</c:v>
                </c:pt>
                <c:pt idx="16">
                  <c:v>1.7837850230227645</c:v>
                </c:pt>
                <c:pt idx="17">
                  <c:v>1.7837850230227645</c:v>
                </c:pt>
                <c:pt idx="18">
                  <c:v>1.7837850230227645</c:v>
                </c:pt>
                <c:pt idx="19">
                  <c:v>1.7837850230227645</c:v>
                </c:pt>
                <c:pt idx="20">
                  <c:v>1.7837850230227645</c:v>
                </c:pt>
              </c:numCache>
            </c:numRef>
          </c:val>
          <c:smooth val="0"/>
        </c:ser>
        <c:ser>
          <c:idx val="0"/>
          <c:order val="2"/>
          <c:tx>
            <c:strRef>
              <c:f>'UE, part'!$AM$5</c:f>
              <c:strCache>
                <c:ptCount val="1"/>
                <c:pt idx="0">
                  <c:v>Average annual employment growth 2001–11 (RHS)</c:v>
                </c:pt>
              </c:strCache>
            </c:strRef>
          </c:tx>
          <c:spPr>
            <a:ln w="25400">
              <a:solidFill>
                <a:schemeClr val="tx1"/>
              </a:solidFill>
              <a:prstDash val="sysDash"/>
            </a:ln>
          </c:spPr>
          <c:marker>
            <c:symbol val="none"/>
          </c:marker>
          <c:val>
            <c:numRef>
              <c:f>'UE, part'!$AM$8:$AM$39</c:f>
              <c:numCache>
                <c:formatCode>General</c:formatCode>
                <c:ptCount val="32"/>
                <c:pt idx="20" formatCode="0.0">
                  <c:v>2.2570794824011942</c:v>
                </c:pt>
                <c:pt idx="21" formatCode="0.0">
                  <c:v>2.2570794824011942</c:v>
                </c:pt>
                <c:pt idx="22" formatCode="0.0">
                  <c:v>2.2570794824011942</c:v>
                </c:pt>
                <c:pt idx="23" formatCode="0.0">
                  <c:v>2.2570794824011942</c:v>
                </c:pt>
                <c:pt idx="24" formatCode="0.0">
                  <c:v>2.2570794824011942</c:v>
                </c:pt>
                <c:pt idx="25" formatCode="0.0">
                  <c:v>2.2570794824011942</c:v>
                </c:pt>
                <c:pt idx="26" formatCode="0.0">
                  <c:v>2.2570794824011942</c:v>
                </c:pt>
                <c:pt idx="27" formatCode="0.0">
                  <c:v>2.2570794824011942</c:v>
                </c:pt>
                <c:pt idx="28" formatCode="0.0">
                  <c:v>2.2570794824011942</c:v>
                </c:pt>
                <c:pt idx="29" formatCode="0.0">
                  <c:v>2.2570794824011942</c:v>
                </c:pt>
                <c:pt idx="30" formatCode="0.0">
                  <c:v>2.2570794824011942</c:v>
                </c:pt>
              </c:numCache>
            </c:numRef>
          </c:val>
          <c:smooth val="0"/>
        </c:ser>
        <c:dLbls>
          <c:showLegendKey val="0"/>
          <c:showVal val="0"/>
          <c:showCatName val="0"/>
          <c:showSerName val="0"/>
          <c:showPercent val="0"/>
          <c:showBubbleSize val="0"/>
        </c:dLbls>
        <c:marker val="1"/>
        <c:smooth val="0"/>
        <c:axId val="125581952"/>
        <c:axId val="125580032"/>
      </c:lineChart>
      <c:catAx>
        <c:axId val="125576320"/>
        <c:scaling>
          <c:orientation val="minMax"/>
        </c:scaling>
        <c:delete val="0"/>
        <c:axPos val="b"/>
        <c:numFmt formatCode="General" sourceLinked="1"/>
        <c:majorTickMark val="out"/>
        <c:minorTickMark val="none"/>
        <c:tickLblPos val="nextTo"/>
        <c:crossAx val="125577856"/>
        <c:crosses val="autoZero"/>
        <c:auto val="1"/>
        <c:lblAlgn val="ctr"/>
        <c:lblOffset val="100"/>
        <c:noMultiLvlLbl val="0"/>
      </c:catAx>
      <c:valAx>
        <c:axId val="125577856"/>
        <c:scaling>
          <c:orientation val="minMax"/>
        </c:scaling>
        <c:delete val="0"/>
        <c:axPos val="l"/>
        <c:majorGridlines/>
        <c:title>
          <c:tx>
            <c:rich>
              <a:bodyPr rot="-5400000" vert="horz"/>
              <a:lstStyle/>
              <a:p>
                <a:pPr>
                  <a:defRPr/>
                </a:pPr>
                <a:r>
                  <a:rPr lang="en-US"/>
                  <a:t>Per cent</a:t>
                </a:r>
              </a:p>
            </c:rich>
          </c:tx>
          <c:layout/>
          <c:overlay val="0"/>
        </c:title>
        <c:numFmt formatCode="0" sourceLinked="0"/>
        <c:majorTickMark val="out"/>
        <c:minorTickMark val="none"/>
        <c:tickLblPos val="nextTo"/>
        <c:crossAx val="125576320"/>
        <c:crosses val="autoZero"/>
        <c:crossBetween val="between"/>
      </c:valAx>
      <c:valAx>
        <c:axId val="125580032"/>
        <c:scaling>
          <c:orientation val="minMax"/>
          <c:max val="3"/>
          <c:min val="0"/>
        </c:scaling>
        <c:delete val="0"/>
        <c:axPos val="r"/>
        <c:title>
          <c:tx>
            <c:rich>
              <a:bodyPr rot="-5400000" vert="horz"/>
              <a:lstStyle/>
              <a:p>
                <a:pPr>
                  <a:defRPr/>
                </a:pPr>
                <a:r>
                  <a:rPr lang="en-US"/>
                  <a:t>Per cent</a:t>
                </a:r>
              </a:p>
            </c:rich>
          </c:tx>
          <c:layout/>
          <c:overlay val="0"/>
        </c:title>
        <c:numFmt formatCode="#,##0.0" sourceLinked="0"/>
        <c:majorTickMark val="out"/>
        <c:minorTickMark val="none"/>
        <c:tickLblPos val="nextTo"/>
        <c:crossAx val="125581952"/>
        <c:crosses val="max"/>
        <c:crossBetween val="between"/>
      </c:valAx>
      <c:catAx>
        <c:axId val="125581952"/>
        <c:scaling>
          <c:orientation val="minMax"/>
        </c:scaling>
        <c:delete val="1"/>
        <c:axPos val="b"/>
        <c:majorTickMark val="out"/>
        <c:minorTickMark val="none"/>
        <c:tickLblPos val="nextTo"/>
        <c:crossAx val="125580032"/>
        <c:crosses val="autoZero"/>
        <c:auto val="1"/>
        <c:lblAlgn val="ctr"/>
        <c:lblOffset val="100"/>
        <c:noMultiLvlLbl val="0"/>
      </c:catAx>
    </c:plotArea>
    <c:legend>
      <c:legendPos val="b"/>
      <c:layout>
        <c:manualLayout>
          <c:xMode val="edge"/>
          <c:yMode val="edge"/>
          <c:x val="0.11185192372214145"/>
          <c:y val="0.58243007124109492"/>
          <c:w val="0.6650674841445775"/>
          <c:h val="0.20804611923509561"/>
        </c:manualLayout>
      </c:layou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6922329153300269E-2"/>
          <c:y val="9.8211942257217855E-2"/>
          <c:w val="0.85105508276111952"/>
          <c:h val="0.79530657626130064"/>
        </c:manualLayout>
      </c:layout>
      <c:pieChart>
        <c:varyColors val="1"/>
        <c:ser>
          <c:idx val="0"/>
          <c:order val="0"/>
          <c:explosion val="25"/>
          <c:dPt>
            <c:idx val="0"/>
            <c:bubble3D val="0"/>
            <c:explosion val="0"/>
            <c:spPr>
              <a:solidFill>
                <a:schemeClr val="bg1">
                  <a:lumMod val="50000"/>
                </a:schemeClr>
              </a:solidFill>
            </c:spPr>
          </c:dPt>
          <c:dPt>
            <c:idx val="1"/>
            <c:bubble3D val="0"/>
            <c:spPr>
              <a:solidFill>
                <a:schemeClr val="tx1">
                  <a:lumMod val="85000"/>
                  <a:lumOff val="15000"/>
                </a:schemeClr>
              </a:solidFill>
            </c:spPr>
          </c:dPt>
          <c:dLbls>
            <c:numFmt formatCode="#,##0" sourceLinked="0"/>
            <c:txPr>
              <a:bodyPr/>
              <a:lstStyle/>
              <a:p>
                <a:pPr>
                  <a:defRPr>
                    <a:solidFill>
                      <a:schemeClr val="bg1"/>
                    </a:solidFill>
                  </a:defRPr>
                </a:pPr>
                <a:endParaRPr lang="en-US"/>
              </a:p>
            </c:txPr>
            <c:dLblPos val="ctr"/>
            <c:showLegendKey val="0"/>
            <c:showVal val="1"/>
            <c:showCatName val="0"/>
            <c:showSerName val="0"/>
            <c:showPercent val="0"/>
            <c:showBubbleSize val="0"/>
            <c:showLeaderLines val="1"/>
          </c:dLbls>
          <c:cat>
            <c:strRef>
              <c:f>'Presn slides'!$A$73:$A$74</c:f>
              <c:strCache>
                <c:ptCount val="2"/>
                <c:pt idx="0">
                  <c:v>Mining states</c:v>
                </c:pt>
                <c:pt idx="1">
                  <c:v>Non-mining states</c:v>
                </c:pt>
              </c:strCache>
            </c:strRef>
          </c:cat>
          <c:val>
            <c:numRef>
              <c:f>'Presn slides'!$B$73:$B$74</c:f>
              <c:numCache>
                <c:formatCode>0.0</c:formatCode>
                <c:ptCount val="2"/>
                <c:pt idx="0">
                  <c:v>30.047647735363377</c:v>
                </c:pt>
                <c:pt idx="1">
                  <c:v>69.951256914398385</c:v>
                </c:pt>
              </c:numCache>
            </c:numRef>
          </c:val>
        </c:ser>
        <c:dLbls>
          <c:dLblPos val="ctr"/>
          <c:showLegendKey val="0"/>
          <c:showVal val="1"/>
          <c:showCatName val="0"/>
          <c:showSerName val="0"/>
          <c:showPercent val="0"/>
          <c:showBubbleSize val="0"/>
          <c:showLeaderLines val="1"/>
        </c:dLbls>
        <c:firstSliceAng val="0"/>
      </c:pieChart>
    </c:plotArea>
    <c:legend>
      <c:legendPos val="r"/>
      <c:layout>
        <c:manualLayout>
          <c:xMode val="edge"/>
          <c:yMode val="edge"/>
          <c:x val="0.49101843258185884"/>
          <c:y val="0.84009785558972516"/>
          <c:w val="0.47575715446082462"/>
          <c:h val="0.15768326203319075"/>
        </c:manualLayout>
      </c:layout>
      <c:overlay val="0"/>
    </c:legend>
    <c:plotVisOnly val="1"/>
    <c:dispBlanksAs val="gap"/>
    <c:showDLblsOverMax val="0"/>
  </c:chart>
  <c:spPr>
    <a:solidFill>
      <a:schemeClr val="bg1"/>
    </a:solidFill>
    <a:ln>
      <a:noFill/>
    </a:ln>
  </c:spPr>
  <c:txPr>
    <a:bodyPr/>
    <a:lstStyle/>
    <a:p>
      <a:pPr>
        <a:defRPr>
          <a:latin typeface="Arial" pitchFamily="34" charset="0"/>
          <a:cs typeface="Arial" pitchFamily="34" charset="0"/>
        </a:defRPr>
      </a:pPr>
      <a:endParaRPr lang="en-US"/>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0980069798967439E-2"/>
          <c:y val="0.11517546793137344"/>
          <c:w val="0.76436868468364527"/>
          <c:h val="0.80568591088276131"/>
        </c:manualLayout>
      </c:layout>
      <c:pieChart>
        <c:varyColors val="1"/>
        <c:ser>
          <c:idx val="0"/>
          <c:order val="0"/>
          <c:spPr>
            <a:solidFill>
              <a:schemeClr val="bg1">
                <a:lumMod val="50000"/>
              </a:schemeClr>
            </a:solidFill>
          </c:spPr>
          <c:explosion val="25"/>
          <c:dPt>
            <c:idx val="0"/>
            <c:bubble3D val="0"/>
            <c:explosion val="0"/>
          </c:dPt>
          <c:dPt>
            <c:idx val="1"/>
            <c:bubble3D val="0"/>
            <c:explosion val="22"/>
            <c:spPr>
              <a:solidFill>
                <a:schemeClr val="tx1">
                  <a:lumMod val="85000"/>
                  <a:lumOff val="15000"/>
                </a:schemeClr>
              </a:solidFill>
            </c:spPr>
          </c:dPt>
          <c:dLbls>
            <c:numFmt formatCode="#,##0" sourceLinked="0"/>
            <c:txPr>
              <a:bodyPr/>
              <a:lstStyle/>
              <a:p>
                <a:pPr>
                  <a:defRPr>
                    <a:solidFill>
                      <a:schemeClr val="bg1"/>
                    </a:solidFill>
                  </a:defRPr>
                </a:pPr>
                <a:endParaRPr lang="en-US"/>
              </a:p>
            </c:txPr>
            <c:dLblPos val="ctr"/>
            <c:showLegendKey val="0"/>
            <c:showVal val="1"/>
            <c:showCatName val="0"/>
            <c:showSerName val="0"/>
            <c:showPercent val="0"/>
            <c:showBubbleSize val="0"/>
            <c:showLeaderLines val="1"/>
          </c:dLbls>
          <c:cat>
            <c:strRef>
              <c:f>'Presn slides'!$A$73:$A$74</c:f>
              <c:strCache>
                <c:ptCount val="2"/>
                <c:pt idx="0">
                  <c:v>Mining states</c:v>
                </c:pt>
                <c:pt idx="1">
                  <c:v>Non-mining states</c:v>
                </c:pt>
              </c:strCache>
            </c:strRef>
          </c:cat>
          <c:val>
            <c:numRef>
              <c:f>'Presn slides'!$C$73:$C$74</c:f>
              <c:numCache>
                <c:formatCode>0.0</c:formatCode>
                <c:ptCount val="2"/>
                <c:pt idx="0">
                  <c:v>41.913548163548143</c:v>
                </c:pt>
                <c:pt idx="1">
                  <c:v>58.090783090783063</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51507249424332513"/>
          <c:y val="0.83048591898985602"/>
          <c:w val="0.45671944853047214"/>
          <c:h val="0.14770940617837144"/>
        </c:manualLayout>
      </c:layout>
      <c:overlay val="0"/>
    </c:legend>
    <c:plotVisOnly val="1"/>
    <c:dispBlanksAs val="gap"/>
    <c:showDLblsOverMax val="0"/>
  </c:chart>
  <c:spPr>
    <a:solidFill>
      <a:schemeClr val="bg1"/>
    </a:solidFill>
    <a:ln>
      <a:noFill/>
    </a:ln>
  </c:spPr>
  <c:txPr>
    <a:bodyPr/>
    <a:lstStyle/>
    <a:p>
      <a:pPr>
        <a:defRPr>
          <a:latin typeface="Arial" pitchFamily="34" charset="0"/>
          <a:cs typeface="Arial" pitchFamily="34" charset="0"/>
        </a:defRPr>
      </a:pPr>
      <a:endParaRPr lang="en-US"/>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2.8620449679429816E-3"/>
          <c:y val="0.12393761590611985"/>
          <c:w val="0.76893722952961729"/>
          <c:h val="0.8143256051326917"/>
        </c:manualLayout>
      </c:layout>
      <c:pieChart>
        <c:varyColors val="1"/>
        <c:ser>
          <c:idx val="0"/>
          <c:order val="0"/>
          <c:explosion val="25"/>
          <c:dPt>
            <c:idx val="0"/>
            <c:bubble3D val="0"/>
            <c:explosion val="4"/>
            <c:spPr>
              <a:solidFill>
                <a:schemeClr val="tx1">
                  <a:lumMod val="50000"/>
                  <a:lumOff val="50000"/>
                </a:schemeClr>
              </a:solidFill>
            </c:spPr>
          </c:dPt>
          <c:dPt>
            <c:idx val="1"/>
            <c:bubble3D val="0"/>
            <c:spPr>
              <a:solidFill>
                <a:schemeClr val="tx1">
                  <a:lumMod val="85000"/>
                  <a:lumOff val="15000"/>
                </a:schemeClr>
              </a:solidFill>
            </c:spPr>
          </c:dPt>
          <c:dLbls>
            <c:numFmt formatCode="#,##0" sourceLinked="0"/>
            <c:txPr>
              <a:bodyPr/>
              <a:lstStyle/>
              <a:p>
                <a:pPr>
                  <a:defRPr>
                    <a:solidFill>
                      <a:schemeClr val="bg1"/>
                    </a:solidFill>
                  </a:defRPr>
                </a:pPr>
                <a:endParaRPr lang="en-US"/>
              </a:p>
            </c:txPr>
            <c:dLblPos val="ctr"/>
            <c:showLegendKey val="0"/>
            <c:showVal val="1"/>
            <c:showCatName val="0"/>
            <c:showSerName val="0"/>
            <c:showPercent val="0"/>
            <c:showBubbleSize val="0"/>
            <c:showLeaderLines val="1"/>
          </c:dLbls>
          <c:cat>
            <c:strRef>
              <c:f>'Pres figs'!$A$105:$A$106</c:f>
              <c:strCache>
                <c:ptCount val="2"/>
                <c:pt idx="0">
                  <c:v>Top three industries</c:v>
                </c:pt>
                <c:pt idx="1">
                  <c:v>Other industries</c:v>
                </c:pt>
              </c:strCache>
            </c:strRef>
          </c:cat>
          <c:val>
            <c:numRef>
              <c:f>'Pres figs'!$D$105:$D$106</c:f>
              <c:numCache>
                <c:formatCode>0.0</c:formatCode>
                <c:ptCount val="2"/>
                <c:pt idx="0">
                  <c:v>23.847363628838671</c:v>
                </c:pt>
                <c:pt idx="1">
                  <c:v>76.152636371161321</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47848081337218845"/>
          <c:y val="0.86262163175549"/>
          <c:w val="0.51329690132017081"/>
          <c:h val="0.13451364020501347"/>
        </c:manualLayout>
      </c:layout>
      <c:overlay val="0"/>
    </c:legend>
    <c:plotVisOnly val="1"/>
    <c:dispBlanksAs val="gap"/>
    <c:showDLblsOverMax val="0"/>
  </c:chart>
  <c:spPr>
    <a:ln>
      <a:noFill/>
    </a:ln>
  </c:spPr>
  <c:txPr>
    <a:bodyPr/>
    <a:lstStyle/>
    <a:p>
      <a:pPr>
        <a:defRPr sz="1000">
          <a:latin typeface="Arial" pitchFamily="34" charset="0"/>
          <a:cs typeface="Arial" pitchFamily="34" charset="0"/>
        </a:defRPr>
      </a:pPr>
      <a:endParaRPr lang="en-US"/>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2891525473628418E-3"/>
          <c:y val="0.1146144569766617"/>
          <c:w val="0.76615673040869892"/>
          <c:h val="0.84458222249777837"/>
        </c:manualLayout>
      </c:layout>
      <c:pieChart>
        <c:varyColors val="1"/>
        <c:ser>
          <c:idx val="0"/>
          <c:order val="0"/>
          <c:explosion val="25"/>
          <c:dPt>
            <c:idx val="0"/>
            <c:bubble3D val="0"/>
            <c:explosion val="0"/>
            <c:spPr>
              <a:solidFill>
                <a:schemeClr val="tx1">
                  <a:lumMod val="50000"/>
                  <a:lumOff val="50000"/>
                </a:schemeClr>
              </a:solidFill>
            </c:spPr>
          </c:dPt>
          <c:dPt>
            <c:idx val="1"/>
            <c:bubble3D val="0"/>
            <c:explosion val="20"/>
            <c:spPr>
              <a:solidFill>
                <a:schemeClr val="tx1">
                  <a:lumMod val="85000"/>
                  <a:lumOff val="15000"/>
                </a:schemeClr>
              </a:solidFill>
            </c:spPr>
          </c:dPt>
          <c:dLbls>
            <c:numFmt formatCode="#,##0" sourceLinked="0"/>
            <c:txPr>
              <a:bodyPr/>
              <a:lstStyle/>
              <a:p>
                <a:pPr>
                  <a:defRPr>
                    <a:solidFill>
                      <a:schemeClr val="bg1"/>
                    </a:solidFill>
                  </a:defRPr>
                </a:pPr>
                <a:endParaRPr lang="en-US"/>
              </a:p>
            </c:txPr>
            <c:dLblPos val="ctr"/>
            <c:showLegendKey val="0"/>
            <c:showVal val="1"/>
            <c:showCatName val="0"/>
            <c:showSerName val="0"/>
            <c:showPercent val="0"/>
            <c:showBubbleSize val="0"/>
            <c:showLeaderLines val="1"/>
          </c:dLbls>
          <c:cat>
            <c:strRef>
              <c:f>'Pres figs'!$A$105:$A$106</c:f>
              <c:strCache>
                <c:ptCount val="2"/>
                <c:pt idx="0">
                  <c:v>Top three industries</c:v>
                </c:pt>
                <c:pt idx="1">
                  <c:v>Other industries</c:v>
                </c:pt>
              </c:strCache>
            </c:strRef>
          </c:cat>
          <c:val>
            <c:numRef>
              <c:f>'Pres figs'!$L$105:$L$106</c:f>
              <c:numCache>
                <c:formatCode>0.0</c:formatCode>
                <c:ptCount val="2"/>
                <c:pt idx="0">
                  <c:v>45.547835382148584</c:v>
                </c:pt>
                <c:pt idx="1">
                  <c:v>54.452164617851416</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50594740405988248"/>
          <c:y val="0.86255950680034288"/>
          <c:w val="0.49039517428742457"/>
          <c:h val="0.13452386019315155"/>
        </c:manualLayout>
      </c:layout>
      <c:overlay val="0"/>
    </c:legend>
    <c:plotVisOnly val="1"/>
    <c:dispBlanksAs val="gap"/>
    <c:showDLblsOverMax val="0"/>
  </c:chart>
  <c:spPr>
    <a:ln>
      <a:noFill/>
    </a:ln>
  </c:spPr>
  <c:txPr>
    <a:bodyPr/>
    <a:lstStyle/>
    <a:p>
      <a:pPr>
        <a:defRPr sz="1000">
          <a:latin typeface="Arial" pitchFamily="34" charset="0"/>
          <a:cs typeface="Arial" pitchFamily="34" charset="0"/>
        </a:defRPr>
      </a:pPr>
      <a:endParaRPr lang="en-US"/>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1.7605633802816902E-2"/>
          <c:y val="0.16296296296296298"/>
          <c:w val="0.676056338028169"/>
          <c:h val="0.71111111111111114"/>
        </c:manualLayout>
      </c:layout>
      <c:pieChart>
        <c:varyColors val="1"/>
        <c:ser>
          <c:idx val="0"/>
          <c:order val="0"/>
          <c:spPr>
            <a:solidFill>
              <a:srgbClr val="C0C0C0"/>
            </a:solidFill>
            <a:ln w="25400">
              <a:noFill/>
            </a:ln>
          </c:spPr>
          <c:explosion val="25"/>
          <c:dPt>
            <c:idx val="0"/>
            <c:bubble3D val="0"/>
            <c:spPr>
              <a:solidFill>
                <a:srgbClr val="808080"/>
              </a:solidFill>
              <a:ln w="25400">
                <a:noFill/>
              </a:ln>
            </c:spPr>
          </c:dPt>
          <c:dPt>
            <c:idx val="1"/>
            <c:bubble3D val="0"/>
            <c:explosion val="0"/>
            <c:spPr>
              <a:solidFill>
                <a:schemeClr val="tx1">
                  <a:lumMod val="85000"/>
                  <a:lumOff val="15000"/>
                </a:schemeClr>
              </a:solidFill>
              <a:ln w="25400">
                <a:noFill/>
              </a:ln>
            </c:spPr>
          </c:dPt>
          <c:dPt>
            <c:idx val="2"/>
            <c:bubble3D val="0"/>
            <c:explosion val="0"/>
          </c:dPt>
          <c:dLbls>
            <c:dLbl>
              <c:idx val="1"/>
              <c:spPr/>
              <c:txPr>
                <a:bodyPr/>
                <a:lstStyle/>
                <a:p>
                  <a:pPr>
                    <a:defRPr>
                      <a:solidFill>
                        <a:schemeClr val="bg1"/>
                      </a:solidFill>
                    </a:defRPr>
                  </a:pPr>
                  <a:endParaRPr lang="en-US"/>
                </a:p>
              </c:txPr>
              <c:dLblPos val="ctr"/>
              <c:showLegendKey val="0"/>
              <c:showVal val="1"/>
              <c:showCatName val="0"/>
              <c:showSerName val="0"/>
              <c:showPercent val="0"/>
              <c:showBubbleSize val="0"/>
            </c:dLbl>
            <c:dLblPos val="ctr"/>
            <c:showLegendKey val="0"/>
            <c:showVal val="1"/>
            <c:showCatName val="0"/>
            <c:showSerName val="0"/>
            <c:showPercent val="0"/>
            <c:showBubbleSize val="0"/>
            <c:showLeaderLines val="0"/>
          </c:dLbls>
          <c:cat>
            <c:strRef>
              <c:f>'Pres slide figs'!$B$29:$B$31</c:f>
              <c:strCache>
                <c:ptCount val="3"/>
                <c:pt idx="0">
                  <c:v>Higher skilled</c:v>
                </c:pt>
                <c:pt idx="1">
                  <c:v>Middle skilled</c:v>
                </c:pt>
                <c:pt idx="2">
                  <c:v>Lower skilled</c:v>
                </c:pt>
              </c:strCache>
            </c:strRef>
          </c:cat>
          <c:val>
            <c:numRef>
              <c:f>'Pres slide figs'!$E$29:$E$31</c:f>
              <c:numCache>
                <c:formatCode>0</c:formatCode>
                <c:ptCount val="3"/>
                <c:pt idx="0">
                  <c:v>31.577640437037857</c:v>
                </c:pt>
                <c:pt idx="1">
                  <c:v>39.711400507670234</c:v>
                </c:pt>
                <c:pt idx="2">
                  <c:v>28.710959055291912</c:v>
                </c:pt>
              </c:numCache>
            </c:numRef>
          </c:val>
        </c:ser>
        <c:dLbls>
          <c:showLegendKey val="0"/>
          <c:showVal val="0"/>
          <c:showCatName val="0"/>
          <c:showSerName val="0"/>
          <c:showPercent val="0"/>
          <c:showBubbleSize val="0"/>
          <c:showLeaderLines val="0"/>
        </c:dLbls>
        <c:firstSliceAng val="0"/>
      </c:pieChart>
      <c:spPr>
        <a:noFill/>
        <a:ln w="25400">
          <a:noFill/>
        </a:ln>
      </c:spPr>
    </c:plotArea>
    <c:legend>
      <c:legendPos val="r"/>
      <c:layout>
        <c:manualLayout>
          <c:xMode val="edge"/>
          <c:yMode val="edge"/>
          <c:x val="0.57627734989629686"/>
          <c:y val="0.77680719183929547"/>
          <c:w val="0.41901408450704225"/>
          <c:h val="0.21975308641975308"/>
        </c:manualLayout>
      </c:layout>
      <c:overlay val="0"/>
      <c:spPr>
        <a:noFill/>
        <a:ln w="25400">
          <a:noFill/>
        </a:ln>
      </c:spPr>
    </c:legend>
    <c:plotVisOnly val="1"/>
    <c:dispBlanksAs val="zero"/>
    <c:showDLblsOverMax val="0"/>
  </c:chart>
  <c:spPr>
    <a:solidFill>
      <a:srgbClr val="FFFFFF"/>
    </a:solidFill>
    <a:ln w="12700">
      <a:noFill/>
      <a:prstDash val="solid"/>
    </a:ln>
  </c:spPr>
  <c:txPr>
    <a:bodyPr/>
    <a:lstStyle/>
    <a:p>
      <a:pPr>
        <a:defRPr sz="10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104485090086233E-2"/>
          <c:y val="0.15985130111524162"/>
          <c:w val="0.70895651556034933"/>
          <c:h val="0.70631970260223054"/>
        </c:manualLayout>
      </c:layout>
      <c:pieChart>
        <c:varyColors val="1"/>
        <c:ser>
          <c:idx val="0"/>
          <c:order val="0"/>
          <c:spPr>
            <a:solidFill>
              <a:srgbClr val="666699"/>
            </a:solidFill>
            <a:ln w="25400">
              <a:noFill/>
            </a:ln>
          </c:spPr>
          <c:explosion val="25"/>
          <c:dPt>
            <c:idx val="0"/>
            <c:bubble3D val="0"/>
            <c:spPr>
              <a:solidFill>
                <a:srgbClr val="808080"/>
              </a:solidFill>
              <a:ln w="25400">
                <a:noFill/>
              </a:ln>
            </c:spPr>
          </c:dPt>
          <c:dPt>
            <c:idx val="1"/>
            <c:bubble3D val="0"/>
            <c:explosion val="0"/>
            <c:spPr>
              <a:solidFill>
                <a:schemeClr val="tx1">
                  <a:lumMod val="85000"/>
                  <a:lumOff val="15000"/>
                </a:schemeClr>
              </a:solidFill>
              <a:ln w="25400">
                <a:noFill/>
              </a:ln>
            </c:spPr>
          </c:dPt>
          <c:dPt>
            <c:idx val="2"/>
            <c:bubble3D val="0"/>
            <c:explosion val="0"/>
            <c:spPr>
              <a:solidFill>
                <a:srgbClr val="C0C0C0"/>
              </a:solidFill>
              <a:ln w="25400">
                <a:noFill/>
              </a:ln>
            </c:spPr>
          </c:dPt>
          <c:dLbls>
            <c:dLbl>
              <c:idx val="0"/>
              <c:spPr/>
              <c:txPr>
                <a:bodyPr/>
                <a:lstStyle/>
                <a:p>
                  <a:pPr>
                    <a:defRPr>
                      <a:solidFill>
                        <a:schemeClr val="bg1"/>
                      </a:solidFill>
                    </a:defRPr>
                  </a:pPr>
                  <a:endParaRPr lang="en-US"/>
                </a:p>
              </c:txPr>
              <c:dLblPos val="ctr"/>
              <c:showLegendKey val="0"/>
              <c:showVal val="1"/>
              <c:showCatName val="0"/>
              <c:showSerName val="0"/>
              <c:showPercent val="0"/>
              <c:showBubbleSize val="0"/>
            </c:dLbl>
            <c:dLbl>
              <c:idx val="1"/>
              <c:spPr/>
              <c:txPr>
                <a:bodyPr/>
                <a:lstStyle/>
                <a:p>
                  <a:pPr>
                    <a:defRPr>
                      <a:solidFill>
                        <a:schemeClr val="bg1"/>
                      </a:solidFill>
                    </a:defRPr>
                  </a:pPr>
                  <a:endParaRPr lang="en-US"/>
                </a:p>
              </c:txPr>
              <c:dLblPos val="ctr"/>
              <c:showLegendKey val="0"/>
              <c:showVal val="1"/>
              <c:showCatName val="0"/>
              <c:showSerName val="0"/>
              <c:showPercent val="0"/>
              <c:showBubbleSize val="0"/>
            </c:dLbl>
            <c:dLblPos val="ctr"/>
            <c:showLegendKey val="0"/>
            <c:showVal val="1"/>
            <c:showCatName val="0"/>
            <c:showSerName val="0"/>
            <c:showPercent val="0"/>
            <c:showBubbleSize val="0"/>
            <c:showLeaderLines val="0"/>
          </c:dLbls>
          <c:cat>
            <c:strRef>
              <c:f>'Pres slide figs'!$B$29:$B$31</c:f>
              <c:strCache>
                <c:ptCount val="3"/>
                <c:pt idx="0">
                  <c:v>Higher skilled</c:v>
                </c:pt>
                <c:pt idx="1">
                  <c:v>Middle skilled</c:v>
                </c:pt>
                <c:pt idx="2">
                  <c:v>Lower skilled</c:v>
                </c:pt>
              </c:strCache>
            </c:strRef>
          </c:cat>
          <c:val>
            <c:numRef>
              <c:f>'Pres slide figs'!$M$29:$M$31</c:f>
              <c:numCache>
                <c:formatCode>0</c:formatCode>
                <c:ptCount val="3"/>
                <c:pt idx="0">
                  <c:v>45.552704725251232</c:v>
                </c:pt>
                <c:pt idx="1">
                  <c:v>36.561898652982684</c:v>
                </c:pt>
                <c:pt idx="2">
                  <c:v>17.885396621766088</c:v>
                </c:pt>
              </c:numCache>
            </c:numRef>
          </c:val>
        </c:ser>
        <c:dLbls>
          <c:showLegendKey val="0"/>
          <c:showVal val="0"/>
          <c:showCatName val="0"/>
          <c:showSerName val="0"/>
          <c:showPercent val="0"/>
          <c:showBubbleSize val="0"/>
          <c:showLeaderLines val="0"/>
        </c:dLbls>
        <c:firstSliceAng val="0"/>
      </c:pieChart>
      <c:spPr>
        <a:noFill/>
        <a:ln w="25400">
          <a:noFill/>
        </a:ln>
      </c:spPr>
    </c:plotArea>
    <c:legend>
      <c:legendPos val="r"/>
      <c:layout>
        <c:manualLayout>
          <c:xMode val="edge"/>
          <c:yMode val="edge"/>
          <c:x val="0.5783592626939692"/>
          <c:y val="0.75836431226765799"/>
          <c:w val="0.40671715892672672"/>
          <c:h val="0.22676579925650558"/>
        </c:manualLayout>
      </c:layout>
      <c:overlay val="0"/>
      <c:spPr>
        <a:noFill/>
        <a:ln w="25400">
          <a:noFill/>
        </a:ln>
      </c:spPr>
      <c:txPr>
        <a:bodyPr/>
        <a:lstStyle/>
        <a:p>
          <a:pPr>
            <a:defRPr sz="920" b="0" i="0" u="none" strike="noStrike" baseline="0">
              <a:solidFill>
                <a:srgbClr val="000000"/>
              </a:solidFill>
              <a:latin typeface="Arial"/>
              <a:ea typeface="Arial"/>
              <a:cs typeface="Arial"/>
            </a:defRPr>
          </a:pPr>
          <a:endParaRPr lang="en-US"/>
        </a:p>
      </c:txPr>
    </c:legend>
    <c:plotVisOnly val="1"/>
    <c:dispBlanksAs val="zero"/>
    <c:showDLblsOverMax val="0"/>
  </c:chart>
  <c:spPr>
    <a:solidFill>
      <a:srgbClr val="FFFFFF"/>
    </a:solidFill>
    <a:ln w="12700">
      <a:no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83790063876424E-2"/>
          <c:y val="6.4814814814814811E-2"/>
          <c:w val="0.90383126840327754"/>
          <c:h val="0.87558654126567514"/>
        </c:manualLayout>
      </c:layout>
      <c:pieChart>
        <c:varyColors val="1"/>
        <c:ser>
          <c:idx val="0"/>
          <c:order val="0"/>
          <c:explosion val="31"/>
          <c:dPt>
            <c:idx val="0"/>
            <c:bubble3D val="0"/>
            <c:explosion val="19"/>
            <c:spPr>
              <a:solidFill>
                <a:schemeClr val="bg1">
                  <a:lumMod val="50000"/>
                </a:schemeClr>
              </a:solidFill>
            </c:spPr>
          </c:dPt>
          <c:dPt>
            <c:idx val="1"/>
            <c:bubble3D val="0"/>
            <c:explosion val="18"/>
            <c:spPr>
              <a:noFill/>
              <a:ln>
                <a:solidFill>
                  <a:schemeClr val="tx1"/>
                </a:solidFill>
              </a:ln>
            </c:spPr>
          </c:dPt>
          <c:dPt>
            <c:idx val="2"/>
            <c:bubble3D val="0"/>
            <c:explosion val="0"/>
            <c:spPr>
              <a:solidFill>
                <a:schemeClr val="bg1">
                  <a:lumMod val="85000"/>
                </a:schemeClr>
              </a:solidFill>
            </c:spPr>
          </c:dPt>
          <c:dPt>
            <c:idx val="3"/>
            <c:bubble3D val="0"/>
            <c:explosion val="0"/>
            <c:spPr>
              <a:solidFill>
                <a:schemeClr val="tx1">
                  <a:lumMod val="85000"/>
                  <a:lumOff val="15000"/>
                </a:schemeClr>
              </a:solidFill>
            </c:spPr>
          </c:dPt>
          <c:dLbls>
            <c:dLbl>
              <c:idx val="1"/>
              <c:numFmt formatCode="#,##0" sourceLinked="0"/>
              <c:spPr/>
              <c:txPr>
                <a:bodyPr/>
                <a:lstStyle/>
                <a:p>
                  <a:pPr>
                    <a:defRPr>
                      <a:solidFill>
                        <a:sysClr val="windowText" lastClr="000000"/>
                      </a:solidFill>
                    </a:defRPr>
                  </a:pPr>
                  <a:endParaRPr lang="en-US"/>
                </a:p>
              </c:txPr>
              <c:dLblPos val="ctr"/>
              <c:showLegendKey val="0"/>
              <c:showVal val="1"/>
              <c:showCatName val="0"/>
              <c:showSerName val="0"/>
              <c:showPercent val="0"/>
              <c:showBubbleSize val="0"/>
            </c:dLbl>
            <c:dLbl>
              <c:idx val="2"/>
              <c:numFmt formatCode="#,##0" sourceLinked="0"/>
              <c:spPr/>
              <c:txPr>
                <a:bodyPr/>
                <a:lstStyle/>
                <a:p>
                  <a:pPr>
                    <a:defRPr>
                      <a:solidFill>
                        <a:sysClr val="windowText" lastClr="000000"/>
                      </a:solidFill>
                    </a:defRPr>
                  </a:pPr>
                  <a:endParaRPr lang="en-US"/>
                </a:p>
              </c:txPr>
              <c:dLblPos val="ctr"/>
              <c:showLegendKey val="0"/>
              <c:showVal val="1"/>
              <c:showCatName val="0"/>
              <c:showSerName val="0"/>
              <c:showPercent val="0"/>
              <c:showBubbleSize val="0"/>
            </c:dLbl>
            <c:numFmt formatCode="#,##0" sourceLinked="0"/>
            <c:txPr>
              <a:bodyPr/>
              <a:lstStyle/>
              <a:p>
                <a:pPr>
                  <a:defRPr>
                    <a:solidFill>
                      <a:schemeClr val="bg1"/>
                    </a:solidFill>
                  </a:defRPr>
                </a:pPr>
                <a:endParaRPr lang="en-US"/>
              </a:p>
            </c:txPr>
            <c:dLblPos val="ctr"/>
            <c:showLegendKey val="0"/>
            <c:showVal val="1"/>
            <c:showCatName val="0"/>
            <c:showSerName val="0"/>
            <c:showPercent val="0"/>
            <c:showBubbleSize val="0"/>
            <c:showLeaderLines val="1"/>
          </c:dLbls>
          <c:cat>
            <c:strRef>
              <c:f>'Pres slide figs'!$G$78:$G$81</c:f>
              <c:strCache>
                <c:ptCount val="4"/>
                <c:pt idx="0">
                  <c:v>Part-time female</c:v>
                </c:pt>
                <c:pt idx="1">
                  <c:v>Part-time male</c:v>
                </c:pt>
                <c:pt idx="2">
                  <c:v>Full-time female</c:v>
                </c:pt>
                <c:pt idx="3">
                  <c:v>Full-time male</c:v>
                </c:pt>
              </c:strCache>
            </c:strRef>
          </c:cat>
          <c:val>
            <c:numRef>
              <c:f>'Pres slide figs'!$I$78:$I$81</c:f>
              <c:numCache>
                <c:formatCode>0.0</c:formatCode>
                <c:ptCount val="4"/>
                <c:pt idx="0">
                  <c:v>19.689182361447465</c:v>
                </c:pt>
                <c:pt idx="1">
                  <c:v>7.739447229499433</c:v>
                </c:pt>
                <c:pt idx="2">
                  <c:v>24.749505521561275</c:v>
                </c:pt>
                <c:pt idx="3">
                  <c:v>47.821864887491813</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7.0856734306061345E-4"/>
          <c:y val="0.87535194464328325"/>
          <c:w val="0.9602818464896189"/>
          <c:h val="0.12095581802274716"/>
        </c:manualLayout>
      </c:layou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0.05983</cdr:x>
      <cdr:y>0</cdr:y>
    </cdr:from>
    <cdr:to>
      <cdr:x>1</cdr:x>
      <cdr:y>0.10267</cdr:y>
    </cdr:to>
    <cdr:sp macro="" textlink="">
      <cdr:nvSpPr>
        <cdr:cNvPr id="2" name="TextBox 1"/>
        <cdr:cNvSpPr txBox="1"/>
      </cdr:nvSpPr>
      <cdr:spPr>
        <a:xfrm xmlns:a="http://schemas.openxmlformats.org/drawingml/2006/main">
          <a:off x="149883" y="0"/>
          <a:ext cx="2355192" cy="24839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en-AU" sz="1000" b="1">
              <a:latin typeface="Arial" pitchFamily="34" charset="0"/>
              <a:cs typeface="Arial" pitchFamily="34" charset="0"/>
            </a:rPr>
            <a:t>Employment shares, 2001</a:t>
          </a:r>
        </a:p>
      </cdr:txBody>
    </cdr:sp>
  </cdr:relSizeAnchor>
</c:userShapes>
</file>

<file path=word/drawings/drawing10.xml><?xml version="1.0" encoding="utf-8"?>
<c:userShapes xmlns:c="http://schemas.openxmlformats.org/drawingml/2006/chart">
  <cdr:relSizeAnchor xmlns:cdr="http://schemas.openxmlformats.org/drawingml/2006/chartDrawing">
    <cdr:from>
      <cdr:x>0</cdr:x>
      <cdr:y>0.02058</cdr:y>
    </cdr:from>
    <cdr:to>
      <cdr:x>0.96853</cdr:x>
      <cdr:y>0.11513</cdr:y>
    </cdr:to>
    <cdr:sp macro="" textlink="">
      <cdr:nvSpPr>
        <cdr:cNvPr id="2" name="TextBox 1"/>
        <cdr:cNvSpPr txBox="1"/>
      </cdr:nvSpPr>
      <cdr:spPr>
        <a:xfrm xmlns:a="http://schemas.openxmlformats.org/drawingml/2006/main">
          <a:off x="0" y="51758"/>
          <a:ext cx="2490817" cy="23775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AU" sz="1000" b="1">
              <a:latin typeface="Arial" pitchFamily="34" charset="0"/>
              <a:cs typeface="Arial" pitchFamily="34" charset="0"/>
            </a:rPr>
            <a:t>Shares</a:t>
          </a:r>
          <a:r>
            <a:rPr lang="en-AU" sz="1000" b="1" baseline="0">
              <a:latin typeface="Arial" pitchFamily="34" charset="0"/>
              <a:cs typeface="Arial" pitchFamily="34" charset="0"/>
            </a:rPr>
            <a:t> of net job growth, 2001 to 2011</a:t>
          </a:r>
          <a:endParaRPr lang="en-AU" sz="1000" b="1">
            <a:latin typeface="Arial" pitchFamily="34" charset="0"/>
            <a:cs typeface="Arial"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cdr:y>
    </cdr:from>
    <cdr:to>
      <cdr:x>0.99855</cdr:x>
      <cdr:y>0.10069</cdr:y>
    </cdr:to>
    <cdr:sp macro="" textlink="">
      <cdr:nvSpPr>
        <cdr:cNvPr id="2" name="TextBox 1"/>
        <cdr:cNvSpPr txBox="1"/>
      </cdr:nvSpPr>
      <cdr:spPr>
        <a:xfrm xmlns:a="http://schemas.openxmlformats.org/drawingml/2006/main">
          <a:off x="0" y="0"/>
          <a:ext cx="2596551" cy="248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AU" sz="1000" b="1">
              <a:latin typeface="Arial" pitchFamily="34" charset="0"/>
              <a:cs typeface="Arial" pitchFamily="34" charset="0"/>
            </a:rPr>
            <a:t>Shares of net</a:t>
          </a:r>
          <a:r>
            <a:rPr lang="en-AU" sz="1000" b="1" baseline="0">
              <a:latin typeface="Arial" pitchFamily="34" charset="0"/>
              <a:cs typeface="Arial" pitchFamily="34" charset="0"/>
            </a:rPr>
            <a:t> job growth, 2001 to 2011</a:t>
          </a:r>
          <a:endParaRPr lang="en-AU" sz="1000" b="1">
            <a:latin typeface="Arial" pitchFamily="34" charset="0"/>
            <a:cs typeface="Arial" pitchFamily="34"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0.12787</cdr:x>
      <cdr:y>0.03646</cdr:y>
    </cdr:from>
    <cdr:to>
      <cdr:x>0.90164</cdr:x>
      <cdr:y>0.13715</cdr:y>
    </cdr:to>
    <cdr:sp macro="" textlink="">
      <cdr:nvSpPr>
        <cdr:cNvPr id="2" name="TextBox 1"/>
        <cdr:cNvSpPr txBox="1"/>
      </cdr:nvSpPr>
      <cdr:spPr>
        <a:xfrm xmlns:a="http://schemas.openxmlformats.org/drawingml/2006/main">
          <a:off x="371474" y="100013"/>
          <a:ext cx="2247900" cy="2762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AU" sz="1000" b="1">
              <a:latin typeface="Arial" pitchFamily="34" charset="0"/>
              <a:cs typeface="Arial" pitchFamily="34" charset="0"/>
            </a:rPr>
            <a:t>Employment shares, 2001</a:t>
          </a:r>
        </a:p>
      </cdr:txBody>
    </cdr:sp>
  </cdr:relSizeAnchor>
</c:userShapes>
</file>

<file path=word/drawings/drawing4.xml><?xml version="1.0" encoding="utf-8"?>
<c:userShapes xmlns:c="http://schemas.openxmlformats.org/drawingml/2006/chart">
  <cdr:relSizeAnchor xmlns:cdr="http://schemas.openxmlformats.org/drawingml/2006/chartDrawing">
    <cdr:from>
      <cdr:x>3.68375E-7</cdr:x>
      <cdr:y>0.03646</cdr:y>
    </cdr:from>
    <cdr:to>
      <cdr:x>1</cdr:x>
      <cdr:y>0.13715</cdr:y>
    </cdr:to>
    <cdr:sp macro="" textlink="">
      <cdr:nvSpPr>
        <cdr:cNvPr id="2" name="TextBox 1"/>
        <cdr:cNvSpPr txBox="1"/>
      </cdr:nvSpPr>
      <cdr:spPr>
        <a:xfrm xmlns:a="http://schemas.openxmlformats.org/drawingml/2006/main">
          <a:off x="1" y="89946"/>
          <a:ext cx="2714624" cy="248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AU" sz="1000" b="1">
              <a:latin typeface="Arial" pitchFamily="34" charset="0"/>
              <a:cs typeface="Arial" pitchFamily="34" charset="0"/>
            </a:rPr>
            <a:t>Shares of net job</a:t>
          </a:r>
          <a:r>
            <a:rPr lang="en-AU" sz="1000" b="1" baseline="0">
              <a:latin typeface="Arial" pitchFamily="34" charset="0"/>
              <a:cs typeface="Arial" pitchFamily="34" charset="0"/>
            </a:rPr>
            <a:t> growth,</a:t>
          </a:r>
          <a:r>
            <a:rPr lang="en-AU" sz="1000" b="1">
              <a:latin typeface="Arial" pitchFamily="34" charset="0"/>
              <a:cs typeface="Arial" pitchFamily="34" charset="0"/>
            </a:rPr>
            <a:t> 2001 to 2011</a:t>
          </a:r>
        </a:p>
      </cdr:txBody>
    </cdr:sp>
  </cdr:relSizeAnchor>
</c:userShapes>
</file>

<file path=word/drawings/drawing5.xml><?xml version="1.0" encoding="utf-8"?>
<c:userShapes xmlns:c="http://schemas.openxmlformats.org/drawingml/2006/chart">
  <cdr:relSizeAnchor xmlns:cdr="http://schemas.openxmlformats.org/drawingml/2006/chartDrawing">
    <cdr:from>
      <cdr:x>0.04118</cdr:x>
      <cdr:y>0.02904</cdr:y>
    </cdr:from>
    <cdr:to>
      <cdr:x>0.9482</cdr:x>
      <cdr:y>0.15352</cdr:y>
    </cdr:to>
    <cdr:sp macro="" textlink="">
      <cdr:nvSpPr>
        <cdr:cNvPr id="2049" name="TextBox 1"/>
        <cdr:cNvSpPr txBox="1">
          <a:spLocks xmlns:a="http://schemas.openxmlformats.org/drawingml/2006/main" noChangeArrowheads="1"/>
        </cdr:cNvSpPr>
      </cdr:nvSpPr>
      <cdr:spPr bwMode="auto">
        <a:xfrm xmlns:a="http://schemas.openxmlformats.org/drawingml/2006/main">
          <a:off x="114975" y="78146"/>
          <a:ext cx="2462212" cy="321319"/>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8"/>
              </a:solidFill>
              <a:miter lim="800000"/>
              <a:headEnd/>
              <a:tailEnd/>
            </a14:hiddenLine>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en-AU" sz="1000" b="1" i="0" u="none" strike="noStrike" baseline="0">
              <a:solidFill>
                <a:srgbClr val="000000"/>
              </a:solidFill>
              <a:latin typeface="Arial"/>
              <a:cs typeface="Arial"/>
            </a:rPr>
            <a:t>Employment shares, 2001</a:t>
          </a:r>
          <a:endParaRPr lang="en-AU"/>
        </a:p>
      </cdr:txBody>
    </cdr:sp>
  </cdr:relSizeAnchor>
</c:userShapes>
</file>

<file path=word/drawings/drawing6.xml><?xml version="1.0" encoding="utf-8"?>
<c:userShapes xmlns:c="http://schemas.openxmlformats.org/drawingml/2006/chart">
  <cdr:relSizeAnchor xmlns:cdr="http://schemas.openxmlformats.org/drawingml/2006/chartDrawing">
    <cdr:from>
      <cdr:x>0.01859</cdr:x>
      <cdr:y>0.01852</cdr:y>
    </cdr:from>
    <cdr:to>
      <cdr:x>0.97997</cdr:x>
      <cdr:y>0.13407</cdr:y>
    </cdr:to>
    <cdr:sp macro="" textlink="">
      <cdr:nvSpPr>
        <cdr:cNvPr id="3073" name="TextBox 1"/>
        <cdr:cNvSpPr txBox="1">
          <a:spLocks xmlns:a="http://schemas.openxmlformats.org/drawingml/2006/main" noChangeArrowheads="1"/>
        </cdr:cNvSpPr>
      </cdr:nvSpPr>
      <cdr:spPr bwMode="auto">
        <a:xfrm xmlns:a="http://schemas.openxmlformats.org/drawingml/2006/main">
          <a:off x="50800" y="50800"/>
          <a:ext cx="2463275" cy="29718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8"/>
              </a:solidFill>
              <a:miter lim="800000"/>
              <a:headEnd/>
              <a:tailEnd/>
            </a14:hiddenLine>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en-AU" sz="1000" b="1" i="0" u="none" strike="noStrike" baseline="0">
              <a:solidFill>
                <a:srgbClr val="000000"/>
              </a:solidFill>
              <a:latin typeface="Arial"/>
              <a:cs typeface="Arial"/>
            </a:rPr>
            <a:t>Shares of net job growth, 2001 to 2011</a:t>
          </a:r>
          <a:endParaRPr lang="en-AU"/>
        </a:p>
      </cdr:txBody>
    </cdr:sp>
  </cdr:relSizeAnchor>
</c:userShapes>
</file>

<file path=word/drawings/drawing7.xml><?xml version="1.0" encoding="utf-8"?>
<c:userShapes xmlns:c="http://schemas.openxmlformats.org/drawingml/2006/chart">
  <cdr:relSizeAnchor xmlns:cdr="http://schemas.openxmlformats.org/drawingml/2006/chartDrawing">
    <cdr:from>
      <cdr:x>0.03584</cdr:x>
      <cdr:y>0.00174</cdr:y>
    </cdr:from>
    <cdr:to>
      <cdr:x>0.96774</cdr:x>
      <cdr:y>0.10243</cdr:y>
    </cdr:to>
    <cdr:sp macro="" textlink="">
      <cdr:nvSpPr>
        <cdr:cNvPr id="2" name="TextBox 1"/>
        <cdr:cNvSpPr txBox="1"/>
      </cdr:nvSpPr>
      <cdr:spPr>
        <a:xfrm xmlns:a="http://schemas.openxmlformats.org/drawingml/2006/main">
          <a:off x="95250" y="4763"/>
          <a:ext cx="2476500" cy="2762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AU" sz="1000" b="1">
              <a:latin typeface="Arial" pitchFamily="34" charset="0"/>
              <a:cs typeface="Arial" pitchFamily="34" charset="0"/>
            </a:rPr>
            <a:t>Employment shares, 2001</a:t>
          </a:r>
        </a:p>
      </cdr:txBody>
    </cdr:sp>
  </cdr:relSizeAnchor>
</c:userShapes>
</file>

<file path=word/drawings/drawing8.xml><?xml version="1.0" encoding="utf-8"?>
<c:userShapes xmlns:c="http://schemas.openxmlformats.org/drawingml/2006/chart">
  <cdr:relSizeAnchor xmlns:cdr="http://schemas.openxmlformats.org/drawingml/2006/chartDrawing">
    <cdr:from>
      <cdr:x>0.03093</cdr:x>
      <cdr:y>0.00174</cdr:y>
    </cdr:from>
    <cdr:to>
      <cdr:x>0.97251</cdr:x>
      <cdr:y>0.09549</cdr:y>
    </cdr:to>
    <cdr:sp macro="" textlink="">
      <cdr:nvSpPr>
        <cdr:cNvPr id="2" name="TextBox 1"/>
        <cdr:cNvSpPr txBox="1"/>
      </cdr:nvSpPr>
      <cdr:spPr>
        <a:xfrm xmlns:a="http://schemas.openxmlformats.org/drawingml/2006/main">
          <a:off x="85725" y="4763"/>
          <a:ext cx="2609850" cy="2571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AU" sz="1000" b="1">
              <a:latin typeface="Arial" pitchFamily="34" charset="0"/>
              <a:cs typeface="Arial" pitchFamily="34" charset="0"/>
            </a:rPr>
            <a:t>Shares of</a:t>
          </a:r>
          <a:r>
            <a:rPr lang="en-AU" sz="1000" b="1" baseline="0">
              <a:latin typeface="Arial" pitchFamily="34" charset="0"/>
              <a:cs typeface="Arial" pitchFamily="34" charset="0"/>
            </a:rPr>
            <a:t> net job growth, 2001 to 2011</a:t>
          </a:r>
          <a:endParaRPr lang="en-AU" sz="1000" b="1">
            <a:latin typeface="Arial" pitchFamily="34" charset="0"/>
            <a:cs typeface="Arial" pitchFamily="34" charset="0"/>
          </a:endParaRPr>
        </a:p>
      </cdr:txBody>
    </cdr:sp>
  </cdr:relSizeAnchor>
</c:userShapes>
</file>

<file path=word/drawings/drawing9.xml><?xml version="1.0" encoding="utf-8"?>
<c:userShapes xmlns:c="http://schemas.openxmlformats.org/drawingml/2006/chart">
  <cdr:relSizeAnchor xmlns:cdr="http://schemas.openxmlformats.org/drawingml/2006/chartDrawing">
    <cdr:from>
      <cdr:x>0.01905</cdr:x>
      <cdr:y>0.0202</cdr:y>
    </cdr:from>
    <cdr:to>
      <cdr:x>0.84048</cdr:x>
      <cdr:y>0.12626</cdr:y>
    </cdr:to>
    <cdr:sp macro="" textlink="">
      <cdr:nvSpPr>
        <cdr:cNvPr id="2" name="TextBox 1"/>
        <cdr:cNvSpPr txBox="1"/>
      </cdr:nvSpPr>
      <cdr:spPr>
        <a:xfrm xmlns:a="http://schemas.openxmlformats.org/drawingml/2006/main">
          <a:off x="50800" y="50800"/>
          <a:ext cx="2190750" cy="266700"/>
        </a:xfrm>
        <a:prstGeom xmlns:a="http://schemas.openxmlformats.org/drawingml/2006/main" prst="rect">
          <a:avLst/>
        </a:prstGeom>
        <a:solidFill xmlns:a="http://schemas.openxmlformats.org/drawingml/2006/main">
          <a:schemeClr val="lt1"/>
        </a:solidFill>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p xmlns:a="http://schemas.openxmlformats.org/drawingml/2006/main">
          <a:pPr algn="ctr"/>
          <a:r>
            <a:rPr lang="en-AU" sz="1000" b="1">
              <a:latin typeface="Arial" pitchFamily="34" charset="0"/>
              <a:cs typeface="Arial" pitchFamily="34" charset="0"/>
            </a:rPr>
            <a:t>Employment shares, 2001</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CA7D3-045F-4A89-922F-52997FA2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552</TotalTime>
  <Pages>27</Pages>
  <Words>8312</Words>
  <Characters>45981</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Explaining prevalence changes</vt:lpstr>
    </vt:vector>
  </TitlesOfParts>
  <Company>Productivity Commission</Company>
  <LinksUpToDate>false</LinksUpToDate>
  <CharactersWithSpaces>54185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Explaining prevalence changes</dc:title>
  <dc:subject>Forms of work</dc:subject>
  <dc:creator>Productivity Commission</dc:creator>
  <cp:keywords/>
  <dc:description>4.</dc:description>
  <cp:lastModifiedBy>Will, Lou</cp:lastModifiedBy>
  <cp:revision>72</cp:revision>
  <cp:lastPrinted>2013-04-09T05:25:00Z</cp:lastPrinted>
  <dcterms:created xsi:type="dcterms:W3CDTF">2013-04-02T03:37:00Z</dcterms:created>
  <dcterms:modified xsi:type="dcterms:W3CDTF">2013-04-10T06:56:00Z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558035530</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