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F4731A" w:rsidP="00F4731A">
      <w:pPr>
        <w:pStyle w:val="Chapter"/>
        <w:ind w:left="907" w:hanging="907"/>
      </w:pPr>
      <w:bookmarkStart w:id="0" w:name="ChapterNumber"/>
      <w:bookmarkStart w:id="1" w:name="_AppendixNotByChapter"/>
      <w:bookmarkEnd w:id="1"/>
      <w:r>
        <w:t>A</w:t>
      </w:r>
      <w:bookmarkEnd w:id="0"/>
      <w:r>
        <w:tab/>
      </w:r>
      <w:bookmarkStart w:id="2" w:name="ChapterTitle"/>
      <w:r>
        <w:t>Data sources</w:t>
      </w:r>
      <w:bookmarkEnd w:id="2"/>
    </w:p>
    <w:p w:rsidR="002B7D67" w:rsidRDefault="002B7D67" w:rsidP="002B7D67">
      <w:pPr>
        <w:pStyle w:val="BodyText"/>
      </w:pPr>
      <w:bookmarkStart w:id="3" w:name="begin"/>
      <w:bookmarkEnd w:id="3"/>
      <w:r>
        <w:t>A number of data sets can be used to analyse changes in the prevalence of different forms of work (</w:t>
      </w:r>
      <w:proofErr w:type="spellStart"/>
      <w:r>
        <w:t>FOWs</w:t>
      </w:r>
      <w:proofErr w:type="spellEnd"/>
      <w:r>
        <w:t>) in Australia. The key ones covering the period of research interest are the:</w:t>
      </w:r>
    </w:p>
    <w:p w:rsidR="002B7D67" w:rsidRDefault="002B7D67" w:rsidP="002B7D67">
      <w:pPr>
        <w:pStyle w:val="ListBullet"/>
      </w:pPr>
      <w:r w:rsidRPr="0063249B">
        <w:rPr>
          <w:i/>
        </w:rPr>
        <w:t>Household, Income and Labour Dynamics in Australia</w:t>
      </w:r>
      <w:r>
        <w:t xml:space="preserve"> (H</w:t>
      </w:r>
      <w:r w:rsidRPr="00424AAB">
        <w:t>ILDA</w:t>
      </w:r>
      <w:r>
        <w:t>) survey</w:t>
      </w:r>
      <w:r w:rsidRPr="00424AAB">
        <w:t xml:space="preserve"> </w:t>
      </w:r>
      <w:r>
        <w:t>(with data avai</w:t>
      </w:r>
      <w:r w:rsidR="0039630C">
        <w:t>lable annually from 2001 to 2011 at the time of publication</w:t>
      </w:r>
      <w:r w:rsidR="0039630C">
        <w:rPr>
          <w:rStyle w:val="FootnoteReference"/>
        </w:rPr>
        <w:footnoteReference w:id="1"/>
      </w:r>
      <w:r>
        <w:t>)</w:t>
      </w:r>
    </w:p>
    <w:p w:rsidR="002B7D67" w:rsidRDefault="002B7D67" w:rsidP="002B7D67">
      <w:pPr>
        <w:pStyle w:val="ListBullet"/>
      </w:pPr>
      <w:r>
        <w:t>Australian Bureau of Statistics (ABS) collections</w:t>
      </w:r>
      <w:r w:rsidR="00D753F0">
        <w:t>,</w:t>
      </w:r>
      <w:r>
        <w:t xml:space="preserve"> including the:</w:t>
      </w:r>
    </w:p>
    <w:p w:rsidR="002B7D67" w:rsidRDefault="002B7D67" w:rsidP="002B7D67">
      <w:pPr>
        <w:pStyle w:val="ListBullet2"/>
      </w:pPr>
      <w:r w:rsidRPr="006D532C">
        <w:rPr>
          <w:i/>
        </w:rPr>
        <w:t>Labour Force Survey</w:t>
      </w:r>
      <w:r>
        <w:t xml:space="preserve"> (</w:t>
      </w:r>
      <w:proofErr w:type="spellStart"/>
      <w:r>
        <w:t>LFS</w:t>
      </w:r>
      <w:proofErr w:type="spellEnd"/>
      <w:r>
        <w:t>) (a quarterly collection from at least 1978), and relevant supplementary surveys:</w:t>
      </w:r>
    </w:p>
    <w:p w:rsidR="002B7D67" w:rsidRDefault="002B7D67" w:rsidP="002B7D67">
      <w:pPr>
        <w:pStyle w:val="ListBullet3"/>
      </w:pPr>
      <w:r w:rsidRPr="006D532C">
        <w:rPr>
          <w:i/>
        </w:rPr>
        <w:t>Forms of Employment</w:t>
      </w:r>
      <w:r>
        <w:t xml:space="preserve"> (FOE) survey (collected in 1998, and subsequently in 2001, 2004 and annually from 2006)</w:t>
      </w:r>
    </w:p>
    <w:p w:rsidR="002B7D67" w:rsidRDefault="002B7D67" w:rsidP="002B7D67">
      <w:pPr>
        <w:pStyle w:val="ListBullet3"/>
      </w:pPr>
      <w:r w:rsidRPr="006D532C">
        <w:rPr>
          <w:i/>
        </w:rPr>
        <w:t>Employee Earning</w:t>
      </w:r>
      <w:r>
        <w:rPr>
          <w:i/>
        </w:rPr>
        <w:t>s</w:t>
      </w:r>
      <w:r w:rsidRPr="006D532C">
        <w:rPr>
          <w:i/>
        </w:rPr>
        <w:t>, Benefits and Trade Union Membership</w:t>
      </w:r>
      <w:r>
        <w:t xml:space="preserve"> (</w:t>
      </w:r>
      <w:proofErr w:type="spellStart"/>
      <w:r>
        <w:t>EEBTUM</w:t>
      </w:r>
      <w:proofErr w:type="spellEnd"/>
      <w:r>
        <w:t xml:space="preserve">) survey (collected annually from 1975 (under the title </w:t>
      </w:r>
      <w:r w:rsidRPr="002F6188">
        <w:rPr>
          <w:i/>
        </w:rPr>
        <w:t>Weekly Earnings of Employees</w:t>
      </w:r>
      <w:r>
        <w:t xml:space="preserve"> prior to 1999)).</w:t>
      </w:r>
    </w:p>
    <w:p w:rsidR="002B7D67" w:rsidRDefault="002B7D67" w:rsidP="002B7D67">
      <w:pPr>
        <w:pStyle w:val="BodyText"/>
      </w:pPr>
      <w:r>
        <w:t>Given the research focus of the report, an ideal source would:</w:t>
      </w:r>
    </w:p>
    <w:p w:rsidR="002B7D67" w:rsidRDefault="002B7D67" w:rsidP="002B7D67">
      <w:pPr>
        <w:pStyle w:val="ListBullet"/>
      </w:pPr>
      <w:r>
        <w:t>include in</w:t>
      </w:r>
      <w:r w:rsidR="00D753F0">
        <w:t xml:space="preserve">formation on each </w:t>
      </w:r>
      <w:proofErr w:type="spellStart"/>
      <w:r w:rsidR="00D753F0">
        <w:t>FOW</w:t>
      </w:r>
      <w:proofErr w:type="spellEnd"/>
    </w:p>
    <w:p w:rsidR="002B7D67" w:rsidRDefault="002B7D67" w:rsidP="002B7D67">
      <w:pPr>
        <w:pStyle w:val="ListBullet"/>
      </w:pPr>
      <w:r>
        <w:t>include a range of other variables relating to the characteristics of individuals and their employment — for example, demographic information, hours, industry an</w:t>
      </w:r>
      <w:r w:rsidR="00AE3314">
        <w:t>d occupation of work, and</w:t>
      </w:r>
      <w:r>
        <w:t xml:space="preserve"> employer (that is, firm</w:t>
      </w:r>
      <w:r>
        <w:noBreakHyphen/>
        <w:t>level) characteristics</w:t>
      </w:r>
    </w:p>
    <w:p w:rsidR="002B7D67" w:rsidRDefault="002B7D67" w:rsidP="002B7D67">
      <w:pPr>
        <w:pStyle w:val="ListBullet"/>
      </w:pPr>
      <w:r>
        <w:t>be collected regularly with consistent definitions, over a number of years, and at the same point in each year (to avoid seasonality issues)</w:t>
      </w:r>
    </w:p>
    <w:p w:rsidR="002B7D67" w:rsidRDefault="002B7D67" w:rsidP="002B7D67">
      <w:pPr>
        <w:pStyle w:val="ListBullet"/>
      </w:pPr>
      <w:r>
        <w:t>enable the calculation of population representative estimates</w:t>
      </w:r>
    </w:p>
    <w:p w:rsidR="002B7D67" w:rsidRDefault="002B7D67" w:rsidP="002B7D67">
      <w:pPr>
        <w:pStyle w:val="ListBullet"/>
      </w:pPr>
      <w:r>
        <w:t>contain sufficient observations to support the derivation of reliable estimates of concepts of interest.</w:t>
      </w:r>
    </w:p>
    <w:p w:rsidR="002B7D67" w:rsidRDefault="002B7D67" w:rsidP="002B7D67">
      <w:pPr>
        <w:pStyle w:val="BodyText"/>
      </w:pPr>
      <w:r>
        <w:t>In this appendix, strengths and weaknesses of the available sources for estimating changes in prevalence (section </w:t>
      </w:r>
      <w:proofErr w:type="spellStart"/>
      <w:r>
        <w:t>A.1</w:t>
      </w:r>
      <w:proofErr w:type="spellEnd"/>
      <w:r>
        <w:t xml:space="preserve">) and </w:t>
      </w:r>
      <w:r w:rsidR="00D753F0">
        <w:t xml:space="preserve">for estimating </w:t>
      </w:r>
      <w:r w:rsidR="00AE3314">
        <w:t>shift–</w:t>
      </w:r>
      <w:r>
        <w:t>share decompositions of those changes (section </w:t>
      </w:r>
      <w:proofErr w:type="spellStart"/>
      <w:r>
        <w:t>A.2</w:t>
      </w:r>
      <w:proofErr w:type="spellEnd"/>
      <w:r>
        <w:t>) are described</w:t>
      </w:r>
      <w:r w:rsidR="00312A43">
        <w:t xml:space="preserve"> taking into account the criteria listed above</w:t>
      </w:r>
      <w:r>
        <w:t>.</w:t>
      </w:r>
    </w:p>
    <w:p w:rsidR="002B7D67" w:rsidRDefault="002B7D67" w:rsidP="002B7D67">
      <w:pPr>
        <w:pStyle w:val="Heading2"/>
      </w:pPr>
      <w:r>
        <w:lastRenderedPageBreak/>
        <w:fldChar w:fldCharType="begin"/>
      </w:r>
      <w:r>
        <w:instrText xml:space="preserve"> COMMENTS  \* MERGEFORMAT </w:instrText>
      </w:r>
      <w:r>
        <w:fldChar w:fldCharType="separate"/>
      </w:r>
      <w:proofErr w:type="spellStart"/>
      <w:r w:rsidR="00F4731A">
        <w:t>A.</w:t>
      </w:r>
      <w:r>
        <w:fldChar w:fldCharType="end"/>
      </w:r>
      <w:r>
        <w:fldChar w:fldCharType="begin"/>
      </w:r>
      <w:r>
        <w:instrText xml:space="preserve"> SEQ Heading2 </w:instrText>
      </w:r>
      <w:r>
        <w:fldChar w:fldCharType="separate"/>
      </w:r>
      <w:r w:rsidR="00F4731A">
        <w:rPr>
          <w:noProof/>
        </w:rPr>
        <w:t>1</w:t>
      </w:r>
      <w:proofErr w:type="spellEnd"/>
      <w:r>
        <w:rPr>
          <w:noProof/>
        </w:rPr>
        <w:fldChar w:fldCharType="end"/>
      </w:r>
      <w:r>
        <w:tab/>
        <w:t xml:space="preserve">Data </w:t>
      </w:r>
      <w:r w:rsidR="00312A43">
        <w:t>that might be used in</w:t>
      </w:r>
      <w:r>
        <w:t xml:space="preserve"> estimating changes in prevalence</w:t>
      </w:r>
    </w:p>
    <w:p w:rsidR="002B7D67" w:rsidRDefault="002B7D67" w:rsidP="00D753F0">
      <w:pPr>
        <w:pStyle w:val="Heading3"/>
        <w:spacing w:before="280"/>
      </w:pPr>
      <w:r>
        <w:t>The HILDA survey</w:t>
      </w:r>
    </w:p>
    <w:p w:rsidR="002B7D67" w:rsidRDefault="002B7D67" w:rsidP="002B7D67">
      <w:pPr>
        <w:pStyle w:val="BodyText"/>
      </w:pPr>
      <w:r>
        <w:t xml:space="preserve">The </w:t>
      </w:r>
      <w:r w:rsidRPr="00D56F12">
        <w:t>HILDA</w:t>
      </w:r>
      <w:r>
        <w:t xml:space="preserve"> survey has been run annually since 2001. Questions relating to survey respondents’ </w:t>
      </w:r>
      <w:proofErr w:type="spellStart"/>
      <w:r>
        <w:t>FOWs</w:t>
      </w:r>
      <w:proofErr w:type="spellEnd"/>
      <w:r>
        <w:t>, and many characteristics of their employment, have been asked on a consistent basis, and in the same months, of each year. Furthermore, data are collected directly from each individual in the sample.</w:t>
      </w:r>
      <w:r>
        <w:rPr>
          <w:rStyle w:val="FootnoteReference"/>
        </w:rPr>
        <w:footnoteReference w:id="2"/>
      </w:r>
    </w:p>
    <w:p w:rsidR="002B7D67" w:rsidRDefault="002B7D67" w:rsidP="002B7D67">
      <w:pPr>
        <w:pStyle w:val="BodyText"/>
      </w:pPr>
      <w:r>
        <w:t>The HILDA survey also has a number of drawbacks:</w:t>
      </w:r>
    </w:p>
    <w:p w:rsidR="002B7D67" w:rsidRDefault="002B7D67" w:rsidP="002B7D67">
      <w:pPr>
        <w:pStyle w:val="ListBullet"/>
      </w:pPr>
      <w:r>
        <w:t>Data are not available before 2001.</w:t>
      </w:r>
    </w:p>
    <w:p w:rsidR="002B7D67" w:rsidRDefault="002B7D67" w:rsidP="002B7D67">
      <w:pPr>
        <w:pStyle w:val="ListBullet"/>
      </w:pPr>
      <w:r>
        <w:t>The sample size is relatively small (8665 employed persons in 2010) — as a result cross tabulations for some variables have high standard errors.</w:t>
      </w:r>
    </w:p>
    <w:p w:rsidR="002B7D67" w:rsidRDefault="002B7D67" w:rsidP="002B7D67">
      <w:pPr>
        <w:pStyle w:val="ListBullet"/>
      </w:pPr>
      <w:r>
        <w:t xml:space="preserve">Information on independent contractors has </w:t>
      </w:r>
      <w:r w:rsidR="00AE3314">
        <w:t xml:space="preserve">been collected only since 2008 </w:t>
      </w:r>
      <w:r>
        <w:t>and only one q</w:t>
      </w:r>
      <w:r w:rsidR="00AE3314">
        <w:t xml:space="preserve">uestion is asked about this </w:t>
      </w:r>
      <w:proofErr w:type="spellStart"/>
      <w:r w:rsidR="00AE3314">
        <w:t>FOW</w:t>
      </w:r>
      <w:proofErr w:type="spellEnd"/>
      <w:r>
        <w:t>.</w:t>
      </w:r>
    </w:p>
    <w:p w:rsidR="002B7D67" w:rsidRDefault="002B7D67" w:rsidP="002B7D67">
      <w:pPr>
        <w:pStyle w:val="ListBullet"/>
      </w:pPr>
      <w:r>
        <w:t>A question on labour hire employment is asked only of people who identify as employees.</w:t>
      </w:r>
    </w:p>
    <w:p w:rsidR="002B7D67" w:rsidRDefault="002B7D67" w:rsidP="002B7D67">
      <w:pPr>
        <w:pStyle w:val="ListBullet"/>
      </w:pPr>
      <w:r>
        <w:t>Professionals were over</w:t>
      </w:r>
      <w:r>
        <w:noBreakHyphen/>
        <w:t>represented in the initial sample and employment of professionals and labourers grew more slowly between 2001 and 2010 than ABS sources suggest, and clerical and administrative workers more rapidly — raising a question mark over the population representativeness of the data.</w:t>
      </w:r>
    </w:p>
    <w:p w:rsidR="00312A43" w:rsidRPr="00A93CB4" w:rsidRDefault="00312A43" w:rsidP="00312A43">
      <w:pPr>
        <w:pStyle w:val="ListBullet"/>
        <w:rPr>
          <w:spacing w:val="-2"/>
        </w:rPr>
      </w:pPr>
      <w:r>
        <w:rPr>
          <w:spacing w:val="-2"/>
        </w:rPr>
        <w:t>T</w:t>
      </w:r>
      <w:r w:rsidRPr="00A93CB4">
        <w:rPr>
          <w:spacing w:val="-2"/>
        </w:rPr>
        <w:t xml:space="preserve">he sample </w:t>
      </w:r>
      <w:r w:rsidR="003E53B0">
        <w:rPr>
          <w:spacing w:val="-2"/>
        </w:rPr>
        <w:t>in waves 1 to 10 was</w:t>
      </w:r>
      <w:r w:rsidRPr="00A93CB4">
        <w:rPr>
          <w:spacing w:val="-2"/>
        </w:rPr>
        <w:t xml:space="preserve"> not topped up with new immigrants, or residents returning from overseas who were not included in the initial sample. This means </w:t>
      </w:r>
      <w:r>
        <w:rPr>
          <w:spacing w:val="-2"/>
        </w:rPr>
        <w:t xml:space="preserve">that </w:t>
      </w:r>
      <w:r w:rsidRPr="00A93CB4">
        <w:rPr>
          <w:spacing w:val="-2"/>
        </w:rPr>
        <w:t xml:space="preserve">the HILDA data </w:t>
      </w:r>
      <w:r w:rsidR="003E53B0">
        <w:rPr>
          <w:spacing w:val="-2"/>
        </w:rPr>
        <w:t>potentially became</w:t>
      </w:r>
      <w:r w:rsidRPr="00A93CB4">
        <w:rPr>
          <w:spacing w:val="-2"/>
        </w:rPr>
        <w:t xml:space="preserve"> less representative of the population over </w:t>
      </w:r>
      <w:r w:rsidR="003E53B0">
        <w:rPr>
          <w:spacing w:val="-2"/>
        </w:rPr>
        <w:t>this period</w:t>
      </w:r>
      <w:r w:rsidR="003E53B0" w:rsidRPr="00A93CB4">
        <w:rPr>
          <w:spacing w:val="-2"/>
        </w:rPr>
        <w:t xml:space="preserve"> </w:t>
      </w:r>
      <w:r w:rsidRPr="00A93CB4">
        <w:rPr>
          <w:spacing w:val="-2"/>
        </w:rPr>
        <w:t>(box</w:t>
      </w:r>
      <w:r>
        <w:rPr>
          <w:spacing w:val="-2"/>
        </w:rPr>
        <w:t> </w:t>
      </w:r>
      <w:proofErr w:type="spellStart"/>
      <w:r w:rsidRPr="00A93CB4">
        <w:rPr>
          <w:spacing w:val="-2"/>
        </w:rPr>
        <w:t>A.1</w:t>
      </w:r>
      <w:proofErr w:type="spellEnd"/>
      <w:r w:rsidRPr="00A93CB4">
        <w:rPr>
          <w:spacing w:val="-2"/>
        </w:rPr>
        <w:t>)</w:t>
      </w:r>
      <w:r>
        <w:rPr>
          <w:spacing w:val="-2"/>
        </w:rPr>
        <w:t>.</w:t>
      </w:r>
    </w:p>
    <w:p w:rsidR="002B7D67" w:rsidRDefault="002B7D67" w:rsidP="002B7D67">
      <w:pPr>
        <w:pStyle w:val="BodyText"/>
      </w:pPr>
      <w:r>
        <w:t xml:space="preserve">Given these characteristics, data from ABS sources were preferred for much of the analysis, with HILDA survey data used to </w:t>
      </w:r>
      <w:proofErr w:type="spellStart"/>
      <w:r>
        <w:t>cross</w:t>
      </w:r>
      <w:r>
        <w:noBreakHyphen/>
        <w:t>check</w:t>
      </w:r>
      <w:proofErr w:type="spellEnd"/>
      <w:r>
        <w:t xml:space="preserve"> conclusions.</w:t>
      </w:r>
    </w:p>
    <w:p w:rsidR="002B7D67" w:rsidRDefault="002B7D67" w:rsidP="002B7D67">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2B7D67" w:rsidTr="00312A43">
        <w:tc>
          <w:tcPr>
            <w:tcW w:w="8771" w:type="dxa"/>
            <w:tcBorders>
              <w:top w:val="single" w:sz="6" w:space="0" w:color="auto"/>
              <w:bottom w:val="nil"/>
            </w:tcBorders>
          </w:tcPr>
          <w:p w:rsidR="002B7D67" w:rsidRDefault="002B7D67" w:rsidP="00312A43">
            <w:pPr>
              <w:pStyle w:val="BoxTitle"/>
            </w:pPr>
            <w:r>
              <w:rPr>
                <w:b w:val="0"/>
              </w:rPr>
              <w:t xml:space="preserve">Box </w:t>
            </w:r>
            <w:proofErr w:type="spellStart"/>
            <w:r>
              <w:rPr>
                <w:b w:val="0"/>
              </w:rPr>
              <w:t>A.</w:t>
            </w:r>
            <w:r>
              <w:rPr>
                <w:b w:val="0"/>
                <w:noProof/>
              </w:rPr>
              <w:t>1</w:t>
            </w:r>
            <w:proofErr w:type="spellEnd"/>
            <w:r>
              <w:tab/>
              <w:t>Under-representation of recent arrivals in the HILDA survey</w:t>
            </w:r>
          </w:p>
        </w:tc>
      </w:tr>
      <w:tr w:rsidR="002B7D67" w:rsidTr="00312A43">
        <w:trPr>
          <w:cantSplit/>
        </w:trPr>
        <w:tc>
          <w:tcPr>
            <w:tcW w:w="8771" w:type="dxa"/>
            <w:tcBorders>
              <w:top w:val="nil"/>
              <w:left w:val="single" w:sz="6" w:space="0" w:color="auto"/>
              <w:bottom w:val="nil"/>
              <w:right w:val="single" w:sz="6" w:space="0" w:color="auto"/>
            </w:tcBorders>
          </w:tcPr>
          <w:p w:rsidR="00574AC9" w:rsidRDefault="00F70843" w:rsidP="00312A43">
            <w:pPr>
              <w:pStyle w:val="Box"/>
            </w:pPr>
            <w:r>
              <w:t xml:space="preserve">No new households </w:t>
            </w:r>
            <w:r w:rsidR="00574AC9">
              <w:t>were</w:t>
            </w:r>
            <w:r>
              <w:t xml:space="preserve"> added to the HILDA survey sample </w:t>
            </w:r>
            <w:r w:rsidR="00574AC9">
              <w:t>in the first ten waves of the survey</w:t>
            </w:r>
            <w:r>
              <w:t>.</w:t>
            </w:r>
            <w:r w:rsidR="00574AC9">
              <w:t xml:space="preserve"> (The sample was replenished with 2153 additional households in the 11</w:t>
            </w:r>
            <w:r w:rsidR="00574AC9" w:rsidRPr="00F4731A">
              <w:rPr>
                <w:vertAlign w:val="superscript"/>
              </w:rPr>
              <w:t>th</w:t>
            </w:r>
            <w:r w:rsidR="00737B16">
              <w:t xml:space="preserve"> wave. A lack of recent immigrants was one motivation for topping up the sample (Watson (2012)</w:t>
            </w:r>
            <w:r w:rsidR="00574AC9">
              <w:t>)</w:t>
            </w:r>
            <w:r w:rsidR="00737B16">
              <w:t>.</w:t>
            </w:r>
            <w:r>
              <w:t xml:space="preserve"> </w:t>
            </w:r>
            <w:r w:rsidR="009B28FE">
              <w:t>During waves one to ten, i</w:t>
            </w:r>
            <w:r w:rsidR="00574AC9">
              <w:t>mmigrants</w:t>
            </w:r>
            <w:r w:rsidR="009B28FE">
              <w:t xml:space="preserve"> </w:t>
            </w:r>
            <w:r w:rsidR="00574AC9">
              <w:t>could only enter the sample if they formed a household with a ‘continuing sample member’ — defined to include all members of households included in wave 1, their children born or adopted post</w:t>
            </w:r>
            <w:r w:rsidR="00574AC9">
              <w:noBreakHyphen/>
              <w:t xml:space="preserve">wave 1 and </w:t>
            </w:r>
            <w:r w:rsidR="003953B3">
              <w:t>any new entrant to a household</w:t>
            </w:r>
            <w:r w:rsidR="00574AC9">
              <w:t xml:space="preserve"> who </w:t>
            </w:r>
            <w:r w:rsidR="003953B3">
              <w:t>has</w:t>
            </w:r>
            <w:r w:rsidR="00574AC9">
              <w:t xml:space="preserve"> a child with a continuing sample member.</w:t>
            </w:r>
          </w:p>
          <w:p w:rsidR="002B7D67" w:rsidRDefault="00574AC9" w:rsidP="00312A43">
            <w:pPr>
              <w:pStyle w:val="Box"/>
            </w:pPr>
            <w:r>
              <w:t xml:space="preserve">Recently arrived immigrants </w:t>
            </w:r>
            <w:r w:rsidR="009B28FE">
              <w:t>we</w:t>
            </w:r>
            <w:r w:rsidR="003953B3">
              <w:t xml:space="preserve">re </w:t>
            </w:r>
            <w:r>
              <w:t>increasingly under</w:t>
            </w:r>
            <w:r>
              <w:noBreakHyphen/>
              <w:t>represented across waves one to ten</w:t>
            </w:r>
            <w:r w:rsidR="003953B3">
              <w:t xml:space="preserve"> of the survey</w:t>
            </w:r>
            <w:r w:rsidR="009B28FE">
              <w:t xml:space="preserve"> (Watson 2012)</w:t>
            </w:r>
            <w:r w:rsidR="00F70843">
              <w:t xml:space="preserve">. </w:t>
            </w:r>
            <w:r w:rsidR="002B7D67">
              <w:t>On a weighted basis, the 10</w:t>
            </w:r>
            <w:r w:rsidR="002B7D67" w:rsidRPr="008E18E5">
              <w:rPr>
                <w:vertAlign w:val="superscript"/>
              </w:rPr>
              <w:t>th</w:t>
            </w:r>
            <w:r w:rsidR="002B7D67">
              <w:t xml:space="preserve"> wave of the HILDA survey contains 355 000 immigrants who </w:t>
            </w:r>
            <w:r w:rsidR="00D753F0">
              <w:t>arrived between 2001 and 2009 (Commission</w:t>
            </w:r>
            <w:r w:rsidR="002B7D67">
              <w:t xml:space="preserve"> estimates based on the HILDA survey, release 10). In contrast, in 2009</w:t>
            </w:r>
            <w:r w:rsidR="002B7D67">
              <w:noBreakHyphen/>
              <w:t>10 alone, permanent and long</w:t>
            </w:r>
            <w:r w:rsidR="002B7D67">
              <w:noBreakHyphen/>
              <w:t>term arrivals (excluding returning Australian</w:t>
            </w:r>
            <w:r w:rsidR="001F2C3F">
              <w:t xml:space="preserve"> residents</w:t>
            </w:r>
            <w:r w:rsidR="002B7D67">
              <w:t>) numbered around 500 000 (</w:t>
            </w:r>
            <w:proofErr w:type="spellStart"/>
            <w:r w:rsidR="002B7D67">
              <w:t>DIAC</w:t>
            </w:r>
            <w:proofErr w:type="spellEnd"/>
            <w:r w:rsidR="002B7D67">
              <w:t xml:space="preserve"> 2011). To the extent that recent </w:t>
            </w:r>
            <w:r w:rsidR="007C52C9">
              <w:t xml:space="preserve">arrivals </w:t>
            </w:r>
            <w:r w:rsidR="002B7D67">
              <w:t xml:space="preserve">are different from </w:t>
            </w:r>
            <w:r w:rsidR="007C52C9">
              <w:t>the population that they join</w:t>
            </w:r>
            <w:r w:rsidR="002B7D67">
              <w:t>,</w:t>
            </w:r>
            <w:r w:rsidR="007C52C9">
              <w:t xml:space="preserve"> their under</w:t>
            </w:r>
            <w:r w:rsidR="007C52C9">
              <w:noBreakHyphen/>
              <w:t xml:space="preserve">representation in </w:t>
            </w:r>
            <w:r w:rsidR="002B7D67">
              <w:t xml:space="preserve">the HILDA survey </w:t>
            </w:r>
            <w:r w:rsidR="007C52C9">
              <w:t xml:space="preserve">means that it </w:t>
            </w:r>
            <w:r w:rsidR="003953B3">
              <w:t>became</w:t>
            </w:r>
            <w:r w:rsidR="002B7D67">
              <w:t xml:space="preserve"> less representative of the population </w:t>
            </w:r>
            <w:r w:rsidR="003953B3">
              <w:t>between 2001 and 2010</w:t>
            </w:r>
            <w:r w:rsidR="002B7D67">
              <w:t>.</w:t>
            </w:r>
          </w:p>
          <w:p w:rsidR="002B7D67" w:rsidRPr="00A34F26" w:rsidRDefault="002B7D67" w:rsidP="00312A43">
            <w:pPr>
              <w:pStyle w:val="Box"/>
              <w:rPr>
                <w:spacing w:val="-2"/>
              </w:rPr>
            </w:pPr>
            <w:r w:rsidRPr="00A34F26">
              <w:rPr>
                <w:spacing w:val="-2"/>
              </w:rPr>
              <w:t xml:space="preserve">For example, a comparison of the working arrangements of immigrants </w:t>
            </w:r>
            <w:r w:rsidR="007E29AD">
              <w:rPr>
                <w:spacing w:val="-2"/>
              </w:rPr>
              <w:t xml:space="preserve">who arrived </w:t>
            </w:r>
            <w:r w:rsidRPr="00A34F26">
              <w:rPr>
                <w:spacing w:val="-2"/>
              </w:rPr>
              <w:t xml:space="preserve">in </w:t>
            </w:r>
            <w:r w:rsidR="007E29AD">
              <w:rPr>
                <w:spacing w:val="-2"/>
              </w:rPr>
              <w:t xml:space="preserve">Australia in </w:t>
            </w:r>
            <w:r w:rsidRPr="00A34F26">
              <w:rPr>
                <w:spacing w:val="-2"/>
              </w:rPr>
              <w:t xml:space="preserve">the 10 years to 2001 with the rest of the population reveals that </w:t>
            </w:r>
            <w:r w:rsidR="007E29AD">
              <w:rPr>
                <w:spacing w:val="-2"/>
              </w:rPr>
              <w:t>the immigrants</w:t>
            </w:r>
            <w:r w:rsidRPr="00A34F26">
              <w:rPr>
                <w:spacing w:val="-2"/>
              </w:rPr>
              <w:t xml:space="preserve"> were more likely to be employed as casuals, and less likely to work in </w:t>
            </w:r>
            <w:r w:rsidR="001F2C3F">
              <w:rPr>
                <w:spacing w:val="-2"/>
              </w:rPr>
              <w:t>permanent employee</w:t>
            </w:r>
            <w:r w:rsidR="001F2C3F" w:rsidRPr="00A34F26">
              <w:rPr>
                <w:spacing w:val="-2"/>
              </w:rPr>
              <w:t xml:space="preserve"> </w:t>
            </w:r>
            <w:r w:rsidRPr="00A34F26">
              <w:rPr>
                <w:spacing w:val="-2"/>
              </w:rPr>
              <w:t xml:space="preserve">roles or run unincorporated businesses. Assuming that arrivals between 2001 and 2010 </w:t>
            </w:r>
            <w:r w:rsidR="007C52C9">
              <w:rPr>
                <w:spacing w:val="-2"/>
              </w:rPr>
              <w:t>entered</w:t>
            </w:r>
            <w:r w:rsidR="007C52C9" w:rsidRPr="00A34F26">
              <w:rPr>
                <w:spacing w:val="-2"/>
              </w:rPr>
              <w:t xml:space="preserve"> </w:t>
            </w:r>
            <w:r w:rsidR="007C52C9">
              <w:rPr>
                <w:spacing w:val="-2"/>
              </w:rPr>
              <w:t xml:space="preserve">similar </w:t>
            </w:r>
            <w:r w:rsidR="00D753F0">
              <w:rPr>
                <w:spacing w:val="-2"/>
              </w:rPr>
              <w:t>forms of work</w:t>
            </w:r>
            <w:r w:rsidR="007C52C9">
              <w:rPr>
                <w:spacing w:val="-2"/>
              </w:rPr>
              <w:t xml:space="preserve"> </w:t>
            </w:r>
            <w:r w:rsidRPr="00A34F26">
              <w:rPr>
                <w:spacing w:val="-2"/>
              </w:rPr>
              <w:t xml:space="preserve">to </w:t>
            </w:r>
            <w:r w:rsidR="00D753F0">
              <w:rPr>
                <w:spacing w:val="-2"/>
              </w:rPr>
              <w:t xml:space="preserve">those of </w:t>
            </w:r>
            <w:r w:rsidR="007C52C9">
              <w:rPr>
                <w:spacing w:val="-2"/>
              </w:rPr>
              <w:t>immigrants who arrived</w:t>
            </w:r>
            <w:r w:rsidR="007C52C9" w:rsidRPr="00A34F26">
              <w:rPr>
                <w:spacing w:val="-2"/>
              </w:rPr>
              <w:t xml:space="preserve"> </w:t>
            </w:r>
            <w:r w:rsidRPr="00A34F26">
              <w:rPr>
                <w:spacing w:val="-2"/>
              </w:rPr>
              <w:t>in the preceding decade</w:t>
            </w:r>
            <w:r w:rsidR="007120E9">
              <w:rPr>
                <w:spacing w:val="-2"/>
              </w:rPr>
              <w:t>,</w:t>
            </w:r>
            <w:r w:rsidR="007E29AD">
              <w:rPr>
                <w:spacing w:val="-2"/>
              </w:rPr>
              <w:t xml:space="preserve"> HILDA is likely </w:t>
            </w:r>
            <w:r w:rsidR="007120E9">
              <w:rPr>
                <w:spacing w:val="-2"/>
              </w:rPr>
              <w:t xml:space="preserve">to have increasingly understated </w:t>
            </w:r>
            <w:r w:rsidR="007E29AD">
              <w:rPr>
                <w:spacing w:val="-2"/>
              </w:rPr>
              <w:t xml:space="preserve">the number of </w:t>
            </w:r>
            <w:r w:rsidR="00D753F0">
              <w:rPr>
                <w:spacing w:val="-2"/>
              </w:rPr>
              <w:t>casual employees</w:t>
            </w:r>
            <w:r w:rsidRPr="00A34F26">
              <w:rPr>
                <w:spacing w:val="-2"/>
              </w:rPr>
              <w:t xml:space="preserve"> </w:t>
            </w:r>
            <w:r w:rsidR="007120E9">
              <w:rPr>
                <w:spacing w:val="-2"/>
              </w:rPr>
              <w:t xml:space="preserve">as the decade progressed, </w:t>
            </w:r>
            <w:r w:rsidRPr="00A34F26">
              <w:rPr>
                <w:spacing w:val="-2"/>
              </w:rPr>
              <w:t xml:space="preserve">and </w:t>
            </w:r>
            <w:r w:rsidR="007E29AD">
              <w:rPr>
                <w:spacing w:val="-2"/>
              </w:rPr>
              <w:t>overstate</w:t>
            </w:r>
            <w:r w:rsidR="007120E9">
              <w:rPr>
                <w:spacing w:val="-2"/>
              </w:rPr>
              <w:t>d</w:t>
            </w:r>
            <w:r w:rsidR="007E29AD">
              <w:rPr>
                <w:spacing w:val="-2"/>
              </w:rPr>
              <w:t xml:space="preserve"> </w:t>
            </w:r>
            <w:r w:rsidR="00D753F0">
              <w:rPr>
                <w:spacing w:val="-2"/>
              </w:rPr>
              <w:t>the</w:t>
            </w:r>
            <w:r w:rsidRPr="00A34F26">
              <w:rPr>
                <w:spacing w:val="-2"/>
              </w:rPr>
              <w:t xml:space="preserve"> </w:t>
            </w:r>
            <w:r w:rsidR="007E29AD">
              <w:rPr>
                <w:spacing w:val="-2"/>
              </w:rPr>
              <w:t>numbers</w:t>
            </w:r>
            <w:r w:rsidR="007E29AD" w:rsidRPr="00A34F26">
              <w:rPr>
                <w:spacing w:val="-2"/>
              </w:rPr>
              <w:t xml:space="preserve"> </w:t>
            </w:r>
            <w:r w:rsidRPr="00A34F26">
              <w:rPr>
                <w:spacing w:val="-2"/>
              </w:rPr>
              <w:t xml:space="preserve">of </w:t>
            </w:r>
            <w:r w:rsidR="00A34F26" w:rsidRPr="00A34F26">
              <w:rPr>
                <w:spacing w:val="-2"/>
              </w:rPr>
              <w:t xml:space="preserve">permanent </w:t>
            </w:r>
            <w:r w:rsidR="00D753F0">
              <w:rPr>
                <w:spacing w:val="-2"/>
              </w:rPr>
              <w:t xml:space="preserve">employees and owner </w:t>
            </w:r>
            <w:r w:rsidRPr="00A34F26">
              <w:rPr>
                <w:spacing w:val="-2"/>
              </w:rPr>
              <w:t>managers of un</w:t>
            </w:r>
            <w:r w:rsidR="00D753F0">
              <w:rPr>
                <w:spacing w:val="-2"/>
              </w:rPr>
              <w:t>incorporated enterprises</w:t>
            </w:r>
            <w:r w:rsidRPr="00A34F26">
              <w:rPr>
                <w:spacing w:val="-2"/>
              </w:rPr>
              <w:t xml:space="preserve">. The magnitude of the biases will depend on the share of the recent immigrant cohort in the workforce. </w:t>
            </w:r>
            <w:r w:rsidR="007120E9">
              <w:rPr>
                <w:spacing w:val="-2"/>
              </w:rPr>
              <w:t>This share appear</w:t>
            </w:r>
            <w:r w:rsidR="00D753F0">
              <w:rPr>
                <w:spacing w:val="-2"/>
              </w:rPr>
              <w:t>s</w:t>
            </w:r>
            <w:r w:rsidR="007120E9">
              <w:rPr>
                <w:spacing w:val="-2"/>
              </w:rPr>
              <w:t xml:space="preserve"> to have been significant. In 2011, the overseas born</w:t>
            </w:r>
            <w:r w:rsidR="007E29AD">
              <w:rPr>
                <w:spacing w:val="-2"/>
              </w:rPr>
              <w:t xml:space="preserve"> occupied</w:t>
            </w:r>
            <w:r w:rsidR="007E29AD" w:rsidRPr="000C33FE">
              <w:t xml:space="preserve"> 40 per cent of net jobs added to the economy</w:t>
            </w:r>
            <w:r w:rsidR="007E29AD" w:rsidRPr="00A34F26" w:rsidDel="007E29AD">
              <w:rPr>
                <w:spacing w:val="-2"/>
              </w:rPr>
              <w:t xml:space="preserve"> </w:t>
            </w:r>
            <w:r w:rsidR="007120E9">
              <w:rPr>
                <w:spacing w:val="-2"/>
              </w:rPr>
              <w:t>in the preceding decade, in contrast with an employment share in 2001 of 24 per cent.</w:t>
            </w:r>
          </w:p>
          <w:p w:rsidR="002B7D67" w:rsidRDefault="002B7D67" w:rsidP="00AE3314">
            <w:pPr>
              <w:pStyle w:val="Box"/>
            </w:pPr>
            <w:r>
              <w:t xml:space="preserve">The assumption of similarity between immigrant cohorts </w:t>
            </w:r>
            <w:r w:rsidR="00AE3314">
              <w:t>before and after 2001</w:t>
            </w:r>
            <w:r>
              <w:t xml:space="preserve"> merits testing in future research. A greater focus on skilled migration in recent years, and on the English language ability of arrivals, suggests that this assumption might </w:t>
            </w:r>
            <w:r w:rsidR="00312A43">
              <w:t>not be appropriate</w:t>
            </w:r>
            <w:r>
              <w:t>.</w:t>
            </w:r>
          </w:p>
        </w:tc>
      </w:tr>
      <w:tr w:rsidR="002B7D67" w:rsidTr="00312A43">
        <w:trPr>
          <w:cantSplit/>
        </w:trPr>
        <w:tc>
          <w:tcPr>
            <w:tcW w:w="8771" w:type="dxa"/>
            <w:tcBorders>
              <w:top w:val="nil"/>
              <w:left w:val="single" w:sz="6" w:space="0" w:color="auto"/>
              <w:bottom w:val="single" w:sz="6" w:space="0" w:color="auto"/>
              <w:right w:val="single" w:sz="6" w:space="0" w:color="auto"/>
            </w:tcBorders>
          </w:tcPr>
          <w:p w:rsidR="002B7D67" w:rsidRDefault="002B7D67" w:rsidP="00312A43">
            <w:pPr>
              <w:pStyle w:val="Box"/>
              <w:spacing w:before="0" w:line="120" w:lineRule="exact"/>
            </w:pPr>
          </w:p>
        </w:tc>
      </w:tr>
      <w:tr w:rsidR="002B7D67" w:rsidRPr="000863A5" w:rsidTr="00312A43">
        <w:tc>
          <w:tcPr>
            <w:tcW w:w="8771" w:type="dxa"/>
            <w:tcBorders>
              <w:top w:val="nil"/>
              <w:left w:val="nil"/>
              <w:bottom w:val="nil"/>
              <w:right w:val="nil"/>
            </w:tcBorders>
          </w:tcPr>
          <w:p w:rsidR="002B7D67" w:rsidRPr="00626D32" w:rsidRDefault="002B7D67" w:rsidP="00312A43">
            <w:pPr>
              <w:pStyle w:val="BoxSpaceBelow"/>
            </w:pPr>
          </w:p>
        </w:tc>
      </w:tr>
    </w:tbl>
    <w:p w:rsidR="002B7D67" w:rsidRDefault="002B7D67" w:rsidP="002B7D67">
      <w:pPr>
        <w:pStyle w:val="Heading3"/>
      </w:pPr>
      <w:r>
        <w:t>ABS sources</w:t>
      </w:r>
    </w:p>
    <w:p w:rsidR="002B7D67" w:rsidRDefault="002B7D67" w:rsidP="00D753F0">
      <w:pPr>
        <w:pStyle w:val="Heading4"/>
        <w:spacing w:before="240"/>
      </w:pPr>
      <w:r>
        <w:t>For changes over the past 30 years</w:t>
      </w:r>
    </w:p>
    <w:p w:rsidR="002B7D67" w:rsidRDefault="00643058" w:rsidP="002B7D67">
      <w:pPr>
        <w:pStyle w:val="BodyText"/>
        <w:rPr>
          <w:spacing w:val="-2"/>
        </w:rPr>
      </w:pPr>
      <w:r>
        <w:rPr>
          <w:spacing w:val="-2"/>
        </w:rPr>
        <w:t>Publications based on t</w:t>
      </w:r>
      <w:r w:rsidR="002B7D67">
        <w:rPr>
          <w:spacing w:val="-2"/>
        </w:rPr>
        <w:t xml:space="preserve">wo ABS sources, the </w:t>
      </w:r>
      <w:proofErr w:type="spellStart"/>
      <w:r w:rsidR="002B7D67">
        <w:rPr>
          <w:spacing w:val="-2"/>
        </w:rPr>
        <w:t>EEBTUM</w:t>
      </w:r>
      <w:proofErr w:type="spellEnd"/>
      <w:r w:rsidR="002B7D67">
        <w:rPr>
          <w:spacing w:val="-2"/>
        </w:rPr>
        <w:t xml:space="preserve"> survey </w:t>
      </w:r>
      <w:r>
        <w:rPr>
          <w:spacing w:val="-2"/>
        </w:rPr>
        <w:t>(and predecessor surveys)</w:t>
      </w:r>
      <w:r>
        <w:rPr>
          <w:rStyle w:val="FootnoteReference"/>
          <w:spacing w:val="-2"/>
        </w:rPr>
        <w:footnoteReference w:id="3"/>
      </w:r>
      <w:r>
        <w:rPr>
          <w:spacing w:val="-2"/>
        </w:rPr>
        <w:t xml:space="preserve"> </w:t>
      </w:r>
      <w:r w:rsidR="002B7D67">
        <w:rPr>
          <w:spacing w:val="-2"/>
        </w:rPr>
        <w:t xml:space="preserve">and the </w:t>
      </w:r>
      <w:proofErr w:type="spellStart"/>
      <w:r w:rsidR="002B7D67">
        <w:rPr>
          <w:spacing w:val="-2"/>
        </w:rPr>
        <w:t>LFS</w:t>
      </w:r>
      <w:proofErr w:type="spellEnd"/>
      <w:r w:rsidR="002B7D67">
        <w:rPr>
          <w:spacing w:val="-2"/>
        </w:rPr>
        <w:t xml:space="preserve">, support the derivation of time series for broad </w:t>
      </w:r>
      <w:r w:rsidR="002B7D67" w:rsidRPr="00EC7A88">
        <w:rPr>
          <w:spacing w:val="-2"/>
        </w:rPr>
        <w:t xml:space="preserve">work </w:t>
      </w:r>
      <w:r w:rsidR="002B7D67" w:rsidRPr="00EC7A88">
        <w:rPr>
          <w:spacing w:val="-2"/>
        </w:rPr>
        <w:lastRenderedPageBreak/>
        <w:t>arrangements</w:t>
      </w:r>
      <w:r w:rsidR="002B7D67">
        <w:rPr>
          <w:spacing w:val="-2"/>
        </w:rPr>
        <w:t xml:space="preserve"> in Australia — but do not contain information</w:t>
      </w:r>
      <w:r w:rsidR="002B7D67" w:rsidRPr="00EC7A88">
        <w:rPr>
          <w:spacing w:val="-2"/>
        </w:rPr>
        <w:t xml:space="preserve"> about </w:t>
      </w:r>
      <w:r w:rsidR="002B7D67">
        <w:rPr>
          <w:spacing w:val="-2"/>
        </w:rPr>
        <w:t xml:space="preserve">all </w:t>
      </w:r>
      <w:r w:rsidR="002B7D67" w:rsidRPr="00EC7A88">
        <w:rPr>
          <w:spacing w:val="-2"/>
        </w:rPr>
        <w:t xml:space="preserve">the </w:t>
      </w:r>
      <w:proofErr w:type="spellStart"/>
      <w:r w:rsidR="002B7D67" w:rsidRPr="00EC7A88">
        <w:rPr>
          <w:spacing w:val="-2"/>
        </w:rPr>
        <w:t>FOWs</w:t>
      </w:r>
      <w:proofErr w:type="spellEnd"/>
      <w:r w:rsidR="002B7D67" w:rsidRPr="00EC7A88">
        <w:rPr>
          <w:spacing w:val="-2"/>
        </w:rPr>
        <w:t xml:space="preserve"> of interest in this re</w:t>
      </w:r>
      <w:r w:rsidR="002B7D67">
        <w:rPr>
          <w:spacing w:val="-2"/>
        </w:rPr>
        <w:t>port.</w:t>
      </w:r>
    </w:p>
    <w:p w:rsidR="002B7D67" w:rsidRDefault="002B7D67" w:rsidP="002B7D67">
      <w:pPr>
        <w:pStyle w:val="BodyText"/>
      </w:pPr>
      <w:r>
        <w:t>Both have the advantages of having been collected at the same time of the year each year (that is, seasonality that might arise if data from different months were compared is not a concern), and with the intention of supporting the production of estimates that are representative of the resident population.</w:t>
      </w:r>
      <w:r>
        <w:rPr>
          <w:rStyle w:val="FootnoteReference"/>
        </w:rPr>
        <w:footnoteReference w:id="4"/>
      </w:r>
      <w:r>
        <w:t xml:space="preserve"> Data on a range of characteristics of individuals, including their employment, are collected.</w:t>
      </w:r>
    </w:p>
    <w:p w:rsidR="002B7D67" w:rsidRDefault="002B7D67" w:rsidP="002B7D67">
      <w:pPr>
        <w:pStyle w:val="BodyText"/>
        <w:rPr>
          <w:spacing w:val="-2"/>
        </w:rPr>
      </w:pPr>
      <w:r>
        <w:rPr>
          <w:spacing w:val="-2"/>
        </w:rPr>
        <w:t>Slightly different classifications of working arrangements</w:t>
      </w:r>
      <w:r w:rsidRPr="00EC7A88">
        <w:rPr>
          <w:spacing w:val="-2"/>
        </w:rPr>
        <w:t> — status in e</w:t>
      </w:r>
      <w:r>
        <w:rPr>
          <w:spacing w:val="-2"/>
        </w:rPr>
        <w:t xml:space="preserve">mployment and employment type </w:t>
      </w:r>
      <w:r>
        <w:t xml:space="preserve">are used in </w:t>
      </w:r>
      <w:r w:rsidR="003F530C">
        <w:t xml:space="preserve">the </w:t>
      </w:r>
      <w:proofErr w:type="spellStart"/>
      <w:r w:rsidR="003F530C">
        <w:t>EEBTUM</w:t>
      </w:r>
      <w:proofErr w:type="spellEnd"/>
      <w:r w:rsidR="003F530C">
        <w:t xml:space="preserve"> survey and the </w:t>
      </w:r>
      <w:proofErr w:type="spellStart"/>
      <w:r w:rsidR="003F530C">
        <w:t>LFS</w:t>
      </w:r>
      <w:proofErr w:type="spellEnd"/>
      <w:r w:rsidR="003F530C">
        <w:t xml:space="preserve"> </w:t>
      </w:r>
      <w:r>
        <w:t xml:space="preserve">(box </w:t>
      </w:r>
      <w:proofErr w:type="spellStart"/>
      <w:r>
        <w:t>A.2</w:t>
      </w:r>
      <w:proofErr w:type="spellEnd"/>
      <w:r>
        <w:t xml:space="preserve">). The </w:t>
      </w:r>
      <w:proofErr w:type="spellStart"/>
      <w:r>
        <w:t>EEBTUM</w:t>
      </w:r>
      <w:proofErr w:type="spellEnd"/>
      <w:r>
        <w:t xml:space="preserve"> survey is collected only fr</w:t>
      </w:r>
      <w:r w:rsidR="002D71A1">
        <w:t xml:space="preserve">om employees, so excludes owner </w:t>
      </w:r>
      <w:r>
        <w:t>managers of unincorporated enterprises (</w:t>
      </w:r>
      <w:proofErr w:type="spellStart"/>
      <w:r>
        <w:t>OMUEs</w:t>
      </w:r>
      <w:proofErr w:type="spellEnd"/>
      <w:r>
        <w:t>).</w:t>
      </w:r>
      <w:r>
        <w:rPr>
          <w:rStyle w:val="FootnoteReference"/>
        </w:rPr>
        <w:footnoteReference w:id="5"/>
      </w:r>
      <w:r>
        <w:t xml:space="preserve"> </w:t>
      </w:r>
      <w:r w:rsidR="003F530C">
        <w:t xml:space="preserve">The </w:t>
      </w:r>
      <w:proofErr w:type="spellStart"/>
      <w:r w:rsidR="003F530C">
        <w:t>LFS</w:t>
      </w:r>
      <w:proofErr w:type="spellEnd"/>
      <w:r w:rsidR="003F530C">
        <w:t xml:space="preserve"> includes all workers.</w:t>
      </w:r>
    </w:p>
    <w:p w:rsidR="002B7D67" w:rsidRDefault="002B7D67" w:rsidP="002B7D67">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2B7D67" w:rsidTr="00312A43">
        <w:tc>
          <w:tcPr>
            <w:tcW w:w="8771" w:type="dxa"/>
            <w:tcBorders>
              <w:top w:val="single" w:sz="6" w:space="0" w:color="auto"/>
              <w:bottom w:val="nil"/>
            </w:tcBorders>
          </w:tcPr>
          <w:p w:rsidR="002B7D67" w:rsidRDefault="002B7D67" w:rsidP="00312A43">
            <w:pPr>
              <w:pStyle w:val="BoxTitle"/>
            </w:pPr>
            <w:r>
              <w:rPr>
                <w:b w:val="0"/>
              </w:rPr>
              <w:t xml:space="preserve">Box </w:t>
            </w:r>
            <w:bookmarkStart w:id="4" w:name="OLE_LINK3"/>
            <w:proofErr w:type="spellStart"/>
            <w:r>
              <w:rPr>
                <w:b w:val="0"/>
              </w:rPr>
              <w:t>A.</w:t>
            </w:r>
            <w:r>
              <w:rPr>
                <w:b w:val="0"/>
                <w:noProof/>
              </w:rPr>
              <w:t>2</w:t>
            </w:r>
            <w:bookmarkEnd w:id="4"/>
            <w:proofErr w:type="spellEnd"/>
            <w:r>
              <w:tab/>
              <w:t>The three ABS classifications of different types of work</w:t>
            </w:r>
          </w:p>
        </w:tc>
      </w:tr>
      <w:tr w:rsidR="002B7D67" w:rsidTr="00312A43">
        <w:trPr>
          <w:cantSplit/>
        </w:trPr>
        <w:tc>
          <w:tcPr>
            <w:tcW w:w="8771" w:type="dxa"/>
            <w:tcBorders>
              <w:top w:val="nil"/>
              <w:left w:val="single" w:sz="6" w:space="0" w:color="auto"/>
              <w:bottom w:val="nil"/>
              <w:right w:val="single" w:sz="6" w:space="0" w:color="auto"/>
            </w:tcBorders>
          </w:tcPr>
          <w:p w:rsidR="002B7D67" w:rsidRDefault="002B7D67" w:rsidP="00312A43">
            <w:pPr>
              <w:pStyle w:val="Box"/>
            </w:pPr>
            <w:r w:rsidRPr="00B71F96">
              <w:rPr>
                <w:b/>
              </w:rPr>
              <w:t>Status in employment</w:t>
            </w:r>
            <w:r>
              <w:t xml:space="preserve"> — based on standards developed by the International </w:t>
            </w:r>
            <w:proofErr w:type="spellStart"/>
            <w:r>
              <w:t>Labor</w:t>
            </w:r>
            <w:proofErr w:type="spellEnd"/>
            <w:r>
              <w:t xml:space="preserve"> Organization (and used, for example, in ABS publications based on the </w:t>
            </w:r>
            <w:r w:rsidRPr="00410BA1">
              <w:rPr>
                <w:i/>
              </w:rPr>
              <w:t>Labour Force Survey</w:t>
            </w:r>
            <w:r>
              <w:t xml:space="preserve"> going back to at least the late </w:t>
            </w:r>
            <w:proofErr w:type="spellStart"/>
            <w:r>
              <w:t>1970s</w:t>
            </w:r>
            <w:proofErr w:type="spellEnd"/>
            <w:r>
              <w:t>). Categories</w:t>
            </w:r>
            <w:r w:rsidR="002D71A1">
              <w:t xml:space="preserve"> are employees (including owner </w:t>
            </w:r>
            <w:r>
              <w:t>managers of incorporated enterprises (</w:t>
            </w:r>
            <w:proofErr w:type="spellStart"/>
            <w:r>
              <w:t>OMIEs</w:t>
            </w:r>
            <w:proofErr w:type="spellEnd"/>
            <w:r>
              <w:t>)), employers and own account workers.</w:t>
            </w:r>
          </w:p>
          <w:p w:rsidR="002B7D67" w:rsidRPr="00DE4989" w:rsidRDefault="002B7D67" w:rsidP="00312A43">
            <w:pPr>
              <w:pStyle w:val="Box"/>
              <w:rPr>
                <w:spacing w:val="-2"/>
              </w:rPr>
            </w:pPr>
            <w:r w:rsidRPr="00B71F96">
              <w:rPr>
                <w:b/>
                <w:spacing w:val="-2"/>
              </w:rPr>
              <w:t>Employment type</w:t>
            </w:r>
            <w:r w:rsidRPr="00DE4989">
              <w:rPr>
                <w:spacing w:val="-2"/>
              </w:rPr>
              <w:t> — </w:t>
            </w:r>
            <w:r w:rsidRPr="00B71F96">
              <w:t>based on the nature of a</w:t>
            </w:r>
            <w:r>
              <w:t xml:space="preserve"> </w:t>
            </w:r>
            <w:r w:rsidRPr="00B71F96">
              <w:t>person’s employment relationship or contract</w:t>
            </w:r>
            <w:r>
              <w:t xml:space="preserve">. Categories are employees (excluding </w:t>
            </w:r>
            <w:proofErr w:type="spellStart"/>
            <w:r>
              <w:t>OMIEs</w:t>
            </w:r>
            <w:proofErr w:type="spellEnd"/>
            <w:r>
              <w:t xml:space="preserve">) with and without leave entitlements, </w:t>
            </w:r>
            <w:proofErr w:type="spellStart"/>
            <w:r>
              <w:t>OMIEs</w:t>
            </w:r>
            <w:proofErr w:type="spellEnd"/>
            <w:r>
              <w:t xml:space="preserve"> and </w:t>
            </w:r>
            <w:r w:rsidR="002D71A1">
              <w:t>owner managers of unincorporated enterprises (</w:t>
            </w:r>
            <w:proofErr w:type="spellStart"/>
            <w:r w:rsidR="002D71A1">
              <w:t>OMUEs</w:t>
            </w:r>
            <w:proofErr w:type="spellEnd"/>
            <w:r w:rsidR="002D71A1">
              <w:t>)</w:t>
            </w:r>
            <w:r>
              <w:t xml:space="preserve">. This classification is used, for example, in publications based on the </w:t>
            </w:r>
            <w:r w:rsidRPr="00B31E3A">
              <w:rPr>
                <w:i/>
              </w:rPr>
              <w:t>Employee Earnings Benefits and Trade Union Membership</w:t>
            </w:r>
            <w:r>
              <w:t xml:space="preserve"> survey (although </w:t>
            </w:r>
            <w:proofErr w:type="spellStart"/>
            <w:r>
              <w:t>OMUEs</w:t>
            </w:r>
            <w:proofErr w:type="spellEnd"/>
            <w:r>
              <w:t xml:space="preserve"> are not included in this collection).</w:t>
            </w:r>
          </w:p>
          <w:p w:rsidR="002B7D67" w:rsidRDefault="002B7D67" w:rsidP="002B39FB">
            <w:pPr>
              <w:pStyle w:val="Box"/>
            </w:pPr>
            <w:r w:rsidRPr="00B71F96">
              <w:rPr>
                <w:b/>
              </w:rPr>
              <w:t>Form of employment</w:t>
            </w:r>
            <w:r>
              <w:t xml:space="preserve"> — a more detailed classification based on the nature of a person’s employment relationship or contract (used in the </w:t>
            </w:r>
            <w:r w:rsidRPr="00410BA1">
              <w:rPr>
                <w:i/>
              </w:rPr>
              <w:t xml:space="preserve">Forms of Employment </w:t>
            </w:r>
            <w:r>
              <w:t>s</w:t>
            </w:r>
            <w:r w:rsidRPr="00410BA1">
              <w:t>urvey</w:t>
            </w:r>
            <w:r>
              <w:t xml:space="preserve">). From 2008 onwards, key categories are employees with and without leave entitlements, independent contractors and other business operators. Data are also </w:t>
            </w:r>
            <w:r w:rsidR="002B39FB">
              <w:t xml:space="preserve">available </w:t>
            </w:r>
            <w:r>
              <w:t>on casual and fixed</w:t>
            </w:r>
            <w:r>
              <w:noBreakHyphen/>
              <w:t>term employees, and labour hire workers.</w:t>
            </w:r>
          </w:p>
        </w:tc>
      </w:tr>
      <w:tr w:rsidR="002B7D67" w:rsidTr="00312A43">
        <w:trPr>
          <w:cantSplit/>
        </w:trPr>
        <w:tc>
          <w:tcPr>
            <w:tcW w:w="8771" w:type="dxa"/>
            <w:tcBorders>
              <w:top w:val="nil"/>
              <w:left w:val="single" w:sz="6" w:space="0" w:color="auto"/>
              <w:bottom w:val="nil"/>
              <w:right w:val="single" w:sz="6" w:space="0" w:color="auto"/>
            </w:tcBorders>
          </w:tcPr>
          <w:p w:rsidR="002B7D67" w:rsidRDefault="002B7D67" w:rsidP="00312A43">
            <w:pPr>
              <w:pStyle w:val="BoxSource"/>
            </w:pPr>
            <w:r>
              <w:rPr>
                <w:i/>
              </w:rPr>
              <w:t>Source</w:t>
            </w:r>
            <w:r w:rsidR="002D71A1">
              <w:rPr>
                <w:i/>
              </w:rPr>
              <w:t>s</w:t>
            </w:r>
            <w:r w:rsidRPr="00167F06">
              <w:t>:</w:t>
            </w:r>
            <w:r>
              <w:t xml:space="preserve"> ABS (‘Fact sheet: employment classifications’</w:t>
            </w:r>
            <w:r w:rsidR="00F70843">
              <w:t>,</w:t>
            </w:r>
            <w:r>
              <w:t xml:space="preserve"> </w:t>
            </w:r>
            <w:r w:rsidRPr="006D697A">
              <w:rPr>
                <w:i/>
              </w:rPr>
              <w:t>Australian Labour Market Statistics</w:t>
            </w:r>
            <w:r w:rsidR="00AE3314">
              <w:t>, Cat. </w:t>
            </w:r>
            <w:r>
              <w:t>no. 6</w:t>
            </w:r>
            <w:r w:rsidR="00AE3314">
              <w:t>105.0,</w:t>
            </w:r>
            <w:r w:rsidRPr="00A950A8">
              <w:rPr>
                <w:i/>
              </w:rPr>
              <w:t xml:space="preserve"> Forms of Employment</w:t>
            </w:r>
            <w:r>
              <w:t>, November 2008, Cat. no. 6359.0).</w:t>
            </w:r>
          </w:p>
        </w:tc>
      </w:tr>
      <w:tr w:rsidR="002B7D67" w:rsidTr="00312A43">
        <w:trPr>
          <w:cantSplit/>
        </w:trPr>
        <w:tc>
          <w:tcPr>
            <w:tcW w:w="8771" w:type="dxa"/>
            <w:tcBorders>
              <w:top w:val="nil"/>
              <w:left w:val="single" w:sz="6" w:space="0" w:color="auto"/>
              <w:bottom w:val="single" w:sz="6" w:space="0" w:color="auto"/>
              <w:right w:val="single" w:sz="6" w:space="0" w:color="auto"/>
            </w:tcBorders>
          </w:tcPr>
          <w:p w:rsidR="002B7D67" w:rsidRDefault="002B7D67" w:rsidP="00312A43">
            <w:pPr>
              <w:pStyle w:val="Box"/>
              <w:spacing w:before="0" w:line="120" w:lineRule="exact"/>
            </w:pPr>
          </w:p>
        </w:tc>
      </w:tr>
      <w:tr w:rsidR="002B7D67" w:rsidTr="00312A43">
        <w:tc>
          <w:tcPr>
            <w:tcW w:w="8771" w:type="dxa"/>
            <w:tcBorders>
              <w:top w:val="nil"/>
              <w:left w:val="nil"/>
              <w:bottom w:val="nil"/>
              <w:right w:val="nil"/>
            </w:tcBorders>
          </w:tcPr>
          <w:p w:rsidR="002B7D67" w:rsidRDefault="002B7D67" w:rsidP="00312A43">
            <w:pPr>
              <w:pStyle w:val="Box"/>
              <w:keepNext w:val="0"/>
              <w:spacing w:before="60" w:after="60" w:line="80" w:lineRule="exact"/>
              <w:rPr>
                <w:b/>
                <w:color w:val="FF00FF"/>
                <w:sz w:val="14"/>
              </w:rPr>
            </w:pPr>
          </w:p>
        </w:tc>
      </w:tr>
    </w:tbl>
    <w:p w:rsidR="00F70843" w:rsidRDefault="002B7D67" w:rsidP="002B7D67">
      <w:pPr>
        <w:pStyle w:val="BodyText"/>
        <w:rPr>
          <w:spacing w:val="-2"/>
        </w:rPr>
      </w:pPr>
      <w:r w:rsidRPr="00135213">
        <w:rPr>
          <w:spacing w:val="-2"/>
        </w:rPr>
        <w:lastRenderedPageBreak/>
        <w:t xml:space="preserve">Because the </w:t>
      </w:r>
      <w:proofErr w:type="spellStart"/>
      <w:r w:rsidRPr="00135213">
        <w:rPr>
          <w:spacing w:val="-2"/>
        </w:rPr>
        <w:t>EEBTUM</w:t>
      </w:r>
      <w:proofErr w:type="spellEnd"/>
      <w:r w:rsidRPr="00135213">
        <w:rPr>
          <w:spacing w:val="-2"/>
        </w:rPr>
        <w:t xml:space="preserve"> survey is collected as a supplement to the </w:t>
      </w:r>
      <w:proofErr w:type="spellStart"/>
      <w:r w:rsidRPr="00135213">
        <w:rPr>
          <w:spacing w:val="-2"/>
        </w:rPr>
        <w:t>LFS</w:t>
      </w:r>
      <w:proofErr w:type="spellEnd"/>
      <w:r w:rsidRPr="00135213">
        <w:rPr>
          <w:spacing w:val="-2"/>
        </w:rPr>
        <w:t>, it is possible to merge data from the two collections and derive time series of a numbe</w:t>
      </w:r>
      <w:r w:rsidR="00F70843">
        <w:rPr>
          <w:spacing w:val="-2"/>
        </w:rPr>
        <w:t xml:space="preserve">r of broad working arrangements (table </w:t>
      </w:r>
      <w:proofErr w:type="spellStart"/>
      <w:r w:rsidR="00F70843">
        <w:rPr>
          <w:spacing w:val="-2"/>
        </w:rPr>
        <w:t>A.1</w:t>
      </w:r>
      <w:proofErr w:type="spellEnd"/>
      <w:r w:rsidR="00F70843">
        <w:rPr>
          <w:spacing w:val="-2"/>
        </w:rPr>
        <w:t>):</w:t>
      </w:r>
    </w:p>
    <w:p w:rsidR="00F70843" w:rsidRDefault="00F70843" w:rsidP="00F70843">
      <w:pPr>
        <w:pStyle w:val="ListBullet"/>
      </w:pPr>
      <w:r>
        <w:t>E</w:t>
      </w:r>
      <w:r w:rsidR="002B7D67" w:rsidRPr="00135213">
        <w:t>mployees with and wi</w:t>
      </w:r>
      <w:r>
        <w:t>thout leave entitlements</w:t>
      </w:r>
    </w:p>
    <w:p w:rsidR="00F70843" w:rsidRDefault="00F70843" w:rsidP="00F70843">
      <w:pPr>
        <w:pStyle w:val="ListBullet"/>
      </w:pPr>
      <w:r>
        <w:t>O</w:t>
      </w:r>
      <w:r w:rsidR="009443D8">
        <w:t xml:space="preserve">wner </w:t>
      </w:r>
      <w:r w:rsidR="002B7D67" w:rsidRPr="00135213">
        <w:t>managers of in</w:t>
      </w:r>
      <w:r>
        <w:t>corporated enterprises (</w:t>
      </w:r>
      <w:proofErr w:type="spellStart"/>
      <w:r>
        <w:t>OMIEs</w:t>
      </w:r>
      <w:proofErr w:type="spellEnd"/>
      <w:r>
        <w:t>)</w:t>
      </w:r>
    </w:p>
    <w:p w:rsidR="00F70843" w:rsidRDefault="002B7D67" w:rsidP="00F70843">
      <w:pPr>
        <w:pStyle w:val="ListBullet"/>
      </w:pPr>
      <w:proofErr w:type="spellStart"/>
      <w:r w:rsidRPr="00135213">
        <w:t>OMUEs</w:t>
      </w:r>
      <w:proofErr w:type="spellEnd"/>
      <w:r w:rsidRPr="00135213">
        <w:t xml:space="preserve"> with and without employees (labelled employers and own acc</w:t>
      </w:r>
      <w:r w:rsidR="00F70843">
        <w:t>ount workers respectively)</w:t>
      </w:r>
    </w:p>
    <w:p w:rsidR="00F70843" w:rsidRDefault="00F70843" w:rsidP="00F70843">
      <w:pPr>
        <w:pStyle w:val="ListBullet"/>
      </w:pPr>
      <w:r>
        <w:t>Co</w:t>
      </w:r>
      <w:r w:rsidR="002B7D67" w:rsidRPr="00135213">
        <w:t>ntribut</w:t>
      </w:r>
      <w:r>
        <w:t>ing family workers.</w:t>
      </w:r>
    </w:p>
    <w:p w:rsidR="002B7D67" w:rsidRPr="00F70843" w:rsidRDefault="002B7D67" w:rsidP="00F70843">
      <w:pPr>
        <w:pStyle w:val="BodyText"/>
        <w:rPr>
          <w:spacing w:val="-2"/>
        </w:rPr>
      </w:pPr>
      <w:r w:rsidRPr="00F70843">
        <w:rPr>
          <w:spacing w:val="-2"/>
        </w:rPr>
        <w:t xml:space="preserve">This approach was adopted in describing changes in the prevalence of these </w:t>
      </w:r>
      <w:proofErr w:type="spellStart"/>
      <w:r w:rsidRPr="00F70843">
        <w:rPr>
          <w:spacing w:val="-2"/>
        </w:rPr>
        <w:t>FOWs</w:t>
      </w:r>
      <w:proofErr w:type="spellEnd"/>
      <w:r w:rsidRPr="00F70843">
        <w:rPr>
          <w:spacing w:val="-2"/>
        </w:rPr>
        <w:t xml:space="preserve"> between 1982 and 2011 (chapter 3</w:t>
      </w:r>
      <w:r w:rsidR="00135213" w:rsidRPr="00F70843">
        <w:rPr>
          <w:spacing w:val="-2"/>
        </w:rPr>
        <w:t>, appendix B</w:t>
      </w:r>
      <w:r w:rsidRPr="00F70843">
        <w:rPr>
          <w:spacing w:val="-2"/>
        </w:rPr>
        <w:t>).</w:t>
      </w:r>
    </w:p>
    <w:p w:rsidR="002B7D67" w:rsidRDefault="002B7D67" w:rsidP="002B7D67">
      <w:pPr>
        <w:pStyle w:val="TableTitle"/>
      </w:pPr>
      <w:r>
        <w:rPr>
          <w:b w:val="0"/>
        </w:rPr>
        <w:t xml:space="preserve">Table </w:t>
      </w:r>
      <w:bookmarkStart w:id="5" w:name="OLE_LINK4"/>
      <w:proofErr w:type="spellStart"/>
      <w:r>
        <w:rPr>
          <w:b w:val="0"/>
        </w:rPr>
        <w:t>A.</w:t>
      </w:r>
      <w:r>
        <w:rPr>
          <w:b w:val="0"/>
          <w:noProof/>
        </w:rPr>
        <w:t>1</w:t>
      </w:r>
      <w:bookmarkEnd w:id="5"/>
      <w:proofErr w:type="spellEnd"/>
      <w:r>
        <w:tab/>
        <w:t xml:space="preserve">Employment classifications used in the </w:t>
      </w:r>
      <w:proofErr w:type="spellStart"/>
      <w:r>
        <w:t>EEBTUM</w:t>
      </w:r>
      <w:proofErr w:type="spellEnd"/>
      <w:r>
        <w:t xml:space="preserve"> survey and the </w:t>
      </w:r>
      <w:proofErr w:type="spellStart"/>
      <w:r>
        <w:t>LFS</w:t>
      </w:r>
      <w:proofErr w:type="spellEnd"/>
    </w:p>
    <w:tbl>
      <w:tblPr>
        <w:tblW w:w="5000" w:type="pct"/>
        <w:tblCellMar>
          <w:left w:w="0" w:type="dxa"/>
          <w:right w:w="0" w:type="dxa"/>
        </w:tblCellMar>
        <w:tblLook w:val="0000" w:firstRow="0" w:lastRow="0" w:firstColumn="0" w:lastColumn="0" w:noHBand="0" w:noVBand="0"/>
      </w:tblPr>
      <w:tblGrid>
        <w:gridCol w:w="4394"/>
        <w:gridCol w:w="4395"/>
      </w:tblGrid>
      <w:tr w:rsidR="002B7D67" w:rsidTr="00842E39">
        <w:tc>
          <w:tcPr>
            <w:tcW w:w="2500" w:type="pct"/>
            <w:tcBorders>
              <w:top w:val="single" w:sz="6" w:space="0" w:color="auto"/>
            </w:tcBorders>
            <w:shd w:val="clear" w:color="auto" w:fill="auto"/>
          </w:tcPr>
          <w:p w:rsidR="002B7D67" w:rsidRDefault="002B7D67" w:rsidP="00312A43">
            <w:pPr>
              <w:pStyle w:val="TableColumnHeading"/>
              <w:jc w:val="left"/>
            </w:pPr>
            <w:r>
              <w:t xml:space="preserve">Status in employment variables in the </w:t>
            </w:r>
            <w:proofErr w:type="spellStart"/>
            <w:r>
              <w:t>LFS</w:t>
            </w:r>
            <w:proofErr w:type="spellEnd"/>
          </w:p>
        </w:tc>
        <w:tc>
          <w:tcPr>
            <w:tcW w:w="2500" w:type="pct"/>
            <w:tcBorders>
              <w:top w:val="single" w:sz="6" w:space="0" w:color="auto"/>
            </w:tcBorders>
            <w:shd w:val="clear" w:color="auto" w:fill="auto"/>
          </w:tcPr>
          <w:p w:rsidR="002B7D67" w:rsidRDefault="002B7D67" w:rsidP="00312A43">
            <w:pPr>
              <w:pStyle w:val="TableColumnHeading"/>
              <w:ind w:right="28"/>
              <w:jc w:val="left"/>
            </w:pPr>
            <w:r>
              <w:t xml:space="preserve">Employment by type variables in the </w:t>
            </w:r>
            <w:proofErr w:type="spellStart"/>
            <w:r>
              <w:t>EEBTUM</w:t>
            </w:r>
            <w:proofErr w:type="spellEnd"/>
            <w:r>
              <w:t xml:space="preserve"> survey</w:t>
            </w:r>
          </w:p>
        </w:tc>
      </w:tr>
      <w:tr w:rsidR="002B7D67" w:rsidTr="00135213">
        <w:tc>
          <w:tcPr>
            <w:tcW w:w="2500" w:type="pct"/>
          </w:tcPr>
          <w:p w:rsidR="002B7D67" w:rsidRDefault="0080750B" w:rsidP="00312A43">
            <w:pPr>
              <w:pStyle w:val="TableBodyText"/>
              <w:jc w:val="left"/>
            </w:pPr>
            <w:r>
              <w:rPr>
                <w:noProof/>
              </w:rPr>
              <mc:AlternateContent>
                <mc:Choice Requires="wps">
                  <w:drawing>
                    <wp:anchor distT="0" distB="0" distL="114300" distR="114300" simplePos="0" relativeHeight="251660288" behindDoc="0" locked="0" layoutInCell="1" allowOverlap="1" wp14:anchorId="6E74FCC5" wp14:editId="19121525">
                      <wp:simplePos x="0" y="0"/>
                      <wp:positionH relativeFrom="column">
                        <wp:posOffset>2574290</wp:posOffset>
                      </wp:positionH>
                      <wp:positionV relativeFrom="paragraph">
                        <wp:posOffset>54981</wp:posOffset>
                      </wp:positionV>
                      <wp:extent cx="157228" cy="569343"/>
                      <wp:effectExtent l="0" t="0" r="14605" b="21590"/>
                      <wp:wrapNone/>
                      <wp:docPr id="2" name="Left Brace 2"/>
                      <wp:cNvGraphicFramePr/>
                      <a:graphic xmlns:a="http://schemas.openxmlformats.org/drawingml/2006/main">
                        <a:graphicData uri="http://schemas.microsoft.com/office/word/2010/wordprocessingShape">
                          <wps:wsp>
                            <wps:cNvSpPr/>
                            <wps:spPr>
                              <a:xfrm>
                                <a:off x="0" y="0"/>
                                <a:ext cx="157228" cy="569343"/>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 o:spid="_x0000_s1026" type="#_x0000_t87" style="position:absolute;margin-left:202.7pt;margin-top:4.35pt;width:12.4pt;height:4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" adj="497" strokecolor="black [3213]"/>
                  </w:pict>
                </mc:Fallback>
              </mc:AlternateContent>
            </w:r>
          </w:p>
        </w:tc>
        <w:tc>
          <w:tcPr>
            <w:tcW w:w="2500" w:type="pct"/>
          </w:tcPr>
          <w:p w:rsidR="002B7D67" w:rsidRDefault="002B7D67" w:rsidP="00312A43">
            <w:pPr>
              <w:pStyle w:val="TableBodyText"/>
              <w:jc w:val="left"/>
            </w:pPr>
            <w:r>
              <w:t xml:space="preserve">Employees (excluding </w:t>
            </w:r>
            <w:proofErr w:type="spellStart"/>
            <w:r>
              <w:t>OMIEs</w:t>
            </w:r>
            <w:proofErr w:type="spellEnd"/>
            <w:r>
              <w:t>)</w:t>
            </w:r>
          </w:p>
        </w:tc>
      </w:tr>
      <w:tr w:rsidR="002B7D67" w:rsidTr="00312A43">
        <w:tc>
          <w:tcPr>
            <w:tcW w:w="2500" w:type="pct"/>
          </w:tcPr>
          <w:p w:rsidR="002B7D67" w:rsidRDefault="002B39FB" w:rsidP="00312A43">
            <w:pPr>
              <w:pStyle w:val="TableBodyText"/>
              <w:jc w:val="left"/>
            </w:pPr>
            <w:r>
              <w:t xml:space="preserve">Employees (including </w:t>
            </w:r>
            <w:proofErr w:type="spellStart"/>
            <w:r>
              <w:t>OMIEs</w:t>
            </w:r>
            <w:proofErr w:type="spellEnd"/>
            <w:r>
              <w:t>)</w:t>
            </w:r>
          </w:p>
        </w:tc>
        <w:tc>
          <w:tcPr>
            <w:tcW w:w="2500" w:type="pct"/>
          </w:tcPr>
          <w:p w:rsidR="002B7D67" w:rsidRDefault="002B7D67" w:rsidP="00312A43">
            <w:pPr>
              <w:pStyle w:val="TableBodyText"/>
              <w:ind w:right="28"/>
              <w:jc w:val="left"/>
            </w:pPr>
            <w:r>
              <w:t>   With leave entitlements</w:t>
            </w:r>
          </w:p>
        </w:tc>
      </w:tr>
      <w:tr w:rsidR="002B7D67" w:rsidTr="00312A43">
        <w:tc>
          <w:tcPr>
            <w:tcW w:w="2500" w:type="pct"/>
          </w:tcPr>
          <w:p w:rsidR="002B7D67" w:rsidRDefault="002B7D67" w:rsidP="00312A43">
            <w:pPr>
              <w:pStyle w:val="TableBodyText"/>
              <w:jc w:val="left"/>
            </w:pPr>
          </w:p>
        </w:tc>
        <w:tc>
          <w:tcPr>
            <w:tcW w:w="2500" w:type="pct"/>
          </w:tcPr>
          <w:p w:rsidR="002B7D67" w:rsidRDefault="002B7D67" w:rsidP="00312A43">
            <w:pPr>
              <w:pStyle w:val="TableBodyText"/>
              <w:ind w:right="28"/>
              <w:jc w:val="left"/>
            </w:pPr>
            <w:r>
              <w:t>   Without leave entitlements</w:t>
            </w:r>
          </w:p>
        </w:tc>
      </w:tr>
      <w:tr w:rsidR="002B7D67" w:rsidTr="00312A43">
        <w:tc>
          <w:tcPr>
            <w:tcW w:w="2500" w:type="pct"/>
          </w:tcPr>
          <w:p w:rsidR="002B7D67" w:rsidRDefault="002B7D67" w:rsidP="00312A43">
            <w:pPr>
              <w:pStyle w:val="TableBodyText"/>
              <w:jc w:val="left"/>
            </w:pPr>
          </w:p>
        </w:tc>
        <w:tc>
          <w:tcPr>
            <w:tcW w:w="2500" w:type="pct"/>
          </w:tcPr>
          <w:p w:rsidR="002B7D67" w:rsidRDefault="009443D8" w:rsidP="00312A43">
            <w:pPr>
              <w:pStyle w:val="TableBodyText"/>
              <w:ind w:right="28"/>
              <w:jc w:val="left"/>
            </w:pPr>
            <w:proofErr w:type="spellStart"/>
            <w:r>
              <w:t>OMIEs</w:t>
            </w:r>
            <w:proofErr w:type="spellEnd"/>
          </w:p>
        </w:tc>
      </w:tr>
      <w:tr w:rsidR="002B7D67" w:rsidTr="00312A43">
        <w:tc>
          <w:tcPr>
            <w:tcW w:w="2500" w:type="pct"/>
          </w:tcPr>
          <w:p w:rsidR="002B7D67" w:rsidRDefault="009443D8" w:rsidP="00312A43">
            <w:pPr>
              <w:pStyle w:val="TableBodyText"/>
              <w:ind w:right="28"/>
              <w:jc w:val="left"/>
            </w:pPr>
            <w:proofErr w:type="spellStart"/>
            <w:r>
              <w:t>OMUEs</w:t>
            </w:r>
            <w:proofErr w:type="spellEnd"/>
          </w:p>
        </w:tc>
        <w:tc>
          <w:tcPr>
            <w:tcW w:w="2500" w:type="pct"/>
          </w:tcPr>
          <w:p w:rsidR="002B7D67" w:rsidRDefault="002B7D67" w:rsidP="00312A43">
            <w:pPr>
              <w:pStyle w:val="TableBodyText"/>
              <w:ind w:right="28"/>
              <w:jc w:val="left"/>
            </w:pPr>
          </w:p>
        </w:tc>
      </w:tr>
      <w:tr w:rsidR="002B7D67" w:rsidTr="00312A43">
        <w:tc>
          <w:tcPr>
            <w:tcW w:w="2500" w:type="pct"/>
          </w:tcPr>
          <w:p w:rsidR="002B7D67" w:rsidRDefault="002B7D67" w:rsidP="00312A43">
            <w:pPr>
              <w:pStyle w:val="TableBodyText"/>
              <w:jc w:val="left"/>
            </w:pPr>
            <w:r>
              <w:t>   Employers</w:t>
            </w:r>
          </w:p>
        </w:tc>
        <w:tc>
          <w:tcPr>
            <w:tcW w:w="2500" w:type="pct"/>
          </w:tcPr>
          <w:p w:rsidR="002B7D67" w:rsidRDefault="002B7D67" w:rsidP="00312A43">
            <w:pPr>
              <w:pStyle w:val="TableBodyText"/>
              <w:ind w:right="28"/>
              <w:jc w:val="left"/>
            </w:pPr>
          </w:p>
        </w:tc>
      </w:tr>
      <w:tr w:rsidR="002B7D67" w:rsidTr="00312A43">
        <w:tc>
          <w:tcPr>
            <w:tcW w:w="2500" w:type="pct"/>
          </w:tcPr>
          <w:p w:rsidR="002B7D67" w:rsidRDefault="002B7D67" w:rsidP="00312A43">
            <w:pPr>
              <w:pStyle w:val="TableBodyText"/>
              <w:jc w:val="left"/>
            </w:pPr>
            <w:r>
              <w:t>   Own account workers</w:t>
            </w:r>
          </w:p>
        </w:tc>
        <w:tc>
          <w:tcPr>
            <w:tcW w:w="2500" w:type="pct"/>
          </w:tcPr>
          <w:p w:rsidR="002B7D67" w:rsidRDefault="002B7D67" w:rsidP="00312A43">
            <w:pPr>
              <w:pStyle w:val="TableBodyText"/>
              <w:ind w:right="28"/>
              <w:jc w:val="left"/>
            </w:pPr>
          </w:p>
        </w:tc>
      </w:tr>
      <w:tr w:rsidR="002B7D67" w:rsidTr="00312A43">
        <w:tc>
          <w:tcPr>
            <w:tcW w:w="2500" w:type="pct"/>
            <w:tcBorders>
              <w:bottom w:val="single" w:sz="6" w:space="0" w:color="auto"/>
            </w:tcBorders>
            <w:shd w:val="clear" w:color="auto" w:fill="auto"/>
          </w:tcPr>
          <w:p w:rsidR="002B7D67" w:rsidRDefault="002B7D67" w:rsidP="00312A43">
            <w:pPr>
              <w:pStyle w:val="TableBodyText"/>
              <w:jc w:val="left"/>
            </w:pPr>
            <w:r>
              <w:t>Contributing family workers</w:t>
            </w:r>
          </w:p>
        </w:tc>
        <w:tc>
          <w:tcPr>
            <w:tcW w:w="2500" w:type="pct"/>
            <w:tcBorders>
              <w:bottom w:val="single" w:sz="6" w:space="0" w:color="auto"/>
            </w:tcBorders>
            <w:shd w:val="clear" w:color="auto" w:fill="auto"/>
          </w:tcPr>
          <w:p w:rsidR="002B7D67" w:rsidRDefault="002B7D67" w:rsidP="00312A43">
            <w:pPr>
              <w:pStyle w:val="TableBodyText"/>
              <w:ind w:right="28"/>
              <w:jc w:val="left"/>
            </w:pPr>
          </w:p>
        </w:tc>
      </w:tr>
    </w:tbl>
    <w:p w:rsidR="002B7D67" w:rsidRPr="008E77FE" w:rsidRDefault="002B7D67" w:rsidP="002B7D67">
      <w:pPr>
        <w:pStyle w:val="Source"/>
      </w:pPr>
      <w:r>
        <w:rPr>
          <w:i/>
        </w:rPr>
        <w:t>Sources</w:t>
      </w:r>
      <w:r>
        <w:t xml:space="preserve">: ABS (‘Fact sheet: employment classifications’, </w:t>
      </w:r>
      <w:r w:rsidRPr="006D697A">
        <w:rPr>
          <w:i/>
        </w:rPr>
        <w:t>Australian Labour Market Statistics</w:t>
      </w:r>
      <w:r>
        <w:t xml:space="preserve">, Cat. no. 6105.0; </w:t>
      </w:r>
      <w:r w:rsidRPr="002B7885">
        <w:rPr>
          <w:i/>
        </w:rPr>
        <w:t>Employee Earnings, Benefits and Trade Union Membership</w:t>
      </w:r>
      <w:r>
        <w:t>, Cat. no. 6310.0).</w:t>
      </w:r>
    </w:p>
    <w:p w:rsidR="002B7D67" w:rsidRDefault="002B7D67" w:rsidP="002B7D67">
      <w:pPr>
        <w:pStyle w:val="BodyText"/>
      </w:pPr>
      <w:r>
        <w:t>Changes in questionnaires and collection methods complicated the derivation of time series covering the past 30 years. Merging data from the two sources, over this time frame, required a number of assumptions, and raised a number of issues —</w:t>
      </w:r>
      <w:r w:rsidR="00135213">
        <w:t xml:space="preserve"> </w:t>
      </w:r>
      <w:r>
        <w:t xml:space="preserve">including the treatment of potential breaks in series. Information about the assumptions made in deriving the series is </w:t>
      </w:r>
      <w:r w:rsidR="00135213">
        <w:t xml:space="preserve">in the </w:t>
      </w:r>
      <w:r w:rsidR="00EE2E4F">
        <w:t xml:space="preserve">electronic </w:t>
      </w:r>
      <w:r w:rsidR="00135213">
        <w:t>appendix to this report (</w:t>
      </w:r>
      <w:r w:rsidR="00EE2E4F">
        <w:t xml:space="preserve">available at </w:t>
      </w:r>
      <w:proofErr w:type="spellStart"/>
      <w:r w:rsidR="00EE2E4F">
        <w:t>www.pc.gov.au</w:t>
      </w:r>
      <w:proofErr w:type="spellEnd"/>
      <w:r w:rsidR="00135213">
        <w:t>)</w:t>
      </w:r>
      <w:r>
        <w:t xml:space="preserve">. The data presented in figure 3.1 </w:t>
      </w:r>
      <w:r w:rsidR="00135213">
        <w:t xml:space="preserve">and table </w:t>
      </w:r>
      <w:proofErr w:type="spellStart"/>
      <w:r w:rsidR="00135213">
        <w:t>B.1</w:t>
      </w:r>
      <w:proofErr w:type="spellEnd"/>
      <w:r w:rsidR="00135213">
        <w:t xml:space="preserve"> </w:t>
      </w:r>
      <w:r>
        <w:t xml:space="preserve">can be regarded as indicative of the broad changes that have occurred in the Australian labour market since the early </w:t>
      </w:r>
      <w:proofErr w:type="spellStart"/>
      <w:r>
        <w:t>1980s</w:t>
      </w:r>
      <w:proofErr w:type="spellEnd"/>
      <w:r>
        <w:t>.</w:t>
      </w:r>
    </w:p>
    <w:p w:rsidR="002B7D67" w:rsidRDefault="002B7D67" w:rsidP="002B7D67">
      <w:pPr>
        <w:pStyle w:val="Heading4"/>
      </w:pPr>
      <w:r>
        <w:t>For changes over the past decade</w:t>
      </w:r>
    </w:p>
    <w:p w:rsidR="002B7D67" w:rsidRDefault="002B7D67" w:rsidP="002B7D67">
      <w:pPr>
        <w:pStyle w:val="BodyText"/>
      </w:pPr>
      <w:r>
        <w:t xml:space="preserve">The ABS has collected relatively detailed information for most </w:t>
      </w:r>
      <w:proofErr w:type="spellStart"/>
      <w:r>
        <w:t>FOWs</w:t>
      </w:r>
      <w:proofErr w:type="spellEnd"/>
      <w:r>
        <w:t xml:space="preserve"> in the FOE surveys since 1998. These data have a number of advantages, including that they:</w:t>
      </w:r>
    </w:p>
    <w:p w:rsidR="002B7D67" w:rsidRDefault="002B7D67" w:rsidP="002B7D67">
      <w:pPr>
        <w:pStyle w:val="ListBullet"/>
      </w:pPr>
      <w:r>
        <w:t>contain information on many characteristics of individuals and their employment</w:t>
      </w:r>
    </w:p>
    <w:p w:rsidR="002B7D67" w:rsidRDefault="002B7D67" w:rsidP="002B7D67">
      <w:pPr>
        <w:pStyle w:val="ListBullet"/>
      </w:pPr>
      <w:r>
        <w:lastRenderedPageBreak/>
        <w:t xml:space="preserve">provide insights into independent contracting, particularly from 2008 onwards when a number of questions pertaining to this </w:t>
      </w:r>
      <w:proofErr w:type="spellStart"/>
      <w:r>
        <w:t>FOW</w:t>
      </w:r>
      <w:proofErr w:type="spellEnd"/>
      <w:r>
        <w:t xml:space="preserve"> have been asked</w:t>
      </w:r>
    </w:p>
    <w:p w:rsidR="002B7D67" w:rsidRDefault="002B7D67" w:rsidP="002B7D67">
      <w:pPr>
        <w:pStyle w:val="ListBullet"/>
      </w:pPr>
      <w:r>
        <w:t>have been collected in the same month of each year (November)</w:t>
      </w:r>
    </w:p>
    <w:p w:rsidR="002B7D67" w:rsidRDefault="002B7D67" w:rsidP="002B7D67">
      <w:pPr>
        <w:pStyle w:val="ListBullet"/>
      </w:pPr>
      <w:r>
        <w:t>support the derivation of population representative estimates</w:t>
      </w:r>
    </w:p>
    <w:p w:rsidR="002B7D67" w:rsidRDefault="002B7D67" w:rsidP="002B7D67">
      <w:pPr>
        <w:pStyle w:val="ListBullet"/>
      </w:pPr>
      <w:r>
        <w:t>are based on a larger sample size than the HILDA survey (for example, interviews were completed for 29 763 workers in the 2011 FOE survey).</w:t>
      </w:r>
    </w:p>
    <w:p w:rsidR="002B7D67" w:rsidRDefault="002B7D67" w:rsidP="002B7D67">
      <w:pPr>
        <w:pStyle w:val="BodyText"/>
      </w:pPr>
      <w:r>
        <w:t>Changes to this survey over time, however, complicate its use:</w:t>
      </w:r>
    </w:p>
    <w:p w:rsidR="002B7D67" w:rsidRDefault="002B7D67" w:rsidP="002B7D67">
      <w:pPr>
        <w:pStyle w:val="ListBullet"/>
      </w:pPr>
      <w:r>
        <w:t>In 2001, data were collected only for people aged 15 to 69 years. Subsequent surveys covered the whole workforce.</w:t>
      </w:r>
    </w:p>
    <w:p w:rsidR="002B7D67" w:rsidRDefault="002B7D67" w:rsidP="002B7D67">
      <w:pPr>
        <w:pStyle w:val="ListBullet"/>
      </w:pPr>
      <w:r>
        <w:t xml:space="preserve">Since 2008, data have been collected and presented against an employment classification that differs from that used previously. Information on independent contractors and other business operators </w:t>
      </w:r>
      <w:r w:rsidR="00312A43">
        <w:t xml:space="preserve">has </w:t>
      </w:r>
      <w:r>
        <w:t xml:space="preserve">only been collected since </w:t>
      </w:r>
      <w:r w:rsidR="00312A43">
        <w:t>2008</w:t>
      </w:r>
      <w:r>
        <w:t>.</w:t>
      </w:r>
    </w:p>
    <w:p w:rsidR="002B7D67" w:rsidRDefault="002B7D67" w:rsidP="002B7D67">
      <w:pPr>
        <w:pStyle w:val="ListBullet"/>
      </w:pPr>
      <w:r>
        <w:t>Classifications of two key variables of interest, occupation and industry of employment, changed in 2006. (Data coded to the old classification are available on request for each year between 2006 and 2009.)</w:t>
      </w:r>
    </w:p>
    <w:p w:rsidR="002B7D67" w:rsidRDefault="002B7D67" w:rsidP="002B7D67">
      <w:pPr>
        <w:pStyle w:val="BodyText"/>
      </w:pPr>
      <w:r>
        <w:t>Steps taken to deal with the possible effects of these changes on the prevalence analysis presented in the report are detailed where relevant.</w:t>
      </w:r>
    </w:p>
    <w:p w:rsidR="002B7D67" w:rsidRPr="00511701" w:rsidRDefault="002B7D67" w:rsidP="002B7D67">
      <w:pPr>
        <w:pStyle w:val="Heading2"/>
      </w:pPr>
      <w:r>
        <w:fldChar w:fldCharType="begin"/>
      </w:r>
      <w:r>
        <w:instrText xml:space="preserve"> COMMENTS  \* MERGEFORMAT </w:instrText>
      </w:r>
      <w:r>
        <w:fldChar w:fldCharType="separate"/>
      </w:r>
      <w:proofErr w:type="spellStart"/>
      <w:r w:rsidR="00F4731A">
        <w:t>A.</w:t>
      </w:r>
      <w:r>
        <w:fldChar w:fldCharType="end"/>
      </w:r>
      <w:r>
        <w:fldChar w:fldCharType="begin"/>
      </w:r>
      <w:r>
        <w:instrText xml:space="preserve"> SEQ Heading2 </w:instrText>
      </w:r>
      <w:r>
        <w:fldChar w:fldCharType="separate"/>
      </w:r>
      <w:r w:rsidR="00F4731A">
        <w:rPr>
          <w:noProof/>
        </w:rPr>
        <w:t>2</w:t>
      </w:r>
      <w:proofErr w:type="spellEnd"/>
      <w:r>
        <w:rPr>
          <w:noProof/>
        </w:rPr>
        <w:fldChar w:fldCharType="end"/>
      </w:r>
      <w:r>
        <w:tab/>
        <w:t xml:space="preserve">Data used in </w:t>
      </w:r>
      <w:r w:rsidR="00C258B0">
        <w:t xml:space="preserve">the </w:t>
      </w:r>
      <w:r>
        <w:t>shift–share analysis</w:t>
      </w:r>
    </w:p>
    <w:p w:rsidR="002B7D67" w:rsidRDefault="002B7D67" w:rsidP="002B7D67">
      <w:pPr>
        <w:pStyle w:val="BodyText"/>
      </w:pPr>
      <w:r>
        <w:t xml:space="preserve">Unfortunately, none of the available datasets </w:t>
      </w:r>
      <w:r w:rsidR="00F70843">
        <w:t>are</w:t>
      </w:r>
      <w:r>
        <w:t xml:space="preserve"> sufficiently large to support </w:t>
      </w:r>
      <w:r>
        <w:br/>
        <w:t xml:space="preserve">shift–share analysis of the less common </w:t>
      </w:r>
      <w:proofErr w:type="spellStart"/>
      <w:r>
        <w:t>FOWs</w:t>
      </w:r>
      <w:proofErr w:type="spellEnd"/>
      <w:r>
        <w:t xml:space="preserve"> — in particular, labour hire </w:t>
      </w:r>
      <w:r w:rsidR="00842E39">
        <w:t>workers and fixed</w:t>
      </w:r>
      <w:r w:rsidR="00842E39">
        <w:noBreakHyphen/>
        <w:t>term employees</w:t>
      </w:r>
      <w:r>
        <w:t xml:space="preserve">. Data on independent contractors and other business operators are not available across the decade, ruling out </w:t>
      </w:r>
      <w:r w:rsidR="00312A43">
        <w:t xml:space="preserve">the </w:t>
      </w:r>
      <w:r>
        <w:t xml:space="preserve">decomposition of changes in these </w:t>
      </w:r>
      <w:proofErr w:type="spellStart"/>
      <w:r>
        <w:t>FOWs</w:t>
      </w:r>
      <w:proofErr w:type="spellEnd"/>
      <w:r>
        <w:t>. Reflecting the characteristics of available data, therefore, the analysis focused on permanent and casual employees (</w:t>
      </w:r>
      <w:proofErr w:type="spellStart"/>
      <w:r>
        <w:t>proxied</w:t>
      </w:r>
      <w:proofErr w:type="spellEnd"/>
      <w:r>
        <w:t xml:space="preserve"> by employees with and without leave entitlements, respectively), and </w:t>
      </w:r>
      <w:proofErr w:type="spellStart"/>
      <w:r>
        <w:t>OMIEs</w:t>
      </w:r>
      <w:proofErr w:type="spellEnd"/>
      <w:r>
        <w:t xml:space="preserve"> and </w:t>
      </w:r>
      <w:proofErr w:type="spellStart"/>
      <w:r>
        <w:t>OMUEs</w:t>
      </w:r>
      <w:proofErr w:type="spellEnd"/>
      <w:r>
        <w:t xml:space="preserve">. This focus was supported by the fact that the prevalence changes that did occur in the decade to 2011 were driven mainly by these </w:t>
      </w:r>
      <w:proofErr w:type="spellStart"/>
      <w:r>
        <w:t>FOWs</w:t>
      </w:r>
      <w:proofErr w:type="spellEnd"/>
      <w:r>
        <w:t xml:space="preserve"> (chapter 3).</w:t>
      </w:r>
    </w:p>
    <w:p w:rsidR="002B7D67" w:rsidRDefault="002B7D67" w:rsidP="002B7D67">
      <w:pPr>
        <w:pStyle w:val="BodyText"/>
      </w:pPr>
      <w:r>
        <w:t xml:space="preserve">Because the HILDA survey is relatively small, ABS collections were preferred. Data from a combination of the </w:t>
      </w:r>
      <w:proofErr w:type="spellStart"/>
      <w:r>
        <w:t>EEBTUM</w:t>
      </w:r>
      <w:proofErr w:type="spellEnd"/>
      <w:r>
        <w:t xml:space="preserve"> survey and the </w:t>
      </w:r>
      <w:proofErr w:type="spellStart"/>
      <w:r>
        <w:t>LFS</w:t>
      </w:r>
      <w:proofErr w:type="spellEnd"/>
      <w:r>
        <w:t xml:space="preserve"> (for 1992 to 2007) and the FOE survey (from 2008 onwards) are published annually in the </w:t>
      </w:r>
      <w:r w:rsidRPr="000941DF">
        <w:rPr>
          <w:i/>
        </w:rPr>
        <w:t>Australian Labour Market Statistics</w:t>
      </w:r>
      <w:r>
        <w:t xml:space="preserve"> (ALMS) catalogue (ABS </w:t>
      </w:r>
      <w:proofErr w:type="spellStart"/>
      <w:r>
        <w:t>2012a</w:t>
      </w:r>
      <w:proofErr w:type="spellEnd"/>
      <w:r>
        <w:t xml:space="preserve">). Information on the key </w:t>
      </w:r>
      <w:proofErr w:type="spellStart"/>
      <w:r>
        <w:t>FOWs</w:t>
      </w:r>
      <w:proofErr w:type="spellEnd"/>
      <w:r>
        <w:t xml:space="preserve"> is available across time, cross</w:t>
      </w:r>
      <w:r>
        <w:noBreakHyphen/>
        <w:t>tabulated with a range of variables including workers’ state or territory of residence, industry and occupation of employment, age and full</w:t>
      </w:r>
      <w:r>
        <w:noBreakHyphen/>
        <w:t xml:space="preserve"> or part</w:t>
      </w:r>
      <w:r>
        <w:noBreakHyphen/>
        <w:t xml:space="preserve">time hours status. This source, therefore, contains the most suitable </w:t>
      </w:r>
      <w:r>
        <w:lastRenderedPageBreak/>
        <w:t>publicly available data for shift–share analysis. It does, however, have a number of drawbacks:</w:t>
      </w:r>
    </w:p>
    <w:p w:rsidR="002B7D67" w:rsidRDefault="002B7D67" w:rsidP="002B7D67">
      <w:pPr>
        <w:pStyle w:val="ListBullet"/>
      </w:pPr>
      <w:r>
        <w:t xml:space="preserve">The </w:t>
      </w:r>
      <w:proofErr w:type="spellStart"/>
      <w:r>
        <w:t>EEBTUM</w:t>
      </w:r>
      <w:proofErr w:type="spellEnd"/>
      <w:r>
        <w:t xml:space="preserve"> survey is collected in August, and the FOE survey in November. The break in series with the move to use of the FOE survey from 2008 raises the possibility that shift–share results are influenced by seasonality in the data.</w:t>
      </w:r>
      <w:r w:rsidR="002721BA">
        <w:t xml:space="preserve"> For example, the prevalence of </w:t>
      </w:r>
      <w:proofErr w:type="spellStart"/>
      <w:r w:rsidR="002721BA">
        <w:t>OMUEs</w:t>
      </w:r>
      <w:proofErr w:type="spellEnd"/>
      <w:r w:rsidR="002721BA">
        <w:t xml:space="preserve"> was lower in November than in August in most years in the decade to 2011, often by a statistically significant amount. (The drivers of this seasonality are unclear.)</w:t>
      </w:r>
    </w:p>
    <w:p w:rsidR="002B7D67" w:rsidRDefault="002B7D67" w:rsidP="002B7D67">
      <w:pPr>
        <w:pStyle w:val="ListBullet"/>
      </w:pPr>
      <w:r>
        <w:t xml:space="preserve">The approach used by the ABS to classify workers </w:t>
      </w:r>
      <w:r w:rsidR="00F70843">
        <w:t>in</w:t>
      </w:r>
      <w:r>
        <w:t>to industries and occupations changed in 2006, and consistent data are available from the ALMS only between 2001 and 2007.</w:t>
      </w:r>
      <w:r>
        <w:rPr>
          <w:rStyle w:val="FootnoteReference"/>
        </w:rPr>
        <w:footnoteReference w:id="6"/>
      </w:r>
      <w:r>
        <w:t xml:space="preserve"> (Information classified on a consistent basis is available for </w:t>
      </w:r>
      <w:proofErr w:type="spellStart"/>
      <w:r w:rsidR="00F74BBD">
        <w:t>OMUEs</w:t>
      </w:r>
      <w:proofErr w:type="spellEnd"/>
      <w:r w:rsidR="00F74BBD">
        <w:t xml:space="preserve"> from the </w:t>
      </w:r>
      <w:proofErr w:type="spellStart"/>
      <w:r w:rsidR="00F74BBD">
        <w:t>LFS</w:t>
      </w:r>
      <w:proofErr w:type="spellEnd"/>
      <w:r w:rsidR="00F74BBD">
        <w:t xml:space="preserve"> (ABS </w:t>
      </w:r>
      <w:proofErr w:type="spellStart"/>
      <w:r w:rsidR="00F74BBD">
        <w:t>2012</w:t>
      </w:r>
      <w:r w:rsidR="009D7123">
        <w:t>i</w:t>
      </w:r>
      <w:proofErr w:type="spellEnd"/>
      <w:r>
        <w:t xml:space="preserve">) for the decade, and is used to decompose employment changes for this </w:t>
      </w:r>
      <w:proofErr w:type="spellStart"/>
      <w:r>
        <w:t>FOW</w:t>
      </w:r>
      <w:proofErr w:type="spellEnd"/>
      <w:r>
        <w:t>.</w:t>
      </w:r>
      <w:r>
        <w:rPr>
          <w:rStyle w:val="FootnoteReference"/>
        </w:rPr>
        <w:footnoteReference w:id="7"/>
      </w:r>
      <w:r>
        <w:t>)</w:t>
      </w:r>
    </w:p>
    <w:p w:rsidR="002B7D67" w:rsidRDefault="002B7D67" w:rsidP="002B7D67">
      <w:pPr>
        <w:pStyle w:val="ListBullet"/>
      </w:pPr>
      <w:r>
        <w:t>The definition of part</w:t>
      </w:r>
      <w:r>
        <w:noBreakHyphen/>
        <w:t>time employment in the ALMS changed with the shift to the FOE survey in 2008, from part</w:t>
      </w:r>
      <w:r>
        <w:noBreakHyphen/>
        <w:t>time in all jobs, to part</w:t>
      </w:r>
      <w:r>
        <w:noBreakHyphen/>
        <w:t>time in main job.</w:t>
      </w:r>
    </w:p>
    <w:p w:rsidR="002B7D67" w:rsidRDefault="002B7D67" w:rsidP="002B7D67">
      <w:pPr>
        <w:pStyle w:val="BodyText"/>
      </w:pPr>
      <w:r>
        <w:t>Some of these issues were addressed through the use of unpublished data from the ABS, grouped by mining and non</w:t>
      </w:r>
      <w:r>
        <w:noBreakHyphen/>
        <w:t>mining states.</w:t>
      </w:r>
    </w:p>
    <w:p w:rsidR="002B7D67" w:rsidRPr="00F21A78" w:rsidRDefault="002B7D67" w:rsidP="002B7D67">
      <w:pPr>
        <w:pStyle w:val="BodyText"/>
      </w:pPr>
      <w:r>
        <w:t>The state grouping was driven by preliminary s</w:t>
      </w:r>
      <w:r w:rsidRPr="00F21A78">
        <w:t xml:space="preserve">hift–share analysis </w:t>
      </w:r>
      <w:r>
        <w:t>that</w:t>
      </w:r>
      <w:r w:rsidRPr="00F21A78">
        <w:t xml:space="preserve"> indicated that the experiences of the mining </w:t>
      </w:r>
      <w:r>
        <w:t>states</w:t>
      </w:r>
      <w:r w:rsidR="00F70843">
        <w:rPr>
          <w:rStyle w:val="FootnoteReference"/>
        </w:rPr>
        <w:footnoteReference w:id="8"/>
      </w:r>
      <w:r>
        <w:t xml:space="preserve"> </w:t>
      </w:r>
      <w:r w:rsidRPr="00F21A78">
        <w:t>(Queensland, Western Australia and the Northern Territory) and non</w:t>
      </w:r>
      <w:r w:rsidRPr="00F21A78">
        <w:noBreakHyphen/>
        <w:t xml:space="preserve">mining </w:t>
      </w:r>
      <w:r>
        <w:t xml:space="preserve">states </w:t>
      </w:r>
      <w:r w:rsidRPr="00F21A78">
        <w:t xml:space="preserve">(the rest of the country) were reasonably different over the decade to 2011 (appendix E). Because data on </w:t>
      </w:r>
      <w:proofErr w:type="spellStart"/>
      <w:r w:rsidRPr="00F21A78">
        <w:t>FOWs</w:t>
      </w:r>
      <w:proofErr w:type="spellEnd"/>
      <w:r w:rsidRPr="00F21A78">
        <w:t xml:space="preserve"> at a state and territory level were only cross</w:t>
      </w:r>
      <w:r w:rsidRPr="00F21A78">
        <w:noBreakHyphen/>
        <w:t>tabulated with workers’ gender and hours status, unpublished data were requested to enable comparisons between mining and non</w:t>
      </w:r>
      <w:r w:rsidRPr="00F21A78">
        <w:noBreakHyphen/>
        <w:t>mining states for other variables — industry, occupation and age cohort.</w:t>
      </w:r>
    </w:p>
    <w:p w:rsidR="002B7D67" w:rsidRDefault="002B7D67" w:rsidP="002B7D67">
      <w:pPr>
        <w:pStyle w:val="BodyText"/>
      </w:pPr>
      <w:r>
        <w:t>Unfortunately, the ABS was unable to supply a state breakdown for these variables from the ALMS catalogue. Information from this source would have been preferred because it would have facilitated comparison</w:t>
      </w:r>
      <w:bookmarkStart w:id="6" w:name="_GoBack"/>
      <w:bookmarkEnd w:id="6"/>
      <w:r>
        <w:t xml:space="preserve">s with data in the public domain. Instead, data were drawn from the FOE survey. In 2001, the FOE survey was restricted to people aged 15 to 69 years, and a similar constraint was applied to the data from later years. This feature of the data complicates comparisons with </w:t>
      </w:r>
      <w:r>
        <w:br/>
        <w:t>shift–share results from the ALMS.</w:t>
      </w:r>
    </w:p>
    <w:p w:rsidR="002B7D67" w:rsidRDefault="002B7D67" w:rsidP="002B7D67">
      <w:pPr>
        <w:pStyle w:val="BodyText"/>
      </w:pPr>
      <w:r>
        <w:lastRenderedPageBreak/>
        <w:t>Use of unpublished data from the FOE survey did confer some benefits:</w:t>
      </w:r>
    </w:p>
    <w:p w:rsidR="002B7D67" w:rsidRDefault="002B7D67" w:rsidP="002B7D67">
      <w:pPr>
        <w:pStyle w:val="ListBullet"/>
      </w:pPr>
      <w:r>
        <w:t>The survey is collected in November of each year. Use of this source, therefore, overcomes concerns about seasonality.</w:t>
      </w:r>
    </w:p>
    <w:p w:rsidR="002B7D67" w:rsidRDefault="002B7D67" w:rsidP="002B7D67">
      <w:pPr>
        <w:pStyle w:val="ListBullet"/>
      </w:pPr>
      <w:r>
        <w:t>Access to the FOE survey presented an opportunity to address the change in the definition of part</w:t>
      </w:r>
      <w:r>
        <w:noBreakHyphen/>
        <w:t xml:space="preserve">time work </w:t>
      </w:r>
      <w:r w:rsidR="00312A43">
        <w:t xml:space="preserve">that occurred </w:t>
      </w:r>
      <w:r>
        <w:t xml:space="preserve">in the ALMS in 2008. </w:t>
      </w:r>
      <w:r w:rsidR="00312A43">
        <w:t>D</w:t>
      </w:r>
      <w:r>
        <w:t xml:space="preserve">ata on workers’ hours status in their main job would have been preferred for consistency with information on their </w:t>
      </w:r>
      <w:proofErr w:type="spellStart"/>
      <w:r>
        <w:t>FOW</w:t>
      </w:r>
      <w:proofErr w:type="spellEnd"/>
      <w:r>
        <w:t>. This was not available across time. Data on hours worked are for all jobs</w:t>
      </w:r>
      <w:r w:rsidR="00DA687C">
        <w:t> — some workers who are part</w:t>
      </w:r>
      <w:r w:rsidR="00DA687C">
        <w:noBreakHyphen/>
        <w:t>time in their main job will be recorded as working full</w:t>
      </w:r>
      <w:r w:rsidR="00DA687C">
        <w:noBreakHyphen/>
        <w:t>time.</w:t>
      </w:r>
    </w:p>
    <w:p w:rsidR="00F056FC" w:rsidRDefault="002B7D67" w:rsidP="00120072">
      <w:pPr>
        <w:pStyle w:val="ListBullet"/>
      </w:pPr>
      <w:r>
        <w:t>Data on a consistent industry and occupation classification were provided for 2001 and each of 2007, 2008 and 2009.</w:t>
      </w:r>
    </w:p>
    <w:sectPr w:rsidR="00F056FC" w:rsidSect="00F4731A">
      <w:headerReference w:type="even" r:id="rId9"/>
      <w:headerReference w:type="default" r:id="rId10"/>
      <w:footerReference w:type="even" r:id="rId11"/>
      <w:footerReference w:type="default" r:id="rId12"/>
      <w:footnotePr>
        <w:numStart w:val="37"/>
      </w:footnotePr>
      <w:pgSz w:w="11907" w:h="16840" w:code="9"/>
      <w:pgMar w:top="1985" w:right="1304" w:bottom="1418" w:left="1814" w:header="1701" w:footer="567" w:gutter="0"/>
      <w:pgNumType w:start="69"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31A" w:rsidRDefault="00F4731A">
      <w:r>
        <w:separator/>
      </w:r>
    </w:p>
  </w:endnote>
  <w:endnote w:type="continuationSeparator" w:id="0">
    <w:p w:rsidR="00F4731A" w:rsidRDefault="00F4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F4731A">
      <w:trPr>
        <w:trHeight w:hRule="exact" w:val="740"/>
      </w:trPr>
      <w:tc>
        <w:tcPr>
          <w:tcW w:w="510" w:type="dxa"/>
          <w:tcBorders>
            <w:top w:val="single" w:sz="6" w:space="0" w:color="auto"/>
          </w:tcBorders>
        </w:tcPr>
        <w:p w:rsidR="00F4731A" w:rsidRDefault="00F4731A"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891981">
            <w:rPr>
              <w:rStyle w:val="PageNumber"/>
              <w:noProof/>
            </w:rPr>
            <w:t>76</w:t>
          </w:r>
          <w:r>
            <w:rPr>
              <w:rStyle w:val="PageNumber"/>
            </w:rPr>
            <w:fldChar w:fldCharType="end"/>
          </w:r>
        </w:p>
      </w:tc>
      <w:tc>
        <w:tcPr>
          <w:tcW w:w="1644" w:type="dxa"/>
          <w:tcBorders>
            <w:top w:val="single" w:sz="6" w:space="0" w:color="auto"/>
          </w:tcBorders>
        </w:tcPr>
        <w:p w:rsidR="00F4731A" w:rsidRDefault="00F4731A" w:rsidP="0019293B">
          <w:pPr>
            <w:pStyle w:val="Footer"/>
          </w:pPr>
          <w:fldSimple w:instr=" SUBJECT  \* MERGEFORMAT ">
            <w:r>
              <w:t>Forms of work</w:t>
            </w:r>
          </w:fldSimple>
        </w:p>
      </w:tc>
      <w:tc>
        <w:tcPr>
          <w:tcW w:w="6634" w:type="dxa"/>
        </w:tcPr>
        <w:p w:rsidR="00F4731A" w:rsidRDefault="00F4731A" w:rsidP="0019293B">
          <w:pPr>
            <w:pStyle w:val="Footer"/>
          </w:pPr>
        </w:p>
      </w:tc>
    </w:tr>
  </w:tbl>
  <w:p w:rsidR="00F4731A" w:rsidRDefault="00F4731A"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F4731A">
      <w:trPr>
        <w:trHeight w:hRule="exact" w:val="740"/>
      </w:trPr>
      <w:tc>
        <w:tcPr>
          <w:tcW w:w="6634" w:type="dxa"/>
        </w:tcPr>
        <w:p w:rsidR="00F4731A" w:rsidRDefault="00F4731A">
          <w:pPr>
            <w:pStyle w:val="Footer"/>
            <w:ind w:right="360" w:firstLine="360"/>
          </w:pPr>
        </w:p>
      </w:tc>
      <w:tc>
        <w:tcPr>
          <w:tcW w:w="1644" w:type="dxa"/>
          <w:tcBorders>
            <w:top w:val="single" w:sz="6" w:space="0" w:color="auto"/>
          </w:tcBorders>
        </w:tcPr>
        <w:p w:rsidR="00F4731A" w:rsidRDefault="00F4731A">
          <w:pPr>
            <w:pStyle w:val="Footer"/>
          </w:pPr>
          <w:fldSimple w:instr=" TITLE  \* MERGEFORMAT ">
            <w:r>
              <w:t>Data sources</w:t>
            </w:r>
          </w:fldSimple>
        </w:p>
      </w:tc>
      <w:tc>
        <w:tcPr>
          <w:tcW w:w="510" w:type="dxa"/>
          <w:tcBorders>
            <w:top w:val="single" w:sz="6" w:space="0" w:color="auto"/>
          </w:tcBorders>
        </w:tcPr>
        <w:p w:rsidR="00F4731A" w:rsidRDefault="00F4731A">
          <w:pPr>
            <w:pStyle w:val="Footer"/>
            <w:jc w:val="right"/>
          </w:pPr>
          <w:r>
            <w:rPr>
              <w:rStyle w:val="PageNumber"/>
            </w:rPr>
            <w:fldChar w:fldCharType="begin"/>
          </w:r>
          <w:r>
            <w:rPr>
              <w:rStyle w:val="PageNumber"/>
            </w:rPr>
            <w:instrText xml:space="preserve">PAGE  </w:instrText>
          </w:r>
          <w:r>
            <w:rPr>
              <w:rStyle w:val="PageNumber"/>
            </w:rPr>
            <w:fldChar w:fldCharType="separate"/>
          </w:r>
          <w:r w:rsidR="00891981">
            <w:rPr>
              <w:rStyle w:val="PageNumber"/>
              <w:noProof/>
            </w:rPr>
            <w:t>75</w:t>
          </w:r>
          <w:r>
            <w:rPr>
              <w:rStyle w:val="PageNumber"/>
            </w:rPr>
            <w:fldChar w:fldCharType="end"/>
          </w:r>
        </w:p>
      </w:tc>
    </w:tr>
  </w:tbl>
  <w:p w:rsidR="00F4731A" w:rsidRDefault="00F4731A">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31A" w:rsidRDefault="00F4731A">
      <w:r>
        <w:separator/>
      </w:r>
    </w:p>
  </w:footnote>
  <w:footnote w:type="continuationSeparator" w:id="0">
    <w:p w:rsidR="00F4731A" w:rsidRDefault="00F4731A">
      <w:r>
        <w:continuationSeparator/>
      </w:r>
    </w:p>
  </w:footnote>
  <w:footnote w:id="1">
    <w:p w:rsidR="00F4731A" w:rsidRDefault="00F4731A">
      <w:pPr>
        <w:pStyle w:val="FootnoteText"/>
      </w:pPr>
      <w:r>
        <w:rPr>
          <w:rStyle w:val="FootnoteReference"/>
        </w:rPr>
        <w:footnoteRef/>
      </w:r>
      <w:r>
        <w:t xml:space="preserve"> At the time that prevalence changes were estimated for this paper, only HILDA data up to 2010 were available.</w:t>
      </w:r>
    </w:p>
  </w:footnote>
  <w:footnote w:id="2">
    <w:p w:rsidR="00F4731A" w:rsidRDefault="00F4731A" w:rsidP="002B7D67">
      <w:pPr>
        <w:pStyle w:val="FootnoteText"/>
      </w:pPr>
      <w:r>
        <w:rPr>
          <w:rStyle w:val="FootnoteReference"/>
        </w:rPr>
        <w:footnoteRef/>
      </w:r>
      <w:r>
        <w:tab/>
        <w:t>In contrast, in many ABS surveys, information on all members of a household included in the sample is collected from one person using the ‘any responsible adult’ method. This difference might mean that the HILDA survey provides a more accurate view of the characteristics of an individual’s work.</w:t>
      </w:r>
    </w:p>
  </w:footnote>
  <w:footnote w:id="3">
    <w:p w:rsidR="00F4731A" w:rsidRDefault="00F4731A">
      <w:pPr>
        <w:pStyle w:val="FootnoteText"/>
      </w:pPr>
      <w:r>
        <w:rPr>
          <w:rStyle w:val="FootnoteReference"/>
        </w:rPr>
        <w:footnoteRef/>
      </w:r>
      <w:r>
        <w:tab/>
        <w:t xml:space="preserve">Data from the </w:t>
      </w:r>
      <w:proofErr w:type="spellStart"/>
      <w:r>
        <w:t>EEBTUM</w:t>
      </w:r>
      <w:proofErr w:type="spellEnd"/>
      <w:r>
        <w:t xml:space="preserve"> survey (and its predecessors) have been published, for example, in the catalogues </w:t>
      </w:r>
      <w:r w:rsidRPr="00643058">
        <w:rPr>
          <w:i/>
        </w:rPr>
        <w:t>Employment Benefits</w:t>
      </w:r>
      <w:r>
        <w:t xml:space="preserve"> (Cat. no. 6334.0), </w:t>
      </w:r>
      <w:r w:rsidRPr="00643058">
        <w:rPr>
          <w:i/>
        </w:rPr>
        <w:t>Weekly Earnings of Employees</w:t>
      </w:r>
      <w:r>
        <w:t xml:space="preserve"> (Cat. no. 6310.0) and </w:t>
      </w:r>
      <w:r w:rsidRPr="00643058">
        <w:rPr>
          <w:i/>
        </w:rPr>
        <w:t>Australian Labour Market Statistics</w:t>
      </w:r>
      <w:r>
        <w:t xml:space="preserve"> (Cat. no. 6105.0), in addition to </w:t>
      </w:r>
      <w:r w:rsidRPr="00643058">
        <w:rPr>
          <w:i/>
        </w:rPr>
        <w:t>Employee Earnings, Benefits and Trade Union Membership</w:t>
      </w:r>
      <w:r>
        <w:t xml:space="preserve"> (Cat. no. 6310.0) from 1999).</w:t>
      </w:r>
    </w:p>
  </w:footnote>
  <w:footnote w:id="4">
    <w:p w:rsidR="00F4731A" w:rsidRDefault="00F4731A" w:rsidP="002B7D67">
      <w:pPr>
        <w:pStyle w:val="FootnoteText"/>
      </w:pPr>
      <w:r>
        <w:rPr>
          <w:rStyle w:val="FootnoteReference"/>
        </w:rPr>
        <w:footnoteRef/>
      </w:r>
      <w:r>
        <w:tab/>
        <w:t>‘Residents’ are defined as people living in Australia for at least 12 of the 16 months preceding a survey, irrespective of citizenship or visa status. People who are not residents are excluded from both surveys. This means that estimates of the workforce are understated to the extent that people in Australia on a temporary basis, or those who have not yet been here for 12/16 months, are working.</w:t>
      </w:r>
    </w:p>
  </w:footnote>
  <w:footnote w:id="5">
    <w:p w:rsidR="00F4731A" w:rsidRDefault="00F4731A" w:rsidP="002B7D67">
      <w:pPr>
        <w:pStyle w:val="FootnoteText"/>
      </w:pPr>
      <w:r>
        <w:rPr>
          <w:rStyle w:val="FootnoteReference"/>
        </w:rPr>
        <w:footnoteRef/>
      </w:r>
      <w:r>
        <w:tab/>
        <w:t>Owner managers of incorporated enterprises are treated as employees of those enterprises.</w:t>
      </w:r>
    </w:p>
  </w:footnote>
  <w:footnote w:id="6">
    <w:p w:rsidR="00F4731A" w:rsidRPr="003E6A52" w:rsidRDefault="00F4731A" w:rsidP="002B7D67">
      <w:pPr>
        <w:pStyle w:val="FootnoteText"/>
        <w:rPr>
          <w:spacing w:val="-2"/>
        </w:rPr>
      </w:pPr>
      <w:r>
        <w:rPr>
          <w:rStyle w:val="FootnoteReference"/>
        </w:rPr>
        <w:footnoteRef/>
      </w:r>
      <w:r>
        <w:tab/>
      </w:r>
      <w:r w:rsidRPr="003E6A52">
        <w:rPr>
          <w:spacing w:val="-2"/>
        </w:rPr>
        <w:t xml:space="preserve">Data on the older industry and occupation classifications were published in the ALMS for 2008, but imply an increase in the prevalence of permanent employees that was not apparent in later publications. Therefore, these data were deemed inappropriate for </w:t>
      </w:r>
      <w:r>
        <w:rPr>
          <w:spacing w:val="-2"/>
        </w:rPr>
        <w:t xml:space="preserve">the </w:t>
      </w:r>
      <w:r w:rsidRPr="003E6A52">
        <w:rPr>
          <w:spacing w:val="-2"/>
        </w:rPr>
        <w:t>analysis in this report.</w:t>
      </w:r>
    </w:p>
  </w:footnote>
  <w:footnote w:id="7">
    <w:p w:rsidR="00F4731A" w:rsidRDefault="00F4731A" w:rsidP="002B7D67">
      <w:pPr>
        <w:pStyle w:val="FootnoteText"/>
      </w:pPr>
      <w:r>
        <w:rPr>
          <w:rStyle w:val="FootnoteReference"/>
        </w:rPr>
        <w:footnoteRef/>
      </w:r>
      <w:r>
        <w:tab/>
        <w:t xml:space="preserve">Use of this survey enables a </w:t>
      </w:r>
      <w:proofErr w:type="spellStart"/>
      <w:r>
        <w:t>cross</w:t>
      </w:r>
      <w:r>
        <w:noBreakHyphen/>
        <w:t>check</w:t>
      </w:r>
      <w:proofErr w:type="spellEnd"/>
      <w:r>
        <w:t xml:space="preserve"> with results from other sources.</w:t>
      </w:r>
    </w:p>
  </w:footnote>
  <w:footnote w:id="8">
    <w:p w:rsidR="00F4731A" w:rsidRDefault="00F4731A">
      <w:pPr>
        <w:pStyle w:val="FootnoteText"/>
      </w:pPr>
      <w:r>
        <w:rPr>
          <w:rStyle w:val="FootnoteReference"/>
        </w:rPr>
        <w:footnoteRef/>
      </w:r>
      <w:r>
        <w:t xml:space="preserve"> The term ‘states’ is used throughout as shorthand for states and territories.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F4731A">
      <w:tc>
        <w:tcPr>
          <w:tcW w:w="2155" w:type="dxa"/>
          <w:tcBorders>
            <w:top w:val="single" w:sz="24" w:space="0" w:color="auto"/>
          </w:tcBorders>
        </w:tcPr>
        <w:p w:rsidR="00F4731A" w:rsidRDefault="00F4731A" w:rsidP="0019293B">
          <w:pPr>
            <w:pStyle w:val="HeaderEven"/>
          </w:pPr>
        </w:p>
      </w:tc>
      <w:tc>
        <w:tcPr>
          <w:tcW w:w="6634" w:type="dxa"/>
          <w:tcBorders>
            <w:top w:val="single" w:sz="6" w:space="0" w:color="auto"/>
          </w:tcBorders>
        </w:tcPr>
        <w:p w:rsidR="00F4731A" w:rsidRDefault="00F4731A" w:rsidP="0019293B">
          <w:pPr>
            <w:pStyle w:val="HeaderEven"/>
          </w:pPr>
        </w:p>
      </w:tc>
    </w:tr>
  </w:tbl>
  <w:p w:rsidR="00F4731A" w:rsidRDefault="00F4731A"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F4731A">
      <w:tc>
        <w:tcPr>
          <w:tcW w:w="6634" w:type="dxa"/>
          <w:tcBorders>
            <w:top w:val="single" w:sz="6" w:space="0" w:color="auto"/>
          </w:tcBorders>
        </w:tcPr>
        <w:p w:rsidR="00F4731A" w:rsidRDefault="00F4731A" w:rsidP="00E669E2">
          <w:pPr>
            <w:pStyle w:val="HeaderOdd"/>
          </w:pPr>
        </w:p>
      </w:tc>
      <w:tc>
        <w:tcPr>
          <w:tcW w:w="2155" w:type="dxa"/>
          <w:tcBorders>
            <w:top w:val="single" w:sz="24" w:space="0" w:color="auto"/>
          </w:tcBorders>
        </w:tcPr>
        <w:p w:rsidR="00F4731A" w:rsidRDefault="00F4731A" w:rsidP="00E669E2">
          <w:pPr>
            <w:pStyle w:val="HeaderOdd"/>
          </w:pPr>
        </w:p>
      </w:tc>
    </w:tr>
  </w:tbl>
  <w:p w:rsidR="00F4731A" w:rsidRDefault="00F4731A"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7105"/>
  </w:hdrShapeDefaults>
  <w:footnotePr>
    <w:numStart w:val="37"/>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A"/>
    <w:docVar w:name="FindingOptions" w:val="1"/>
    <w:docVar w:name="RecOptions" w:val="111"/>
    <w:docVar w:name="ShortChapterTitle" w:val="Data sources"/>
    <w:docVar w:name="ShortReportTitle" w:val="Forms of work"/>
  </w:docVars>
  <w:rsids>
    <w:rsidRoot w:val="002B7D67"/>
    <w:rsid w:val="000227D5"/>
    <w:rsid w:val="000245AA"/>
    <w:rsid w:val="0003664B"/>
    <w:rsid w:val="0004111F"/>
    <w:rsid w:val="000565B3"/>
    <w:rsid w:val="0007150B"/>
    <w:rsid w:val="000938F5"/>
    <w:rsid w:val="00096E55"/>
    <w:rsid w:val="000B601B"/>
    <w:rsid w:val="000C207E"/>
    <w:rsid w:val="000F0035"/>
    <w:rsid w:val="000F420B"/>
    <w:rsid w:val="00110116"/>
    <w:rsid w:val="00120072"/>
    <w:rsid w:val="00126EB8"/>
    <w:rsid w:val="001274D4"/>
    <w:rsid w:val="00135213"/>
    <w:rsid w:val="001363AA"/>
    <w:rsid w:val="00167286"/>
    <w:rsid w:val="00183E82"/>
    <w:rsid w:val="001878BB"/>
    <w:rsid w:val="00191AE0"/>
    <w:rsid w:val="0019293B"/>
    <w:rsid w:val="001C0865"/>
    <w:rsid w:val="001C3ABA"/>
    <w:rsid w:val="001E7BE8"/>
    <w:rsid w:val="001F0248"/>
    <w:rsid w:val="001F2C3F"/>
    <w:rsid w:val="001F3EB3"/>
    <w:rsid w:val="001F4F86"/>
    <w:rsid w:val="00202C2C"/>
    <w:rsid w:val="002135AB"/>
    <w:rsid w:val="002144BE"/>
    <w:rsid w:val="00242279"/>
    <w:rsid w:val="00245C82"/>
    <w:rsid w:val="002721BA"/>
    <w:rsid w:val="00291B40"/>
    <w:rsid w:val="002B39FB"/>
    <w:rsid w:val="002B4008"/>
    <w:rsid w:val="002B7D67"/>
    <w:rsid w:val="002D0E8E"/>
    <w:rsid w:val="002D71A1"/>
    <w:rsid w:val="00301189"/>
    <w:rsid w:val="00312A43"/>
    <w:rsid w:val="0032001F"/>
    <w:rsid w:val="00323E09"/>
    <w:rsid w:val="00333932"/>
    <w:rsid w:val="003518AA"/>
    <w:rsid w:val="00352165"/>
    <w:rsid w:val="00353182"/>
    <w:rsid w:val="003565D9"/>
    <w:rsid w:val="003602E1"/>
    <w:rsid w:val="0037026F"/>
    <w:rsid w:val="00371240"/>
    <w:rsid w:val="00372199"/>
    <w:rsid w:val="00374731"/>
    <w:rsid w:val="00376E59"/>
    <w:rsid w:val="00390272"/>
    <w:rsid w:val="003919F9"/>
    <w:rsid w:val="00394341"/>
    <w:rsid w:val="003953B3"/>
    <w:rsid w:val="0039630C"/>
    <w:rsid w:val="003C38B5"/>
    <w:rsid w:val="003C5D99"/>
    <w:rsid w:val="003E2F59"/>
    <w:rsid w:val="003E53B0"/>
    <w:rsid w:val="003E6A52"/>
    <w:rsid w:val="003F0789"/>
    <w:rsid w:val="003F530C"/>
    <w:rsid w:val="00401882"/>
    <w:rsid w:val="004100C8"/>
    <w:rsid w:val="00411DBD"/>
    <w:rsid w:val="00412ACE"/>
    <w:rsid w:val="00431249"/>
    <w:rsid w:val="00434C19"/>
    <w:rsid w:val="00450810"/>
    <w:rsid w:val="00477144"/>
    <w:rsid w:val="00491380"/>
    <w:rsid w:val="0049459F"/>
    <w:rsid w:val="004A38DD"/>
    <w:rsid w:val="004B43AE"/>
    <w:rsid w:val="004C30ED"/>
    <w:rsid w:val="004D5675"/>
    <w:rsid w:val="00523639"/>
    <w:rsid w:val="00531FE5"/>
    <w:rsid w:val="005402FA"/>
    <w:rsid w:val="00574AC9"/>
    <w:rsid w:val="00583C39"/>
    <w:rsid w:val="00587F28"/>
    <w:rsid w:val="005909CF"/>
    <w:rsid w:val="00591E71"/>
    <w:rsid w:val="005A0D41"/>
    <w:rsid w:val="00607BF1"/>
    <w:rsid w:val="00630D4D"/>
    <w:rsid w:val="00632A74"/>
    <w:rsid w:val="00643058"/>
    <w:rsid w:val="006A4655"/>
    <w:rsid w:val="006B2B3C"/>
    <w:rsid w:val="006B5848"/>
    <w:rsid w:val="006C1D81"/>
    <w:rsid w:val="006C7038"/>
    <w:rsid w:val="006E73EF"/>
    <w:rsid w:val="007120E9"/>
    <w:rsid w:val="00714D4D"/>
    <w:rsid w:val="00737B16"/>
    <w:rsid w:val="007604BB"/>
    <w:rsid w:val="00785232"/>
    <w:rsid w:val="007A21EB"/>
    <w:rsid w:val="007B1A93"/>
    <w:rsid w:val="007C36C9"/>
    <w:rsid w:val="007C52C9"/>
    <w:rsid w:val="007D6401"/>
    <w:rsid w:val="007E01E4"/>
    <w:rsid w:val="007E29AD"/>
    <w:rsid w:val="007F7107"/>
    <w:rsid w:val="00800D4C"/>
    <w:rsid w:val="0080750B"/>
    <w:rsid w:val="0081030F"/>
    <w:rsid w:val="0082087D"/>
    <w:rsid w:val="0083297A"/>
    <w:rsid w:val="00835771"/>
    <w:rsid w:val="00842933"/>
    <w:rsid w:val="00842E39"/>
    <w:rsid w:val="0086082C"/>
    <w:rsid w:val="00864ADC"/>
    <w:rsid w:val="00880153"/>
    <w:rsid w:val="00880F97"/>
    <w:rsid w:val="0088133A"/>
    <w:rsid w:val="00891981"/>
    <w:rsid w:val="0089285E"/>
    <w:rsid w:val="0089436C"/>
    <w:rsid w:val="008D365C"/>
    <w:rsid w:val="009030BF"/>
    <w:rsid w:val="0091032F"/>
    <w:rsid w:val="00914368"/>
    <w:rsid w:val="00931076"/>
    <w:rsid w:val="009345D9"/>
    <w:rsid w:val="00934B15"/>
    <w:rsid w:val="00940C87"/>
    <w:rsid w:val="00942B62"/>
    <w:rsid w:val="009443D8"/>
    <w:rsid w:val="0095323B"/>
    <w:rsid w:val="00956A0C"/>
    <w:rsid w:val="00956BD9"/>
    <w:rsid w:val="00962489"/>
    <w:rsid w:val="00990C2C"/>
    <w:rsid w:val="009B28FE"/>
    <w:rsid w:val="009D7123"/>
    <w:rsid w:val="009E1844"/>
    <w:rsid w:val="009F0D1B"/>
    <w:rsid w:val="009F696D"/>
    <w:rsid w:val="009F6BC6"/>
    <w:rsid w:val="00A17328"/>
    <w:rsid w:val="00A23A20"/>
    <w:rsid w:val="00A268B9"/>
    <w:rsid w:val="00A2703A"/>
    <w:rsid w:val="00A33DFF"/>
    <w:rsid w:val="00A34F26"/>
    <w:rsid w:val="00A35115"/>
    <w:rsid w:val="00A36D9A"/>
    <w:rsid w:val="00A554AB"/>
    <w:rsid w:val="00A57062"/>
    <w:rsid w:val="00A7771C"/>
    <w:rsid w:val="00A92B53"/>
    <w:rsid w:val="00A94FA6"/>
    <w:rsid w:val="00AA49A0"/>
    <w:rsid w:val="00AA6710"/>
    <w:rsid w:val="00AB0681"/>
    <w:rsid w:val="00AD520B"/>
    <w:rsid w:val="00AE3314"/>
    <w:rsid w:val="00B425C3"/>
    <w:rsid w:val="00B440AD"/>
    <w:rsid w:val="00B479BB"/>
    <w:rsid w:val="00B53E7E"/>
    <w:rsid w:val="00B6342E"/>
    <w:rsid w:val="00B7113F"/>
    <w:rsid w:val="00BA73B6"/>
    <w:rsid w:val="00BA7E27"/>
    <w:rsid w:val="00BB2603"/>
    <w:rsid w:val="00BB4FCD"/>
    <w:rsid w:val="00BC04E9"/>
    <w:rsid w:val="00BD13EA"/>
    <w:rsid w:val="00BE3808"/>
    <w:rsid w:val="00C01618"/>
    <w:rsid w:val="00C062E9"/>
    <w:rsid w:val="00C07B64"/>
    <w:rsid w:val="00C13721"/>
    <w:rsid w:val="00C14FE4"/>
    <w:rsid w:val="00C258B0"/>
    <w:rsid w:val="00C3066D"/>
    <w:rsid w:val="00C52416"/>
    <w:rsid w:val="00C543F4"/>
    <w:rsid w:val="00C6291C"/>
    <w:rsid w:val="00C633CB"/>
    <w:rsid w:val="00C736B7"/>
    <w:rsid w:val="00C81D4A"/>
    <w:rsid w:val="00C8762C"/>
    <w:rsid w:val="00C879FD"/>
    <w:rsid w:val="00CA00F9"/>
    <w:rsid w:val="00CA2961"/>
    <w:rsid w:val="00CB50D7"/>
    <w:rsid w:val="00CB7177"/>
    <w:rsid w:val="00CC1998"/>
    <w:rsid w:val="00CC4946"/>
    <w:rsid w:val="00D23ED9"/>
    <w:rsid w:val="00D270A4"/>
    <w:rsid w:val="00D31FE9"/>
    <w:rsid w:val="00D34E1B"/>
    <w:rsid w:val="00D376BA"/>
    <w:rsid w:val="00D45634"/>
    <w:rsid w:val="00D5568A"/>
    <w:rsid w:val="00D63D73"/>
    <w:rsid w:val="00D64452"/>
    <w:rsid w:val="00D66E1E"/>
    <w:rsid w:val="00D753F0"/>
    <w:rsid w:val="00D75722"/>
    <w:rsid w:val="00D80CF5"/>
    <w:rsid w:val="00DA5BBA"/>
    <w:rsid w:val="00DA687C"/>
    <w:rsid w:val="00DB26D2"/>
    <w:rsid w:val="00DB67C9"/>
    <w:rsid w:val="00DC0C95"/>
    <w:rsid w:val="00DD6580"/>
    <w:rsid w:val="00E17C72"/>
    <w:rsid w:val="00E21FC6"/>
    <w:rsid w:val="00E431A9"/>
    <w:rsid w:val="00E669E2"/>
    <w:rsid w:val="00E76135"/>
    <w:rsid w:val="00E81101"/>
    <w:rsid w:val="00E82F4F"/>
    <w:rsid w:val="00EC2844"/>
    <w:rsid w:val="00EC5500"/>
    <w:rsid w:val="00ED18F8"/>
    <w:rsid w:val="00EE2E4F"/>
    <w:rsid w:val="00EF6C6C"/>
    <w:rsid w:val="00F056FC"/>
    <w:rsid w:val="00F10476"/>
    <w:rsid w:val="00F135D8"/>
    <w:rsid w:val="00F31299"/>
    <w:rsid w:val="00F3534A"/>
    <w:rsid w:val="00F4731A"/>
    <w:rsid w:val="00F51609"/>
    <w:rsid w:val="00F70843"/>
    <w:rsid w:val="00F74BBD"/>
    <w:rsid w:val="00F81006"/>
    <w:rsid w:val="00F85325"/>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2B7D67"/>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2B7D67"/>
    <w:rPr>
      <w:sz w:val="26"/>
    </w:rPr>
  </w:style>
  <w:style w:type="paragraph" w:styleId="Revision">
    <w:name w:val="Revision"/>
    <w:hidden/>
    <w:uiPriority w:val="99"/>
    <w:semiHidden/>
    <w:rsid w:val="00394341"/>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2B7D67"/>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basedOn w:val="DefaultParagraphFont"/>
    <w:link w:val="BodyText"/>
    <w:rsid w:val="002B7D67"/>
    <w:rPr>
      <w:sz w:val="26"/>
    </w:rPr>
  </w:style>
  <w:style w:type="paragraph" w:styleId="Revision">
    <w:name w:val="Revision"/>
    <w:hidden/>
    <w:uiPriority w:val="99"/>
    <w:semiHidden/>
    <w:rsid w:val="00394341"/>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2E6BB-9D64-4B50-9FF0-4A0C9A01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217</TotalTime>
  <Pages>8</Pages>
  <Words>2415</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Data sources</vt:lpstr>
    </vt:vector>
  </TitlesOfParts>
  <Company>Productivity Commission</Company>
  <LinksUpToDate>false</LinksUpToDate>
  <CharactersWithSpaces>15629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sources</dc:title>
  <dc:subject>Forms of work</dc:subject>
  <dc:creator>Productivity Commission</dc:creator>
  <cp:keywords/>
  <dc:description>A.</dc:description>
  <cp:lastModifiedBy>Shomos, Anthony</cp:lastModifiedBy>
  <cp:revision>35</cp:revision>
  <cp:lastPrinted>2013-03-22T00:08:00Z</cp:lastPrinted>
  <dcterms:created xsi:type="dcterms:W3CDTF">2013-03-12T05:34:00Z</dcterms:created>
  <dcterms:modified xsi:type="dcterms:W3CDTF">2013-04-10T04:34:00Z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1695228800</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