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Default="003A1775" w:rsidP="003A1775">
      <w:pPr>
        <w:pStyle w:val="Chapter"/>
        <w:ind w:left="907" w:hanging="907"/>
      </w:pPr>
      <w:bookmarkStart w:id="0" w:name="ChapterNumber"/>
      <w:bookmarkStart w:id="1" w:name="_AppendixNotByChapter"/>
      <w:bookmarkEnd w:id="1"/>
      <w:r>
        <w:t>D</w:t>
      </w:r>
      <w:bookmarkEnd w:id="0"/>
      <w:r>
        <w:tab/>
      </w:r>
      <w:bookmarkStart w:id="2" w:name="ChapterTitle"/>
      <w:r>
        <w:t>Shift–share decomposition</w:t>
      </w:r>
      <w:bookmarkEnd w:id="2"/>
    </w:p>
    <w:p w:rsidR="00F60449" w:rsidRPr="002A5B6D" w:rsidRDefault="00F60449" w:rsidP="00F60449">
      <w:pPr>
        <w:pStyle w:val="BodyText"/>
      </w:pPr>
      <w:bookmarkStart w:id="3" w:name="begin"/>
      <w:bookmarkEnd w:id="3"/>
      <w:r w:rsidRPr="002A5B6D">
        <w:t>To shed light on the factors that might have influenced changes in the prevalence of different forms of work (</w:t>
      </w:r>
      <w:proofErr w:type="spellStart"/>
      <w:r w:rsidRPr="002A5B6D">
        <w:t>FOW</w:t>
      </w:r>
      <w:r w:rsidR="001134CF">
        <w:t>s</w:t>
      </w:r>
      <w:proofErr w:type="spellEnd"/>
      <w:r w:rsidRPr="002A5B6D">
        <w:t xml:space="preserve">) in the decade to 2011, </w:t>
      </w:r>
      <w:r w:rsidR="00854403">
        <w:t>changes in employment</w:t>
      </w:r>
      <w:r w:rsidRPr="002A5B6D">
        <w:t xml:space="preserve"> in each </w:t>
      </w:r>
      <w:proofErr w:type="spellStart"/>
      <w:r w:rsidRPr="002A5B6D">
        <w:t>FOW</w:t>
      </w:r>
      <w:proofErr w:type="spellEnd"/>
      <w:r w:rsidRPr="002A5B6D">
        <w:t xml:space="preserve"> </w:t>
      </w:r>
      <w:r w:rsidR="00854403">
        <w:t>are</w:t>
      </w:r>
      <w:r w:rsidRPr="002A5B6D">
        <w:t xml:space="preserve"> decomposed into three components — termed</w:t>
      </w:r>
      <w:r w:rsidR="00A434CC">
        <w:t>, in this report,</w:t>
      </w:r>
      <w:r w:rsidRPr="002A5B6D">
        <w:t xml:space="preserve"> growth, share and shift effects.</w:t>
      </w:r>
      <w:r w:rsidRPr="002A5B6D">
        <w:rPr>
          <w:rStyle w:val="FootnoteReference"/>
        </w:rPr>
        <w:footnoteReference w:id="1"/>
      </w:r>
    </w:p>
    <w:p w:rsidR="00F60449" w:rsidRDefault="00F60449" w:rsidP="00F60449">
      <w:pPr>
        <w:pStyle w:val="BodyText"/>
        <w:rPr>
          <w:spacing w:val="-2"/>
        </w:rPr>
      </w:pPr>
      <w:r>
        <w:rPr>
          <w:spacing w:val="-2"/>
        </w:rPr>
        <w:t xml:space="preserve">The </w:t>
      </w:r>
      <w:r w:rsidRPr="00AA0357">
        <w:rPr>
          <w:i/>
          <w:spacing w:val="-2"/>
        </w:rPr>
        <w:t>growth effect</w:t>
      </w:r>
      <w:r>
        <w:rPr>
          <w:spacing w:val="-2"/>
        </w:rPr>
        <w:t xml:space="preserve"> measures the extent to which employment in a </w:t>
      </w:r>
      <w:proofErr w:type="spellStart"/>
      <w:r>
        <w:rPr>
          <w:spacing w:val="-2"/>
        </w:rPr>
        <w:t>FOW</w:t>
      </w:r>
      <w:proofErr w:type="spellEnd"/>
      <w:r>
        <w:rPr>
          <w:spacing w:val="-2"/>
        </w:rPr>
        <w:t xml:space="preserve"> would have increased if job growth had simply replicated the profile of employment in 2001. In this case, the </w:t>
      </w:r>
      <w:proofErr w:type="spellStart"/>
      <w:r>
        <w:rPr>
          <w:spacing w:val="-2"/>
        </w:rPr>
        <w:t>FOW</w:t>
      </w:r>
      <w:proofErr w:type="spellEnd"/>
      <w:r>
        <w:rPr>
          <w:spacing w:val="-2"/>
        </w:rPr>
        <w:t xml:space="preserve"> would have grown at the same rate as employment overall, and its prevalence would have been constant over time. Observation of prevalence changes means that one or both of the other two effects were at work.</w:t>
      </w:r>
    </w:p>
    <w:p w:rsidR="00F60449" w:rsidRDefault="00F60449" w:rsidP="00F60449">
      <w:pPr>
        <w:pStyle w:val="BodyText"/>
      </w:pPr>
      <w:r>
        <w:t xml:space="preserve">The </w:t>
      </w:r>
      <w:r w:rsidRPr="00AA0357">
        <w:rPr>
          <w:i/>
        </w:rPr>
        <w:t>share effect</w:t>
      </w:r>
      <w:r>
        <w:t xml:space="preserve"> reflects the impact of changes in the mix of employment, for example, between states, industries or occupations. Relatively rapid job growth in occupations in which permanent employees were concentrated, for example, would </w:t>
      </w:r>
      <w:r w:rsidR="002A5B6D">
        <w:t xml:space="preserve">have </w:t>
      </w:r>
      <w:r>
        <w:t>translate</w:t>
      </w:r>
      <w:r w:rsidR="002A5B6D">
        <w:t>d</w:t>
      </w:r>
      <w:r>
        <w:t xml:space="preserve"> into employment growth above the national average for this </w:t>
      </w:r>
      <w:proofErr w:type="spellStart"/>
      <w:r>
        <w:t>FOW</w:t>
      </w:r>
      <w:proofErr w:type="spellEnd"/>
      <w:r w:rsidR="00A434CC">
        <w:t xml:space="preserve"> (other things equal)</w:t>
      </w:r>
      <w:r>
        <w:t>. Th</w:t>
      </w:r>
      <w:bookmarkStart w:id="4" w:name="_GoBack"/>
      <w:bookmarkEnd w:id="4"/>
      <w:r>
        <w:t xml:space="preserve">e prevalence of permanent employees would </w:t>
      </w:r>
      <w:r w:rsidR="002A5B6D">
        <w:t xml:space="preserve">have </w:t>
      </w:r>
      <w:r>
        <w:t>increase</w:t>
      </w:r>
      <w:r w:rsidR="002A5B6D">
        <w:t>d</w:t>
      </w:r>
      <w:r>
        <w:t xml:space="preserve"> as a result.</w:t>
      </w:r>
    </w:p>
    <w:p w:rsidR="00F60449" w:rsidRDefault="00F60449" w:rsidP="00F60449">
      <w:pPr>
        <w:pStyle w:val="BodyText"/>
        <w:rPr>
          <w:spacing w:val="-2"/>
        </w:rPr>
      </w:pPr>
      <w:r>
        <w:rPr>
          <w:spacing w:val="-2"/>
        </w:rPr>
        <w:t xml:space="preserve">The </w:t>
      </w:r>
      <w:r w:rsidRPr="00AA0357">
        <w:rPr>
          <w:i/>
          <w:spacing w:val="-2"/>
        </w:rPr>
        <w:t>shift effect</w:t>
      </w:r>
      <w:r>
        <w:rPr>
          <w:spacing w:val="-2"/>
        </w:rPr>
        <w:t xml:space="preserve"> picks up changes in a </w:t>
      </w:r>
      <w:proofErr w:type="spellStart"/>
      <w:r>
        <w:rPr>
          <w:spacing w:val="-2"/>
        </w:rPr>
        <w:t>FOW</w:t>
      </w:r>
      <w:proofErr w:type="spellEnd"/>
      <w:r>
        <w:rPr>
          <w:spacing w:val="-2"/>
        </w:rPr>
        <w:t xml:space="preserve"> due to relatively fast or slow growth of that employment type within sectors of the workforce. For example, if casual employment</w:t>
      </w:r>
      <w:r w:rsidR="001B46DA">
        <w:rPr>
          <w:spacing w:val="-2"/>
        </w:rPr>
        <w:t xml:space="preserve"> </w:t>
      </w:r>
      <w:r>
        <w:rPr>
          <w:spacing w:val="-2"/>
        </w:rPr>
        <w:t xml:space="preserve">expanded more rapidly than other </w:t>
      </w:r>
      <w:proofErr w:type="spellStart"/>
      <w:r>
        <w:rPr>
          <w:spacing w:val="-2"/>
        </w:rPr>
        <w:t>FOW</w:t>
      </w:r>
      <w:r w:rsidR="002A5B6D">
        <w:rPr>
          <w:spacing w:val="-2"/>
        </w:rPr>
        <w:t>s</w:t>
      </w:r>
      <w:proofErr w:type="spellEnd"/>
      <w:r>
        <w:rPr>
          <w:spacing w:val="-2"/>
        </w:rPr>
        <w:t xml:space="preserve"> within a number of industries, the prevalence of this </w:t>
      </w:r>
      <w:proofErr w:type="spellStart"/>
      <w:r>
        <w:rPr>
          <w:spacing w:val="-2"/>
        </w:rPr>
        <w:t>FOW</w:t>
      </w:r>
      <w:proofErr w:type="spellEnd"/>
      <w:r>
        <w:rPr>
          <w:spacing w:val="-2"/>
        </w:rPr>
        <w:t xml:space="preserve"> would </w:t>
      </w:r>
      <w:r w:rsidR="002A5B6D">
        <w:rPr>
          <w:spacing w:val="-2"/>
        </w:rPr>
        <w:t xml:space="preserve">have </w:t>
      </w:r>
      <w:r>
        <w:rPr>
          <w:spacing w:val="-2"/>
        </w:rPr>
        <w:t>increase</w:t>
      </w:r>
      <w:r w:rsidR="002A5B6D">
        <w:rPr>
          <w:spacing w:val="-2"/>
        </w:rPr>
        <w:t>d</w:t>
      </w:r>
      <w:r w:rsidR="00A434CC">
        <w:rPr>
          <w:spacing w:val="-2"/>
        </w:rPr>
        <w:t xml:space="preserve"> </w:t>
      </w:r>
      <w:r w:rsidR="00A434CC">
        <w:t>(other things equal)</w:t>
      </w:r>
      <w:r>
        <w:rPr>
          <w:spacing w:val="-2"/>
        </w:rPr>
        <w:t>.</w:t>
      </w:r>
    </w:p>
    <w:p w:rsidR="00F60449" w:rsidRDefault="00F60449" w:rsidP="00F60449">
      <w:pPr>
        <w:pStyle w:val="BodyText"/>
        <w:rPr>
          <w:spacing w:val="-2"/>
        </w:rPr>
      </w:pPr>
      <w:r>
        <w:rPr>
          <w:spacing w:val="-2"/>
        </w:rPr>
        <w:t>A characteristic of the decomposition is that</w:t>
      </w:r>
      <w:r w:rsidR="00A434CC">
        <w:rPr>
          <w:spacing w:val="-2"/>
        </w:rPr>
        <w:t xml:space="preserve"> the sum of </w:t>
      </w:r>
      <w:r>
        <w:rPr>
          <w:spacing w:val="-2"/>
        </w:rPr>
        <w:t xml:space="preserve">each of the aggregate share and shift effects must </w:t>
      </w:r>
      <w:r w:rsidR="00A434CC">
        <w:rPr>
          <w:spacing w:val="-2"/>
        </w:rPr>
        <w:t>be</w:t>
      </w:r>
      <w:r>
        <w:rPr>
          <w:spacing w:val="-2"/>
        </w:rPr>
        <w:t xml:space="preserve"> zero. This condition also holds for the shift effects (but not the share) for each element of a decomposition. For example, shift effects for </w:t>
      </w:r>
      <w:r w:rsidR="00A434CC">
        <w:rPr>
          <w:spacing w:val="-2"/>
        </w:rPr>
        <w:t>a</w:t>
      </w:r>
      <w:r>
        <w:rPr>
          <w:spacing w:val="-2"/>
        </w:rPr>
        <w:t xml:space="preserve">griculture must sum to zero across </w:t>
      </w:r>
      <w:proofErr w:type="spellStart"/>
      <w:r>
        <w:rPr>
          <w:spacing w:val="-2"/>
        </w:rPr>
        <w:t>FOWs</w:t>
      </w:r>
      <w:proofErr w:type="spellEnd"/>
      <w:r>
        <w:rPr>
          <w:spacing w:val="-2"/>
        </w:rPr>
        <w:t>, as must the aggregate of each of the share and shift effects in the industry</w:t>
      </w:r>
      <w:r>
        <w:rPr>
          <w:spacing w:val="-2"/>
        </w:rPr>
        <w:noBreakHyphen/>
        <w:t>level analysis.</w:t>
      </w:r>
    </w:p>
    <w:p w:rsidR="00F60449" w:rsidRDefault="00F60449" w:rsidP="00F60449">
      <w:pPr>
        <w:pStyle w:val="BodyText"/>
      </w:pPr>
      <w:r>
        <w:rPr>
          <w:spacing w:val="-2"/>
        </w:rPr>
        <w:lastRenderedPageBreak/>
        <w:t>S</w:t>
      </w:r>
      <w:r w:rsidR="00854403">
        <w:rPr>
          <w:spacing w:val="-2"/>
        </w:rPr>
        <w:t>hift–share decompositions</w:t>
      </w:r>
      <w:r w:rsidRPr="009E3EC7">
        <w:rPr>
          <w:spacing w:val="-2"/>
        </w:rPr>
        <w:t xml:space="preserve"> </w:t>
      </w:r>
      <w:r w:rsidR="00854403">
        <w:rPr>
          <w:spacing w:val="-2"/>
        </w:rPr>
        <w:t>are undertaken</w:t>
      </w:r>
      <w:r w:rsidRPr="009E3EC7">
        <w:rPr>
          <w:spacing w:val="-2"/>
        </w:rPr>
        <w:t xml:space="preserve"> </w:t>
      </w:r>
      <w:r>
        <w:rPr>
          <w:spacing w:val="-2"/>
        </w:rPr>
        <w:t>for changes in</w:t>
      </w:r>
      <w:r w:rsidRPr="009E3EC7">
        <w:rPr>
          <w:spacing w:val="-2"/>
        </w:rPr>
        <w:t xml:space="preserve"> </w:t>
      </w:r>
      <w:proofErr w:type="spellStart"/>
      <w:r w:rsidRPr="009E3EC7">
        <w:rPr>
          <w:spacing w:val="-2"/>
        </w:rPr>
        <w:t>FOW</w:t>
      </w:r>
      <w:proofErr w:type="spellEnd"/>
      <w:r w:rsidRPr="009E3EC7">
        <w:rPr>
          <w:spacing w:val="-2"/>
        </w:rPr>
        <w:t xml:space="preserve"> employment by state, industry</w:t>
      </w:r>
      <w:r>
        <w:rPr>
          <w:spacing w:val="-2"/>
        </w:rPr>
        <w:t>,</w:t>
      </w:r>
      <w:r w:rsidRPr="009E3EC7">
        <w:rPr>
          <w:spacing w:val="-2"/>
        </w:rPr>
        <w:t xml:space="preserve"> occupation</w:t>
      </w:r>
      <w:r>
        <w:rPr>
          <w:spacing w:val="-2"/>
        </w:rPr>
        <w:t>, age cohort and full-time and part-time status by gender</w:t>
      </w:r>
      <w:r w:rsidRPr="009E3EC7">
        <w:rPr>
          <w:spacing w:val="-2"/>
        </w:rPr>
        <w:t>.</w:t>
      </w:r>
    </w:p>
    <w:p w:rsidR="00F60449" w:rsidRDefault="00F60449" w:rsidP="00F60449">
      <w:pPr>
        <w:pStyle w:val="BodyText"/>
      </w:pPr>
      <w:r>
        <w:t>More formally, let:</w:t>
      </w:r>
    </w:p>
    <w:p w:rsidR="00F60449" w:rsidRPr="00A434CC" w:rsidRDefault="00F60449" w:rsidP="00F60449">
      <w:pPr>
        <w:pStyle w:val="ListBullet"/>
        <w:rPr>
          <w:oMath/>
        </w:rPr>
      </w:pPr>
      <m:oMath>
        <m:r>
          <w:rPr>
            <w:rFonts w:ascii="Cambria Math" w:hAnsi="Cambria Math"/>
          </w:rPr>
          <m:t>i=1…I</m:t>
        </m:r>
        <m:r>
          <m:rPr>
            <m:sty m:val="p"/>
          </m:rPr>
          <w:rPr>
            <w:rFonts w:ascii="Cambria Math" w:hAnsi="Cambria Math"/>
          </w:rPr>
          <m:t xml:space="preserve"> </m:t>
        </m:r>
        <m:r>
          <m:rPr>
            <m:nor/>
          </m:rPr>
          <w:rPr>
            <w:rFonts w:ascii="Cambria Math" w:hAnsi="Cambria Math"/>
            <w:i/>
          </w:rPr>
          <m:t>represent I states, industries, occupations etc</m:t>
        </m:r>
      </m:oMath>
    </w:p>
    <w:p w:rsidR="00F60449" w:rsidRPr="00A434CC" w:rsidRDefault="00F60449" w:rsidP="00F60449">
      <w:pPr>
        <w:pStyle w:val="ListBullet"/>
        <w:rPr>
          <w:oMath/>
        </w:rPr>
      </w:pPr>
      <m:oMath>
        <m:r>
          <w:rPr>
            <w:rFonts w:ascii="Cambria Math" w:hAnsi="Cambria Math"/>
          </w:rPr>
          <m:t xml:space="preserve">f </m:t>
        </m:r>
        <m:r>
          <m:rPr>
            <m:nor/>
          </m:rPr>
          <w:rPr>
            <w:rFonts w:ascii="Cambria Math" w:hAnsi="Cambria Math"/>
            <w:i/>
          </w:rPr>
          <m:t>represent a form of work</m:t>
        </m:r>
      </m:oMath>
    </w:p>
    <w:p w:rsidR="00F60449" w:rsidRPr="00A434CC" w:rsidRDefault="00F60449" w:rsidP="00F60449">
      <w:pPr>
        <w:pStyle w:val="ListBullet"/>
        <w:rPr>
          <w:oMath/>
        </w:rPr>
      </w:pPr>
      <m:oMath>
        <m:r>
          <w:rPr>
            <w:rFonts w:ascii="Cambria Math" w:hAnsi="Cambria Math"/>
          </w:rPr>
          <m:t xml:space="preserve">N </m:t>
        </m:r>
        <m:r>
          <m:rPr>
            <m:nor/>
          </m:rPr>
          <w:rPr>
            <w:rFonts w:ascii="Cambria Math" w:hAnsi="Cambria Math"/>
            <w:i/>
          </w:rPr>
          <m:t>represent Australia</m:t>
        </m:r>
      </m:oMath>
    </w:p>
    <w:p w:rsidR="00F60449" w:rsidRPr="002516B3" w:rsidRDefault="00F60449" w:rsidP="00F60449">
      <w:pPr>
        <w:pStyle w:val="ListBullet"/>
      </w:pPr>
      <m:oMath>
        <m:r>
          <w:rPr>
            <w:rFonts w:ascii="Cambria Math" w:hAnsi="Cambria Math"/>
          </w:rPr>
          <m:t>E represent employment</m:t>
        </m:r>
      </m:oMath>
    </w:p>
    <w:p w:rsidR="00F60449" w:rsidRPr="00A434CC" w:rsidRDefault="00F60449" w:rsidP="00F60449">
      <w:pPr>
        <w:pStyle w:val="ListBullet"/>
        <w:rPr>
          <w:oMath/>
        </w:rPr>
      </w:pPr>
      <m:oMath>
        <m:r>
          <w:rPr>
            <w:rFonts w:ascii="Cambria Math" w:hAnsi="Cambria Math"/>
          </w:rPr>
          <m:t xml:space="preserve">t0  </m:t>
        </m:r>
        <m:r>
          <m:rPr>
            <m:nor/>
          </m:rPr>
          <w:rPr>
            <w:rFonts w:ascii="Cambria Math" w:hAnsi="Cambria Math"/>
            <w:i/>
          </w:rPr>
          <m:t>represent 2001</m:t>
        </m:r>
      </m:oMath>
    </w:p>
    <w:p w:rsidR="00F60449" w:rsidRPr="00A434CC" w:rsidRDefault="00F60449" w:rsidP="00F60449">
      <w:pPr>
        <w:pStyle w:val="ListBullet"/>
        <w:rPr>
          <w:oMath/>
        </w:rPr>
      </w:pPr>
      <m:oMath>
        <m:r>
          <w:rPr>
            <w:rFonts w:ascii="Cambria Math" w:hAnsi="Cambria Math"/>
          </w:rPr>
          <m:t xml:space="preserve">t1  </m:t>
        </m:r>
        <m:r>
          <m:rPr>
            <m:nor/>
          </m:rPr>
          <w:rPr>
            <w:rFonts w:ascii="Cambria Math" w:hAnsi="Cambria Math"/>
            <w:i/>
          </w:rPr>
          <m:t>represent 2011</m:t>
        </m:r>
      </m:oMath>
    </w:p>
    <w:p w:rsidR="00F60449" w:rsidRPr="00F97B57" w:rsidRDefault="003A1775" w:rsidP="00F60449">
      <w:pPr>
        <w:pStyle w:val="ListBullet"/>
      </w:pPr>
      <m:oMath>
        <m:sSub>
          <m:sSubPr>
            <m:ctrlPr>
              <w:rPr>
                <w:rFonts w:ascii="Cambria Math" w:hAnsi="Cambria Math"/>
                <w:i/>
              </w:rPr>
            </m:ctrlPr>
          </m:sSubPr>
          <m:e>
            <m:r>
              <w:rPr>
                <w:rFonts w:ascii="Cambria Math" w:hAnsi="Cambria Math"/>
              </w:rPr>
              <m:t>GR</m:t>
            </m:r>
          </m:e>
          <m:sub>
            <m:r>
              <w:rPr>
                <w:rFonts w:ascii="Cambria Math" w:hAnsi="Cambria Math"/>
              </w:rPr>
              <m:t>f</m:t>
            </m:r>
          </m:sub>
        </m:sSub>
        <m:r>
          <w:rPr>
            <w:rFonts w:ascii="Cambria Math" w:hAnsi="Cambria Math"/>
          </w:rPr>
          <m:t xml:space="preserve"> </m:t>
        </m:r>
        <m:r>
          <m:rPr>
            <m:nor/>
          </m:rPr>
          <w:rPr>
            <w:rFonts w:ascii="Cambria Math" w:hAnsi="Cambria Math"/>
            <w:i/>
          </w:rPr>
          <m:t>represent the growth effect for FOW f</m:t>
        </m:r>
      </m:oMath>
    </w:p>
    <w:p w:rsidR="00F60449" w:rsidRPr="00A434CC" w:rsidRDefault="003A1775" w:rsidP="00F60449">
      <w:pPr>
        <w:pStyle w:val="ListBullet"/>
        <w:rPr>
          <w:oMath/>
        </w:rPr>
      </w:pPr>
      <m:oMath>
        <m:sSub>
          <m:sSubPr>
            <m:ctrlPr>
              <w:rPr>
                <w:rFonts w:ascii="Cambria Math" w:hAnsi="Cambria Math"/>
                <w:i/>
              </w:rPr>
            </m:ctrlPr>
          </m:sSubPr>
          <m:e>
            <m:r>
              <w:rPr>
                <w:rFonts w:ascii="Cambria Math" w:hAnsi="Cambria Math"/>
              </w:rPr>
              <m:t>SH</m:t>
            </m:r>
          </m:e>
          <m:sub>
            <m:r>
              <w:rPr>
                <w:rFonts w:ascii="Cambria Math" w:hAnsi="Cambria Math"/>
              </w:rPr>
              <m:t>f</m:t>
            </m:r>
          </m:sub>
        </m:sSub>
        <m:r>
          <w:rPr>
            <w:rFonts w:ascii="Cambria Math" w:hAnsi="Cambria Math"/>
          </w:rPr>
          <m:t xml:space="preserve"> </m:t>
        </m:r>
        <m:r>
          <m:rPr>
            <m:nor/>
          </m:rPr>
          <w:rPr>
            <w:rFonts w:ascii="Cambria Math" w:hAnsi="Cambria Math"/>
            <w:i/>
          </w:rPr>
          <m:t>represent the share effect for FOW f</m:t>
        </m:r>
      </m:oMath>
    </w:p>
    <w:p w:rsidR="00F60449" w:rsidRPr="00F97B57" w:rsidRDefault="003A1775" w:rsidP="00F60449">
      <w:pPr>
        <w:pStyle w:val="ListBullet"/>
      </w:pPr>
      <m:oMath>
        <m:sSub>
          <m:sSubPr>
            <m:ctrlPr>
              <w:rPr>
                <w:rFonts w:ascii="Cambria Math" w:hAnsi="Cambria Math"/>
                <w:i/>
              </w:rPr>
            </m:ctrlPr>
          </m:sSubPr>
          <m:e>
            <m:r>
              <w:rPr>
                <w:rFonts w:ascii="Cambria Math" w:hAnsi="Cambria Math"/>
              </w:rPr>
              <m:t>FT</m:t>
            </m:r>
          </m:e>
          <m:sub>
            <m:r>
              <w:rPr>
                <w:rFonts w:ascii="Cambria Math" w:hAnsi="Cambria Math"/>
              </w:rPr>
              <m:t>f</m:t>
            </m:r>
          </m:sub>
        </m:sSub>
        <m:r>
          <w:rPr>
            <w:rFonts w:ascii="Cambria Math" w:hAnsi="Cambria Math"/>
          </w:rPr>
          <m:t xml:space="preserve"> </m:t>
        </m:r>
        <m:r>
          <m:rPr>
            <m:nor/>
          </m:rPr>
          <w:rPr>
            <w:rFonts w:ascii="Cambria Math" w:hAnsi="Cambria Math"/>
            <w:i/>
          </w:rPr>
          <m:t>represent the shift effect for FOW f</m:t>
        </m:r>
      </m:oMath>
    </w:p>
    <w:p w:rsidR="00F60449" w:rsidRPr="006E1872" w:rsidRDefault="00F60449" w:rsidP="00F60449">
      <w:pPr>
        <w:pStyle w:val="BodyText"/>
        <w:rPr>
          <w:spacing w:val="-2"/>
        </w:rPr>
      </w:pPr>
      <w:r w:rsidRPr="006E1872">
        <w:rPr>
          <w:spacing w:val="-2"/>
        </w:rPr>
        <w:t xml:space="preserve">Then, the change in </w:t>
      </w:r>
      <w:proofErr w:type="spellStart"/>
      <w:r>
        <w:rPr>
          <w:spacing w:val="-2"/>
        </w:rPr>
        <w:t>FOW</w:t>
      </w:r>
      <w:proofErr w:type="spellEnd"/>
      <w:r>
        <w:rPr>
          <w:spacing w:val="-2"/>
        </w:rPr>
        <w:t xml:space="preserve"> </w:t>
      </w:r>
      <w:r w:rsidRPr="00EE20D2">
        <w:rPr>
          <w:i/>
          <w:spacing w:val="-2"/>
        </w:rPr>
        <w:t>f</w:t>
      </w:r>
      <w:r>
        <w:rPr>
          <w:spacing w:val="-2"/>
        </w:rPr>
        <w:t xml:space="preserve"> between 2001 and 2011</w:t>
      </w:r>
      <w:r w:rsidRPr="006E1872">
        <w:rPr>
          <w:spacing w:val="-2"/>
        </w:rPr>
        <w:t xml:space="preserve"> can be </w:t>
      </w:r>
      <w:r>
        <w:rPr>
          <w:spacing w:val="-2"/>
        </w:rPr>
        <w:t>described as</w:t>
      </w:r>
      <w:r w:rsidRPr="006E1872">
        <w:rPr>
          <w:spacing w:val="-2"/>
        </w:rPr>
        <w:t>:</w:t>
      </w:r>
    </w:p>
    <w:p w:rsidR="00F60449" w:rsidRPr="00B35CEB" w:rsidRDefault="003A1775" w:rsidP="00F60449">
      <w:pPr>
        <w:pStyle w:val="BodyText"/>
      </w:pPr>
      <m:oMathPara>
        <m:oMathParaPr>
          <m:jc m:val="left"/>
        </m:oMathParaPr>
        <m:oMath>
          <m:sSubSup>
            <m:sSubSupPr>
              <m:ctrlPr>
                <w:rPr>
                  <w:rFonts w:ascii="Cambria Math" w:hAnsi="Cambria Math"/>
                  <w:i/>
                </w:rPr>
              </m:ctrlPr>
            </m:sSubSupPr>
            <m:e>
              <m:r>
                <w:rPr>
                  <w:rFonts w:ascii="Cambria Math" w:hAnsi="Cambria Math"/>
                </w:rPr>
                <m:t>E</m:t>
              </m:r>
            </m:e>
            <m:sub>
              <m:r>
                <w:rPr>
                  <w:rFonts w:ascii="Cambria Math" w:hAnsi="Cambria Math"/>
                </w:rPr>
                <m:t>f</m:t>
              </m:r>
            </m:sub>
            <m:sup>
              <m:r>
                <w:rPr>
                  <w:rFonts w:ascii="Cambria Math" w:hAnsi="Cambria Math"/>
                </w:rPr>
                <m:t>t1</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f</m:t>
              </m:r>
            </m:sub>
            <m:sup>
              <m:r>
                <w:rPr>
                  <w:rFonts w:ascii="Cambria Math" w:hAnsi="Cambria Math"/>
                </w:rPr>
                <m:t>t0</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f</m:t>
              </m:r>
            </m:sub>
            <m:sup>
              <m:r>
                <w:rPr>
                  <w:rFonts w:ascii="Cambria Math" w:hAnsi="Cambria Math"/>
                </w:rPr>
                <m:t>t0</m:t>
              </m:r>
            </m:sup>
          </m:sSubSup>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f</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f</m:t>
                      </m:r>
                    </m:sub>
                    <m:sup>
                      <m:r>
                        <w:rPr>
                          <w:rFonts w:ascii="Cambria Math" w:hAnsi="Cambria Math"/>
                        </w:rPr>
                        <m:t>t0</m:t>
                      </m:r>
                    </m:sup>
                  </m:sSubSup>
                </m:den>
              </m:f>
              <m:r>
                <w:rPr>
                  <w:rFonts w:ascii="Cambria Math" w:hAnsi="Cambria Math"/>
                </w:rPr>
                <m:t>-1</m:t>
              </m:r>
            </m:e>
          </m:d>
          <m:r>
            <w:rPr>
              <w:rFonts w:ascii="Cambria Math" w:hAnsi="Cambria Math"/>
            </w:rPr>
            <m:t xml:space="preserve">= </m:t>
          </m:r>
          <m:nary>
            <m:naryPr>
              <m:chr m:val="∑"/>
              <m:limLoc m:val="undOvr"/>
              <m:ctrlPr>
                <w:rPr>
                  <w:rFonts w:ascii="Cambria Math" w:hAnsi="Cambria Math"/>
                  <w:i/>
                </w:rPr>
              </m:ctrlPr>
            </m:naryPr>
            <m:sub>
              <m:r>
                <w:rPr>
                  <w:rFonts w:ascii="Cambria Math" w:hAnsi="Cambria Math"/>
                </w:rPr>
                <m:t>i</m:t>
              </m:r>
            </m:sub>
            <m:sup>
              <m:r>
                <w:rPr>
                  <w:rFonts w:ascii="Cambria Math" w:hAnsi="Cambria Math"/>
                </w:rPr>
                <m:t>I</m:t>
              </m:r>
            </m:sup>
            <m:e>
              <m:sSubSup>
                <m:sSubSupPr>
                  <m:ctrlPr>
                    <w:rPr>
                      <w:rFonts w:ascii="Cambria Math" w:hAnsi="Cambria Math"/>
                      <w:i/>
                    </w:rPr>
                  </m:ctrlPr>
                </m:sSubSupPr>
                <m:e>
                  <m:r>
                    <w:rPr>
                      <w:rFonts w:ascii="Cambria Math" w:hAnsi="Cambria Math"/>
                    </w:rPr>
                    <m:t>E</m:t>
                  </m:r>
                </m:e>
                <m:sub>
                  <m:r>
                    <w:rPr>
                      <w:rFonts w:ascii="Cambria Math" w:hAnsi="Cambria Math"/>
                    </w:rPr>
                    <m:t>fi</m:t>
                  </m:r>
                </m:sub>
                <m:sup>
                  <m:r>
                    <w:rPr>
                      <w:rFonts w:ascii="Cambria Math" w:hAnsi="Cambria Math"/>
                    </w:rPr>
                    <m:t>t0</m:t>
                  </m:r>
                </m:sup>
              </m:sSubSup>
              <m:r>
                <w:rPr>
                  <w:rFonts w:ascii="Cambria Math" w:hAnsi="Cambria Math"/>
                </w:rPr>
                <m:t>*</m:t>
              </m:r>
            </m:e>
          </m:nary>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fi</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fi</m:t>
                      </m:r>
                    </m:sub>
                    <m:sup>
                      <m:r>
                        <w:rPr>
                          <w:rFonts w:ascii="Cambria Math" w:hAnsi="Cambria Math"/>
                        </w:rPr>
                        <m:t>t0</m:t>
                      </m:r>
                    </m:sup>
                  </m:sSubSup>
                </m:den>
              </m:f>
              <m:r>
                <w:rPr>
                  <w:rFonts w:ascii="Cambria Math" w:hAnsi="Cambria Math"/>
                </w:rPr>
                <m:t>-1</m:t>
              </m:r>
            </m:e>
          </m:d>
        </m:oMath>
      </m:oMathPara>
    </w:p>
    <w:p w:rsidR="00F60449" w:rsidRDefault="00F60449" w:rsidP="00F60449">
      <w:pPr>
        <w:pStyle w:val="BodyText"/>
      </w:pPr>
      <w:r>
        <w:t>The final term in this expression can be decomposed as follows:</w:t>
      </w:r>
    </w:p>
    <w:p w:rsidR="00F60449" w:rsidRPr="00497524" w:rsidRDefault="003A1775" w:rsidP="00F60449">
      <w:pPr>
        <w:pStyle w:val="BodyText"/>
      </w:pPr>
      <m:oMathPara>
        <m:oMathParaPr>
          <m:jc m:val="left"/>
        </m:oMathParaPr>
        <m:oMath>
          <m:nary>
            <m:naryPr>
              <m:chr m:val="∑"/>
              <m:limLoc m:val="undOvr"/>
              <m:ctrlPr>
                <w:rPr>
                  <w:rFonts w:ascii="Cambria Math" w:hAnsi="Cambria Math"/>
                  <w:i/>
                </w:rPr>
              </m:ctrlPr>
            </m:naryPr>
            <m:sub>
              <m:r>
                <w:rPr>
                  <w:rFonts w:ascii="Cambria Math" w:hAnsi="Cambria Math"/>
                </w:rPr>
                <m:t>i</m:t>
              </m:r>
            </m:sub>
            <m:sup>
              <m:r>
                <w:rPr>
                  <w:rFonts w:ascii="Cambria Math" w:hAnsi="Cambria Math"/>
                </w:rPr>
                <m:t>I</m:t>
              </m:r>
            </m:sup>
            <m:e>
              <m:sSubSup>
                <m:sSubSupPr>
                  <m:ctrlPr>
                    <w:rPr>
                      <w:rFonts w:ascii="Cambria Math" w:hAnsi="Cambria Math"/>
                      <w:i/>
                    </w:rPr>
                  </m:ctrlPr>
                </m:sSubSupPr>
                <m:e>
                  <m:r>
                    <w:rPr>
                      <w:rFonts w:ascii="Cambria Math" w:hAnsi="Cambria Math"/>
                    </w:rPr>
                    <m:t>E</m:t>
                  </m:r>
                </m:e>
                <m:sub>
                  <m:r>
                    <w:rPr>
                      <w:rFonts w:ascii="Cambria Math" w:hAnsi="Cambria Math"/>
                    </w:rPr>
                    <m:t>fi</m:t>
                  </m:r>
                </m:sub>
                <m:sup>
                  <m:r>
                    <w:rPr>
                      <w:rFonts w:ascii="Cambria Math" w:hAnsi="Cambria Math"/>
                    </w:rPr>
                    <m:t>t0</m:t>
                  </m:r>
                </m:sup>
              </m:sSubSup>
              <m:r>
                <w:rPr>
                  <w:rFonts w:ascii="Cambria Math" w:hAnsi="Cambria Math"/>
                </w:rPr>
                <m:t>*</m:t>
              </m:r>
            </m:e>
          </m:nary>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fi</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fi</m:t>
                      </m:r>
                    </m:sub>
                    <m:sup>
                      <m:r>
                        <w:rPr>
                          <w:rFonts w:ascii="Cambria Math" w:hAnsi="Cambria Math"/>
                        </w:rPr>
                        <m:t>t0</m:t>
                      </m:r>
                    </m:sup>
                  </m:sSubSup>
                </m:den>
              </m:f>
              <m:r>
                <w:rPr>
                  <w:rFonts w:ascii="Cambria Math" w:hAnsi="Cambria Math"/>
                </w:rPr>
                <m:t>-1</m:t>
              </m:r>
            </m:e>
          </m:d>
          <m:r>
            <w:rPr>
              <w:rFonts w:ascii="Cambria Math" w:hAnsi="Cambria Math"/>
            </w:rPr>
            <m:t>=</m:t>
          </m:r>
          <m:nary>
            <m:naryPr>
              <m:chr m:val="∑"/>
              <m:limLoc m:val="undOvr"/>
              <m:ctrlPr>
                <w:rPr>
                  <w:rFonts w:ascii="Cambria Math" w:hAnsi="Cambria Math"/>
                  <w:i/>
                </w:rPr>
              </m:ctrlPr>
            </m:naryPr>
            <m:sub>
              <m:r>
                <w:rPr>
                  <w:rFonts w:ascii="Cambria Math" w:hAnsi="Cambria Math"/>
                </w:rPr>
                <m:t>i</m:t>
              </m:r>
            </m:sub>
            <m:sup>
              <m:r>
                <w:rPr>
                  <w:rFonts w:ascii="Cambria Math" w:hAnsi="Cambria Math"/>
                </w:rPr>
                <m:t>I</m:t>
              </m:r>
            </m:sup>
            <m:e>
              <m:sSubSup>
                <m:sSubSupPr>
                  <m:ctrlPr>
                    <w:rPr>
                      <w:rFonts w:ascii="Cambria Math" w:hAnsi="Cambria Math"/>
                      <w:i/>
                    </w:rPr>
                  </m:ctrlPr>
                </m:sSubSupPr>
                <m:e>
                  <m:r>
                    <w:rPr>
                      <w:rFonts w:ascii="Cambria Math" w:hAnsi="Cambria Math"/>
                    </w:rPr>
                    <m:t>E</m:t>
                  </m:r>
                </m:e>
                <m:sub>
                  <m:r>
                    <w:rPr>
                      <w:rFonts w:ascii="Cambria Math" w:hAnsi="Cambria Math"/>
                    </w:rPr>
                    <m:t>fi</m:t>
                  </m:r>
                </m:sub>
                <m:sup>
                  <m:r>
                    <w:rPr>
                      <w:rFonts w:ascii="Cambria Math" w:hAnsi="Cambria Math"/>
                    </w:rPr>
                    <m:t>t0</m:t>
                  </m:r>
                </m:sup>
              </m:sSubSup>
              <m:r>
                <w:rPr>
                  <w:rFonts w:ascii="Cambria Math" w:hAnsi="Cambria Math"/>
                </w:rPr>
                <m:t>*</m:t>
              </m:r>
            </m:e>
          </m:nary>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N</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N</m:t>
                          </m:r>
                        </m:sub>
                        <m:sup>
                          <m:r>
                            <w:rPr>
                              <w:rFonts w:ascii="Cambria Math" w:hAnsi="Cambria Math"/>
                            </w:rPr>
                            <m:t>t0</m:t>
                          </m:r>
                        </m:sup>
                      </m:sSubSup>
                    </m:den>
                  </m:f>
                  <m:r>
                    <w:rPr>
                      <w:rFonts w:ascii="Cambria Math" w:hAnsi="Cambria Math"/>
                    </w:rPr>
                    <m:t>-1</m:t>
                  </m:r>
                </m:e>
              </m:d>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t0</m:t>
                          </m:r>
                        </m:sup>
                      </m:sSubSup>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N</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N</m:t>
                          </m:r>
                        </m:sub>
                        <m:sup>
                          <m:r>
                            <w:rPr>
                              <w:rFonts w:ascii="Cambria Math" w:hAnsi="Cambria Math"/>
                            </w:rPr>
                            <m:t>t0</m:t>
                          </m:r>
                        </m:sup>
                      </m:sSubSup>
                    </m:den>
                  </m:f>
                </m:e>
              </m:d>
              <m:r>
                <w:rPr>
                  <w:rFonts w:ascii="Cambria Math" w:hAnsi="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if</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if</m:t>
                          </m:r>
                        </m:sub>
                        <m:sup>
                          <m:r>
                            <w:rPr>
                              <w:rFonts w:ascii="Cambria Math" w:hAnsi="Cambria Math"/>
                            </w:rPr>
                            <m:t>t0</m:t>
                          </m:r>
                        </m:sup>
                      </m:sSubSup>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t0</m:t>
                          </m:r>
                        </m:sup>
                      </m:sSubSup>
                    </m:den>
                  </m:f>
                </m:e>
              </m:d>
            </m:e>
          </m:d>
        </m:oMath>
      </m:oMathPara>
    </w:p>
    <w:p w:rsidR="00F60449" w:rsidRDefault="00F60449" w:rsidP="00F60449">
      <w:pPr>
        <w:pStyle w:val="BodyText"/>
      </w:pPr>
      <w:r>
        <w:t>The three elements of this decomposition represent the growth, share and shift effects:</w:t>
      </w:r>
    </w:p>
    <w:p w:rsidR="00F60449" w:rsidRPr="0020677C" w:rsidRDefault="003A1775" w:rsidP="00F60449">
      <w:pPr>
        <w:pStyle w:val="BodyText"/>
      </w:pPr>
      <m:oMathPara>
        <m:oMathParaPr>
          <m:jc m:val="left"/>
        </m:oMathParaPr>
        <m:oMath>
          <m:sSub>
            <m:sSubPr>
              <m:ctrlPr>
                <w:rPr>
                  <w:rFonts w:ascii="Cambria Math" w:hAnsi="Cambria Math"/>
                </w:rPr>
              </m:ctrlPr>
            </m:sSubPr>
            <m:e>
              <m:r>
                <w:rPr>
                  <w:rFonts w:ascii="Cambria Math" w:hAnsi="Cambria Math"/>
                </w:rPr>
                <m:t>GR</m:t>
              </m:r>
            </m:e>
            <m:sub>
              <m:r>
                <w:rPr>
                  <w:rFonts w:ascii="Cambria Math" w:hAnsi="Cambria Math"/>
                </w:rPr>
                <m:t>f</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sub>
            <m:sup>
              <m:r>
                <w:rPr>
                  <w:rFonts w:ascii="Cambria Math" w:hAnsi="Cambria Math"/>
                </w:rPr>
                <m:t>I</m:t>
              </m:r>
            </m:sup>
            <m:e>
              <m:sSubSup>
                <m:sSubSupPr>
                  <m:ctrlPr>
                    <w:rPr>
                      <w:rFonts w:ascii="Cambria Math" w:hAnsi="Cambria Math"/>
                    </w:rPr>
                  </m:ctrlPr>
                </m:sSubSupPr>
                <m:e>
                  <m:r>
                    <w:rPr>
                      <w:rFonts w:ascii="Cambria Math" w:hAnsi="Cambria Math"/>
                    </w:rPr>
                    <m:t>E</m:t>
                  </m:r>
                </m:e>
                <m:sub>
                  <m:r>
                    <w:rPr>
                      <w:rFonts w:ascii="Cambria Math" w:hAnsi="Cambria Math"/>
                    </w:rPr>
                    <m:t>fi</m:t>
                  </m:r>
                </m:sub>
                <m:sup>
                  <m:r>
                    <w:rPr>
                      <w:rFonts w:ascii="Cambria Math" w:hAnsi="Cambria Math"/>
                    </w:rPr>
                    <m:t>t</m:t>
                  </m:r>
                  <m:r>
                    <m:rPr>
                      <m:sty m:val="p"/>
                    </m:rPr>
                    <w:rPr>
                      <w:rFonts w:ascii="Cambria Math" w:hAnsi="Cambria Math"/>
                    </w:rPr>
                    <m:t>0</m:t>
                  </m:r>
                </m:sup>
              </m:sSubSup>
              <m:r>
                <m:rPr>
                  <m:sty m:val="p"/>
                </m:rPr>
                <w:rPr>
                  <w:rFonts w:ascii="Cambria Math" w:hAnsi="Cambria Math"/>
                </w:rPr>
                <m:t>*</m:t>
              </m:r>
            </m:e>
          </m:nary>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E</m:t>
                      </m:r>
                    </m:e>
                    <m:sub>
                      <m:r>
                        <w:rPr>
                          <w:rFonts w:ascii="Cambria Math" w:hAnsi="Cambria Math"/>
                        </w:rPr>
                        <m:t>N</m:t>
                      </m:r>
                    </m:sub>
                    <m:sup>
                      <m:r>
                        <w:rPr>
                          <w:rFonts w:ascii="Cambria Math" w:hAnsi="Cambria Math"/>
                        </w:rPr>
                        <m:t>t</m:t>
                      </m:r>
                      <m:r>
                        <m:rPr>
                          <m:sty m:val="p"/>
                        </m:rPr>
                        <w:rPr>
                          <w:rFonts w:ascii="Cambria Math" w:hAnsi="Cambria Math"/>
                        </w:rPr>
                        <m:t>1</m:t>
                      </m:r>
                    </m:sup>
                  </m:sSubSup>
                </m:num>
                <m:den>
                  <m:sSubSup>
                    <m:sSubSupPr>
                      <m:ctrlPr>
                        <w:rPr>
                          <w:rFonts w:ascii="Cambria Math" w:hAnsi="Cambria Math"/>
                        </w:rPr>
                      </m:ctrlPr>
                    </m:sSubSupPr>
                    <m:e>
                      <m:r>
                        <w:rPr>
                          <w:rFonts w:ascii="Cambria Math" w:hAnsi="Cambria Math"/>
                        </w:rPr>
                        <m:t>E</m:t>
                      </m:r>
                    </m:e>
                    <m:sub>
                      <m:r>
                        <w:rPr>
                          <w:rFonts w:ascii="Cambria Math" w:hAnsi="Cambria Math"/>
                        </w:rPr>
                        <m:t>N</m:t>
                      </m:r>
                    </m:sub>
                    <m:sup>
                      <m:r>
                        <w:rPr>
                          <w:rFonts w:ascii="Cambria Math" w:hAnsi="Cambria Math"/>
                        </w:rPr>
                        <m:t>t</m:t>
                      </m:r>
                      <m:r>
                        <m:rPr>
                          <m:sty m:val="p"/>
                        </m:rPr>
                        <w:rPr>
                          <w:rFonts w:ascii="Cambria Math" w:hAnsi="Cambria Math"/>
                        </w:rPr>
                        <m:t>0</m:t>
                      </m:r>
                    </m:sup>
                  </m:sSubSup>
                </m:den>
              </m:f>
              <m:r>
                <m:rPr>
                  <m:sty m:val="p"/>
                </m:rPr>
                <w:rPr>
                  <w:rFonts w:ascii="Cambria Math" w:hAnsi="Cambria Math"/>
                </w:rPr>
                <m:t>-1</m:t>
              </m:r>
            </m:e>
          </m:d>
        </m:oMath>
      </m:oMathPara>
    </w:p>
    <w:p w:rsidR="00F60449" w:rsidRPr="0020677C" w:rsidRDefault="003A1775" w:rsidP="00F60449">
      <w:pPr>
        <w:pStyle w:val="BodyText"/>
      </w:pPr>
      <m:oMathPara>
        <m:oMathParaPr>
          <m:jc m:val="left"/>
        </m:oMathParaPr>
        <m:oMath>
          <m:sSub>
            <m:sSubPr>
              <m:ctrlPr>
                <w:rPr>
                  <w:rFonts w:ascii="Cambria Math" w:hAnsi="Cambria Math"/>
                  <w:i/>
                </w:rPr>
              </m:ctrlPr>
            </m:sSubPr>
            <m:e>
              <m:r>
                <w:rPr>
                  <w:rFonts w:ascii="Cambria Math" w:hAnsi="Cambria Math"/>
                </w:rPr>
                <m:t>SH</m:t>
              </m:r>
            </m:e>
            <m:sub>
              <m:r>
                <w:rPr>
                  <w:rFonts w:ascii="Cambria Math" w:hAnsi="Cambria Math"/>
                </w:rPr>
                <m:t>f</m:t>
              </m:r>
            </m:sub>
          </m:sSub>
          <m:r>
            <w:rPr>
              <w:rFonts w:ascii="Cambria Math" w:hAnsi="Cambria Math"/>
            </w:rPr>
            <m:t>=</m:t>
          </m:r>
          <m:nary>
            <m:naryPr>
              <m:chr m:val="∑"/>
              <m:limLoc m:val="undOvr"/>
              <m:ctrlPr>
                <w:rPr>
                  <w:rFonts w:ascii="Cambria Math" w:hAnsi="Cambria Math"/>
                  <w:i/>
                </w:rPr>
              </m:ctrlPr>
            </m:naryPr>
            <m:sub>
              <m:r>
                <w:rPr>
                  <w:rFonts w:ascii="Cambria Math" w:hAnsi="Cambria Math"/>
                </w:rPr>
                <m:t>i</m:t>
              </m:r>
            </m:sub>
            <m:sup>
              <m:r>
                <w:rPr>
                  <w:rFonts w:ascii="Cambria Math" w:hAnsi="Cambria Math"/>
                </w:rPr>
                <m:t>I</m:t>
              </m:r>
            </m:sup>
            <m:e>
              <m:sSubSup>
                <m:sSubSupPr>
                  <m:ctrlPr>
                    <w:rPr>
                      <w:rFonts w:ascii="Cambria Math" w:hAnsi="Cambria Math"/>
                      <w:i/>
                    </w:rPr>
                  </m:ctrlPr>
                </m:sSubSupPr>
                <m:e>
                  <m:r>
                    <w:rPr>
                      <w:rFonts w:ascii="Cambria Math" w:hAnsi="Cambria Math"/>
                    </w:rPr>
                    <m:t>E</m:t>
                  </m:r>
                </m:e>
                <m:sub>
                  <m:r>
                    <w:rPr>
                      <w:rFonts w:ascii="Cambria Math" w:hAnsi="Cambria Math"/>
                    </w:rPr>
                    <m:t>fi</m:t>
                  </m:r>
                </m:sub>
                <m:sup>
                  <m:r>
                    <w:rPr>
                      <w:rFonts w:ascii="Cambria Math" w:hAnsi="Cambria Math"/>
                    </w:rPr>
                    <m:t>t0</m:t>
                  </m:r>
                </m:sup>
              </m:sSubSup>
              <m:r>
                <w:rPr>
                  <w:rFonts w:ascii="Cambria Math" w:hAnsi="Cambria Math"/>
                </w:rPr>
                <m:t>*</m:t>
              </m:r>
            </m:e>
          </m:nary>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t0</m:t>
                      </m:r>
                    </m:sup>
                  </m:sSubSup>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N</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N</m:t>
                      </m:r>
                    </m:sub>
                    <m:sup>
                      <m:r>
                        <w:rPr>
                          <w:rFonts w:ascii="Cambria Math" w:hAnsi="Cambria Math"/>
                        </w:rPr>
                        <m:t>t0</m:t>
                      </m:r>
                    </m:sup>
                  </m:sSubSup>
                </m:den>
              </m:f>
            </m:e>
          </m:d>
        </m:oMath>
      </m:oMathPara>
    </w:p>
    <w:p w:rsidR="00F60449" w:rsidRPr="0020677C" w:rsidRDefault="003A1775" w:rsidP="00F60449">
      <w:pPr>
        <w:pStyle w:val="BodyText"/>
        <w:rPr>
          <w:b/>
        </w:rPr>
      </w:pPr>
      <m:oMathPara>
        <m:oMathParaPr>
          <m:jc m:val="left"/>
        </m:oMathParaPr>
        <m:oMath>
          <m:sSub>
            <m:sSubPr>
              <m:ctrlPr>
                <w:rPr>
                  <w:rFonts w:ascii="Cambria Math" w:hAnsi="Cambria Math"/>
                  <w:i/>
                </w:rPr>
              </m:ctrlPr>
            </m:sSubPr>
            <m:e>
              <m:r>
                <w:rPr>
                  <w:rFonts w:ascii="Cambria Math" w:hAnsi="Cambria Math"/>
                </w:rPr>
                <m:t>FT</m:t>
              </m:r>
            </m:e>
            <m:sub>
              <m:r>
                <w:rPr>
                  <w:rFonts w:ascii="Cambria Math" w:hAnsi="Cambria Math"/>
                </w:rPr>
                <m:t>f</m:t>
              </m:r>
            </m:sub>
          </m:sSub>
          <m:r>
            <w:rPr>
              <w:rFonts w:ascii="Cambria Math" w:hAnsi="Cambria Math"/>
            </w:rPr>
            <m:t>=</m:t>
          </m:r>
          <m:nary>
            <m:naryPr>
              <m:chr m:val="∑"/>
              <m:limLoc m:val="undOvr"/>
              <m:ctrlPr>
                <w:rPr>
                  <w:rFonts w:ascii="Cambria Math" w:hAnsi="Cambria Math"/>
                  <w:i/>
                </w:rPr>
              </m:ctrlPr>
            </m:naryPr>
            <m:sub>
              <m:r>
                <w:rPr>
                  <w:rFonts w:ascii="Cambria Math" w:hAnsi="Cambria Math"/>
                </w:rPr>
                <m:t>i</m:t>
              </m:r>
            </m:sub>
            <m:sup>
              <m:r>
                <w:rPr>
                  <w:rFonts w:ascii="Cambria Math" w:hAnsi="Cambria Math"/>
                </w:rPr>
                <m:t>I</m:t>
              </m:r>
            </m:sup>
            <m:e>
              <m:sSubSup>
                <m:sSubSupPr>
                  <m:ctrlPr>
                    <w:rPr>
                      <w:rFonts w:ascii="Cambria Math" w:hAnsi="Cambria Math"/>
                      <w:i/>
                    </w:rPr>
                  </m:ctrlPr>
                </m:sSubSupPr>
                <m:e>
                  <m:r>
                    <w:rPr>
                      <w:rFonts w:ascii="Cambria Math" w:hAnsi="Cambria Math"/>
                    </w:rPr>
                    <m:t>E</m:t>
                  </m:r>
                </m:e>
                <m:sub>
                  <m:r>
                    <w:rPr>
                      <w:rFonts w:ascii="Cambria Math" w:hAnsi="Cambria Math"/>
                    </w:rPr>
                    <m:t>fi</m:t>
                  </m:r>
                </m:sub>
                <m:sup>
                  <m:r>
                    <w:rPr>
                      <w:rFonts w:ascii="Cambria Math" w:hAnsi="Cambria Math"/>
                    </w:rPr>
                    <m:t>t0</m:t>
                  </m:r>
                </m:sup>
              </m:sSubSup>
              <m:r>
                <w:rPr>
                  <w:rFonts w:ascii="Cambria Math" w:hAnsi="Cambria Math"/>
                </w:rPr>
                <m:t>*</m:t>
              </m:r>
            </m:e>
          </m:nary>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if</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if</m:t>
                      </m:r>
                    </m:sub>
                    <m:sup>
                      <m:r>
                        <w:rPr>
                          <w:rFonts w:ascii="Cambria Math" w:hAnsi="Cambria Math"/>
                        </w:rPr>
                        <m:t>t0</m:t>
                      </m:r>
                    </m:sup>
                  </m:sSubSup>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t1</m:t>
                      </m:r>
                    </m:sup>
                  </m:sSubSup>
                </m:num>
                <m:den>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t0</m:t>
                      </m:r>
                    </m:sup>
                  </m:sSubSup>
                </m:den>
              </m:f>
            </m:e>
          </m:d>
        </m:oMath>
      </m:oMathPara>
    </w:p>
    <w:p w:rsidR="00F056FC" w:rsidRDefault="00F056FC" w:rsidP="00120072">
      <w:pPr>
        <w:pStyle w:val="BodyText"/>
      </w:pPr>
    </w:p>
    <w:sectPr w:rsidR="00F056FC" w:rsidSect="003A1775">
      <w:headerReference w:type="even" r:id="rId9"/>
      <w:headerReference w:type="default" r:id="rId10"/>
      <w:footerReference w:type="even" r:id="rId11"/>
      <w:footerReference w:type="default" r:id="rId12"/>
      <w:footnotePr>
        <w:numStart w:val="47"/>
      </w:footnotePr>
      <w:pgSz w:w="11907" w:h="16840" w:code="9"/>
      <w:pgMar w:top="1985" w:right="1304" w:bottom="1418" w:left="1814" w:header="1701" w:footer="567" w:gutter="0"/>
      <w:pgNumType w:start="91"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449" w:rsidRDefault="00F60449">
      <w:r>
        <w:separator/>
      </w:r>
    </w:p>
  </w:endnote>
  <w:endnote w:type="continuationSeparator" w:id="0">
    <w:p w:rsidR="00F60449" w:rsidRDefault="00F6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96E55">
      <w:trPr>
        <w:trHeight w:hRule="exact" w:val="740"/>
      </w:trPr>
      <w:tc>
        <w:tcPr>
          <w:tcW w:w="510" w:type="dxa"/>
          <w:tcBorders>
            <w:top w:val="single" w:sz="6" w:space="0" w:color="auto"/>
          </w:tcBorders>
        </w:tcPr>
        <w:p w:rsidR="00096E55" w:rsidRDefault="00096E55"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3A1775">
            <w:rPr>
              <w:rStyle w:val="PageNumber"/>
              <w:noProof/>
            </w:rPr>
            <w:t>92</w:t>
          </w:r>
          <w:r>
            <w:rPr>
              <w:rStyle w:val="PageNumber"/>
            </w:rPr>
            <w:fldChar w:fldCharType="end"/>
          </w:r>
        </w:p>
      </w:tc>
      <w:tc>
        <w:tcPr>
          <w:tcW w:w="1644" w:type="dxa"/>
          <w:tcBorders>
            <w:top w:val="single" w:sz="6" w:space="0" w:color="auto"/>
          </w:tcBorders>
        </w:tcPr>
        <w:p w:rsidR="00096E55" w:rsidRDefault="00A434CC" w:rsidP="0019293B">
          <w:pPr>
            <w:pStyle w:val="Footer"/>
          </w:pPr>
          <w:fldSimple w:instr=" SUBJECT  \* MERGEFORMAT ">
            <w:r w:rsidR="003A1775">
              <w:t>Forms of work</w:t>
            </w:r>
          </w:fldSimple>
        </w:p>
      </w:tc>
      <w:tc>
        <w:tcPr>
          <w:tcW w:w="6634" w:type="dxa"/>
        </w:tcPr>
        <w:p w:rsidR="00096E55" w:rsidRDefault="00096E55" w:rsidP="0019293B">
          <w:pPr>
            <w:pStyle w:val="Footer"/>
          </w:pPr>
        </w:p>
      </w:tc>
    </w:tr>
  </w:tbl>
  <w:p w:rsidR="00096E55" w:rsidRDefault="00096E55"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96E55">
      <w:trPr>
        <w:trHeight w:hRule="exact" w:val="740"/>
      </w:trPr>
      <w:tc>
        <w:tcPr>
          <w:tcW w:w="6634" w:type="dxa"/>
        </w:tcPr>
        <w:p w:rsidR="00096E55" w:rsidRDefault="00096E55">
          <w:pPr>
            <w:pStyle w:val="Footer"/>
            <w:ind w:right="360" w:firstLine="360"/>
          </w:pPr>
        </w:p>
      </w:tc>
      <w:tc>
        <w:tcPr>
          <w:tcW w:w="1644" w:type="dxa"/>
          <w:tcBorders>
            <w:top w:val="single" w:sz="6" w:space="0" w:color="auto"/>
          </w:tcBorders>
        </w:tcPr>
        <w:p w:rsidR="00096E55" w:rsidRDefault="00A434CC">
          <w:pPr>
            <w:pStyle w:val="Footer"/>
          </w:pPr>
          <w:fldSimple w:instr=" TITLE  \* MERGEFORMAT ">
            <w:r w:rsidR="003A1775">
              <w:t>Shift-share decomposition</w:t>
            </w:r>
          </w:fldSimple>
        </w:p>
      </w:tc>
      <w:tc>
        <w:tcPr>
          <w:tcW w:w="510" w:type="dxa"/>
          <w:tcBorders>
            <w:top w:val="single" w:sz="6" w:space="0" w:color="auto"/>
          </w:tcBorders>
        </w:tcPr>
        <w:p w:rsidR="00096E55" w:rsidRDefault="00096E55">
          <w:pPr>
            <w:pStyle w:val="Footer"/>
            <w:jc w:val="right"/>
          </w:pPr>
          <w:r>
            <w:rPr>
              <w:rStyle w:val="PageNumber"/>
            </w:rPr>
            <w:fldChar w:fldCharType="begin"/>
          </w:r>
          <w:r>
            <w:rPr>
              <w:rStyle w:val="PageNumber"/>
            </w:rPr>
            <w:instrText xml:space="preserve">PAGE  </w:instrText>
          </w:r>
          <w:r>
            <w:rPr>
              <w:rStyle w:val="PageNumber"/>
            </w:rPr>
            <w:fldChar w:fldCharType="separate"/>
          </w:r>
          <w:r w:rsidR="003A1775">
            <w:rPr>
              <w:rStyle w:val="PageNumber"/>
              <w:noProof/>
            </w:rPr>
            <w:t>91</w:t>
          </w:r>
          <w:r>
            <w:rPr>
              <w:rStyle w:val="PageNumber"/>
            </w:rPr>
            <w:fldChar w:fldCharType="end"/>
          </w:r>
        </w:p>
      </w:tc>
    </w:tr>
  </w:tbl>
  <w:p w:rsidR="00096E55" w:rsidRDefault="00096E55">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449" w:rsidRDefault="00F60449">
      <w:r>
        <w:separator/>
      </w:r>
    </w:p>
  </w:footnote>
  <w:footnote w:type="continuationSeparator" w:id="0">
    <w:p w:rsidR="00F60449" w:rsidRDefault="00F60449">
      <w:r>
        <w:continuationSeparator/>
      </w:r>
    </w:p>
  </w:footnote>
  <w:footnote w:id="1">
    <w:p w:rsidR="00F60449" w:rsidRDefault="00F60449" w:rsidP="00F60449">
      <w:pPr>
        <w:pStyle w:val="FootnoteText"/>
      </w:pPr>
      <w:r>
        <w:rPr>
          <w:rStyle w:val="FootnoteReference"/>
        </w:rPr>
        <w:footnoteRef/>
      </w:r>
      <w:r>
        <w:tab/>
        <w:t xml:space="preserve">Authors use a range of terms for these effects. For example, in decomposing regional growth rates, </w:t>
      </w:r>
      <w:proofErr w:type="spellStart"/>
      <w:r>
        <w:t>Econsearch</w:t>
      </w:r>
      <w:proofErr w:type="spellEnd"/>
      <w:r>
        <w:t xml:space="preserve"> (2012) refers to share (or state growth), proportionality shift (or industry mix) and differential shift (or regional) components. Simpson</w:t>
      </w:r>
      <w:r w:rsidR="00A434CC">
        <w:t>, Dawkins and Madden</w:t>
      </w:r>
      <w:r>
        <w:t xml:space="preserve"> (1997) use the terms growth, structural and share effects, respectively. Gilfillan and Andrews (2010) lab</w:t>
      </w:r>
      <w:r w:rsidR="00A434CC">
        <w:t>elled the components of a shift–</w:t>
      </w:r>
      <w:r>
        <w:t>share analysis of changes in mature women’s employment as change in total employment, change in industry structure and within industry change.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96E55">
      <w:tc>
        <w:tcPr>
          <w:tcW w:w="2155" w:type="dxa"/>
          <w:tcBorders>
            <w:top w:val="single" w:sz="24" w:space="0" w:color="auto"/>
          </w:tcBorders>
        </w:tcPr>
        <w:p w:rsidR="00096E55" w:rsidRDefault="00096E55" w:rsidP="0019293B">
          <w:pPr>
            <w:pStyle w:val="HeaderEven"/>
          </w:pPr>
        </w:p>
      </w:tc>
      <w:tc>
        <w:tcPr>
          <w:tcW w:w="6634" w:type="dxa"/>
          <w:tcBorders>
            <w:top w:val="single" w:sz="6" w:space="0" w:color="auto"/>
          </w:tcBorders>
        </w:tcPr>
        <w:p w:rsidR="00096E55" w:rsidRDefault="00096E55" w:rsidP="0019293B">
          <w:pPr>
            <w:pStyle w:val="HeaderEven"/>
          </w:pPr>
        </w:p>
      </w:tc>
    </w:tr>
  </w:tbl>
  <w:p w:rsidR="00096E55" w:rsidRDefault="00096E55"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96E55">
      <w:tc>
        <w:tcPr>
          <w:tcW w:w="6634" w:type="dxa"/>
          <w:tcBorders>
            <w:top w:val="single" w:sz="6" w:space="0" w:color="auto"/>
          </w:tcBorders>
        </w:tcPr>
        <w:p w:rsidR="00096E55" w:rsidRDefault="00096E55" w:rsidP="00E669E2">
          <w:pPr>
            <w:pStyle w:val="HeaderOdd"/>
          </w:pPr>
        </w:p>
      </w:tc>
      <w:tc>
        <w:tcPr>
          <w:tcW w:w="2155" w:type="dxa"/>
          <w:tcBorders>
            <w:top w:val="single" w:sz="24" w:space="0" w:color="auto"/>
          </w:tcBorders>
        </w:tcPr>
        <w:p w:rsidR="00096E55" w:rsidRDefault="00096E55" w:rsidP="00E669E2">
          <w:pPr>
            <w:pStyle w:val="HeaderOdd"/>
          </w:pPr>
        </w:p>
      </w:tc>
    </w:tr>
  </w:tbl>
  <w:p w:rsidR="00096E55" w:rsidRDefault="00096E55"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2">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3">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4">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2"/>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3"/>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1"/>
  </w:num>
  <w:num w:numId="26">
    <w:abstractNumId w:val="33"/>
  </w:num>
  <w:num w:numId="27">
    <w:abstractNumId w:val="38"/>
  </w:num>
  <w:num w:numId="28">
    <w:abstractNumId w:val="39"/>
  </w:num>
  <w:num w:numId="29">
    <w:abstractNumId w:val="31"/>
  </w:num>
  <w:num w:numId="30">
    <w:abstractNumId w:val="21"/>
  </w:num>
  <w:num w:numId="31">
    <w:abstractNumId w:val="44"/>
  </w:num>
  <w:num w:numId="32">
    <w:abstractNumId w:val="15"/>
  </w:num>
  <w:num w:numId="33">
    <w:abstractNumId w:val="8"/>
  </w:num>
  <w:num w:numId="34">
    <w:abstractNumId w:val="18"/>
  </w:num>
  <w:num w:numId="35">
    <w:abstractNumId w:val="40"/>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6385"/>
  </w:hdrShapeDefaults>
  <w:footnotePr>
    <w:numStart w:val="47"/>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D"/>
    <w:docVar w:name="FindingOptions" w:val="1"/>
    <w:docVar w:name="RecOptions" w:val="111"/>
    <w:docVar w:name="ShortChapterTitle" w:val="Shift-share decomposition"/>
    <w:docVar w:name="ShortReportTitle" w:val="Forms of work"/>
  </w:docVars>
  <w:rsids>
    <w:rsidRoot w:val="00F60449"/>
    <w:rsid w:val="000227D5"/>
    <w:rsid w:val="000245AA"/>
    <w:rsid w:val="0003664B"/>
    <w:rsid w:val="0004111F"/>
    <w:rsid w:val="000565B3"/>
    <w:rsid w:val="0007150B"/>
    <w:rsid w:val="000938F5"/>
    <w:rsid w:val="00096E55"/>
    <w:rsid w:val="000B601B"/>
    <w:rsid w:val="000C207E"/>
    <w:rsid w:val="000F0035"/>
    <w:rsid w:val="000F420B"/>
    <w:rsid w:val="00110116"/>
    <w:rsid w:val="001134CF"/>
    <w:rsid w:val="00120072"/>
    <w:rsid w:val="00126EB8"/>
    <w:rsid w:val="001274D4"/>
    <w:rsid w:val="001363AA"/>
    <w:rsid w:val="00183E82"/>
    <w:rsid w:val="001878BB"/>
    <w:rsid w:val="00191AE0"/>
    <w:rsid w:val="0019293B"/>
    <w:rsid w:val="001B46DA"/>
    <w:rsid w:val="001C0865"/>
    <w:rsid w:val="001C3ABA"/>
    <w:rsid w:val="001E7BE8"/>
    <w:rsid w:val="001F0248"/>
    <w:rsid w:val="001F3EB3"/>
    <w:rsid w:val="001F4F86"/>
    <w:rsid w:val="00202C2C"/>
    <w:rsid w:val="002135AB"/>
    <w:rsid w:val="002144BE"/>
    <w:rsid w:val="00242279"/>
    <w:rsid w:val="00245C82"/>
    <w:rsid w:val="00291B40"/>
    <w:rsid w:val="002A5B6D"/>
    <w:rsid w:val="002B4008"/>
    <w:rsid w:val="002D0E8E"/>
    <w:rsid w:val="00301189"/>
    <w:rsid w:val="00323E09"/>
    <w:rsid w:val="00333932"/>
    <w:rsid w:val="003518AA"/>
    <w:rsid w:val="00352165"/>
    <w:rsid w:val="00353182"/>
    <w:rsid w:val="003565D9"/>
    <w:rsid w:val="003602E1"/>
    <w:rsid w:val="0037026F"/>
    <w:rsid w:val="00371240"/>
    <w:rsid w:val="00374731"/>
    <w:rsid w:val="00376E59"/>
    <w:rsid w:val="003919F9"/>
    <w:rsid w:val="003A1775"/>
    <w:rsid w:val="003C38B5"/>
    <w:rsid w:val="003C5D99"/>
    <w:rsid w:val="003E2F59"/>
    <w:rsid w:val="003F0789"/>
    <w:rsid w:val="00401882"/>
    <w:rsid w:val="004100C8"/>
    <w:rsid w:val="00411DBD"/>
    <w:rsid w:val="00412ACE"/>
    <w:rsid w:val="00431249"/>
    <w:rsid w:val="00434C19"/>
    <w:rsid w:val="00450810"/>
    <w:rsid w:val="00477144"/>
    <w:rsid w:val="00491380"/>
    <w:rsid w:val="0049459F"/>
    <w:rsid w:val="004A38DD"/>
    <w:rsid w:val="004B43AE"/>
    <w:rsid w:val="004C30ED"/>
    <w:rsid w:val="004D5675"/>
    <w:rsid w:val="00523639"/>
    <w:rsid w:val="00531FE5"/>
    <w:rsid w:val="005402FA"/>
    <w:rsid w:val="00583C39"/>
    <w:rsid w:val="00587F28"/>
    <w:rsid w:val="005909CF"/>
    <w:rsid w:val="00591E71"/>
    <w:rsid w:val="005A0D41"/>
    <w:rsid w:val="00607BF1"/>
    <w:rsid w:val="00630D4D"/>
    <w:rsid w:val="00632A74"/>
    <w:rsid w:val="006A4655"/>
    <w:rsid w:val="006B2B3C"/>
    <w:rsid w:val="006C1D81"/>
    <w:rsid w:val="006C7038"/>
    <w:rsid w:val="006E73EF"/>
    <w:rsid w:val="00714D4D"/>
    <w:rsid w:val="007604BB"/>
    <w:rsid w:val="00785232"/>
    <w:rsid w:val="007A21EB"/>
    <w:rsid w:val="007B1A93"/>
    <w:rsid w:val="007C36C9"/>
    <w:rsid w:val="007D6401"/>
    <w:rsid w:val="007E01E4"/>
    <w:rsid w:val="007F7107"/>
    <w:rsid w:val="00800D4C"/>
    <w:rsid w:val="0081030F"/>
    <w:rsid w:val="0082087D"/>
    <w:rsid w:val="00835771"/>
    <w:rsid w:val="00842933"/>
    <w:rsid w:val="00854403"/>
    <w:rsid w:val="0086082C"/>
    <w:rsid w:val="00864ADC"/>
    <w:rsid w:val="00880153"/>
    <w:rsid w:val="00880F97"/>
    <w:rsid w:val="0088133A"/>
    <w:rsid w:val="0089285E"/>
    <w:rsid w:val="0089436C"/>
    <w:rsid w:val="008D365C"/>
    <w:rsid w:val="009030BF"/>
    <w:rsid w:val="0091032F"/>
    <w:rsid w:val="00914368"/>
    <w:rsid w:val="00931076"/>
    <w:rsid w:val="009345D9"/>
    <w:rsid w:val="00934B15"/>
    <w:rsid w:val="009403F6"/>
    <w:rsid w:val="00940C87"/>
    <w:rsid w:val="00942B62"/>
    <w:rsid w:val="0095323B"/>
    <w:rsid w:val="00956A0C"/>
    <w:rsid w:val="00956BD9"/>
    <w:rsid w:val="00962489"/>
    <w:rsid w:val="00990C2C"/>
    <w:rsid w:val="009E1844"/>
    <w:rsid w:val="009F0D1B"/>
    <w:rsid w:val="009F696D"/>
    <w:rsid w:val="009F6BC6"/>
    <w:rsid w:val="00A17328"/>
    <w:rsid w:val="00A23A20"/>
    <w:rsid w:val="00A268B9"/>
    <w:rsid w:val="00A2703A"/>
    <w:rsid w:val="00A33DFF"/>
    <w:rsid w:val="00A35115"/>
    <w:rsid w:val="00A36D9A"/>
    <w:rsid w:val="00A434CC"/>
    <w:rsid w:val="00A554AB"/>
    <w:rsid w:val="00A57062"/>
    <w:rsid w:val="00A92B53"/>
    <w:rsid w:val="00A94FA6"/>
    <w:rsid w:val="00AA49A0"/>
    <w:rsid w:val="00AA6710"/>
    <w:rsid w:val="00AB0681"/>
    <w:rsid w:val="00AD520B"/>
    <w:rsid w:val="00B425C3"/>
    <w:rsid w:val="00B440AD"/>
    <w:rsid w:val="00B479BB"/>
    <w:rsid w:val="00B53E7E"/>
    <w:rsid w:val="00B6342E"/>
    <w:rsid w:val="00B7113F"/>
    <w:rsid w:val="00BA73B6"/>
    <w:rsid w:val="00BA7E27"/>
    <w:rsid w:val="00BB2603"/>
    <w:rsid w:val="00BB4FCD"/>
    <w:rsid w:val="00BC04E9"/>
    <w:rsid w:val="00BD13EA"/>
    <w:rsid w:val="00BE3808"/>
    <w:rsid w:val="00C062E9"/>
    <w:rsid w:val="00C07B64"/>
    <w:rsid w:val="00C13721"/>
    <w:rsid w:val="00C14FE4"/>
    <w:rsid w:val="00C3066D"/>
    <w:rsid w:val="00C52416"/>
    <w:rsid w:val="00C543F4"/>
    <w:rsid w:val="00C6291C"/>
    <w:rsid w:val="00C633CB"/>
    <w:rsid w:val="00C736B7"/>
    <w:rsid w:val="00C81D4A"/>
    <w:rsid w:val="00C8762C"/>
    <w:rsid w:val="00CA00F9"/>
    <w:rsid w:val="00CA2961"/>
    <w:rsid w:val="00CB50D7"/>
    <w:rsid w:val="00CB7177"/>
    <w:rsid w:val="00CC1998"/>
    <w:rsid w:val="00CC4946"/>
    <w:rsid w:val="00D270A4"/>
    <w:rsid w:val="00D31FE9"/>
    <w:rsid w:val="00D34E1B"/>
    <w:rsid w:val="00D376BA"/>
    <w:rsid w:val="00D45634"/>
    <w:rsid w:val="00D5568A"/>
    <w:rsid w:val="00D63D73"/>
    <w:rsid w:val="00D64452"/>
    <w:rsid w:val="00D66E1E"/>
    <w:rsid w:val="00D75722"/>
    <w:rsid w:val="00D80CF5"/>
    <w:rsid w:val="00DA5BBA"/>
    <w:rsid w:val="00DB26D2"/>
    <w:rsid w:val="00DB67C9"/>
    <w:rsid w:val="00DC0C95"/>
    <w:rsid w:val="00DD6580"/>
    <w:rsid w:val="00E17C72"/>
    <w:rsid w:val="00E21FC6"/>
    <w:rsid w:val="00E431A9"/>
    <w:rsid w:val="00E669E2"/>
    <w:rsid w:val="00E76135"/>
    <w:rsid w:val="00E82F4F"/>
    <w:rsid w:val="00EC2844"/>
    <w:rsid w:val="00EC5500"/>
    <w:rsid w:val="00ED18F8"/>
    <w:rsid w:val="00EF6C6C"/>
    <w:rsid w:val="00F056FC"/>
    <w:rsid w:val="00F10476"/>
    <w:rsid w:val="00F135D8"/>
    <w:rsid w:val="00F30AB4"/>
    <w:rsid w:val="00F31299"/>
    <w:rsid w:val="00F3534A"/>
    <w:rsid w:val="00F51609"/>
    <w:rsid w:val="00F60449"/>
    <w:rsid w:val="00F81006"/>
    <w:rsid w:val="00F85325"/>
    <w:rsid w:val="00FD22B1"/>
    <w:rsid w:val="00FE53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E1844"/>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9E1844"/>
    <w:rPr>
      <w:sz w:val="26"/>
      <w:szCs w:val="24"/>
    </w:rPr>
  </w:style>
  <w:style w:type="paragraph" w:styleId="Heading1">
    <w:name w:val="heading 1"/>
    <w:basedOn w:val="Normal"/>
    <w:next w:val="BodyTex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46FE8-CEB4-483D-A84A-BDA58910A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28</TotalTime>
  <Pages>2</Pages>
  <Words>416</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Shift-share decomposition</vt:lpstr>
    </vt:vector>
  </TitlesOfParts>
  <Company>Productivity Commission</Company>
  <LinksUpToDate>false</LinksUpToDate>
  <CharactersWithSpaces>3111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Shift-share decomposition</dc:title>
  <dc:subject>Forms of work</dc:subject>
  <dc:creator>Productivity Commission</dc:creator>
  <cp:keywords/>
  <dc:description>D.</dc:description>
  <cp:lastModifiedBy>Shomos, Anthony</cp:lastModifiedBy>
  <cp:revision>9</cp:revision>
  <cp:lastPrinted>2013-04-07T23:27:00Z</cp:lastPrinted>
  <dcterms:created xsi:type="dcterms:W3CDTF">2013-03-12T05:57:00Z</dcterms:created>
  <dcterms:modified xsi:type="dcterms:W3CDTF">2013-04-10T04:38:00Z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895375280</vt:i4>
  </property>
  <property fmtid="{D5CDD505-2E9C-101B-9397-08002B2CF9AE}" pid="3" name="_NewReviewCycle">
    <vt:lpwstr/>
  </property>
  <property fmtid="{D5CDD505-2E9C-101B-9397-08002B2CF9AE}" pid="4" name="_EmailSubject">
    <vt:lpwstr>WEB FILES - forms of work</vt:lpwstr>
  </property>
  <property fmtid="{D5CDD505-2E9C-101B-9397-08002B2CF9AE}" pid="5" name="_AuthorEmail">
    <vt:lpwstr>Louise.Jordan@pc.gov.au</vt:lpwstr>
  </property>
  <property fmtid="{D5CDD505-2E9C-101B-9397-08002B2CF9AE}" pid="6" name="_AuthorEmailDisplayName">
    <vt:lpwstr>Jordan, Louise</vt:lpwstr>
  </property>
</Properties>
</file>