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6.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notes.xml" ContentType="application/vnd.openxmlformats-officedocument.wordprocessingml.footnotes+xml"/>
  <Override PartName="/word/header6.xml" ContentType="application/vnd.openxmlformats-officedocument.wordprocessingml.header+xml"/>
  <Override PartName="/word/charts/chart4.xml" ContentType="application/vnd.openxmlformats-officedocument.drawingml.chart+xml"/>
  <Override PartName="/word/charts/chart2.xml" ContentType="application/vnd.openxmlformats-officedocument.drawingml.chart+xml"/>
  <Override PartName="/word/theme/theme1.xml" ContentType="application/vnd.openxmlformats-officedocument.theme+xml"/>
  <Override PartName="/word/charts/chart1.xml" ContentType="application/vnd.openxmlformats-officedocument.drawingml.chart+xml"/>
  <Override PartName="/word/charts/chart3.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765DD9" w:rsidP="00765DD9">
      <w:pPr>
        <w:pStyle w:val="Chapter"/>
        <w:ind w:left="907" w:hanging="907"/>
      </w:pPr>
      <w:bookmarkStart w:id="0" w:name="_AppendixNotByChapter"/>
      <w:bookmarkStart w:id="1" w:name="ChapterNumber"/>
      <w:bookmarkEnd w:id="0"/>
      <w:r>
        <w:t>E</w:t>
      </w:r>
      <w:bookmarkEnd w:id="1"/>
      <w:r>
        <w:tab/>
      </w:r>
      <w:bookmarkStart w:id="2" w:name="ChapterTitle"/>
      <w:r>
        <w:t>Employment changes at a state level</w:t>
      </w:r>
      <w:bookmarkEnd w:id="2"/>
    </w:p>
    <w:p w:rsidR="00581415" w:rsidRDefault="00581415" w:rsidP="00581415">
      <w:pPr>
        <w:pStyle w:val="BodyText"/>
      </w:pPr>
      <w:bookmarkStart w:id="3" w:name="begin"/>
      <w:bookmarkEnd w:id="3"/>
      <w:r>
        <w:t>The contributions of different states to changes in the prevalence of each form of work (</w:t>
      </w:r>
      <w:proofErr w:type="spellStart"/>
      <w:r>
        <w:t>FOW</w:t>
      </w:r>
      <w:proofErr w:type="spellEnd"/>
      <w:r>
        <w:t>) are described in this appendix using insights from shift</w:t>
      </w:r>
      <w:r w:rsidR="00775AD9">
        <w:t>–</w:t>
      </w:r>
      <w:r>
        <w:t>share analysis.</w:t>
      </w:r>
      <w:r>
        <w:rPr>
          <w:rStyle w:val="FootnoteReference"/>
        </w:rPr>
        <w:footnoteReference w:id="1"/>
      </w:r>
    </w:p>
    <w:p w:rsidR="00DB26D2" w:rsidRDefault="0011181F" w:rsidP="00581415">
      <w:pPr>
        <w:pStyle w:val="Heading2"/>
      </w:pPr>
      <w:r>
        <w:fldChar w:fldCharType="begin"/>
      </w:r>
      <w:r>
        <w:instrText xml:space="preserve"> COMMENTS  \* MERGEFORMAT </w:instrText>
      </w:r>
      <w:r>
        <w:fldChar w:fldCharType="separate"/>
      </w:r>
      <w:proofErr w:type="spellStart"/>
      <w:r w:rsidR="00765DD9">
        <w:t>E.</w:t>
      </w:r>
      <w:r>
        <w:fldChar w:fldCharType="end"/>
      </w:r>
      <w:r>
        <w:fldChar w:fldCharType="begin"/>
      </w:r>
      <w:r>
        <w:instrText xml:space="preserve"> SEQ Heading2 </w:instrText>
      </w:r>
      <w:r>
        <w:fldChar w:fldCharType="separate"/>
      </w:r>
      <w:r w:rsidR="00765DD9">
        <w:rPr>
          <w:noProof/>
        </w:rPr>
        <w:t>1</w:t>
      </w:r>
      <w:proofErr w:type="spellEnd"/>
      <w:r>
        <w:rPr>
          <w:noProof/>
        </w:rPr>
        <w:fldChar w:fldCharType="end"/>
      </w:r>
      <w:r w:rsidR="00581415">
        <w:tab/>
        <w:t>Employment growth by state was uneven</w:t>
      </w:r>
    </w:p>
    <w:p w:rsidR="00581415" w:rsidRPr="005B1FB7" w:rsidRDefault="00581415" w:rsidP="00581415">
      <w:pPr>
        <w:pStyle w:val="BodyText"/>
        <w:rPr>
          <w:spacing w:val="-2"/>
        </w:rPr>
      </w:pPr>
      <w:r w:rsidRPr="005B1FB7">
        <w:rPr>
          <w:spacing w:val="-2"/>
        </w:rPr>
        <w:t xml:space="preserve">Employment growth </w:t>
      </w:r>
      <w:r>
        <w:rPr>
          <w:spacing w:val="-2"/>
        </w:rPr>
        <w:t xml:space="preserve">in Australia </w:t>
      </w:r>
      <w:r w:rsidRPr="005B1FB7">
        <w:rPr>
          <w:spacing w:val="-2"/>
        </w:rPr>
        <w:t>averaged 25 per cent between 2001 and 2011, but varied markedly between states (table </w:t>
      </w:r>
      <w:proofErr w:type="spellStart"/>
      <w:r w:rsidRPr="00FC6A85">
        <w:rPr>
          <w:spacing w:val="-2"/>
        </w:rPr>
        <w:t>E.1</w:t>
      </w:r>
      <w:proofErr w:type="spellEnd"/>
      <w:r w:rsidRPr="005B1FB7">
        <w:rPr>
          <w:spacing w:val="-2"/>
        </w:rPr>
        <w:t>). Three</w:t>
      </w:r>
      <w:r>
        <w:rPr>
          <w:spacing w:val="-2"/>
        </w:rPr>
        <w:t xml:space="preserve"> states</w:t>
      </w:r>
      <w:r w:rsidR="006D6055">
        <w:rPr>
          <w:spacing w:val="-2"/>
        </w:rPr>
        <w:t> — </w:t>
      </w:r>
      <w:r w:rsidRPr="005B1FB7">
        <w:rPr>
          <w:spacing w:val="-2"/>
        </w:rPr>
        <w:t>Queensland, Western Australia and the Northern Territory</w:t>
      </w:r>
      <w:r w:rsidR="006D6055">
        <w:rPr>
          <w:spacing w:val="-2"/>
        </w:rPr>
        <w:t> — </w:t>
      </w:r>
      <w:r w:rsidRPr="005B1FB7">
        <w:rPr>
          <w:spacing w:val="-2"/>
        </w:rPr>
        <w:t xml:space="preserve">grew faster than the average. Reflecting this, these states accounted for a disproportionate share of job creation (42 per cent, in contrast with an employment share of 30 per cent in 2001). </w:t>
      </w:r>
      <w:r w:rsidR="005F3C8B">
        <w:rPr>
          <w:spacing w:val="-2"/>
        </w:rPr>
        <w:t>Another 1.1 million net new jobs were created in New South Wales and Victoria, or 49 per cent of the total, whereas these states accounted for 58 per cent of employment in 2001</w:t>
      </w:r>
      <w:r w:rsidRPr="005B1FB7">
        <w:rPr>
          <w:spacing w:val="-2"/>
        </w:rPr>
        <w:t>.</w:t>
      </w:r>
    </w:p>
    <w:p w:rsidR="00581415" w:rsidRDefault="00581415" w:rsidP="00581415">
      <w:pPr>
        <w:pStyle w:val="TableTitle"/>
      </w:pPr>
      <w:r>
        <w:rPr>
          <w:b w:val="0"/>
        </w:rPr>
        <w:t xml:space="preserve">Table </w:t>
      </w:r>
      <w:bookmarkStart w:id="4" w:name="OLE_LINK1"/>
      <w:proofErr w:type="spellStart"/>
      <w:r>
        <w:rPr>
          <w:b w:val="0"/>
        </w:rPr>
        <w:t>E.</w:t>
      </w:r>
      <w:r>
        <w:rPr>
          <w:b w:val="0"/>
          <w:noProof/>
        </w:rPr>
        <w:t>1</w:t>
      </w:r>
      <w:bookmarkEnd w:id="4"/>
      <w:proofErr w:type="spellEnd"/>
      <w:r>
        <w:tab/>
        <w:t>Employment growth around the country was uneven between 2001 and 2011</w:t>
      </w:r>
    </w:p>
    <w:tbl>
      <w:tblPr>
        <w:tblW w:w="5000" w:type="pct"/>
        <w:tblLayout w:type="fixed"/>
        <w:tblCellMar>
          <w:left w:w="0" w:type="dxa"/>
          <w:right w:w="0" w:type="dxa"/>
        </w:tblCellMar>
        <w:tblLook w:val="04A0" w:firstRow="1" w:lastRow="0" w:firstColumn="1" w:lastColumn="0" w:noHBand="0" w:noVBand="1"/>
      </w:tblPr>
      <w:tblGrid>
        <w:gridCol w:w="2552"/>
        <w:gridCol w:w="1417"/>
        <w:gridCol w:w="1700"/>
        <w:gridCol w:w="1649"/>
        <w:gridCol w:w="1471"/>
      </w:tblGrid>
      <w:tr w:rsidR="00581415" w:rsidRPr="00E25E32" w:rsidTr="00450BE8">
        <w:trPr>
          <w:trHeight w:val="255"/>
        </w:trPr>
        <w:tc>
          <w:tcPr>
            <w:tcW w:w="1452" w:type="pct"/>
            <w:tcBorders>
              <w:top w:val="single" w:sz="6" w:space="0" w:color="auto"/>
              <w:left w:val="nil"/>
              <w:bottom w:val="single" w:sz="6" w:space="0" w:color="auto"/>
              <w:right w:val="nil"/>
            </w:tcBorders>
            <w:shd w:val="clear" w:color="auto" w:fill="auto"/>
            <w:noWrap/>
            <w:vAlign w:val="bottom"/>
            <w:hideMark/>
          </w:tcPr>
          <w:p w:rsidR="00581415" w:rsidRPr="00E25E32" w:rsidRDefault="00581415" w:rsidP="00C60AEC">
            <w:pPr>
              <w:pStyle w:val="TableColumnHeading"/>
              <w:jc w:val="left"/>
            </w:pPr>
          </w:p>
        </w:tc>
        <w:tc>
          <w:tcPr>
            <w:tcW w:w="806" w:type="pct"/>
            <w:tcBorders>
              <w:top w:val="single" w:sz="6" w:space="0" w:color="auto"/>
              <w:left w:val="nil"/>
              <w:bottom w:val="single" w:sz="6" w:space="0" w:color="auto"/>
              <w:right w:val="nil"/>
            </w:tcBorders>
            <w:vAlign w:val="bottom"/>
          </w:tcPr>
          <w:p w:rsidR="00581415" w:rsidRPr="00E25E32" w:rsidRDefault="00581415" w:rsidP="00C60AEC">
            <w:pPr>
              <w:pStyle w:val="TableColumnHeading"/>
            </w:pPr>
            <w:r>
              <w:t>Employment s</w:t>
            </w:r>
            <w:r w:rsidRPr="00E25E32">
              <w:t>hare 2001</w:t>
            </w:r>
          </w:p>
        </w:tc>
        <w:tc>
          <w:tcPr>
            <w:tcW w:w="967" w:type="pct"/>
            <w:tcBorders>
              <w:top w:val="single" w:sz="6" w:space="0" w:color="auto"/>
              <w:left w:val="nil"/>
              <w:bottom w:val="single" w:sz="6" w:space="0" w:color="auto"/>
              <w:right w:val="nil"/>
            </w:tcBorders>
            <w:shd w:val="clear" w:color="auto" w:fill="auto"/>
            <w:noWrap/>
            <w:vAlign w:val="bottom"/>
            <w:hideMark/>
          </w:tcPr>
          <w:p w:rsidR="00581415" w:rsidRPr="00E25E32" w:rsidRDefault="00581415" w:rsidP="00C60AEC">
            <w:pPr>
              <w:pStyle w:val="TableColumnHeading"/>
            </w:pPr>
            <w:r w:rsidRPr="00E25E32">
              <w:t>Growth</w:t>
            </w:r>
            <w:r>
              <w:t xml:space="preserve"> 2001–2011</w:t>
            </w:r>
          </w:p>
        </w:tc>
        <w:tc>
          <w:tcPr>
            <w:tcW w:w="938" w:type="pct"/>
            <w:tcBorders>
              <w:top w:val="single" w:sz="6" w:space="0" w:color="auto"/>
              <w:left w:val="nil"/>
              <w:bottom w:val="single" w:sz="6" w:space="0" w:color="auto"/>
              <w:right w:val="nil"/>
            </w:tcBorders>
            <w:shd w:val="clear" w:color="auto" w:fill="auto"/>
            <w:noWrap/>
            <w:vAlign w:val="bottom"/>
            <w:hideMark/>
          </w:tcPr>
          <w:p w:rsidR="00581415" w:rsidRPr="00E25E32" w:rsidRDefault="00162AEC" w:rsidP="00C60AEC">
            <w:pPr>
              <w:pStyle w:val="TableColumnHeading"/>
            </w:pPr>
            <w:r>
              <w:t>Growth</w:t>
            </w:r>
            <w:r w:rsidR="00581415">
              <w:t xml:space="preserve"> 2001–2011</w:t>
            </w:r>
          </w:p>
        </w:tc>
        <w:tc>
          <w:tcPr>
            <w:tcW w:w="837" w:type="pct"/>
            <w:tcBorders>
              <w:top w:val="single" w:sz="6" w:space="0" w:color="auto"/>
              <w:left w:val="nil"/>
              <w:bottom w:val="single" w:sz="6" w:space="0" w:color="auto"/>
              <w:right w:val="nil"/>
            </w:tcBorders>
            <w:shd w:val="clear" w:color="auto" w:fill="auto"/>
            <w:noWrap/>
            <w:vAlign w:val="bottom"/>
            <w:hideMark/>
          </w:tcPr>
          <w:p w:rsidR="00581415" w:rsidRPr="00E25E32" w:rsidRDefault="00581415" w:rsidP="00162AEC">
            <w:pPr>
              <w:pStyle w:val="TableColumnHeading"/>
              <w:ind w:right="28"/>
            </w:pPr>
            <w:r w:rsidRPr="00E25E32">
              <w:t>Cont</w:t>
            </w:r>
            <w:r>
              <w:t>ribution</w:t>
            </w:r>
            <w:r w:rsidRPr="00E25E32">
              <w:t xml:space="preserve"> to </w:t>
            </w:r>
            <w:r w:rsidR="00162AEC">
              <w:t>growth</w:t>
            </w:r>
          </w:p>
        </w:tc>
      </w:tr>
      <w:tr w:rsidR="00581415" w:rsidRPr="00E25E32" w:rsidTr="00450BE8">
        <w:trPr>
          <w:trHeight w:val="255"/>
        </w:trPr>
        <w:tc>
          <w:tcPr>
            <w:tcW w:w="1452" w:type="pct"/>
            <w:tcBorders>
              <w:top w:val="single" w:sz="6" w:space="0" w:color="auto"/>
              <w:left w:val="nil"/>
              <w:bottom w:val="nil"/>
              <w:right w:val="nil"/>
            </w:tcBorders>
            <w:shd w:val="clear" w:color="auto" w:fill="auto"/>
            <w:noWrap/>
            <w:vAlign w:val="bottom"/>
            <w:hideMark/>
          </w:tcPr>
          <w:p w:rsidR="00581415" w:rsidRPr="00E25E32" w:rsidRDefault="00581415" w:rsidP="00C60AEC">
            <w:pPr>
              <w:pStyle w:val="TableUnitsRow"/>
              <w:jc w:val="left"/>
            </w:pPr>
          </w:p>
        </w:tc>
        <w:tc>
          <w:tcPr>
            <w:tcW w:w="806" w:type="pct"/>
            <w:tcBorders>
              <w:top w:val="single" w:sz="6" w:space="0" w:color="auto"/>
              <w:left w:val="nil"/>
              <w:bottom w:val="nil"/>
              <w:right w:val="nil"/>
            </w:tcBorders>
            <w:vAlign w:val="bottom"/>
          </w:tcPr>
          <w:p w:rsidR="00581415" w:rsidRPr="00E25E32" w:rsidRDefault="00581415" w:rsidP="00C60AEC">
            <w:pPr>
              <w:pStyle w:val="TableUnitsRow"/>
            </w:pPr>
            <w:r>
              <w:t>%</w:t>
            </w:r>
          </w:p>
        </w:tc>
        <w:tc>
          <w:tcPr>
            <w:tcW w:w="967" w:type="pct"/>
            <w:tcBorders>
              <w:top w:val="single" w:sz="6" w:space="0" w:color="auto"/>
              <w:left w:val="nil"/>
              <w:bottom w:val="nil"/>
              <w:right w:val="nil"/>
            </w:tcBorders>
            <w:shd w:val="clear" w:color="auto" w:fill="auto"/>
            <w:noWrap/>
            <w:vAlign w:val="bottom"/>
            <w:hideMark/>
          </w:tcPr>
          <w:p w:rsidR="00581415" w:rsidRPr="00E25E32" w:rsidRDefault="00581415" w:rsidP="00C60AEC">
            <w:pPr>
              <w:pStyle w:val="TableUnitsRow"/>
            </w:pPr>
            <w:r>
              <w:t>%</w:t>
            </w:r>
          </w:p>
        </w:tc>
        <w:tc>
          <w:tcPr>
            <w:tcW w:w="938" w:type="pct"/>
            <w:tcBorders>
              <w:top w:val="single" w:sz="6" w:space="0" w:color="auto"/>
              <w:left w:val="nil"/>
              <w:bottom w:val="nil"/>
              <w:right w:val="nil"/>
            </w:tcBorders>
            <w:shd w:val="clear" w:color="auto" w:fill="auto"/>
            <w:noWrap/>
            <w:vAlign w:val="bottom"/>
            <w:hideMark/>
          </w:tcPr>
          <w:p w:rsidR="00581415" w:rsidRPr="00E25E32" w:rsidRDefault="00581415" w:rsidP="00C60AEC">
            <w:pPr>
              <w:pStyle w:val="TableUnitsRow"/>
            </w:pPr>
            <w:r>
              <w:t>’000</w:t>
            </w:r>
          </w:p>
        </w:tc>
        <w:tc>
          <w:tcPr>
            <w:tcW w:w="837" w:type="pct"/>
            <w:tcBorders>
              <w:top w:val="single" w:sz="6" w:space="0" w:color="auto"/>
              <w:left w:val="nil"/>
              <w:bottom w:val="nil"/>
              <w:right w:val="nil"/>
            </w:tcBorders>
            <w:shd w:val="clear" w:color="auto" w:fill="auto"/>
            <w:noWrap/>
            <w:vAlign w:val="bottom"/>
            <w:hideMark/>
          </w:tcPr>
          <w:p w:rsidR="00581415" w:rsidRPr="00E25E32" w:rsidRDefault="00581415" w:rsidP="00C60AEC">
            <w:pPr>
              <w:pStyle w:val="TableUnitsRow"/>
              <w:ind w:right="28"/>
            </w:pPr>
            <w:r>
              <w:t>%</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New South Wales</w:t>
            </w:r>
          </w:p>
        </w:tc>
        <w:tc>
          <w:tcPr>
            <w:tcW w:w="806" w:type="pct"/>
            <w:tcBorders>
              <w:top w:val="nil"/>
              <w:left w:val="nil"/>
              <w:bottom w:val="nil"/>
              <w:right w:val="nil"/>
            </w:tcBorders>
            <w:vAlign w:val="bottom"/>
          </w:tcPr>
          <w:p w:rsidR="00581415" w:rsidRPr="00E25E32" w:rsidRDefault="00581415" w:rsidP="00C60AEC">
            <w:pPr>
              <w:pStyle w:val="TableBodyText"/>
            </w:pPr>
            <w:r w:rsidRPr="00E25E32">
              <w:t>33.3</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18.3</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556</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24.1</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Victoria</w:t>
            </w:r>
          </w:p>
        </w:tc>
        <w:tc>
          <w:tcPr>
            <w:tcW w:w="806" w:type="pct"/>
            <w:tcBorders>
              <w:top w:val="nil"/>
              <w:left w:val="nil"/>
              <w:bottom w:val="nil"/>
              <w:right w:val="nil"/>
            </w:tcBorders>
            <w:vAlign w:val="bottom"/>
          </w:tcPr>
          <w:p w:rsidR="00581415" w:rsidRPr="00E25E32" w:rsidRDefault="00581415" w:rsidP="00C60AEC">
            <w:pPr>
              <w:pStyle w:val="TableBodyText"/>
            </w:pPr>
            <w:r w:rsidRPr="00E25E32">
              <w:t>25.1</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25.2</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577</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25.0</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Queensland</w:t>
            </w:r>
          </w:p>
        </w:tc>
        <w:tc>
          <w:tcPr>
            <w:tcW w:w="806" w:type="pct"/>
            <w:tcBorders>
              <w:top w:val="nil"/>
              <w:left w:val="nil"/>
              <w:bottom w:val="nil"/>
              <w:right w:val="nil"/>
            </w:tcBorders>
            <w:vAlign w:val="bottom"/>
          </w:tcPr>
          <w:p w:rsidR="00581415" w:rsidRPr="00E25E32" w:rsidRDefault="00581415" w:rsidP="00C60AEC">
            <w:pPr>
              <w:pStyle w:val="TableBodyText"/>
            </w:pPr>
            <w:r w:rsidRPr="00E25E32">
              <w:t>18.8</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37.0</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633</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27.4</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South Australia</w:t>
            </w:r>
          </w:p>
        </w:tc>
        <w:tc>
          <w:tcPr>
            <w:tcW w:w="806" w:type="pct"/>
            <w:tcBorders>
              <w:top w:val="nil"/>
              <w:left w:val="nil"/>
              <w:bottom w:val="nil"/>
              <w:right w:val="nil"/>
            </w:tcBorders>
            <w:vAlign w:val="bottom"/>
          </w:tcPr>
          <w:p w:rsidR="00581415" w:rsidRPr="00E25E32" w:rsidRDefault="00581415" w:rsidP="00C60AEC">
            <w:pPr>
              <w:pStyle w:val="TableBodyText"/>
            </w:pPr>
            <w:r w:rsidRPr="00E25E32">
              <w:t>7.5</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20.3</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139</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6.0</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Western Australia</w:t>
            </w:r>
          </w:p>
        </w:tc>
        <w:tc>
          <w:tcPr>
            <w:tcW w:w="806" w:type="pct"/>
            <w:tcBorders>
              <w:top w:val="nil"/>
              <w:left w:val="nil"/>
              <w:bottom w:val="nil"/>
              <w:right w:val="nil"/>
            </w:tcBorders>
            <w:vAlign w:val="bottom"/>
          </w:tcPr>
          <w:p w:rsidR="00581415" w:rsidRPr="00E25E32" w:rsidRDefault="00581415" w:rsidP="00C60AEC">
            <w:pPr>
              <w:pStyle w:val="TableBodyText"/>
            </w:pPr>
            <w:r w:rsidRPr="00E25E32">
              <w:t>10.2</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32.9</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308</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13.3</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Tasmania</w:t>
            </w:r>
          </w:p>
        </w:tc>
        <w:tc>
          <w:tcPr>
            <w:tcW w:w="806" w:type="pct"/>
            <w:tcBorders>
              <w:top w:val="nil"/>
              <w:left w:val="nil"/>
              <w:bottom w:val="nil"/>
              <w:right w:val="nil"/>
            </w:tcBorders>
            <w:vAlign w:val="bottom"/>
          </w:tcPr>
          <w:p w:rsidR="00581415" w:rsidRPr="00E25E32" w:rsidRDefault="00581415" w:rsidP="00C60AEC">
            <w:pPr>
              <w:pStyle w:val="TableBodyText"/>
            </w:pPr>
            <w:r w:rsidRPr="00E25E32">
              <w:t>2.2</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17.7</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36</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1.5</w:t>
            </w:r>
          </w:p>
        </w:tc>
      </w:tr>
      <w:tr w:rsidR="00581415" w:rsidRPr="00E25E32" w:rsidTr="00450BE8">
        <w:trPr>
          <w:trHeight w:val="255"/>
        </w:trPr>
        <w:tc>
          <w:tcPr>
            <w:tcW w:w="1452" w:type="pct"/>
            <w:tcBorders>
              <w:top w:val="nil"/>
              <w:left w:val="nil"/>
              <w:bottom w:val="nil"/>
              <w:right w:val="nil"/>
            </w:tcBorders>
            <w:shd w:val="clear" w:color="auto" w:fill="auto"/>
            <w:noWrap/>
            <w:vAlign w:val="bottom"/>
            <w:hideMark/>
          </w:tcPr>
          <w:p w:rsidR="00581415" w:rsidRPr="00E25E32" w:rsidRDefault="00581415" w:rsidP="00C60AEC">
            <w:pPr>
              <w:pStyle w:val="TableBodyText"/>
              <w:jc w:val="left"/>
            </w:pPr>
            <w:r w:rsidRPr="00E25E32">
              <w:t>Northern Territory</w:t>
            </w:r>
          </w:p>
        </w:tc>
        <w:tc>
          <w:tcPr>
            <w:tcW w:w="806" w:type="pct"/>
            <w:tcBorders>
              <w:top w:val="nil"/>
              <w:left w:val="nil"/>
              <w:bottom w:val="nil"/>
              <w:right w:val="nil"/>
            </w:tcBorders>
            <w:vAlign w:val="bottom"/>
          </w:tcPr>
          <w:p w:rsidR="00581415" w:rsidRPr="00E25E32" w:rsidRDefault="00581415" w:rsidP="00C60AEC">
            <w:pPr>
              <w:pStyle w:val="TableBodyText"/>
            </w:pPr>
            <w:r w:rsidRPr="00E25E32">
              <w:t>1.1</w:t>
            </w:r>
          </w:p>
        </w:tc>
        <w:tc>
          <w:tcPr>
            <w:tcW w:w="967"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28.2</w:t>
            </w:r>
          </w:p>
        </w:tc>
        <w:tc>
          <w:tcPr>
            <w:tcW w:w="938" w:type="pct"/>
            <w:tcBorders>
              <w:top w:val="nil"/>
              <w:left w:val="nil"/>
              <w:bottom w:val="nil"/>
              <w:right w:val="nil"/>
            </w:tcBorders>
            <w:shd w:val="clear" w:color="auto" w:fill="auto"/>
            <w:noWrap/>
            <w:vAlign w:val="bottom"/>
            <w:hideMark/>
          </w:tcPr>
          <w:p w:rsidR="00581415" w:rsidRPr="00E25E32" w:rsidRDefault="00581415" w:rsidP="00C60AEC">
            <w:pPr>
              <w:pStyle w:val="TableBodyText"/>
            </w:pPr>
            <w:r w:rsidRPr="00E25E32">
              <w:t>27</w:t>
            </w:r>
          </w:p>
        </w:tc>
        <w:tc>
          <w:tcPr>
            <w:tcW w:w="837" w:type="pct"/>
            <w:tcBorders>
              <w:top w:val="nil"/>
              <w:left w:val="nil"/>
              <w:bottom w:val="nil"/>
              <w:right w:val="nil"/>
            </w:tcBorders>
            <w:shd w:val="clear" w:color="auto" w:fill="auto"/>
            <w:noWrap/>
            <w:vAlign w:val="bottom"/>
            <w:hideMark/>
          </w:tcPr>
          <w:p w:rsidR="00581415" w:rsidRPr="00E25E32" w:rsidRDefault="00581415" w:rsidP="00C60AEC">
            <w:pPr>
              <w:pStyle w:val="TableBodyText"/>
              <w:ind w:right="28"/>
              <w:rPr>
                <w:i/>
              </w:rPr>
            </w:pPr>
            <w:r w:rsidRPr="00E25E32">
              <w:t>1.2</w:t>
            </w:r>
          </w:p>
        </w:tc>
      </w:tr>
      <w:tr w:rsidR="00581415" w:rsidRPr="00E25E32" w:rsidTr="00450BE8">
        <w:trPr>
          <w:trHeight w:val="255"/>
        </w:trPr>
        <w:tc>
          <w:tcPr>
            <w:tcW w:w="1452" w:type="pct"/>
            <w:tcBorders>
              <w:top w:val="nil"/>
              <w:left w:val="nil"/>
              <w:right w:val="nil"/>
            </w:tcBorders>
            <w:shd w:val="clear" w:color="auto" w:fill="auto"/>
            <w:noWrap/>
            <w:vAlign w:val="bottom"/>
            <w:hideMark/>
          </w:tcPr>
          <w:p w:rsidR="00581415" w:rsidRPr="00E25E32" w:rsidRDefault="00581415" w:rsidP="00C60AEC">
            <w:pPr>
              <w:pStyle w:val="TableBodyText"/>
              <w:jc w:val="left"/>
            </w:pPr>
            <w:r w:rsidRPr="00E25E32">
              <w:t>Australian Capital Territory</w:t>
            </w:r>
          </w:p>
        </w:tc>
        <w:tc>
          <w:tcPr>
            <w:tcW w:w="806" w:type="pct"/>
            <w:tcBorders>
              <w:top w:val="nil"/>
              <w:left w:val="nil"/>
              <w:right w:val="nil"/>
            </w:tcBorders>
            <w:vAlign w:val="bottom"/>
          </w:tcPr>
          <w:p w:rsidR="00581415" w:rsidRPr="00E25E32" w:rsidRDefault="00581415" w:rsidP="00C60AEC">
            <w:pPr>
              <w:pStyle w:val="TableBodyText"/>
            </w:pPr>
            <w:r w:rsidRPr="00E25E32">
              <w:t>1.9</w:t>
            </w:r>
          </w:p>
        </w:tc>
        <w:tc>
          <w:tcPr>
            <w:tcW w:w="967" w:type="pct"/>
            <w:tcBorders>
              <w:top w:val="nil"/>
              <w:left w:val="nil"/>
              <w:right w:val="nil"/>
            </w:tcBorders>
            <w:shd w:val="clear" w:color="auto" w:fill="auto"/>
            <w:noWrap/>
            <w:vAlign w:val="bottom"/>
            <w:hideMark/>
          </w:tcPr>
          <w:p w:rsidR="00581415" w:rsidRPr="00E25E32" w:rsidRDefault="00581415" w:rsidP="00C60AEC">
            <w:pPr>
              <w:pStyle w:val="TableBodyText"/>
            </w:pPr>
            <w:r w:rsidRPr="00E25E32">
              <w:t>19.6</w:t>
            </w:r>
          </w:p>
        </w:tc>
        <w:tc>
          <w:tcPr>
            <w:tcW w:w="938" w:type="pct"/>
            <w:tcBorders>
              <w:top w:val="nil"/>
              <w:left w:val="nil"/>
              <w:right w:val="nil"/>
            </w:tcBorders>
            <w:shd w:val="clear" w:color="auto" w:fill="auto"/>
            <w:noWrap/>
            <w:vAlign w:val="bottom"/>
            <w:hideMark/>
          </w:tcPr>
          <w:p w:rsidR="00581415" w:rsidRPr="00E25E32" w:rsidRDefault="00581415" w:rsidP="00C60AEC">
            <w:pPr>
              <w:pStyle w:val="TableBodyText"/>
            </w:pPr>
            <w:r w:rsidRPr="00E25E32">
              <w:t>33</w:t>
            </w:r>
          </w:p>
        </w:tc>
        <w:tc>
          <w:tcPr>
            <w:tcW w:w="837" w:type="pct"/>
            <w:tcBorders>
              <w:top w:val="nil"/>
              <w:left w:val="nil"/>
              <w:right w:val="nil"/>
            </w:tcBorders>
            <w:shd w:val="clear" w:color="auto" w:fill="auto"/>
            <w:noWrap/>
            <w:vAlign w:val="bottom"/>
            <w:hideMark/>
          </w:tcPr>
          <w:p w:rsidR="00581415" w:rsidRPr="00E25E32" w:rsidRDefault="00581415" w:rsidP="00C60AEC">
            <w:pPr>
              <w:pStyle w:val="TableBodyText"/>
              <w:ind w:right="28"/>
              <w:rPr>
                <w:i/>
              </w:rPr>
            </w:pPr>
            <w:r w:rsidRPr="00E25E32">
              <w:t>1.4</w:t>
            </w:r>
          </w:p>
        </w:tc>
      </w:tr>
      <w:tr w:rsidR="00581415" w:rsidRPr="0082132F" w:rsidTr="00450BE8">
        <w:trPr>
          <w:trHeight w:val="255"/>
        </w:trPr>
        <w:tc>
          <w:tcPr>
            <w:tcW w:w="1452" w:type="pct"/>
            <w:tcBorders>
              <w:top w:val="nil"/>
              <w:left w:val="nil"/>
              <w:bottom w:val="single" w:sz="6" w:space="0" w:color="auto"/>
              <w:right w:val="nil"/>
            </w:tcBorders>
            <w:shd w:val="clear" w:color="auto" w:fill="auto"/>
            <w:noWrap/>
            <w:vAlign w:val="bottom"/>
            <w:hideMark/>
          </w:tcPr>
          <w:p w:rsidR="00581415" w:rsidRPr="0082132F" w:rsidRDefault="00581415" w:rsidP="00C60AEC">
            <w:pPr>
              <w:pStyle w:val="TableBodyText"/>
              <w:jc w:val="left"/>
              <w:rPr>
                <w:b/>
              </w:rPr>
            </w:pPr>
            <w:r w:rsidRPr="0082132F">
              <w:rPr>
                <w:b/>
              </w:rPr>
              <w:t>Australia</w:t>
            </w:r>
          </w:p>
        </w:tc>
        <w:tc>
          <w:tcPr>
            <w:tcW w:w="806" w:type="pct"/>
            <w:tcBorders>
              <w:top w:val="nil"/>
              <w:left w:val="nil"/>
              <w:bottom w:val="single" w:sz="6" w:space="0" w:color="auto"/>
              <w:right w:val="nil"/>
            </w:tcBorders>
            <w:vAlign w:val="bottom"/>
          </w:tcPr>
          <w:p w:rsidR="00581415" w:rsidRPr="0082132F" w:rsidRDefault="00581415" w:rsidP="00C60AEC">
            <w:pPr>
              <w:pStyle w:val="TableBodyText"/>
              <w:rPr>
                <w:b/>
              </w:rPr>
            </w:pPr>
            <w:r w:rsidRPr="0082132F">
              <w:rPr>
                <w:b/>
              </w:rPr>
              <w:t>100.0</w:t>
            </w:r>
          </w:p>
        </w:tc>
        <w:tc>
          <w:tcPr>
            <w:tcW w:w="967" w:type="pct"/>
            <w:tcBorders>
              <w:top w:val="nil"/>
              <w:left w:val="nil"/>
              <w:bottom w:val="single" w:sz="6" w:space="0" w:color="auto"/>
              <w:right w:val="nil"/>
            </w:tcBorders>
            <w:shd w:val="clear" w:color="auto" w:fill="auto"/>
            <w:noWrap/>
            <w:vAlign w:val="bottom"/>
            <w:hideMark/>
          </w:tcPr>
          <w:p w:rsidR="00581415" w:rsidRPr="0082132F" w:rsidRDefault="00581415" w:rsidP="00C60AEC">
            <w:pPr>
              <w:pStyle w:val="TableBodyText"/>
              <w:rPr>
                <w:b/>
              </w:rPr>
            </w:pPr>
            <w:r w:rsidRPr="0082132F">
              <w:rPr>
                <w:b/>
              </w:rPr>
              <w:t>25.3</w:t>
            </w:r>
          </w:p>
        </w:tc>
        <w:tc>
          <w:tcPr>
            <w:tcW w:w="938" w:type="pct"/>
            <w:tcBorders>
              <w:top w:val="nil"/>
              <w:left w:val="nil"/>
              <w:bottom w:val="single" w:sz="6" w:space="0" w:color="auto"/>
              <w:right w:val="nil"/>
            </w:tcBorders>
            <w:shd w:val="clear" w:color="auto" w:fill="auto"/>
            <w:noWrap/>
            <w:vAlign w:val="bottom"/>
            <w:hideMark/>
          </w:tcPr>
          <w:p w:rsidR="00581415" w:rsidRPr="0082132F" w:rsidRDefault="00581415" w:rsidP="00C60AEC">
            <w:pPr>
              <w:pStyle w:val="TableBodyText"/>
              <w:rPr>
                <w:b/>
              </w:rPr>
            </w:pPr>
            <w:r w:rsidRPr="0082132F">
              <w:rPr>
                <w:b/>
              </w:rPr>
              <w:t>2</w:t>
            </w:r>
            <w:r>
              <w:rPr>
                <w:b/>
              </w:rPr>
              <w:t xml:space="preserve"> </w:t>
            </w:r>
            <w:r w:rsidRPr="0082132F">
              <w:rPr>
                <w:b/>
              </w:rPr>
              <w:t>309</w:t>
            </w:r>
          </w:p>
        </w:tc>
        <w:tc>
          <w:tcPr>
            <w:tcW w:w="837" w:type="pct"/>
            <w:tcBorders>
              <w:top w:val="nil"/>
              <w:left w:val="nil"/>
              <w:bottom w:val="single" w:sz="6" w:space="0" w:color="auto"/>
              <w:right w:val="nil"/>
            </w:tcBorders>
            <w:shd w:val="clear" w:color="auto" w:fill="auto"/>
            <w:noWrap/>
            <w:vAlign w:val="bottom"/>
            <w:hideMark/>
          </w:tcPr>
          <w:p w:rsidR="00581415" w:rsidRPr="0082132F" w:rsidRDefault="00581415" w:rsidP="00C60AEC">
            <w:pPr>
              <w:pStyle w:val="TableBodyText"/>
              <w:ind w:right="28"/>
              <w:rPr>
                <w:b/>
                <w:i/>
              </w:rPr>
            </w:pPr>
            <w:r w:rsidRPr="0082132F">
              <w:rPr>
                <w:b/>
              </w:rPr>
              <w:t>100.0</w:t>
            </w:r>
          </w:p>
        </w:tc>
      </w:tr>
    </w:tbl>
    <w:p w:rsidR="00581415" w:rsidRPr="00E25E32" w:rsidRDefault="00951590" w:rsidP="00581415">
      <w:pPr>
        <w:pStyle w:val="Source"/>
      </w:pPr>
      <w:r>
        <w:rPr>
          <w:i/>
        </w:rPr>
        <w:t>Source</w:t>
      </w:r>
      <w:r w:rsidRPr="00167F06">
        <w:t xml:space="preserve">: </w:t>
      </w:r>
      <w:r>
        <w:t>ABS (</w:t>
      </w:r>
      <w:r w:rsidRPr="00C1702E">
        <w:rPr>
          <w:i/>
        </w:rPr>
        <w:t>Labour Force, Australia</w:t>
      </w:r>
      <w:r>
        <w:t>, Cat. no. 6202.0).</w:t>
      </w:r>
    </w:p>
    <w:p w:rsidR="00581415" w:rsidRDefault="00581415" w:rsidP="00581415">
      <w:pPr>
        <w:pStyle w:val="BodyText"/>
      </w:pPr>
      <w:r>
        <w:t>The profile of job creation within states by industry and occupation also varied markedly. Each state</w:t>
      </w:r>
      <w:r w:rsidR="003374DE">
        <w:t>’</w:t>
      </w:r>
      <w:r>
        <w:t>s experience was different. But within that variation, there were some commonalities.</w:t>
      </w:r>
    </w:p>
    <w:p w:rsidR="00A6340D" w:rsidRDefault="00A6340D" w:rsidP="00A6340D">
      <w:pPr>
        <w:pStyle w:val="BodyText"/>
      </w:pPr>
      <w:r>
        <w:lastRenderedPageBreak/>
        <w:t>Following Borland (2011), and to simplify the discussion, the label ‘mining’ states is used for Queensland, Western Australia and the Northern Territory, and ‘non</w:t>
      </w:r>
      <w:r>
        <w:noBreakHyphen/>
        <w:t xml:space="preserve">mining’ states for the rest of the country. </w:t>
      </w:r>
      <w:r w:rsidRPr="00233FFD">
        <w:rPr>
          <w:spacing w:val="-2"/>
        </w:rPr>
        <w:t xml:space="preserve">Other authors have used </w:t>
      </w:r>
      <w:r>
        <w:rPr>
          <w:spacing w:val="-2"/>
        </w:rPr>
        <w:t>the</w:t>
      </w:r>
      <w:r w:rsidRPr="00233FFD">
        <w:rPr>
          <w:spacing w:val="-2"/>
        </w:rPr>
        <w:t xml:space="preserve"> term</w:t>
      </w:r>
      <w:r>
        <w:rPr>
          <w:spacing w:val="-2"/>
        </w:rPr>
        <w:t xml:space="preserve"> mining states</w:t>
      </w:r>
      <w:r w:rsidRPr="00233FFD">
        <w:rPr>
          <w:spacing w:val="-2"/>
        </w:rPr>
        <w:t xml:space="preserve"> to refer only to Queensland and Western Australia (RBA 2008), and Queensland, Western Australia and South Australia (Hughes 2008). </w:t>
      </w:r>
      <w:r>
        <w:rPr>
          <w:spacing w:val="-2"/>
        </w:rPr>
        <w:t>However, b</w:t>
      </w:r>
      <w:r w:rsidRPr="00233FFD">
        <w:rPr>
          <w:spacing w:val="-2"/>
        </w:rPr>
        <w:t>road characteristics of job growth by industry and occupation support the grouping adopted in this paper.</w:t>
      </w:r>
      <w:r>
        <w:rPr>
          <w:spacing w:val="-2"/>
        </w:rPr>
        <w:t xml:space="preserve"> For example, </w:t>
      </w:r>
      <w:r>
        <w:t>tables </w:t>
      </w:r>
      <w:proofErr w:type="spellStart"/>
      <w:r>
        <w:t>E.2</w:t>
      </w:r>
      <w:proofErr w:type="spellEnd"/>
      <w:r>
        <w:t xml:space="preserve"> and </w:t>
      </w:r>
      <w:proofErr w:type="spellStart"/>
      <w:r>
        <w:t>E.3</w:t>
      </w:r>
      <w:proofErr w:type="spellEnd"/>
      <w:r>
        <w:t xml:space="preserve"> show that, </w:t>
      </w:r>
      <w:r>
        <w:rPr>
          <w:spacing w:val="-2"/>
        </w:rPr>
        <w:t>i</w:t>
      </w:r>
      <w:r>
        <w:t xml:space="preserve">n comparison with the rest of the country, job creation in the mining states as a group was relatively: </w:t>
      </w:r>
    </w:p>
    <w:p w:rsidR="00A6340D" w:rsidRDefault="00A6340D" w:rsidP="00A6340D">
      <w:pPr>
        <w:pStyle w:val="ListBullet"/>
      </w:pPr>
      <w:r>
        <w:t>concentrated in mining</w:t>
      </w:r>
    </w:p>
    <w:p w:rsidR="00A6340D" w:rsidRDefault="00A6340D" w:rsidP="00A6340D">
      <w:pPr>
        <w:pStyle w:val="ListBullet"/>
      </w:pPr>
      <w:r>
        <w:t>strong in manufacturing — employment in this industry did not shrink</w:t>
      </w:r>
      <w:r w:rsidR="003374DE">
        <w:t xml:space="preserve"> in the mining states</w:t>
      </w:r>
      <w:r>
        <w:t>, although it did shrink nationwide.</w:t>
      </w:r>
    </w:p>
    <w:p w:rsidR="00A6340D" w:rsidRDefault="00A6340D" w:rsidP="00A6340D">
      <w:pPr>
        <w:pStyle w:val="ListBullet"/>
      </w:pPr>
      <w:r>
        <w:t>slow in produce</w:t>
      </w:r>
      <w:r w:rsidR="00FC57EE">
        <w:t>r, social and personal services — t</w:t>
      </w:r>
      <w:r>
        <w:t>hese industries accounted for 56 per cent of net new jobs in the mining states, 7</w:t>
      </w:r>
      <w:r w:rsidR="00FC57EE">
        <w:t>6 per cent in non-mining states</w:t>
      </w:r>
    </w:p>
    <w:p w:rsidR="00A6340D" w:rsidRDefault="00A6340D" w:rsidP="00A6340D">
      <w:pPr>
        <w:pStyle w:val="ListBullet"/>
      </w:pPr>
      <w:r>
        <w:t>rapid in blue coll</w:t>
      </w:r>
      <w:r w:rsidR="00FC57EE">
        <w:t>ar and lower skill occupations — for example, nearly one</w:t>
      </w:r>
      <w:r w:rsidR="00FC57EE">
        <w:noBreakHyphen/>
      </w:r>
      <w:r>
        <w:t>third of jobs added to the mining state workforce were blue collar, in contrast with about 20 per cent in the non</w:t>
      </w:r>
      <w:r w:rsidR="00FC57EE">
        <w:noBreakHyphen/>
        <w:t>mining states</w:t>
      </w:r>
      <w:r>
        <w:t>.</w:t>
      </w:r>
    </w:p>
    <w:p w:rsidR="00A6340D" w:rsidRDefault="00A6340D" w:rsidP="00A6340D">
      <w:pPr>
        <w:pStyle w:val="BodyText"/>
        <w:sectPr w:rsidR="00A6340D" w:rsidSect="00765DD9">
          <w:headerReference w:type="even" r:id="rId9"/>
          <w:headerReference w:type="default" r:id="rId10"/>
          <w:footerReference w:type="even" r:id="rId11"/>
          <w:footerReference w:type="default" r:id="rId12"/>
          <w:footnotePr>
            <w:numStart w:val="48"/>
          </w:footnotePr>
          <w:pgSz w:w="11907" w:h="16840" w:code="9"/>
          <w:pgMar w:top="1985" w:right="1304" w:bottom="1418" w:left="1814" w:header="1701" w:footer="567" w:gutter="0"/>
          <w:pgNumType w:start="93" w:chapStyle="1" w:chapSep="period"/>
          <w:cols w:space="720"/>
        </w:sectPr>
      </w:pPr>
      <w:r>
        <w:br w:type="page"/>
      </w:r>
    </w:p>
    <w:p w:rsidR="00A6340D" w:rsidRDefault="00A6340D" w:rsidP="00A6340D">
      <w:pPr>
        <w:pStyle w:val="TableTitle"/>
        <w:spacing w:before="240"/>
      </w:pPr>
      <w:r>
        <w:rPr>
          <w:b w:val="0"/>
        </w:rPr>
        <w:lastRenderedPageBreak/>
        <w:t xml:space="preserve">Table </w:t>
      </w:r>
      <w:bookmarkStart w:id="5" w:name="OLE_LINK2"/>
      <w:proofErr w:type="spellStart"/>
      <w:r>
        <w:rPr>
          <w:b w:val="0"/>
        </w:rPr>
        <w:t>E.</w:t>
      </w:r>
      <w:r>
        <w:rPr>
          <w:b w:val="0"/>
          <w:noProof/>
        </w:rPr>
        <w:t>2</w:t>
      </w:r>
      <w:bookmarkEnd w:id="5"/>
      <w:proofErr w:type="spellEnd"/>
      <w:r>
        <w:tab/>
        <w:t>Contributions of different industries to employment growth between 2001 to 2011, by state</w:t>
      </w:r>
      <w:r w:rsidRPr="004D5A5A">
        <w:rPr>
          <w:rStyle w:val="NoteLabel"/>
          <w:b/>
        </w:rPr>
        <w:t>a</w:t>
      </w:r>
    </w:p>
    <w:p w:rsidR="00A6340D" w:rsidRPr="006A6355" w:rsidRDefault="00A6340D" w:rsidP="00A6340D">
      <w:pPr>
        <w:pStyle w:val="Subtitle"/>
      </w:pPr>
      <w:r>
        <w:t>Per cent</w:t>
      </w:r>
    </w:p>
    <w:tbl>
      <w:tblPr>
        <w:tblW w:w="4945" w:type="pct"/>
        <w:tblCellMar>
          <w:left w:w="0" w:type="dxa"/>
          <w:right w:w="0" w:type="dxa"/>
        </w:tblCellMar>
        <w:tblLook w:val="04A0" w:firstRow="1" w:lastRow="0" w:firstColumn="1" w:lastColumn="0" w:noHBand="0" w:noVBand="1"/>
      </w:tblPr>
      <w:tblGrid>
        <w:gridCol w:w="3932"/>
        <w:gridCol w:w="825"/>
        <w:gridCol w:w="825"/>
        <w:gridCol w:w="825"/>
        <w:gridCol w:w="821"/>
        <w:gridCol w:w="821"/>
        <w:gridCol w:w="821"/>
        <w:gridCol w:w="821"/>
        <w:gridCol w:w="821"/>
        <w:gridCol w:w="821"/>
        <w:gridCol w:w="917"/>
        <w:gridCol w:w="1039"/>
      </w:tblGrid>
      <w:tr w:rsidR="00A6340D" w:rsidRPr="007B76CE" w:rsidTr="00776390">
        <w:trPr>
          <w:trHeight w:val="255"/>
        </w:trPr>
        <w:tc>
          <w:tcPr>
            <w:tcW w:w="1478" w:type="pct"/>
            <w:tcBorders>
              <w:top w:val="single" w:sz="6" w:space="0" w:color="auto"/>
              <w:left w:val="nil"/>
              <w:bottom w:val="single" w:sz="6" w:space="0" w:color="auto"/>
            </w:tcBorders>
            <w:shd w:val="clear" w:color="auto" w:fill="auto"/>
            <w:noWrap/>
            <w:hideMark/>
          </w:tcPr>
          <w:p w:rsidR="00A6340D" w:rsidRPr="007B76CE" w:rsidRDefault="00A6340D" w:rsidP="00C60AEC">
            <w:pPr>
              <w:pStyle w:val="TableColumnHeading"/>
              <w:rPr>
                <w:sz w:val="18"/>
                <w:szCs w:val="18"/>
              </w:rPr>
            </w:pPr>
          </w:p>
        </w:tc>
        <w:tc>
          <w:tcPr>
            <w:tcW w:w="310"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NSW</w:t>
            </w:r>
          </w:p>
        </w:tc>
        <w:tc>
          <w:tcPr>
            <w:tcW w:w="310"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VIC</w:t>
            </w:r>
          </w:p>
        </w:tc>
        <w:tc>
          <w:tcPr>
            <w:tcW w:w="310"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QLD</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SA</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WA</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TAS</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NT</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ACT</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Aust.</w:t>
            </w:r>
          </w:p>
        </w:tc>
        <w:tc>
          <w:tcPr>
            <w:tcW w:w="345" w:type="pct"/>
            <w:tcBorders>
              <w:top w:val="single" w:sz="6" w:space="0" w:color="auto"/>
              <w:left w:val="nil"/>
              <w:bottom w:val="single" w:sz="6" w:space="0" w:color="auto"/>
            </w:tcBorders>
            <w:shd w:val="clear" w:color="auto" w:fill="auto"/>
            <w:noWrap/>
            <w:hideMark/>
          </w:tcPr>
          <w:p w:rsidR="00A6340D" w:rsidRPr="007B76CE" w:rsidRDefault="00A6340D" w:rsidP="00C60AEC">
            <w:pPr>
              <w:pStyle w:val="TableColumnHeading"/>
              <w:rPr>
                <w:sz w:val="18"/>
                <w:szCs w:val="18"/>
              </w:rPr>
            </w:pPr>
            <w:r>
              <w:rPr>
                <w:sz w:val="18"/>
                <w:szCs w:val="18"/>
              </w:rPr>
              <w:t>Mining</w:t>
            </w:r>
          </w:p>
        </w:tc>
        <w:tc>
          <w:tcPr>
            <w:tcW w:w="391" w:type="pct"/>
            <w:tcBorders>
              <w:top w:val="single" w:sz="6" w:space="0" w:color="auto"/>
              <w:bottom w:val="single" w:sz="6" w:space="0" w:color="auto"/>
              <w:right w:val="nil"/>
            </w:tcBorders>
            <w:shd w:val="clear" w:color="auto" w:fill="auto"/>
            <w:noWrap/>
            <w:hideMark/>
          </w:tcPr>
          <w:p w:rsidR="00A6340D" w:rsidRPr="007B76CE" w:rsidRDefault="00A6340D" w:rsidP="00C60AEC">
            <w:pPr>
              <w:pStyle w:val="TableColumnHeading"/>
              <w:ind w:right="28"/>
              <w:rPr>
                <w:sz w:val="18"/>
                <w:szCs w:val="18"/>
              </w:rPr>
            </w:pPr>
            <w:r>
              <w:rPr>
                <w:sz w:val="18"/>
                <w:szCs w:val="18"/>
              </w:rPr>
              <w:t>Non-mining</w:t>
            </w:r>
          </w:p>
        </w:tc>
      </w:tr>
      <w:tr w:rsidR="00A6340D" w:rsidRPr="007B76CE" w:rsidTr="00776390">
        <w:trPr>
          <w:trHeight w:val="225"/>
        </w:trPr>
        <w:tc>
          <w:tcPr>
            <w:tcW w:w="1478" w:type="pct"/>
            <w:tcBorders>
              <w:top w:val="single" w:sz="6" w:space="0" w:color="auto"/>
              <w:left w:val="nil"/>
              <w:bottom w:val="nil"/>
            </w:tcBorders>
            <w:shd w:val="clear" w:color="auto" w:fill="auto"/>
            <w:noWrap/>
            <w:hideMark/>
          </w:tcPr>
          <w:p w:rsidR="00A6340D" w:rsidRPr="007B76CE" w:rsidRDefault="00A6340D" w:rsidP="00C60AEC">
            <w:pPr>
              <w:pStyle w:val="TableBodyText"/>
              <w:spacing w:before="80"/>
              <w:jc w:val="left"/>
              <w:rPr>
                <w:rFonts w:cs="Arial"/>
                <w:sz w:val="18"/>
                <w:szCs w:val="18"/>
              </w:rPr>
            </w:pPr>
            <w:r>
              <w:rPr>
                <w:rFonts w:cs="Arial"/>
                <w:sz w:val="18"/>
                <w:szCs w:val="18"/>
              </w:rPr>
              <w:t>  Agriculture, f</w:t>
            </w:r>
            <w:r w:rsidRPr="007B76CE">
              <w:rPr>
                <w:rFonts w:cs="Arial"/>
                <w:sz w:val="18"/>
                <w:szCs w:val="18"/>
              </w:rPr>
              <w:t xml:space="preserve">orestry and </w:t>
            </w:r>
            <w:r>
              <w:rPr>
                <w:rFonts w:cs="Arial"/>
                <w:sz w:val="18"/>
                <w:szCs w:val="18"/>
              </w:rPr>
              <w:t>f</w:t>
            </w:r>
            <w:r w:rsidRPr="007B76CE">
              <w:rPr>
                <w:rFonts w:cs="Arial"/>
                <w:sz w:val="18"/>
                <w:szCs w:val="18"/>
              </w:rPr>
              <w:t>ishing</w:t>
            </w:r>
          </w:p>
        </w:tc>
        <w:tc>
          <w:tcPr>
            <w:tcW w:w="310"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-7.0</w:t>
            </w:r>
          </w:p>
        </w:tc>
        <w:tc>
          <w:tcPr>
            <w:tcW w:w="310"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-2.8</w:t>
            </w:r>
          </w:p>
        </w:tc>
        <w:tc>
          <w:tcPr>
            <w:tcW w:w="310"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-4.1</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-5.9</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-3.0</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-10.0</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-3.8</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-1.5</w:t>
            </w:r>
          </w:p>
        </w:tc>
        <w:tc>
          <w:tcPr>
            <w:tcW w:w="309" w:type="pct"/>
            <w:tcBorders>
              <w:top w:val="single" w:sz="6" w:space="0" w:color="auto"/>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-4.5</w:t>
            </w:r>
          </w:p>
        </w:tc>
        <w:tc>
          <w:tcPr>
            <w:tcW w:w="345" w:type="pct"/>
            <w:tcBorders>
              <w:top w:val="single" w:sz="6" w:space="0" w:color="auto"/>
              <w:left w:val="nil"/>
              <w:bottom w:val="nil"/>
            </w:tcBorders>
            <w:shd w:val="clear" w:color="auto" w:fill="auto"/>
            <w:noWrap/>
            <w:hideMark/>
          </w:tcPr>
          <w:p w:rsidR="00A6340D" w:rsidRPr="007B76CE" w:rsidRDefault="00A6340D" w:rsidP="00C60AEC">
            <w:pPr>
              <w:pStyle w:val="TableBodyText"/>
              <w:spacing w:before="80"/>
              <w:rPr>
                <w:rFonts w:cs="Arial"/>
                <w:i/>
                <w:sz w:val="18"/>
                <w:szCs w:val="18"/>
              </w:rPr>
            </w:pPr>
            <w:r w:rsidRPr="007B76CE">
              <w:rPr>
                <w:rFonts w:cs="Arial"/>
                <w:sz w:val="18"/>
                <w:szCs w:val="18"/>
              </w:rPr>
              <w:t>-3.7</w:t>
            </w:r>
          </w:p>
        </w:tc>
        <w:tc>
          <w:tcPr>
            <w:tcW w:w="391" w:type="pct"/>
            <w:tcBorders>
              <w:top w:val="single" w:sz="6" w:space="0" w:color="auto"/>
              <w:bottom w:val="nil"/>
              <w:right w:val="nil"/>
            </w:tcBorders>
            <w:shd w:val="clear" w:color="auto" w:fill="auto"/>
            <w:noWrap/>
            <w:hideMark/>
          </w:tcPr>
          <w:p w:rsidR="00A6340D" w:rsidRPr="007B76CE" w:rsidRDefault="00A6340D" w:rsidP="00C60AEC">
            <w:pPr>
              <w:pStyle w:val="TableBodyText"/>
              <w:spacing w:before="80"/>
              <w:ind w:right="28"/>
              <w:rPr>
                <w:rFonts w:cs="Arial"/>
                <w:i/>
                <w:sz w:val="18"/>
                <w:szCs w:val="18"/>
              </w:rPr>
            </w:pPr>
            <w:r w:rsidRPr="007B76CE">
              <w:rPr>
                <w:rFonts w:cs="Arial"/>
                <w:sz w:val="18"/>
                <w:szCs w:val="18"/>
              </w:rPr>
              <w:t>-5.0</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Mining</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19.7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0.0</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6.2</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10.9</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Cs/>
                <w:sz w:val="18"/>
                <w:szCs w:val="18"/>
              </w:rPr>
            </w:pPr>
            <w:r w:rsidRPr="007B76CE">
              <w:rPr>
                <w:rFonts w:cs="Arial"/>
                <w:bCs/>
                <w:sz w:val="18"/>
                <w:szCs w:val="18"/>
              </w:rPr>
              <w:t>2.8</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Cs/>
                <w:sz w:val="18"/>
                <w:szCs w:val="18"/>
              </w:rPr>
            </w:pPr>
            <w:r>
              <w:rPr>
                <w:rFonts w:cs="Arial"/>
                <w:bCs/>
                <w:sz w:val="18"/>
                <w:szCs w:val="18"/>
              </w:rPr>
              <w:t>  </w:t>
            </w:r>
            <w:r w:rsidRPr="007B76CE">
              <w:rPr>
                <w:rFonts w:cs="Arial"/>
                <w:bCs/>
                <w:sz w:val="18"/>
                <w:szCs w:val="18"/>
              </w:rPr>
              <w:t>Manufacturing</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-6.7</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-6.7</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-6.8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0.6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-6.0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0.9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-4.4</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-3.5</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1.0</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Cs/>
                <w:sz w:val="18"/>
                <w:szCs w:val="18"/>
              </w:rPr>
            </w:pPr>
            <w:r w:rsidRPr="007B76CE">
              <w:rPr>
                <w:rFonts w:cs="Arial"/>
                <w:bCs/>
                <w:sz w:val="18"/>
                <w:szCs w:val="18"/>
              </w:rPr>
              <w:t>-6.6</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Electricity, </w:t>
            </w:r>
            <w:r>
              <w:rPr>
                <w:rFonts w:cs="Arial"/>
                <w:sz w:val="18"/>
                <w:szCs w:val="18"/>
              </w:rPr>
              <w:t>g</w:t>
            </w:r>
            <w:r w:rsidRPr="007B76CE">
              <w:rPr>
                <w:rFonts w:cs="Arial"/>
                <w:sz w:val="18"/>
                <w:szCs w:val="18"/>
              </w:rPr>
              <w:t xml:space="preserve">as, </w:t>
            </w:r>
            <w:r>
              <w:rPr>
                <w:rFonts w:cs="Arial"/>
                <w:sz w:val="18"/>
                <w:szCs w:val="18"/>
              </w:rPr>
              <w:t>w</w:t>
            </w:r>
            <w:r w:rsidRPr="007B76CE">
              <w:rPr>
                <w:rFonts w:cs="Arial"/>
                <w:sz w:val="18"/>
                <w:szCs w:val="18"/>
              </w:rPr>
              <w:t xml:space="preserve">ater and </w:t>
            </w:r>
            <w:r>
              <w:rPr>
                <w:rFonts w:cs="Arial"/>
                <w:sz w:val="18"/>
                <w:szCs w:val="18"/>
              </w:rPr>
              <w:t>w</w:t>
            </w:r>
            <w:r w:rsidRPr="007B76CE">
              <w:rPr>
                <w:rFonts w:cs="Arial"/>
                <w:sz w:val="18"/>
                <w:szCs w:val="18"/>
              </w:rPr>
              <w:t xml:space="preserve">aste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2.8</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2.2</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3.0</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3.3</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2.8</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Cs/>
                <w:sz w:val="18"/>
                <w:szCs w:val="18"/>
              </w:rPr>
            </w:pPr>
            <w:r>
              <w:rPr>
                <w:rFonts w:cs="Arial"/>
                <w:bCs/>
                <w:sz w:val="18"/>
                <w:szCs w:val="18"/>
              </w:rPr>
              <w:t>  </w:t>
            </w:r>
            <w:r w:rsidRPr="007B76CE">
              <w:rPr>
                <w:rFonts w:cs="Arial"/>
                <w:bCs/>
                <w:sz w:val="18"/>
                <w:szCs w:val="18"/>
              </w:rPr>
              <w:t>Construction</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11.4</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17.5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15.5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20.0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17.1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26.7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24.5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19.3</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15.8</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Cs/>
                <w:sz w:val="18"/>
                <w:szCs w:val="18"/>
              </w:rPr>
            </w:pPr>
            <w:r w:rsidRPr="007B76CE">
              <w:rPr>
                <w:rFonts w:cs="Arial"/>
                <w:bCs/>
                <w:sz w:val="18"/>
                <w:szCs w:val="18"/>
              </w:rPr>
              <w:t>16.3</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Cs/>
                <w:sz w:val="18"/>
                <w:szCs w:val="18"/>
              </w:rPr>
            </w:pPr>
            <w:r w:rsidRPr="007B76CE">
              <w:rPr>
                <w:rFonts w:cs="Arial"/>
                <w:bCs/>
                <w:sz w:val="18"/>
                <w:szCs w:val="18"/>
              </w:rPr>
              <w:t>15.5</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
                <w:bCs/>
                <w:sz w:val="18"/>
                <w:szCs w:val="18"/>
              </w:rPr>
            </w:pPr>
            <w:r w:rsidRPr="007B76CE">
              <w:rPr>
                <w:rFonts w:cs="Arial"/>
                <w:b/>
                <w:bCs/>
                <w:sz w:val="18"/>
                <w:szCs w:val="18"/>
              </w:rPr>
              <w:t>Distribution services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15.1</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16.6</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17.8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14.4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14.8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3.3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7.5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-12.6</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15.4</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16.6</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
                <w:bCs/>
                <w:sz w:val="18"/>
                <w:szCs w:val="18"/>
              </w:rPr>
            </w:pPr>
            <w:r w:rsidRPr="007B76CE">
              <w:rPr>
                <w:rFonts w:cs="Arial"/>
                <w:b/>
                <w:bCs/>
                <w:sz w:val="18"/>
                <w:szCs w:val="18"/>
              </w:rPr>
              <w:t>14.6</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Wholesale </w:t>
            </w:r>
            <w:r>
              <w:rPr>
                <w:rFonts w:cs="Arial"/>
                <w:sz w:val="18"/>
                <w:szCs w:val="18"/>
              </w:rPr>
              <w:t>t</w:t>
            </w:r>
            <w:r w:rsidRPr="007B76CE">
              <w:rPr>
                <w:rFonts w:cs="Arial"/>
                <w:sz w:val="18"/>
                <w:szCs w:val="18"/>
              </w:rPr>
              <w:t>rade</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2.6</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0.0</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2.5</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1.5</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3.2</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Retail </w:t>
            </w:r>
            <w:r>
              <w:rPr>
                <w:rFonts w:cs="Arial"/>
                <w:sz w:val="18"/>
                <w:szCs w:val="18"/>
              </w:rPr>
              <w:t>t</w:t>
            </w:r>
            <w:r w:rsidRPr="007B76CE">
              <w:rPr>
                <w:rFonts w:cs="Arial"/>
                <w:sz w:val="18"/>
                <w:szCs w:val="18"/>
              </w:rPr>
              <w:t>rade</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8.0</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-7.4</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8.5</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9.0</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8.2</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Transport,</w:t>
            </w:r>
            <w:r>
              <w:rPr>
                <w:rFonts w:cs="Arial"/>
                <w:sz w:val="18"/>
                <w:szCs w:val="18"/>
              </w:rPr>
              <w:t xml:space="preserve"> p</w:t>
            </w:r>
            <w:r w:rsidRPr="007B76CE">
              <w:rPr>
                <w:rFonts w:cs="Arial"/>
                <w:sz w:val="18"/>
                <w:szCs w:val="18"/>
              </w:rPr>
              <w:t xml:space="preserve">ostal and </w:t>
            </w:r>
            <w:r>
              <w:rPr>
                <w:rFonts w:cs="Arial"/>
                <w:sz w:val="18"/>
                <w:szCs w:val="18"/>
              </w:rPr>
              <w:t>w</w:t>
            </w:r>
            <w:r w:rsidRPr="007B76CE">
              <w:rPr>
                <w:rFonts w:cs="Arial"/>
                <w:sz w:val="18"/>
                <w:szCs w:val="18"/>
              </w:rPr>
              <w:t>arehousing</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5.8</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4.4</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-0.7</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5.0</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5.7</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4.5</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Information </w:t>
            </w:r>
            <w:r>
              <w:rPr>
                <w:rFonts w:cs="Arial"/>
                <w:sz w:val="18"/>
                <w:szCs w:val="18"/>
              </w:rPr>
              <w:t>m</w:t>
            </w:r>
            <w:r w:rsidRPr="007B76CE">
              <w:rPr>
                <w:rFonts w:cs="Arial"/>
                <w:sz w:val="18"/>
                <w:szCs w:val="18"/>
              </w:rPr>
              <w:t xml:space="preserve">edia and </w:t>
            </w:r>
            <w:r>
              <w:rPr>
                <w:rFonts w:cs="Arial"/>
                <w:sz w:val="18"/>
                <w:szCs w:val="18"/>
              </w:rPr>
              <w:t>t</w:t>
            </w:r>
            <w:r w:rsidRPr="007B76CE">
              <w:rPr>
                <w:rFonts w:cs="Arial"/>
                <w:sz w:val="18"/>
                <w:szCs w:val="18"/>
              </w:rPr>
              <w:t>elecommunications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-4.4</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-0.6</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0.4</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-1.3</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
                <w:bCs/>
                <w:sz w:val="18"/>
                <w:szCs w:val="18"/>
              </w:rPr>
            </w:pPr>
            <w:r w:rsidRPr="007B76CE">
              <w:rPr>
                <w:rFonts w:cs="Arial"/>
                <w:b/>
                <w:bCs/>
                <w:sz w:val="18"/>
                <w:szCs w:val="18"/>
              </w:rPr>
              <w:t xml:space="preserve">Producer services </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21.6</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25.2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18.0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18.5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13.5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14.0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18.9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2.2</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19.8</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16.6</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
                <w:bCs/>
                <w:sz w:val="18"/>
                <w:szCs w:val="18"/>
              </w:rPr>
            </w:pPr>
            <w:r w:rsidRPr="007B76CE">
              <w:rPr>
                <w:rFonts w:cs="Arial"/>
                <w:b/>
                <w:bCs/>
                <w:sz w:val="18"/>
                <w:szCs w:val="18"/>
              </w:rPr>
              <w:t>22.2</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Financial and </w:t>
            </w:r>
            <w:r>
              <w:rPr>
                <w:rFonts w:cs="Arial"/>
                <w:sz w:val="18"/>
                <w:szCs w:val="18"/>
              </w:rPr>
              <w:t>i</w:t>
            </w:r>
            <w:r w:rsidRPr="007B76CE">
              <w:rPr>
                <w:rFonts w:cs="Arial"/>
                <w:sz w:val="18"/>
                <w:szCs w:val="18"/>
              </w:rPr>
              <w:t xml:space="preserve">nsurance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5.1</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-3.0</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3.3</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4.9</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Rental, </w:t>
            </w:r>
            <w:r>
              <w:rPr>
                <w:rFonts w:cs="Arial"/>
                <w:sz w:val="18"/>
                <w:szCs w:val="18"/>
              </w:rPr>
              <w:t>h</w:t>
            </w:r>
            <w:r w:rsidRPr="007B76CE">
              <w:rPr>
                <w:rFonts w:cs="Arial"/>
                <w:sz w:val="18"/>
                <w:szCs w:val="18"/>
              </w:rPr>
              <w:t xml:space="preserve">iring and </w:t>
            </w:r>
            <w:r>
              <w:rPr>
                <w:rFonts w:cs="Arial"/>
                <w:sz w:val="18"/>
                <w:szCs w:val="18"/>
              </w:rPr>
              <w:t>r</w:t>
            </w:r>
            <w:r w:rsidRPr="007B76CE">
              <w:rPr>
                <w:rFonts w:cs="Arial"/>
                <w:sz w:val="18"/>
                <w:szCs w:val="18"/>
              </w:rPr>
              <w:t xml:space="preserve">eal </w:t>
            </w:r>
            <w:r>
              <w:rPr>
                <w:rFonts w:cs="Arial"/>
                <w:sz w:val="18"/>
                <w:szCs w:val="18"/>
              </w:rPr>
              <w:t>e</w:t>
            </w:r>
            <w:r w:rsidRPr="007B76CE">
              <w:rPr>
                <w:rFonts w:cs="Arial"/>
                <w:sz w:val="18"/>
                <w:szCs w:val="18"/>
              </w:rPr>
              <w:t xml:space="preserve">state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1.7</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-1.5</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2.2</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2.3</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2.2</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Professional, </w:t>
            </w:r>
            <w:r>
              <w:rPr>
                <w:rFonts w:cs="Arial"/>
                <w:sz w:val="18"/>
                <w:szCs w:val="18"/>
              </w:rPr>
              <w:t>s</w:t>
            </w:r>
            <w:r w:rsidRPr="007B76CE">
              <w:rPr>
                <w:rFonts w:cs="Arial"/>
                <w:sz w:val="18"/>
                <w:szCs w:val="18"/>
              </w:rPr>
              <w:t xml:space="preserve">cientific and </w:t>
            </w:r>
            <w:r>
              <w:rPr>
                <w:rFonts w:cs="Arial"/>
                <w:sz w:val="18"/>
                <w:szCs w:val="18"/>
              </w:rPr>
              <w:t>t</w:t>
            </w:r>
            <w:r w:rsidRPr="007B76CE">
              <w:rPr>
                <w:rFonts w:cs="Arial"/>
                <w:sz w:val="18"/>
                <w:szCs w:val="18"/>
              </w:rPr>
              <w:t xml:space="preserve">echnical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13.2</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5.2</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11.3</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9.6</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12.4</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Administrative and </w:t>
            </w:r>
            <w:r>
              <w:rPr>
                <w:rFonts w:cs="Arial"/>
                <w:sz w:val="18"/>
                <w:szCs w:val="18"/>
              </w:rPr>
              <w:t>s</w:t>
            </w:r>
            <w:r w:rsidRPr="007B76CE">
              <w:rPr>
                <w:rFonts w:cs="Arial"/>
                <w:sz w:val="18"/>
                <w:szCs w:val="18"/>
              </w:rPr>
              <w:t xml:space="preserve">upport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4.4</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2.1</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1.5</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3.0</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3.5</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2.7</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
                <w:bCs/>
                <w:sz w:val="18"/>
                <w:szCs w:val="18"/>
              </w:rPr>
            </w:pPr>
            <w:r w:rsidRPr="007B76CE">
              <w:rPr>
                <w:rFonts w:cs="Arial"/>
                <w:b/>
                <w:bCs/>
                <w:sz w:val="18"/>
                <w:szCs w:val="18"/>
              </w:rPr>
              <w:t>Social services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42.5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33.5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34.2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41.2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28.6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45.3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81.5</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36.4</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32.0</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
                <w:bCs/>
                <w:sz w:val="18"/>
                <w:szCs w:val="18"/>
              </w:rPr>
            </w:pPr>
            <w:r w:rsidRPr="007B76CE">
              <w:rPr>
                <w:rFonts w:cs="Arial"/>
                <w:b/>
                <w:bCs/>
                <w:sz w:val="18"/>
                <w:szCs w:val="18"/>
              </w:rPr>
              <w:t>39.5</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Public </w:t>
            </w:r>
            <w:r>
              <w:rPr>
                <w:rFonts w:cs="Arial"/>
                <w:sz w:val="18"/>
                <w:szCs w:val="18"/>
              </w:rPr>
              <w:t>a</w:t>
            </w:r>
            <w:r w:rsidRPr="007B76CE">
              <w:rPr>
                <w:rFonts w:cs="Arial"/>
                <w:sz w:val="18"/>
                <w:szCs w:val="18"/>
              </w:rPr>
              <w:t xml:space="preserve">dministration and </w:t>
            </w:r>
            <w:r>
              <w:rPr>
                <w:rFonts w:cs="Arial"/>
                <w:sz w:val="18"/>
                <w:szCs w:val="18"/>
              </w:rPr>
              <w:t>s</w:t>
            </w:r>
            <w:r w:rsidRPr="007B76CE">
              <w:rPr>
                <w:rFonts w:cs="Arial"/>
                <w:sz w:val="18"/>
                <w:szCs w:val="18"/>
              </w:rPr>
              <w:t>afety</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11.6</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4.1</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11.2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65.9</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9.1</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8.4</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9.6</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Education and </w:t>
            </w:r>
            <w:r>
              <w:rPr>
                <w:rFonts w:cs="Arial"/>
                <w:sz w:val="18"/>
                <w:szCs w:val="18"/>
              </w:rPr>
              <w:t>t</w:t>
            </w:r>
            <w:r w:rsidRPr="007B76CE">
              <w:rPr>
                <w:rFonts w:cs="Arial"/>
                <w:sz w:val="18"/>
                <w:szCs w:val="18"/>
              </w:rPr>
              <w:t>raining</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9.6</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9.5</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7.3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18.0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8.9</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8.8</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7.5</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9.8</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Health </w:t>
            </w:r>
            <w:r>
              <w:rPr>
                <w:rFonts w:cs="Arial"/>
                <w:sz w:val="18"/>
                <w:szCs w:val="18"/>
              </w:rPr>
              <w:t>c</w:t>
            </w:r>
            <w:r w:rsidRPr="007B76CE">
              <w:rPr>
                <w:rFonts w:cs="Arial"/>
                <w:sz w:val="18"/>
                <w:szCs w:val="18"/>
              </w:rPr>
              <w:t xml:space="preserve">are and </w:t>
            </w:r>
            <w:r>
              <w:rPr>
                <w:rFonts w:cs="Arial"/>
                <w:sz w:val="18"/>
                <w:szCs w:val="18"/>
              </w:rPr>
              <w:t>s</w:t>
            </w:r>
            <w:r w:rsidRPr="007B76CE">
              <w:rPr>
                <w:rFonts w:cs="Arial"/>
                <w:sz w:val="18"/>
                <w:szCs w:val="18"/>
              </w:rPr>
              <w:t xml:space="preserve">ocial </w:t>
            </w:r>
            <w:r>
              <w:rPr>
                <w:rFonts w:cs="Arial"/>
                <w:sz w:val="18"/>
                <w:szCs w:val="18"/>
              </w:rPr>
              <w:t>a</w:t>
            </w:r>
            <w:r w:rsidRPr="007B76CE">
              <w:rPr>
                <w:rFonts w:cs="Arial"/>
                <w:sz w:val="18"/>
                <w:szCs w:val="18"/>
              </w:rPr>
              <w:t>ssistance</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21.3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19.9</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18.0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20.3</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18.7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17.0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6.7</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18.5</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16.1</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20.1</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b/>
                <w:bCs/>
                <w:sz w:val="18"/>
                <w:szCs w:val="18"/>
              </w:rPr>
            </w:pPr>
            <w:r w:rsidRPr="007B76CE">
              <w:rPr>
                <w:rFonts w:cs="Arial"/>
                <w:b/>
                <w:bCs/>
                <w:sz w:val="18"/>
                <w:szCs w:val="18"/>
              </w:rPr>
              <w:t>Personal services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16.4</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12.7</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7.0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11.4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6.6</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16.7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19.8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13.3</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11.3</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b/>
                <w:bCs/>
                <w:sz w:val="18"/>
                <w:szCs w:val="18"/>
              </w:rPr>
            </w:pPr>
            <w:r w:rsidRPr="007B76CE">
              <w:rPr>
                <w:rFonts w:cs="Arial"/>
                <w:b/>
                <w:bCs/>
                <w:sz w:val="18"/>
                <w:szCs w:val="18"/>
              </w:rPr>
              <w:t>7.2</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b/>
                <w:bCs/>
                <w:sz w:val="18"/>
                <w:szCs w:val="18"/>
              </w:rPr>
            </w:pPr>
            <w:r w:rsidRPr="007B76CE">
              <w:rPr>
                <w:rFonts w:cs="Arial"/>
                <w:b/>
                <w:bCs/>
                <w:sz w:val="18"/>
                <w:szCs w:val="18"/>
              </w:rPr>
              <w:t>14.2</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Accommodation and </w:t>
            </w:r>
            <w:r>
              <w:rPr>
                <w:rFonts w:cs="Arial"/>
                <w:sz w:val="18"/>
                <w:szCs w:val="18"/>
              </w:rPr>
              <w:t>f</w:t>
            </w:r>
            <w:r w:rsidRPr="007B76CE">
              <w:rPr>
                <w:rFonts w:cs="Arial"/>
                <w:sz w:val="18"/>
                <w:szCs w:val="18"/>
              </w:rPr>
              <w:t xml:space="preserve">ood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9.1</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7.3</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8.4</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2.2</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5.7</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12.6</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6.6</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4.0</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8.4</w:t>
            </w:r>
          </w:p>
        </w:tc>
      </w:tr>
      <w:tr w:rsidR="00A6340D" w:rsidRPr="007B76CE" w:rsidTr="00776390">
        <w:trPr>
          <w:trHeight w:val="225"/>
        </w:trPr>
        <w:tc>
          <w:tcPr>
            <w:tcW w:w="1478" w:type="pct"/>
            <w:tcBorders>
              <w:top w:val="nil"/>
              <w:left w:val="nil"/>
              <w:bottom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Arts and </w:t>
            </w:r>
            <w:r>
              <w:rPr>
                <w:rFonts w:cs="Arial"/>
                <w:sz w:val="18"/>
                <w:szCs w:val="18"/>
              </w:rPr>
              <w:t>r</w:t>
            </w:r>
            <w:r w:rsidRPr="007B76CE">
              <w:rPr>
                <w:rFonts w:cs="Arial"/>
                <w:sz w:val="18"/>
                <w:szCs w:val="18"/>
              </w:rPr>
              <w:t xml:space="preserve">ecreation </w:t>
            </w:r>
            <w:r>
              <w:rPr>
                <w:rFonts w:cs="Arial"/>
                <w:sz w:val="18"/>
                <w:szCs w:val="18"/>
              </w:rPr>
              <w:t>s</w:t>
            </w:r>
            <w:r w:rsidRPr="007B76CE">
              <w:rPr>
                <w:rFonts w:cs="Arial"/>
                <w:sz w:val="18"/>
                <w:szCs w:val="18"/>
              </w:rPr>
              <w:t>ervices</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3.8</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4.0</w:t>
            </w:r>
          </w:p>
        </w:tc>
        <w:tc>
          <w:tcPr>
            <w:tcW w:w="310"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1.9</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2.8</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4.0</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8.5</w:t>
            </w:r>
          </w:p>
        </w:tc>
        <w:tc>
          <w:tcPr>
            <w:tcW w:w="309"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2.2</w:t>
            </w:r>
          </w:p>
        </w:tc>
        <w:tc>
          <w:tcPr>
            <w:tcW w:w="309" w:type="pct"/>
            <w:tcBorders>
              <w:top w:val="nil"/>
              <w:left w:val="nil"/>
              <w:bottom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3.2</w:t>
            </w:r>
          </w:p>
        </w:tc>
        <w:tc>
          <w:tcPr>
            <w:tcW w:w="345" w:type="pct"/>
            <w:tcBorders>
              <w:top w:val="nil"/>
              <w:left w:val="nil"/>
              <w:bottom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2.4</w:t>
            </w:r>
          </w:p>
        </w:tc>
        <w:tc>
          <w:tcPr>
            <w:tcW w:w="391" w:type="pct"/>
            <w:tcBorders>
              <w:top w:val="nil"/>
              <w:left w:val="nil"/>
              <w:bottom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3.8</w:t>
            </w:r>
          </w:p>
        </w:tc>
      </w:tr>
      <w:tr w:rsidR="00A6340D" w:rsidRPr="007B76CE" w:rsidTr="00776390">
        <w:trPr>
          <w:trHeight w:val="225"/>
        </w:trPr>
        <w:tc>
          <w:tcPr>
            <w:tcW w:w="1478" w:type="pct"/>
            <w:tcBorders>
              <w:top w:val="nil"/>
              <w:left w:val="nil"/>
              <w:right w:val="nil"/>
            </w:tcBorders>
            <w:shd w:val="clear" w:color="auto" w:fill="auto"/>
            <w:noWrap/>
            <w:hideMark/>
          </w:tcPr>
          <w:p w:rsidR="00A6340D" w:rsidRPr="007B76CE" w:rsidRDefault="00A6340D" w:rsidP="00C60AEC">
            <w:pPr>
              <w:pStyle w:val="TableBodyText"/>
              <w:jc w:val="left"/>
              <w:rPr>
                <w:rFonts w:cs="Arial"/>
                <w:sz w:val="18"/>
                <w:szCs w:val="18"/>
              </w:rPr>
            </w:pPr>
            <w:r>
              <w:rPr>
                <w:rFonts w:cs="Arial"/>
                <w:sz w:val="18"/>
                <w:szCs w:val="18"/>
              </w:rPr>
              <w:t>  </w:t>
            </w:r>
            <w:r w:rsidRPr="007B76CE">
              <w:rPr>
                <w:rFonts w:cs="Arial"/>
                <w:sz w:val="18"/>
                <w:szCs w:val="18"/>
              </w:rPr>
              <w:t xml:space="preserve">Other </w:t>
            </w:r>
            <w:r>
              <w:rPr>
                <w:rFonts w:cs="Arial"/>
                <w:sz w:val="18"/>
                <w:szCs w:val="18"/>
              </w:rPr>
              <w:t>s</w:t>
            </w:r>
            <w:r w:rsidRPr="007B76CE">
              <w:rPr>
                <w:rFonts w:cs="Arial"/>
                <w:sz w:val="18"/>
                <w:szCs w:val="18"/>
              </w:rPr>
              <w:t>ervices</w:t>
            </w:r>
          </w:p>
        </w:tc>
        <w:tc>
          <w:tcPr>
            <w:tcW w:w="310"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3.5</w:t>
            </w:r>
          </w:p>
        </w:tc>
        <w:tc>
          <w:tcPr>
            <w:tcW w:w="310"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1.5</w:t>
            </w:r>
          </w:p>
        </w:tc>
        <w:tc>
          <w:tcPr>
            <w:tcW w:w="310"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0.3</w:t>
            </w:r>
          </w:p>
        </w:tc>
        <w:tc>
          <w:tcPr>
            <w:tcW w:w="309"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0.0</w:t>
            </w:r>
          </w:p>
        </w:tc>
        <w:tc>
          <w:tcPr>
            <w:tcW w:w="309"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1.6</w:t>
            </w:r>
          </w:p>
        </w:tc>
        <w:tc>
          <w:tcPr>
            <w:tcW w:w="309"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0.0</w:t>
            </w:r>
          </w:p>
        </w:tc>
        <w:tc>
          <w:tcPr>
            <w:tcW w:w="309"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5.7</w:t>
            </w:r>
          </w:p>
        </w:tc>
        <w:tc>
          <w:tcPr>
            <w:tcW w:w="309"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-1.5</w:t>
            </w:r>
          </w:p>
        </w:tc>
        <w:tc>
          <w:tcPr>
            <w:tcW w:w="309" w:type="pct"/>
            <w:tcBorders>
              <w:top w:val="nil"/>
              <w:lef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1.6</w:t>
            </w:r>
          </w:p>
        </w:tc>
        <w:tc>
          <w:tcPr>
            <w:tcW w:w="345" w:type="pct"/>
            <w:tcBorders>
              <w:top w:val="nil"/>
              <w:left w:val="nil"/>
              <w:right w:val="nil"/>
            </w:tcBorders>
            <w:shd w:val="clear" w:color="auto" w:fill="auto"/>
            <w:noWrap/>
            <w:hideMark/>
          </w:tcPr>
          <w:p w:rsidR="00A6340D" w:rsidRPr="007B76CE" w:rsidRDefault="00A6340D" w:rsidP="00C60AEC">
            <w:pPr>
              <w:pStyle w:val="TableBodyText"/>
              <w:rPr>
                <w:rFonts w:cs="Arial"/>
                <w:sz w:val="18"/>
                <w:szCs w:val="18"/>
              </w:rPr>
            </w:pPr>
            <w:r w:rsidRPr="007B76CE">
              <w:rPr>
                <w:rFonts w:cs="Arial"/>
                <w:sz w:val="18"/>
                <w:szCs w:val="18"/>
              </w:rPr>
              <w:t>0.9</w:t>
            </w:r>
          </w:p>
        </w:tc>
        <w:tc>
          <w:tcPr>
            <w:tcW w:w="391" w:type="pct"/>
            <w:tcBorders>
              <w:top w:val="nil"/>
              <w:left w:val="nil"/>
              <w:right w:val="nil"/>
            </w:tcBorders>
            <w:shd w:val="clear" w:color="auto" w:fill="auto"/>
            <w:noWrap/>
            <w:hideMark/>
          </w:tcPr>
          <w:p w:rsidR="00A6340D" w:rsidRPr="007B76CE" w:rsidRDefault="00A6340D" w:rsidP="00C60AEC">
            <w:pPr>
              <w:pStyle w:val="TableBodyText"/>
              <w:ind w:right="28"/>
              <w:rPr>
                <w:rFonts w:cs="Arial"/>
                <w:sz w:val="18"/>
                <w:szCs w:val="18"/>
              </w:rPr>
            </w:pPr>
            <w:r w:rsidRPr="007B76CE">
              <w:rPr>
                <w:rFonts w:cs="Arial"/>
                <w:sz w:val="18"/>
                <w:szCs w:val="18"/>
              </w:rPr>
              <w:t>2.1</w:t>
            </w:r>
          </w:p>
        </w:tc>
      </w:tr>
      <w:tr w:rsidR="00A6340D" w:rsidRPr="008908B2" w:rsidTr="00776390">
        <w:trPr>
          <w:trHeight w:val="225"/>
        </w:trPr>
        <w:tc>
          <w:tcPr>
            <w:tcW w:w="1478" w:type="pct"/>
            <w:tcBorders>
              <w:top w:val="nil"/>
              <w:left w:val="nil"/>
              <w:bottom w:val="nil"/>
            </w:tcBorders>
            <w:shd w:val="clear" w:color="auto" w:fill="auto"/>
            <w:noWrap/>
            <w:hideMark/>
          </w:tcPr>
          <w:p w:rsidR="00A6340D" w:rsidRPr="008908B2" w:rsidRDefault="00A6340D" w:rsidP="00C60AEC">
            <w:pPr>
              <w:pStyle w:val="TableBodyText"/>
              <w:jc w:val="left"/>
              <w:rPr>
                <w:rFonts w:cs="Arial"/>
                <w:b/>
                <w:sz w:val="18"/>
                <w:szCs w:val="18"/>
              </w:rPr>
            </w:pPr>
            <w:r w:rsidRPr="008908B2">
              <w:rPr>
                <w:rFonts w:cs="Arial"/>
                <w:b/>
                <w:sz w:val="18"/>
                <w:szCs w:val="18"/>
              </w:rPr>
              <w:t>Total</w:t>
            </w:r>
          </w:p>
        </w:tc>
        <w:tc>
          <w:tcPr>
            <w:tcW w:w="310"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10"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10"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09" w:type="pct"/>
            <w:tcBorders>
              <w:top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45" w:type="pct"/>
            <w:tcBorders>
              <w:top w:val="nil"/>
              <w:left w:val="nil"/>
              <w:bottom w:val="nil"/>
            </w:tcBorders>
            <w:shd w:val="clear" w:color="auto" w:fill="auto"/>
            <w:noWrap/>
            <w:hideMark/>
          </w:tcPr>
          <w:p w:rsidR="00A6340D" w:rsidRPr="008908B2" w:rsidRDefault="00A6340D" w:rsidP="00C60AEC">
            <w:pPr>
              <w:pStyle w:val="TableBodyText"/>
              <w:rPr>
                <w:rFonts w:cs="Arial"/>
                <w:b/>
                <w:sz w:val="18"/>
                <w:szCs w:val="18"/>
              </w:rPr>
            </w:pPr>
            <w:r w:rsidRPr="008908B2">
              <w:rPr>
                <w:rFonts w:cs="Arial"/>
                <w:b/>
                <w:sz w:val="18"/>
                <w:szCs w:val="18"/>
              </w:rPr>
              <w:t>100.0</w:t>
            </w:r>
          </w:p>
        </w:tc>
        <w:tc>
          <w:tcPr>
            <w:tcW w:w="391" w:type="pct"/>
            <w:tcBorders>
              <w:top w:val="nil"/>
              <w:bottom w:val="nil"/>
              <w:right w:val="nil"/>
            </w:tcBorders>
            <w:shd w:val="clear" w:color="auto" w:fill="auto"/>
            <w:noWrap/>
            <w:hideMark/>
          </w:tcPr>
          <w:p w:rsidR="00A6340D" w:rsidRPr="008908B2" w:rsidRDefault="00A6340D" w:rsidP="00C60AEC">
            <w:pPr>
              <w:pStyle w:val="TableBodyText"/>
              <w:ind w:right="28"/>
              <w:rPr>
                <w:rFonts w:cs="Arial"/>
                <w:b/>
                <w:sz w:val="18"/>
                <w:szCs w:val="18"/>
              </w:rPr>
            </w:pPr>
            <w:r w:rsidRPr="008908B2">
              <w:rPr>
                <w:rFonts w:cs="Arial"/>
                <w:b/>
                <w:sz w:val="18"/>
                <w:szCs w:val="18"/>
              </w:rPr>
              <w:t>100.0</w:t>
            </w:r>
          </w:p>
        </w:tc>
      </w:tr>
      <w:tr w:rsidR="00A6340D" w:rsidRPr="008908B2" w:rsidTr="00776390">
        <w:trPr>
          <w:trHeight w:val="57"/>
        </w:trPr>
        <w:tc>
          <w:tcPr>
            <w:tcW w:w="1478" w:type="pct"/>
            <w:tcBorders>
              <w:top w:val="nil"/>
              <w:left w:val="nil"/>
            </w:tcBorders>
            <w:shd w:val="clear" w:color="auto" w:fill="auto"/>
            <w:noWrap/>
          </w:tcPr>
          <w:p w:rsidR="00A6340D" w:rsidRPr="008908B2" w:rsidRDefault="00A6340D" w:rsidP="00C60AEC">
            <w:pPr>
              <w:pStyle w:val="TableBodyText"/>
              <w:jc w:val="left"/>
              <w:rPr>
                <w:rFonts w:cs="Arial"/>
                <w:b/>
                <w:sz w:val="18"/>
                <w:szCs w:val="18"/>
              </w:rPr>
            </w:pPr>
          </w:p>
        </w:tc>
        <w:tc>
          <w:tcPr>
            <w:tcW w:w="310"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10"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10"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09" w:type="pct"/>
            <w:tcBorders>
              <w:top w:val="nil"/>
            </w:tcBorders>
            <w:shd w:val="clear" w:color="auto" w:fill="auto"/>
            <w:noWrap/>
          </w:tcPr>
          <w:p w:rsidR="00A6340D" w:rsidRPr="008908B2" w:rsidRDefault="00A6340D" w:rsidP="00C60AEC">
            <w:pPr>
              <w:pStyle w:val="TableBodyText"/>
              <w:rPr>
                <w:rFonts w:cs="Arial"/>
                <w:b/>
                <w:sz w:val="18"/>
                <w:szCs w:val="18"/>
              </w:rPr>
            </w:pPr>
          </w:p>
        </w:tc>
        <w:tc>
          <w:tcPr>
            <w:tcW w:w="345" w:type="pct"/>
            <w:tcBorders>
              <w:top w:val="nil"/>
              <w:left w:val="nil"/>
            </w:tcBorders>
            <w:shd w:val="clear" w:color="auto" w:fill="auto"/>
            <w:noWrap/>
          </w:tcPr>
          <w:p w:rsidR="00A6340D" w:rsidRPr="008908B2" w:rsidRDefault="00A6340D" w:rsidP="00C60AEC">
            <w:pPr>
              <w:pStyle w:val="TableBodyText"/>
              <w:rPr>
                <w:rFonts w:cs="Arial"/>
                <w:b/>
                <w:sz w:val="18"/>
                <w:szCs w:val="18"/>
              </w:rPr>
            </w:pPr>
          </w:p>
        </w:tc>
        <w:tc>
          <w:tcPr>
            <w:tcW w:w="391" w:type="pct"/>
            <w:tcBorders>
              <w:top w:val="nil"/>
              <w:right w:val="nil"/>
            </w:tcBorders>
            <w:shd w:val="clear" w:color="auto" w:fill="auto"/>
            <w:noWrap/>
          </w:tcPr>
          <w:p w:rsidR="00A6340D" w:rsidRPr="008908B2" w:rsidRDefault="00A6340D" w:rsidP="00C60AEC">
            <w:pPr>
              <w:pStyle w:val="TableBodyText"/>
              <w:ind w:right="28"/>
              <w:rPr>
                <w:rFonts w:cs="Arial"/>
                <w:b/>
                <w:sz w:val="18"/>
                <w:szCs w:val="18"/>
              </w:rPr>
            </w:pPr>
          </w:p>
        </w:tc>
      </w:tr>
      <w:tr w:rsidR="00A6340D" w:rsidRPr="004E0966" w:rsidTr="00776390">
        <w:trPr>
          <w:trHeight w:val="225"/>
        </w:trPr>
        <w:tc>
          <w:tcPr>
            <w:tcW w:w="1478" w:type="pct"/>
            <w:tcBorders>
              <w:top w:val="nil"/>
              <w:left w:val="nil"/>
              <w:bottom w:val="single" w:sz="6" w:space="0" w:color="auto"/>
            </w:tcBorders>
            <w:shd w:val="clear" w:color="auto" w:fill="auto"/>
            <w:noWrap/>
          </w:tcPr>
          <w:p w:rsidR="00A6340D" w:rsidRPr="004E0966" w:rsidRDefault="00A6340D" w:rsidP="00C60AEC">
            <w:pPr>
              <w:pStyle w:val="TableBodyText"/>
              <w:jc w:val="left"/>
              <w:rPr>
                <w:b/>
                <w:sz w:val="18"/>
                <w:szCs w:val="18"/>
              </w:rPr>
            </w:pPr>
            <w:r>
              <w:rPr>
                <w:b/>
                <w:sz w:val="18"/>
                <w:szCs w:val="18"/>
              </w:rPr>
              <w:t>Producer, Social and Personal s</w:t>
            </w:r>
            <w:r w:rsidRPr="004E0966">
              <w:rPr>
                <w:b/>
                <w:sz w:val="18"/>
                <w:szCs w:val="18"/>
              </w:rPr>
              <w:t>ervices</w:t>
            </w:r>
          </w:p>
        </w:tc>
        <w:tc>
          <w:tcPr>
            <w:tcW w:w="310"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80.5</w:t>
            </w:r>
          </w:p>
        </w:tc>
        <w:tc>
          <w:tcPr>
            <w:tcW w:w="310"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71.5</w:t>
            </w:r>
          </w:p>
        </w:tc>
        <w:tc>
          <w:tcPr>
            <w:tcW w:w="310"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59.3</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71.1</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48.6</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76.0</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54.7</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97.0</w:t>
            </w:r>
          </w:p>
        </w:tc>
        <w:tc>
          <w:tcPr>
            <w:tcW w:w="309" w:type="pct"/>
            <w:tcBorders>
              <w:top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67.6</w:t>
            </w:r>
          </w:p>
        </w:tc>
        <w:tc>
          <w:tcPr>
            <w:tcW w:w="345" w:type="pct"/>
            <w:tcBorders>
              <w:top w:val="nil"/>
              <w:left w:val="nil"/>
              <w:bottom w:val="single" w:sz="6" w:space="0" w:color="auto"/>
            </w:tcBorders>
            <w:shd w:val="clear" w:color="auto" w:fill="auto"/>
            <w:noWrap/>
          </w:tcPr>
          <w:p w:rsidR="00A6340D" w:rsidRPr="0093654E" w:rsidRDefault="00A6340D" w:rsidP="00C60AEC">
            <w:pPr>
              <w:pStyle w:val="TableBodyText"/>
              <w:rPr>
                <w:b/>
                <w:sz w:val="18"/>
                <w:szCs w:val="18"/>
              </w:rPr>
            </w:pPr>
            <w:r w:rsidRPr="0093654E">
              <w:rPr>
                <w:b/>
                <w:sz w:val="18"/>
                <w:szCs w:val="18"/>
              </w:rPr>
              <w:t>55.8</w:t>
            </w:r>
          </w:p>
        </w:tc>
        <w:tc>
          <w:tcPr>
            <w:tcW w:w="391" w:type="pct"/>
            <w:tcBorders>
              <w:top w:val="nil"/>
              <w:bottom w:val="single" w:sz="6" w:space="0" w:color="auto"/>
              <w:right w:val="nil"/>
            </w:tcBorders>
            <w:shd w:val="clear" w:color="auto" w:fill="auto"/>
            <w:noWrap/>
          </w:tcPr>
          <w:p w:rsidR="00A6340D" w:rsidRPr="0093654E" w:rsidRDefault="00A6340D" w:rsidP="00C60AEC">
            <w:pPr>
              <w:pStyle w:val="TableBodyText"/>
              <w:ind w:right="28"/>
              <w:rPr>
                <w:rFonts w:cs="Arial"/>
                <w:b/>
                <w:sz w:val="18"/>
                <w:szCs w:val="18"/>
              </w:rPr>
            </w:pPr>
            <w:r w:rsidRPr="0093654E">
              <w:rPr>
                <w:rFonts w:cs="Arial"/>
                <w:b/>
                <w:sz w:val="18"/>
                <w:szCs w:val="18"/>
              </w:rPr>
              <w:t>75.9</w:t>
            </w:r>
          </w:p>
        </w:tc>
      </w:tr>
    </w:tbl>
    <w:p w:rsidR="00A6340D" w:rsidRPr="004D5A5A" w:rsidRDefault="00A6340D" w:rsidP="00A6340D">
      <w:pPr>
        <w:pStyle w:val="Note"/>
      </w:pPr>
      <w:r w:rsidRPr="004D5A5A">
        <w:rPr>
          <w:rStyle w:val="NoteLabel"/>
        </w:rPr>
        <w:t>a</w:t>
      </w:r>
      <w:r w:rsidRPr="004D5A5A">
        <w:t xml:space="preserve"> </w:t>
      </w:r>
      <w:r>
        <w:t xml:space="preserve">Totals </w:t>
      </w:r>
      <w:r w:rsidR="002D362D">
        <w:t>might</w:t>
      </w:r>
      <w:r>
        <w:t xml:space="preserve"> not add to 100 because of rounding.</w:t>
      </w:r>
    </w:p>
    <w:p w:rsidR="00A6340D" w:rsidRPr="00E25E32" w:rsidRDefault="00A6340D" w:rsidP="00A6340D">
      <w:pPr>
        <w:pStyle w:val="Source"/>
      </w:pPr>
      <w:r>
        <w:rPr>
          <w:i/>
        </w:rPr>
        <w:t>Source</w:t>
      </w:r>
      <w:r>
        <w:t xml:space="preserve">: ABS </w:t>
      </w:r>
      <w:r w:rsidR="002D362D">
        <w:t>(</w:t>
      </w:r>
      <w:r w:rsidRPr="0082132F">
        <w:rPr>
          <w:i/>
        </w:rPr>
        <w:t>Labour Force Australia, Detailed</w:t>
      </w:r>
      <w:r w:rsidR="00951590">
        <w:t>, Cat. no. 6291.0.55.003</w:t>
      </w:r>
      <w:r w:rsidR="002D362D">
        <w:t>)</w:t>
      </w:r>
      <w:r>
        <w:t>.</w:t>
      </w:r>
    </w:p>
    <w:p w:rsidR="00A6340D" w:rsidRDefault="00A6340D" w:rsidP="00A6340D">
      <w:pPr>
        <w:pStyle w:val="TableTitle"/>
      </w:pPr>
      <w:r>
        <w:rPr>
          <w:b w:val="0"/>
        </w:rPr>
        <w:lastRenderedPageBreak/>
        <w:t xml:space="preserve">Table </w:t>
      </w:r>
      <w:bookmarkStart w:id="6" w:name="OLE_LINK3"/>
      <w:proofErr w:type="spellStart"/>
      <w:r>
        <w:rPr>
          <w:b w:val="0"/>
        </w:rPr>
        <w:t>E.</w:t>
      </w:r>
      <w:r>
        <w:rPr>
          <w:b w:val="0"/>
          <w:noProof/>
        </w:rPr>
        <w:t>3</w:t>
      </w:r>
      <w:bookmarkEnd w:id="6"/>
      <w:proofErr w:type="spellEnd"/>
      <w:r>
        <w:tab/>
        <w:t>Contributions of different occupations to employment growth between 2001 to 2011, by state</w:t>
      </w:r>
      <w:r w:rsidRPr="004D5A5A">
        <w:rPr>
          <w:rStyle w:val="NoteLabel"/>
          <w:b/>
        </w:rPr>
        <w:t>a</w:t>
      </w:r>
    </w:p>
    <w:p w:rsidR="00A6340D" w:rsidRPr="006C4732" w:rsidRDefault="00A6340D" w:rsidP="00A6340D">
      <w:pPr>
        <w:pStyle w:val="Subtitle"/>
      </w:pPr>
      <w:r>
        <w:t>Per cent</w:t>
      </w:r>
    </w:p>
    <w:tbl>
      <w:tblPr>
        <w:tblW w:w="4926" w:type="pct"/>
        <w:tblCellMar>
          <w:left w:w="0" w:type="dxa"/>
          <w:right w:w="0" w:type="dxa"/>
        </w:tblCellMar>
        <w:tblLook w:val="04A0" w:firstRow="1" w:lastRow="0" w:firstColumn="1" w:lastColumn="0" w:noHBand="0" w:noVBand="1"/>
      </w:tblPr>
      <w:tblGrid>
        <w:gridCol w:w="3864"/>
        <w:gridCol w:w="887"/>
        <w:gridCol w:w="818"/>
        <w:gridCol w:w="818"/>
        <w:gridCol w:w="818"/>
        <w:gridCol w:w="818"/>
        <w:gridCol w:w="818"/>
        <w:gridCol w:w="887"/>
        <w:gridCol w:w="818"/>
        <w:gridCol w:w="818"/>
        <w:gridCol w:w="831"/>
        <w:gridCol w:w="1043"/>
      </w:tblGrid>
      <w:tr w:rsidR="00A6340D" w:rsidRPr="008908B2" w:rsidTr="00776390">
        <w:trPr>
          <w:trHeight w:val="20"/>
        </w:trPr>
        <w:tc>
          <w:tcPr>
            <w:tcW w:w="1459" w:type="pct"/>
            <w:tcBorders>
              <w:top w:val="single" w:sz="6" w:space="0" w:color="auto"/>
              <w:left w:val="nil"/>
              <w:bottom w:val="single" w:sz="6" w:space="0" w:color="auto"/>
            </w:tcBorders>
            <w:shd w:val="clear" w:color="auto" w:fill="auto"/>
            <w:noWrap/>
            <w:hideMark/>
          </w:tcPr>
          <w:p w:rsidR="00A6340D" w:rsidRPr="008908B2" w:rsidRDefault="00A6340D" w:rsidP="00C60AEC">
            <w:pPr>
              <w:pStyle w:val="TableColumnHeading"/>
              <w:jc w:val="left"/>
            </w:pPr>
          </w:p>
        </w:tc>
        <w:tc>
          <w:tcPr>
            <w:tcW w:w="335"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NSW</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VIC</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QLD</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SA</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WA</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TAS</w:t>
            </w:r>
          </w:p>
        </w:tc>
        <w:tc>
          <w:tcPr>
            <w:tcW w:w="335"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NT</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ACT</w:t>
            </w:r>
          </w:p>
        </w:tc>
        <w:tc>
          <w:tcPr>
            <w:tcW w:w="309" w:type="pct"/>
            <w:tcBorders>
              <w:top w:val="single" w:sz="6" w:space="0" w:color="auto"/>
              <w:bottom w:val="single" w:sz="6" w:space="0" w:color="auto"/>
            </w:tcBorders>
            <w:shd w:val="clear" w:color="auto" w:fill="auto"/>
            <w:hideMark/>
          </w:tcPr>
          <w:p w:rsidR="00A6340D" w:rsidRPr="007B76CE" w:rsidRDefault="00A6340D" w:rsidP="00C60AEC">
            <w:pPr>
              <w:pStyle w:val="TableColumnHeading"/>
              <w:rPr>
                <w:sz w:val="18"/>
                <w:szCs w:val="18"/>
              </w:rPr>
            </w:pPr>
            <w:r w:rsidRPr="007B76CE">
              <w:rPr>
                <w:sz w:val="18"/>
                <w:szCs w:val="18"/>
              </w:rPr>
              <w:t>Aust.</w:t>
            </w:r>
          </w:p>
        </w:tc>
        <w:tc>
          <w:tcPr>
            <w:tcW w:w="314" w:type="pct"/>
            <w:tcBorders>
              <w:top w:val="single" w:sz="6" w:space="0" w:color="auto"/>
              <w:left w:val="nil"/>
              <w:bottom w:val="single" w:sz="6" w:space="0" w:color="auto"/>
            </w:tcBorders>
            <w:shd w:val="clear" w:color="auto" w:fill="auto"/>
            <w:noWrap/>
            <w:hideMark/>
          </w:tcPr>
          <w:p w:rsidR="00A6340D" w:rsidRPr="007B76CE" w:rsidRDefault="00A6340D" w:rsidP="00C60AEC">
            <w:pPr>
              <w:pStyle w:val="TableColumnHeading"/>
              <w:rPr>
                <w:sz w:val="18"/>
                <w:szCs w:val="18"/>
              </w:rPr>
            </w:pPr>
            <w:r>
              <w:rPr>
                <w:sz w:val="18"/>
                <w:szCs w:val="18"/>
              </w:rPr>
              <w:t>Mining</w:t>
            </w:r>
          </w:p>
        </w:tc>
        <w:tc>
          <w:tcPr>
            <w:tcW w:w="394" w:type="pct"/>
            <w:tcBorders>
              <w:top w:val="single" w:sz="6" w:space="0" w:color="auto"/>
              <w:bottom w:val="single" w:sz="6" w:space="0" w:color="auto"/>
              <w:right w:val="nil"/>
            </w:tcBorders>
            <w:shd w:val="clear" w:color="auto" w:fill="auto"/>
            <w:noWrap/>
            <w:hideMark/>
          </w:tcPr>
          <w:p w:rsidR="00A6340D" w:rsidRPr="007B76CE" w:rsidRDefault="00A6340D" w:rsidP="00C60AEC">
            <w:pPr>
              <w:pStyle w:val="TableColumnHeading"/>
              <w:ind w:right="28"/>
              <w:rPr>
                <w:sz w:val="18"/>
                <w:szCs w:val="18"/>
              </w:rPr>
            </w:pPr>
            <w:r>
              <w:rPr>
                <w:sz w:val="18"/>
                <w:szCs w:val="18"/>
              </w:rPr>
              <w:t>Non-mining</w:t>
            </w:r>
          </w:p>
        </w:tc>
      </w:tr>
      <w:tr w:rsidR="00A6340D" w:rsidRPr="008908B2" w:rsidTr="00776390">
        <w:trPr>
          <w:trHeight w:val="225"/>
        </w:trPr>
        <w:tc>
          <w:tcPr>
            <w:tcW w:w="1459" w:type="pct"/>
            <w:tcBorders>
              <w:top w:val="single" w:sz="6" w:space="0" w:color="auto"/>
              <w:left w:val="nil"/>
              <w:bottom w:val="nil"/>
              <w:right w:val="nil"/>
            </w:tcBorders>
            <w:shd w:val="clear" w:color="auto" w:fill="auto"/>
            <w:noWrap/>
            <w:hideMark/>
          </w:tcPr>
          <w:p w:rsidR="00A6340D" w:rsidRPr="008908B2" w:rsidRDefault="00A6340D" w:rsidP="00C60AEC">
            <w:pPr>
              <w:pStyle w:val="TableBodyText"/>
              <w:spacing w:before="80"/>
              <w:jc w:val="left"/>
              <w:rPr>
                <w:szCs w:val="24"/>
              </w:rPr>
            </w:pPr>
            <w:r w:rsidRPr="008908B2">
              <w:t>Managers</w:t>
            </w:r>
          </w:p>
        </w:tc>
        <w:tc>
          <w:tcPr>
            <w:tcW w:w="335"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15.1</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12.9</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14.6</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16.8</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15.9</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12.7</w:t>
            </w:r>
          </w:p>
        </w:tc>
        <w:tc>
          <w:tcPr>
            <w:tcW w:w="335"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w:t>
            </w:r>
            <w:r>
              <w:t>4.8</w:t>
            </w:r>
          </w:p>
        </w:tc>
        <w:tc>
          <w:tcPr>
            <w:tcW w:w="309"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30.</w:t>
            </w:r>
            <w:r>
              <w:t>6</w:t>
            </w:r>
          </w:p>
        </w:tc>
        <w:tc>
          <w:tcPr>
            <w:tcW w:w="309" w:type="pct"/>
            <w:tcBorders>
              <w:top w:val="single" w:sz="6" w:space="0" w:color="auto"/>
              <w:left w:val="nil"/>
              <w:bottom w:val="nil"/>
            </w:tcBorders>
            <w:shd w:val="clear" w:color="auto" w:fill="auto"/>
            <w:hideMark/>
          </w:tcPr>
          <w:p w:rsidR="00A6340D" w:rsidRPr="008908B2" w:rsidRDefault="00A6340D" w:rsidP="00C60AEC">
            <w:pPr>
              <w:pStyle w:val="TableBodyText"/>
              <w:spacing w:before="80"/>
              <w:rPr>
                <w:i/>
              </w:rPr>
            </w:pPr>
            <w:r w:rsidRPr="008908B2">
              <w:t>14.8</w:t>
            </w:r>
          </w:p>
        </w:tc>
        <w:tc>
          <w:tcPr>
            <w:tcW w:w="314"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rPr>
                <w:i/>
              </w:rPr>
            </w:pPr>
            <w:r w:rsidRPr="008908B2">
              <w:t>15.0</w:t>
            </w:r>
          </w:p>
        </w:tc>
        <w:tc>
          <w:tcPr>
            <w:tcW w:w="394" w:type="pct"/>
            <w:tcBorders>
              <w:top w:val="single" w:sz="6" w:space="0" w:color="auto"/>
              <w:left w:val="nil"/>
              <w:bottom w:val="nil"/>
              <w:right w:val="nil"/>
            </w:tcBorders>
            <w:shd w:val="clear" w:color="auto" w:fill="auto"/>
            <w:hideMark/>
          </w:tcPr>
          <w:p w:rsidR="00A6340D" w:rsidRPr="008908B2" w:rsidRDefault="00A6340D" w:rsidP="00C60AEC">
            <w:pPr>
              <w:pStyle w:val="TableBodyText"/>
              <w:spacing w:before="80"/>
              <w:ind w:right="28"/>
              <w:rPr>
                <w:i/>
              </w:rPr>
            </w:pPr>
            <w:r w:rsidRPr="008908B2">
              <w:t>14.6</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  Farmers and </w:t>
            </w:r>
            <w:r>
              <w:t>f</w:t>
            </w:r>
            <w:r w:rsidRPr="008908B2">
              <w:t xml:space="preserve">arm </w:t>
            </w:r>
            <w:r>
              <w:t>m</w:t>
            </w:r>
            <w:r w:rsidRPr="008908B2">
              <w:t>anagers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-3.9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-2.2</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-0.2</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-7.3</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0.9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-1.5</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-2.6</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-1.5</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w:t>
            </w:r>
            <w:r>
              <w:t>3.4</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  Other managers</w:t>
            </w:r>
          </w:p>
        </w:tc>
        <w:tc>
          <w:tcPr>
            <w:tcW w:w="335" w:type="pct"/>
            <w:tcBorders>
              <w:top w:val="nil"/>
              <w:left w:val="nil"/>
              <w:bottom w:val="nil"/>
              <w:right w:val="nil"/>
            </w:tcBorders>
            <w:shd w:val="clear" w:color="auto" w:fill="auto"/>
            <w:noWrap/>
            <w:hideMark/>
          </w:tcPr>
          <w:p w:rsidR="00A6340D" w:rsidRPr="008908B2" w:rsidRDefault="00A6340D" w:rsidP="00C60AEC">
            <w:pPr>
              <w:pStyle w:val="TableBodyText"/>
            </w:pPr>
            <w:r>
              <w:t>19.0</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15.9</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16.8</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19.</w:t>
            </w:r>
            <w:r>
              <w:t>5</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16.1</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20.0</w:t>
            </w:r>
          </w:p>
        </w:tc>
        <w:tc>
          <w:tcPr>
            <w:tcW w:w="335"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w:t>
            </w:r>
            <w:r>
              <w:t>3.9</w:t>
            </w:r>
          </w:p>
        </w:tc>
        <w:tc>
          <w:tcPr>
            <w:tcW w:w="309"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3</w:t>
            </w:r>
            <w:r>
              <w:t>2.1</w:t>
            </w:r>
          </w:p>
        </w:tc>
        <w:tc>
          <w:tcPr>
            <w:tcW w:w="309" w:type="pct"/>
            <w:tcBorders>
              <w:top w:val="nil"/>
              <w:left w:val="nil"/>
              <w:bottom w:val="nil"/>
            </w:tcBorders>
            <w:shd w:val="clear" w:color="auto" w:fill="auto"/>
            <w:noWrap/>
            <w:hideMark/>
          </w:tcPr>
          <w:p w:rsidR="00A6340D" w:rsidRPr="008908B2" w:rsidRDefault="00A6340D" w:rsidP="00C60AEC">
            <w:pPr>
              <w:pStyle w:val="TableBodyText"/>
            </w:pPr>
            <w:r w:rsidRPr="008908B2">
              <w:t>17.4</w:t>
            </w:r>
          </w:p>
        </w:tc>
        <w:tc>
          <w:tcPr>
            <w:tcW w:w="314" w:type="pct"/>
            <w:tcBorders>
              <w:top w:val="nil"/>
              <w:left w:val="nil"/>
              <w:bottom w:val="nil"/>
              <w:right w:val="nil"/>
            </w:tcBorders>
            <w:shd w:val="clear" w:color="auto" w:fill="auto"/>
            <w:noWrap/>
            <w:hideMark/>
          </w:tcPr>
          <w:p w:rsidR="00A6340D" w:rsidRPr="008908B2" w:rsidRDefault="00A6340D" w:rsidP="00C60AEC">
            <w:pPr>
              <w:pStyle w:val="TableBodyText"/>
            </w:pPr>
            <w:r w:rsidRPr="008908B2">
              <w:t>16.5</w:t>
            </w:r>
          </w:p>
        </w:tc>
        <w:tc>
          <w:tcPr>
            <w:tcW w:w="394" w:type="pct"/>
            <w:tcBorders>
              <w:top w:val="nil"/>
              <w:left w:val="nil"/>
              <w:bottom w:val="nil"/>
              <w:right w:val="nil"/>
            </w:tcBorders>
            <w:shd w:val="clear" w:color="auto" w:fill="auto"/>
            <w:noWrap/>
            <w:hideMark/>
          </w:tcPr>
          <w:p w:rsidR="00A6340D" w:rsidRPr="008908B2" w:rsidRDefault="00A6340D" w:rsidP="00C60AEC">
            <w:pPr>
              <w:pStyle w:val="TableBodyText"/>
              <w:ind w:right="28"/>
            </w:pPr>
            <w:r w:rsidRPr="008908B2">
              <w:t>18.0</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Professionals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38.8</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30.4</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27.</w:t>
            </w:r>
            <w:r>
              <w:t>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28.</w:t>
            </w:r>
            <w:r>
              <w:t>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24.3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37.3</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3</w:t>
            </w:r>
            <w:r>
              <w:t>0.6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w:t>
            </w:r>
            <w:r>
              <w:t>5.1</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30.8</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26.3</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3</w:t>
            </w:r>
            <w:r>
              <w:t>4.0</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Technicians and </w:t>
            </w:r>
            <w:r>
              <w:t>t</w:t>
            </w:r>
            <w:r w:rsidRPr="008908B2">
              <w:t xml:space="preserve">rades </w:t>
            </w:r>
            <w:r>
              <w:t>w</w:t>
            </w:r>
            <w:r w:rsidRPr="008908B2">
              <w:t>orkers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11.1</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12.</w:t>
            </w:r>
            <w:r>
              <w:t>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15.</w:t>
            </w:r>
            <w:r>
              <w:t>1</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12.7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19.8</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10.0</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20.</w:t>
            </w:r>
            <w:r>
              <w:t>4</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12.</w:t>
            </w:r>
            <w:r>
              <w:t>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14.0</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16.</w:t>
            </w:r>
            <w:r>
              <w:t>7</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11.9</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Community and </w:t>
            </w:r>
            <w:r>
              <w:t>p</w:t>
            </w:r>
            <w:r w:rsidRPr="008908B2">
              <w:t xml:space="preserve">ersonal </w:t>
            </w:r>
            <w:r>
              <w:t>s</w:t>
            </w:r>
            <w:r w:rsidRPr="008908B2">
              <w:t xml:space="preserve">ervice </w:t>
            </w:r>
            <w:r>
              <w:t>w</w:t>
            </w:r>
            <w:r w:rsidRPr="008908B2">
              <w:t>orkers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17.0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16.6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11.7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15.9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9.5</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21.3</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12.</w:t>
            </w:r>
            <w:r>
              <w:t>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17.</w:t>
            </w:r>
            <w:r>
              <w:t>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14.4</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11.0</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16.8</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Clerical and </w:t>
            </w:r>
            <w:r>
              <w:t>a</w:t>
            </w:r>
            <w:r w:rsidRPr="008908B2">
              <w:t xml:space="preserve">dministrative </w:t>
            </w:r>
            <w:r>
              <w:t>w</w:t>
            </w:r>
            <w:r w:rsidRPr="008908B2">
              <w:t>orkers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3.3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8.9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w:t>
            </w:r>
            <w:r>
              <w:t>0.9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11.6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8.4</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3.3</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1</w:t>
            </w:r>
            <w:r>
              <w:t>5.7</w:t>
            </w:r>
          </w:p>
        </w:tc>
        <w:tc>
          <w:tcPr>
            <w:tcW w:w="309" w:type="pct"/>
            <w:tcBorders>
              <w:top w:val="nil"/>
              <w:bottom w:val="nil"/>
            </w:tcBorders>
            <w:shd w:val="clear" w:color="auto" w:fill="auto"/>
            <w:noWrap/>
            <w:hideMark/>
          </w:tcPr>
          <w:p w:rsidR="00A6340D" w:rsidRPr="008908B2" w:rsidRDefault="00A6340D" w:rsidP="00C60AEC">
            <w:pPr>
              <w:pStyle w:val="TableBodyText"/>
            </w:pPr>
            <w:r>
              <w:t>9.0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8.2</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10.3</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6.7</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Sales </w:t>
            </w:r>
            <w:r>
              <w:t>w</w:t>
            </w:r>
            <w:r w:rsidRPr="008908B2">
              <w:t>orkers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6.9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8.5</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7.1</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5.9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4.7</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5.</w:t>
            </w:r>
            <w:r>
              <w:t>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-7.</w:t>
            </w:r>
            <w:r>
              <w:t>5</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6.4</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5.6</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7.1</w:t>
            </w:r>
          </w:p>
        </w:tc>
      </w:tr>
      <w:tr w:rsidR="00A6340D" w:rsidRPr="008908B2" w:rsidTr="00776390">
        <w:trPr>
          <w:trHeight w:val="225"/>
        </w:trPr>
        <w:tc>
          <w:tcPr>
            <w:tcW w:w="1459" w:type="pct"/>
            <w:tcBorders>
              <w:top w:val="nil"/>
              <w:left w:val="nil"/>
              <w:bottom w:val="nil"/>
              <w:right w:val="nil"/>
            </w:tcBorders>
            <w:shd w:val="clear" w:color="auto" w:fill="auto"/>
            <w:noWrap/>
            <w:hideMark/>
          </w:tcPr>
          <w:p w:rsidR="00A6340D" w:rsidRPr="008908B2" w:rsidRDefault="00A6340D" w:rsidP="00C60AEC">
            <w:pPr>
              <w:pStyle w:val="TableBodyText"/>
              <w:jc w:val="left"/>
            </w:pPr>
            <w:r w:rsidRPr="008908B2">
              <w:t xml:space="preserve">Machinery </w:t>
            </w:r>
            <w:r>
              <w:t>o</w:t>
            </w:r>
            <w:r w:rsidRPr="008908B2">
              <w:t xml:space="preserve">perators </w:t>
            </w:r>
            <w:r>
              <w:t>a</w:t>
            </w:r>
            <w:r w:rsidRPr="008908B2">
              <w:t xml:space="preserve">nd </w:t>
            </w:r>
            <w:r>
              <w:t>d</w:t>
            </w:r>
            <w:r w:rsidRPr="008908B2">
              <w:t>rivers</w:t>
            </w:r>
          </w:p>
        </w:tc>
        <w:tc>
          <w:tcPr>
            <w:tcW w:w="335" w:type="pct"/>
            <w:tcBorders>
              <w:top w:val="nil"/>
              <w:left w:val="nil"/>
              <w:bottom w:val="nil"/>
            </w:tcBorders>
            <w:shd w:val="clear" w:color="auto" w:fill="auto"/>
            <w:noWrap/>
            <w:hideMark/>
          </w:tcPr>
          <w:p w:rsidR="00A6340D" w:rsidRPr="008908B2" w:rsidRDefault="00A6340D" w:rsidP="00C60AEC">
            <w:pPr>
              <w:pStyle w:val="TableBodyText"/>
            </w:pPr>
            <w:r w:rsidRPr="008908B2">
              <w:t>5.7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7.</w:t>
            </w:r>
            <w:r>
              <w:t>8</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11.4</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1.3</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8.</w:t>
            </w:r>
            <w:r>
              <w:t>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1.5</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6.0</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9.0</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3.</w:t>
            </w:r>
            <w:r>
              <w:t>9</w:t>
            </w:r>
          </w:p>
        </w:tc>
      </w:tr>
      <w:tr w:rsidR="00A6340D" w:rsidRPr="008908B2" w:rsidTr="00776390">
        <w:trPr>
          <w:trHeight w:val="225"/>
        </w:trPr>
        <w:tc>
          <w:tcPr>
            <w:tcW w:w="1459" w:type="pct"/>
            <w:tcBorders>
              <w:top w:val="nil"/>
              <w:left w:val="nil"/>
              <w:right w:val="nil"/>
            </w:tcBorders>
            <w:shd w:val="clear" w:color="auto" w:fill="auto"/>
            <w:noWrap/>
            <w:hideMark/>
          </w:tcPr>
          <w:p w:rsidR="00A6340D" w:rsidRPr="008908B2" w:rsidRDefault="00A6340D" w:rsidP="00C60AEC">
            <w:pPr>
              <w:pStyle w:val="TableBodyText"/>
              <w:jc w:val="left"/>
            </w:pPr>
            <w:r w:rsidRPr="008908B2">
              <w:t>Labourers</w:t>
            </w:r>
          </w:p>
        </w:tc>
        <w:tc>
          <w:tcPr>
            <w:tcW w:w="335" w:type="pct"/>
            <w:tcBorders>
              <w:top w:val="nil"/>
              <w:left w:val="nil"/>
            </w:tcBorders>
            <w:shd w:val="clear" w:color="auto" w:fill="auto"/>
            <w:noWrap/>
            <w:hideMark/>
          </w:tcPr>
          <w:p w:rsidR="00A6340D" w:rsidRPr="008908B2" w:rsidRDefault="00A6340D" w:rsidP="00C60AEC">
            <w:pPr>
              <w:pStyle w:val="TableBodyText"/>
            </w:pPr>
            <w:r w:rsidRPr="008908B2">
              <w:t>2.1</w:t>
            </w:r>
          </w:p>
        </w:tc>
        <w:tc>
          <w:tcPr>
            <w:tcW w:w="309" w:type="pct"/>
            <w:tcBorders>
              <w:top w:val="nil"/>
            </w:tcBorders>
            <w:shd w:val="clear" w:color="auto" w:fill="auto"/>
            <w:noWrap/>
            <w:hideMark/>
          </w:tcPr>
          <w:p w:rsidR="00A6340D" w:rsidRPr="008908B2" w:rsidRDefault="00A6340D" w:rsidP="00C60AEC">
            <w:pPr>
              <w:pStyle w:val="TableBodyText"/>
            </w:pPr>
            <w:r w:rsidRPr="008908B2">
              <w:t>7.4</w:t>
            </w:r>
          </w:p>
        </w:tc>
        <w:tc>
          <w:tcPr>
            <w:tcW w:w="309" w:type="pct"/>
            <w:tcBorders>
              <w:top w:val="nil"/>
            </w:tcBorders>
            <w:shd w:val="clear" w:color="auto" w:fill="auto"/>
            <w:noWrap/>
            <w:hideMark/>
          </w:tcPr>
          <w:p w:rsidR="00A6340D" w:rsidRPr="008908B2" w:rsidRDefault="00A6340D" w:rsidP="00C60AEC">
            <w:pPr>
              <w:pStyle w:val="TableBodyText"/>
            </w:pPr>
            <w:r w:rsidRPr="008908B2">
              <w:t>5.6</w:t>
            </w:r>
          </w:p>
        </w:tc>
        <w:tc>
          <w:tcPr>
            <w:tcW w:w="309" w:type="pct"/>
            <w:tcBorders>
              <w:top w:val="nil"/>
            </w:tcBorders>
            <w:shd w:val="clear" w:color="auto" w:fill="auto"/>
            <w:noWrap/>
            <w:hideMark/>
          </w:tcPr>
          <w:p w:rsidR="00A6340D" w:rsidRPr="008908B2" w:rsidRDefault="00A6340D" w:rsidP="00C60AEC">
            <w:pPr>
              <w:pStyle w:val="TableBodyText"/>
            </w:pPr>
            <w:r w:rsidRPr="008908B2">
              <w:t>6.</w:t>
            </w:r>
            <w:r>
              <w:t>3</w:t>
            </w:r>
          </w:p>
        </w:tc>
        <w:tc>
          <w:tcPr>
            <w:tcW w:w="309" w:type="pct"/>
            <w:tcBorders>
              <w:top w:val="nil"/>
            </w:tcBorders>
            <w:shd w:val="clear" w:color="auto" w:fill="auto"/>
            <w:noWrap/>
            <w:hideMark/>
          </w:tcPr>
          <w:p w:rsidR="00A6340D" w:rsidRPr="008908B2" w:rsidRDefault="00A6340D" w:rsidP="00C60AEC">
            <w:pPr>
              <w:pStyle w:val="TableBodyText"/>
            </w:pPr>
            <w:r w:rsidRPr="008908B2">
              <w:t>8.4</w:t>
            </w:r>
          </w:p>
        </w:tc>
        <w:tc>
          <w:tcPr>
            <w:tcW w:w="309" w:type="pct"/>
            <w:tcBorders>
              <w:top w:val="nil"/>
            </w:tcBorders>
            <w:shd w:val="clear" w:color="auto" w:fill="auto"/>
            <w:noWrap/>
            <w:hideMark/>
          </w:tcPr>
          <w:p w:rsidR="00A6340D" w:rsidRPr="008908B2" w:rsidRDefault="00A6340D" w:rsidP="00C60AEC">
            <w:pPr>
              <w:pStyle w:val="TableBodyText"/>
            </w:pPr>
            <w:r w:rsidRPr="008908B2">
              <w:t>9.3</w:t>
            </w:r>
          </w:p>
        </w:tc>
        <w:tc>
          <w:tcPr>
            <w:tcW w:w="335" w:type="pct"/>
            <w:tcBorders>
              <w:top w:val="nil"/>
            </w:tcBorders>
            <w:shd w:val="clear" w:color="auto" w:fill="auto"/>
            <w:noWrap/>
            <w:hideMark/>
          </w:tcPr>
          <w:p w:rsidR="00A6340D" w:rsidRPr="008908B2" w:rsidRDefault="00A6340D" w:rsidP="00C60AEC">
            <w:pPr>
              <w:pStyle w:val="TableBodyText"/>
            </w:pPr>
            <w:r w:rsidRPr="008908B2">
              <w:t>-7.</w:t>
            </w:r>
            <w:r>
              <w:t>4</w:t>
            </w:r>
          </w:p>
        </w:tc>
        <w:tc>
          <w:tcPr>
            <w:tcW w:w="309" w:type="pct"/>
            <w:tcBorders>
              <w:top w:val="nil"/>
            </w:tcBorders>
            <w:shd w:val="clear" w:color="auto" w:fill="auto"/>
            <w:noWrap/>
            <w:hideMark/>
          </w:tcPr>
          <w:p w:rsidR="00A6340D" w:rsidRPr="008908B2" w:rsidRDefault="00A6340D" w:rsidP="00C60AEC">
            <w:pPr>
              <w:pStyle w:val="TableBodyText"/>
            </w:pPr>
            <w:r w:rsidRPr="008908B2">
              <w:t>0.7</w:t>
            </w:r>
          </w:p>
        </w:tc>
        <w:tc>
          <w:tcPr>
            <w:tcW w:w="309" w:type="pct"/>
            <w:tcBorders>
              <w:top w:val="nil"/>
            </w:tcBorders>
            <w:shd w:val="clear" w:color="auto" w:fill="auto"/>
            <w:noWrap/>
            <w:hideMark/>
          </w:tcPr>
          <w:p w:rsidR="00A6340D" w:rsidRPr="008908B2" w:rsidRDefault="00A6340D" w:rsidP="00C60AEC">
            <w:pPr>
              <w:pStyle w:val="TableBodyText"/>
            </w:pPr>
            <w:r w:rsidRPr="008908B2">
              <w:t>5.5</w:t>
            </w:r>
          </w:p>
        </w:tc>
        <w:tc>
          <w:tcPr>
            <w:tcW w:w="314" w:type="pct"/>
            <w:tcBorders>
              <w:top w:val="nil"/>
              <w:left w:val="nil"/>
            </w:tcBorders>
            <w:shd w:val="clear" w:color="auto" w:fill="auto"/>
            <w:noWrap/>
            <w:hideMark/>
          </w:tcPr>
          <w:p w:rsidR="00A6340D" w:rsidRPr="008908B2" w:rsidRDefault="00A6340D" w:rsidP="00C60AEC">
            <w:pPr>
              <w:pStyle w:val="TableBodyText"/>
            </w:pPr>
            <w:r w:rsidRPr="008908B2">
              <w:t>6.1</w:t>
            </w:r>
          </w:p>
        </w:tc>
        <w:tc>
          <w:tcPr>
            <w:tcW w:w="394" w:type="pct"/>
            <w:tcBorders>
              <w:top w:val="nil"/>
              <w:right w:val="nil"/>
            </w:tcBorders>
            <w:shd w:val="clear" w:color="auto" w:fill="auto"/>
            <w:noWrap/>
            <w:hideMark/>
          </w:tcPr>
          <w:p w:rsidR="00A6340D" w:rsidRPr="008908B2" w:rsidRDefault="00A6340D" w:rsidP="00C60AEC">
            <w:pPr>
              <w:pStyle w:val="TableBodyText"/>
              <w:ind w:right="28"/>
            </w:pPr>
            <w:r w:rsidRPr="008908B2">
              <w:t>5.0</w:t>
            </w:r>
          </w:p>
        </w:tc>
      </w:tr>
      <w:tr w:rsidR="00A6340D" w:rsidRPr="008908B2" w:rsidTr="00776390">
        <w:trPr>
          <w:trHeight w:val="225"/>
        </w:trPr>
        <w:tc>
          <w:tcPr>
            <w:tcW w:w="1459" w:type="pct"/>
            <w:tcBorders>
              <w:top w:val="nil"/>
              <w:left w:val="nil"/>
            </w:tcBorders>
            <w:shd w:val="clear" w:color="auto" w:fill="auto"/>
            <w:noWrap/>
            <w:hideMark/>
          </w:tcPr>
          <w:p w:rsidR="00A6340D" w:rsidRPr="008908B2" w:rsidRDefault="00A6340D" w:rsidP="00C60AEC">
            <w:pPr>
              <w:pStyle w:val="TableBodyText"/>
              <w:jc w:val="left"/>
              <w:rPr>
                <w:b/>
              </w:rPr>
            </w:pPr>
            <w:r w:rsidRPr="008908B2">
              <w:rPr>
                <w:b/>
              </w:rPr>
              <w:t>Total</w:t>
            </w:r>
          </w:p>
        </w:tc>
        <w:tc>
          <w:tcPr>
            <w:tcW w:w="335"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35"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09" w:type="pct"/>
            <w:tcBorders>
              <w:top w:val="nil"/>
            </w:tcBorders>
            <w:shd w:val="clear" w:color="auto" w:fill="auto"/>
            <w:noWrap/>
            <w:hideMark/>
          </w:tcPr>
          <w:p w:rsidR="00A6340D" w:rsidRPr="008908B2" w:rsidRDefault="00A6340D" w:rsidP="00C60AEC">
            <w:pPr>
              <w:pStyle w:val="TableBodyText"/>
              <w:rPr>
                <w:b/>
              </w:rPr>
            </w:pPr>
            <w:r w:rsidRPr="008908B2">
              <w:rPr>
                <w:b/>
              </w:rPr>
              <w:t>100.0</w:t>
            </w:r>
          </w:p>
        </w:tc>
        <w:tc>
          <w:tcPr>
            <w:tcW w:w="314" w:type="pct"/>
            <w:tcBorders>
              <w:top w:val="nil"/>
              <w:left w:val="nil"/>
            </w:tcBorders>
            <w:shd w:val="clear" w:color="auto" w:fill="auto"/>
            <w:noWrap/>
            <w:hideMark/>
          </w:tcPr>
          <w:p w:rsidR="00A6340D" w:rsidRPr="008908B2" w:rsidRDefault="00A6340D" w:rsidP="00C60AEC">
            <w:pPr>
              <w:pStyle w:val="TableBodyText"/>
              <w:rPr>
                <w:b/>
              </w:rPr>
            </w:pPr>
            <w:r w:rsidRPr="008908B2">
              <w:rPr>
                <w:b/>
              </w:rPr>
              <w:t>100.0</w:t>
            </w:r>
          </w:p>
        </w:tc>
        <w:tc>
          <w:tcPr>
            <w:tcW w:w="394" w:type="pct"/>
            <w:tcBorders>
              <w:top w:val="nil"/>
              <w:right w:val="nil"/>
            </w:tcBorders>
            <w:shd w:val="clear" w:color="auto" w:fill="auto"/>
            <w:noWrap/>
            <w:hideMark/>
          </w:tcPr>
          <w:p w:rsidR="00A6340D" w:rsidRPr="008908B2" w:rsidRDefault="00A6340D" w:rsidP="00C60AEC">
            <w:pPr>
              <w:pStyle w:val="TableBodyText"/>
              <w:ind w:right="28"/>
              <w:rPr>
                <w:b/>
              </w:rPr>
            </w:pPr>
            <w:r w:rsidRPr="008908B2">
              <w:rPr>
                <w:b/>
              </w:rPr>
              <w:t>100.0</w:t>
            </w:r>
          </w:p>
        </w:tc>
      </w:tr>
      <w:tr w:rsidR="00A6340D" w:rsidRPr="008908B2" w:rsidTr="00776390">
        <w:trPr>
          <w:trHeight w:val="225"/>
        </w:trPr>
        <w:tc>
          <w:tcPr>
            <w:tcW w:w="1459" w:type="pct"/>
            <w:tcBorders>
              <w:left w:val="nil"/>
              <w:bottom w:val="nil"/>
              <w:right w:val="nil"/>
            </w:tcBorders>
            <w:shd w:val="clear" w:color="auto" w:fill="auto"/>
            <w:noWrap/>
            <w:hideMark/>
          </w:tcPr>
          <w:p w:rsidR="00A6340D" w:rsidRPr="008908B2" w:rsidRDefault="00A6340D" w:rsidP="00C60AEC">
            <w:pPr>
              <w:pStyle w:val="TableBodyText"/>
              <w:jc w:val="left"/>
            </w:pPr>
          </w:p>
        </w:tc>
        <w:tc>
          <w:tcPr>
            <w:tcW w:w="335" w:type="pct"/>
            <w:tcBorders>
              <w:left w:val="nil"/>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35"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09" w:type="pct"/>
            <w:tcBorders>
              <w:bottom w:val="nil"/>
            </w:tcBorders>
            <w:shd w:val="clear" w:color="auto" w:fill="auto"/>
            <w:noWrap/>
            <w:hideMark/>
          </w:tcPr>
          <w:p w:rsidR="00A6340D" w:rsidRPr="008908B2" w:rsidRDefault="00A6340D" w:rsidP="00C60AEC">
            <w:pPr>
              <w:pStyle w:val="TableBodyText"/>
            </w:pPr>
          </w:p>
        </w:tc>
        <w:tc>
          <w:tcPr>
            <w:tcW w:w="314" w:type="pct"/>
            <w:tcBorders>
              <w:left w:val="nil"/>
              <w:bottom w:val="nil"/>
            </w:tcBorders>
            <w:shd w:val="clear" w:color="auto" w:fill="auto"/>
            <w:noWrap/>
            <w:hideMark/>
          </w:tcPr>
          <w:p w:rsidR="00A6340D" w:rsidRPr="008908B2" w:rsidRDefault="00A6340D" w:rsidP="00C60AEC">
            <w:pPr>
              <w:pStyle w:val="TableBodyText"/>
            </w:pPr>
            <w:r w:rsidRPr="008908B2">
              <w:t> </w:t>
            </w:r>
          </w:p>
        </w:tc>
        <w:tc>
          <w:tcPr>
            <w:tcW w:w="394" w:type="pct"/>
            <w:tcBorders>
              <w:bottom w:val="nil"/>
              <w:right w:val="nil"/>
            </w:tcBorders>
            <w:shd w:val="clear" w:color="auto" w:fill="auto"/>
            <w:noWrap/>
            <w:hideMark/>
          </w:tcPr>
          <w:p w:rsidR="00A6340D" w:rsidRPr="008908B2" w:rsidRDefault="00A6340D" w:rsidP="00C60AEC">
            <w:pPr>
              <w:pStyle w:val="TableBodyText"/>
              <w:ind w:right="28"/>
            </w:pPr>
          </w:p>
        </w:tc>
      </w:tr>
      <w:tr w:rsidR="00A6340D" w:rsidRPr="008908B2" w:rsidTr="00776390">
        <w:trPr>
          <w:trHeight w:val="225"/>
        </w:trPr>
        <w:tc>
          <w:tcPr>
            <w:tcW w:w="1459" w:type="pct"/>
            <w:tcBorders>
              <w:top w:val="nil"/>
              <w:left w:val="nil"/>
              <w:right w:val="nil"/>
            </w:tcBorders>
            <w:shd w:val="clear" w:color="auto" w:fill="auto"/>
            <w:noWrap/>
            <w:hideMark/>
          </w:tcPr>
          <w:p w:rsidR="00A6340D" w:rsidRPr="008908B2" w:rsidRDefault="00A6340D" w:rsidP="00C60AEC">
            <w:pPr>
              <w:pStyle w:val="TableBodyText"/>
              <w:jc w:val="left"/>
            </w:pPr>
            <w:r w:rsidRPr="008908B2">
              <w:t>White collar</w:t>
            </w:r>
            <w:r>
              <w:rPr>
                <w:rStyle w:val="NoteLabel"/>
              </w:rPr>
              <w:t>b</w:t>
            </w:r>
          </w:p>
        </w:tc>
        <w:tc>
          <w:tcPr>
            <w:tcW w:w="335" w:type="pct"/>
            <w:tcBorders>
              <w:top w:val="nil"/>
              <w:left w:val="nil"/>
              <w:right w:val="nil"/>
            </w:tcBorders>
            <w:shd w:val="clear" w:color="auto" w:fill="auto"/>
            <w:noWrap/>
            <w:hideMark/>
          </w:tcPr>
          <w:p w:rsidR="00A6340D" w:rsidRPr="008908B2" w:rsidRDefault="00A6340D" w:rsidP="00C60AEC">
            <w:pPr>
              <w:pStyle w:val="TableBodyText"/>
            </w:pPr>
            <w:r w:rsidRPr="008908B2">
              <w:t>81.0</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77.</w:t>
            </w:r>
            <w:r>
              <w:t>3</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71.4</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78.</w:t>
            </w:r>
            <w:r>
              <w:t>8</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60.</w:t>
            </w:r>
            <w:r>
              <w:t>4</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79.3</w:t>
            </w:r>
          </w:p>
        </w:tc>
        <w:tc>
          <w:tcPr>
            <w:tcW w:w="335" w:type="pct"/>
            <w:tcBorders>
              <w:top w:val="nil"/>
              <w:left w:val="nil"/>
              <w:right w:val="nil"/>
            </w:tcBorders>
            <w:shd w:val="clear" w:color="auto" w:fill="auto"/>
            <w:noWrap/>
            <w:hideMark/>
          </w:tcPr>
          <w:p w:rsidR="00A6340D" w:rsidRPr="008908B2" w:rsidRDefault="00A6340D" w:rsidP="00C60AEC">
            <w:pPr>
              <w:pStyle w:val="TableBodyText"/>
            </w:pPr>
            <w:r>
              <w:t>78.7</w:t>
            </w:r>
          </w:p>
        </w:tc>
        <w:tc>
          <w:tcPr>
            <w:tcW w:w="309" w:type="pct"/>
            <w:tcBorders>
              <w:top w:val="nil"/>
              <w:left w:val="nil"/>
              <w:right w:val="nil"/>
            </w:tcBorders>
            <w:shd w:val="clear" w:color="auto" w:fill="auto"/>
            <w:noWrap/>
            <w:hideMark/>
          </w:tcPr>
          <w:p w:rsidR="00A6340D" w:rsidRPr="008908B2" w:rsidRDefault="00A6340D" w:rsidP="00C60AEC">
            <w:pPr>
              <w:pStyle w:val="TableBodyText"/>
            </w:pPr>
            <w:r w:rsidRPr="008908B2">
              <w:t>8</w:t>
            </w:r>
            <w:r>
              <w:t>5.1</w:t>
            </w:r>
          </w:p>
        </w:tc>
        <w:tc>
          <w:tcPr>
            <w:tcW w:w="309" w:type="pct"/>
            <w:tcBorders>
              <w:top w:val="nil"/>
              <w:left w:val="nil"/>
            </w:tcBorders>
            <w:shd w:val="clear" w:color="auto" w:fill="auto"/>
            <w:noWrap/>
            <w:hideMark/>
          </w:tcPr>
          <w:p w:rsidR="00A6340D" w:rsidRPr="008908B2" w:rsidRDefault="00A6340D" w:rsidP="00C60AEC">
            <w:pPr>
              <w:pStyle w:val="TableBodyText"/>
            </w:pPr>
            <w:r w:rsidRPr="008908B2">
              <w:t>74.6</w:t>
            </w:r>
          </w:p>
        </w:tc>
        <w:tc>
          <w:tcPr>
            <w:tcW w:w="314" w:type="pct"/>
            <w:tcBorders>
              <w:top w:val="nil"/>
              <w:left w:val="nil"/>
              <w:right w:val="nil"/>
            </w:tcBorders>
            <w:shd w:val="clear" w:color="auto" w:fill="auto"/>
            <w:noWrap/>
            <w:hideMark/>
          </w:tcPr>
          <w:p w:rsidR="00A6340D" w:rsidRPr="008908B2" w:rsidRDefault="00A6340D" w:rsidP="00C60AEC">
            <w:pPr>
              <w:pStyle w:val="TableBodyText"/>
            </w:pPr>
            <w:r w:rsidRPr="008908B2">
              <w:t>68.</w:t>
            </w:r>
            <w:r>
              <w:t>1</w:t>
            </w:r>
          </w:p>
        </w:tc>
        <w:tc>
          <w:tcPr>
            <w:tcW w:w="394" w:type="pct"/>
            <w:tcBorders>
              <w:top w:val="nil"/>
              <w:left w:val="nil"/>
              <w:right w:val="nil"/>
            </w:tcBorders>
            <w:shd w:val="clear" w:color="auto" w:fill="auto"/>
            <w:noWrap/>
            <w:hideMark/>
          </w:tcPr>
          <w:p w:rsidR="00A6340D" w:rsidRPr="008908B2" w:rsidRDefault="00A6340D" w:rsidP="00C60AEC">
            <w:pPr>
              <w:pStyle w:val="TableBodyText"/>
              <w:ind w:right="28"/>
            </w:pPr>
            <w:r w:rsidRPr="008908B2">
              <w:t>79.2</w:t>
            </w:r>
          </w:p>
        </w:tc>
      </w:tr>
      <w:tr w:rsidR="00A6340D" w:rsidRPr="008908B2" w:rsidTr="00776390">
        <w:trPr>
          <w:trHeight w:val="225"/>
        </w:trPr>
        <w:tc>
          <w:tcPr>
            <w:tcW w:w="1459" w:type="pct"/>
            <w:tcBorders>
              <w:top w:val="nil"/>
              <w:left w:val="nil"/>
              <w:bottom w:val="nil"/>
            </w:tcBorders>
            <w:shd w:val="clear" w:color="auto" w:fill="auto"/>
            <w:noWrap/>
            <w:hideMark/>
          </w:tcPr>
          <w:p w:rsidR="00A6340D" w:rsidRPr="008908B2" w:rsidRDefault="00A6340D" w:rsidP="00C60AEC">
            <w:pPr>
              <w:pStyle w:val="TableBodyText"/>
              <w:jc w:val="left"/>
            </w:pPr>
            <w:r w:rsidRPr="008908B2">
              <w:t>Blue collar</w:t>
            </w:r>
            <w:r>
              <w:rPr>
                <w:rStyle w:val="NoteLabel"/>
              </w:rPr>
              <w:t>b</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1</w:t>
            </w:r>
            <w:r>
              <w:t>9.0</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22.7</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28.6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21.</w:t>
            </w:r>
            <w:r>
              <w:t>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39.6</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20.7</w:t>
            </w:r>
          </w:p>
        </w:tc>
        <w:tc>
          <w:tcPr>
            <w:tcW w:w="335" w:type="pct"/>
            <w:tcBorders>
              <w:top w:val="nil"/>
              <w:bottom w:val="nil"/>
            </w:tcBorders>
            <w:shd w:val="clear" w:color="auto" w:fill="auto"/>
            <w:noWrap/>
            <w:hideMark/>
          </w:tcPr>
          <w:p w:rsidR="00A6340D" w:rsidRPr="008908B2" w:rsidRDefault="00A6340D" w:rsidP="00C60AEC">
            <w:pPr>
              <w:pStyle w:val="TableBodyText"/>
            </w:pPr>
            <w:r w:rsidRPr="008908B2">
              <w:t>21.</w:t>
            </w:r>
            <w:r>
              <w:t>3</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14.</w:t>
            </w:r>
            <w:r>
              <w:t>9</w:t>
            </w:r>
          </w:p>
        </w:tc>
        <w:tc>
          <w:tcPr>
            <w:tcW w:w="309" w:type="pct"/>
            <w:tcBorders>
              <w:top w:val="nil"/>
              <w:bottom w:val="nil"/>
            </w:tcBorders>
            <w:shd w:val="clear" w:color="auto" w:fill="auto"/>
            <w:noWrap/>
            <w:hideMark/>
          </w:tcPr>
          <w:p w:rsidR="00A6340D" w:rsidRPr="008908B2" w:rsidRDefault="00A6340D" w:rsidP="00C60AEC">
            <w:pPr>
              <w:pStyle w:val="TableBodyText"/>
            </w:pPr>
            <w:r w:rsidRPr="008908B2">
              <w:t>25.4</w:t>
            </w:r>
          </w:p>
        </w:tc>
        <w:tc>
          <w:tcPr>
            <w:tcW w:w="314" w:type="pct"/>
            <w:tcBorders>
              <w:top w:val="nil"/>
              <w:left w:val="nil"/>
              <w:bottom w:val="nil"/>
            </w:tcBorders>
            <w:shd w:val="clear" w:color="auto" w:fill="auto"/>
            <w:noWrap/>
            <w:hideMark/>
          </w:tcPr>
          <w:p w:rsidR="00A6340D" w:rsidRPr="008908B2" w:rsidRDefault="00A6340D" w:rsidP="00C60AEC">
            <w:pPr>
              <w:pStyle w:val="TableBodyText"/>
            </w:pPr>
            <w:r w:rsidRPr="008908B2">
              <w:t>31.9</w:t>
            </w:r>
          </w:p>
        </w:tc>
        <w:tc>
          <w:tcPr>
            <w:tcW w:w="394" w:type="pct"/>
            <w:tcBorders>
              <w:top w:val="nil"/>
              <w:bottom w:val="nil"/>
              <w:right w:val="nil"/>
            </w:tcBorders>
            <w:shd w:val="clear" w:color="auto" w:fill="auto"/>
            <w:noWrap/>
            <w:hideMark/>
          </w:tcPr>
          <w:p w:rsidR="00A6340D" w:rsidRPr="008908B2" w:rsidRDefault="00A6340D" w:rsidP="00C60AEC">
            <w:pPr>
              <w:pStyle w:val="TableBodyText"/>
              <w:ind w:right="28"/>
            </w:pPr>
            <w:r w:rsidRPr="008908B2">
              <w:t>20.8</w:t>
            </w:r>
          </w:p>
        </w:tc>
      </w:tr>
      <w:tr w:rsidR="00A6340D" w:rsidRPr="008908B2" w:rsidTr="00776390">
        <w:trPr>
          <w:trHeight w:val="225"/>
        </w:trPr>
        <w:tc>
          <w:tcPr>
            <w:tcW w:w="1459" w:type="pct"/>
            <w:tcBorders>
              <w:top w:val="nil"/>
              <w:left w:val="nil"/>
              <w:bottom w:val="nil"/>
            </w:tcBorders>
            <w:shd w:val="clear" w:color="auto" w:fill="auto"/>
            <w:noWrap/>
          </w:tcPr>
          <w:p w:rsidR="00A6340D" w:rsidRPr="008908B2" w:rsidRDefault="00A6340D" w:rsidP="00C60AEC">
            <w:pPr>
              <w:pStyle w:val="TableBodyText"/>
              <w:jc w:val="left"/>
            </w:pPr>
          </w:p>
        </w:tc>
        <w:tc>
          <w:tcPr>
            <w:tcW w:w="335"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35"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09" w:type="pct"/>
            <w:tcBorders>
              <w:top w:val="nil"/>
              <w:bottom w:val="nil"/>
            </w:tcBorders>
            <w:shd w:val="clear" w:color="auto" w:fill="auto"/>
            <w:noWrap/>
          </w:tcPr>
          <w:p w:rsidR="00A6340D" w:rsidRPr="008908B2" w:rsidRDefault="00A6340D" w:rsidP="00C60AEC">
            <w:pPr>
              <w:pStyle w:val="TableBodyText"/>
            </w:pPr>
          </w:p>
        </w:tc>
        <w:tc>
          <w:tcPr>
            <w:tcW w:w="314" w:type="pct"/>
            <w:tcBorders>
              <w:top w:val="nil"/>
              <w:left w:val="nil"/>
              <w:bottom w:val="nil"/>
            </w:tcBorders>
            <w:shd w:val="clear" w:color="auto" w:fill="auto"/>
            <w:noWrap/>
          </w:tcPr>
          <w:p w:rsidR="00A6340D" w:rsidRPr="008908B2" w:rsidRDefault="00A6340D" w:rsidP="00C60AEC">
            <w:pPr>
              <w:pStyle w:val="TableBodyText"/>
            </w:pPr>
          </w:p>
        </w:tc>
        <w:tc>
          <w:tcPr>
            <w:tcW w:w="394" w:type="pct"/>
            <w:tcBorders>
              <w:top w:val="nil"/>
              <w:bottom w:val="nil"/>
              <w:right w:val="nil"/>
            </w:tcBorders>
            <w:shd w:val="clear" w:color="auto" w:fill="auto"/>
            <w:noWrap/>
          </w:tcPr>
          <w:p w:rsidR="00A6340D" w:rsidRPr="008908B2" w:rsidRDefault="00A6340D" w:rsidP="00C60AEC">
            <w:pPr>
              <w:pStyle w:val="TableBodyText"/>
              <w:ind w:right="28"/>
            </w:pPr>
          </w:p>
        </w:tc>
      </w:tr>
      <w:tr w:rsidR="00A6340D" w:rsidRPr="008908B2" w:rsidTr="00776390">
        <w:trPr>
          <w:trHeight w:val="225"/>
        </w:trPr>
        <w:tc>
          <w:tcPr>
            <w:tcW w:w="1459" w:type="pct"/>
            <w:tcBorders>
              <w:top w:val="nil"/>
              <w:left w:val="nil"/>
            </w:tcBorders>
            <w:shd w:val="clear" w:color="auto" w:fill="auto"/>
            <w:noWrap/>
          </w:tcPr>
          <w:p w:rsidR="00A6340D" w:rsidRPr="008908B2" w:rsidRDefault="00A6340D" w:rsidP="00C60AEC">
            <w:pPr>
              <w:pStyle w:val="TableBodyText"/>
              <w:jc w:val="left"/>
            </w:pPr>
            <w:r>
              <w:t>Higher skill excluding farmers</w:t>
            </w:r>
            <w:r>
              <w:rPr>
                <w:rStyle w:val="NoteLabel"/>
              </w:rPr>
              <w:t>c</w:t>
            </w:r>
          </w:p>
        </w:tc>
        <w:tc>
          <w:tcPr>
            <w:tcW w:w="335" w:type="pct"/>
            <w:tcBorders>
              <w:top w:val="nil"/>
            </w:tcBorders>
            <w:shd w:val="clear" w:color="auto" w:fill="auto"/>
            <w:noWrap/>
          </w:tcPr>
          <w:p w:rsidR="00A6340D" w:rsidRDefault="00A6340D" w:rsidP="00C60AEC">
            <w:pPr>
              <w:pStyle w:val="TableBodyText"/>
            </w:pPr>
            <w:r>
              <w:t>57.8</w:t>
            </w:r>
          </w:p>
        </w:tc>
        <w:tc>
          <w:tcPr>
            <w:tcW w:w="309" w:type="pct"/>
            <w:tcBorders>
              <w:top w:val="nil"/>
            </w:tcBorders>
            <w:shd w:val="clear" w:color="auto" w:fill="auto"/>
            <w:noWrap/>
          </w:tcPr>
          <w:p w:rsidR="00A6340D" w:rsidRDefault="00A6340D" w:rsidP="00C60AEC">
            <w:pPr>
              <w:pStyle w:val="TableBodyText"/>
            </w:pPr>
            <w:r>
              <w:t>46.3</w:t>
            </w:r>
          </w:p>
        </w:tc>
        <w:tc>
          <w:tcPr>
            <w:tcW w:w="309" w:type="pct"/>
            <w:tcBorders>
              <w:top w:val="nil"/>
            </w:tcBorders>
            <w:shd w:val="clear" w:color="auto" w:fill="auto"/>
            <w:noWrap/>
          </w:tcPr>
          <w:p w:rsidR="00A6340D" w:rsidRDefault="00A6340D" w:rsidP="00C60AEC">
            <w:pPr>
              <w:pStyle w:val="TableBodyText"/>
            </w:pPr>
            <w:r>
              <w:t>43.8</w:t>
            </w:r>
          </w:p>
        </w:tc>
        <w:tc>
          <w:tcPr>
            <w:tcW w:w="309" w:type="pct"/>
            <w:tcBorders>
              <w:top w:val="nil"/>
            </w:tcBorders>
            <w:shd w:val="clear" w:color="auto" w:fill="auto"/>
            <w:noWrap/>
          </w:tcPr>
          <w:p w:rsidR="00A6340D" w:rsidRDefault="00A6340D" w:rsidP="00C60AEC">
            <w:pPr>
              <w:pStyle w:val="TableBodyText"/>
            </w:pPr>
            <w:r>
              <w:t>48.0</w:t>
            </w:r>
          </w:p>
        </w:tc>
        <w:tc>
          <w:tcPr>
            <w:tcW w:w="309" w:type="pct"/>
            <w:tcBorders>
              <w:top w:val="nil"/>
            </w:tcBorders>
            <w:shd w:val="clear" w:color="auto" w:fill="auto"/>
            <w:noWrap/>
          </w:tcPr>
          <w:p w:rsidR="00A6340D" w:rsidRDefault="00A6340D" w:rsidP="00C60AEC">
            <w:pPr>
              <w:pStyle w:val="TableBodyText"/>
            </w:pPr>
            <w:r>
              <w:t>40.3</w:t>
            </w:r>
          </w:p>
        </w:tc>
        <w:tc>
          <w:tcPr>
            <w:tcW w:w="309" w:type="pct"/>
            <w:tcBorders>
              <w:top w:val="nil"/>
            </w:tcBorders>
            <w:shd w:val="clear" w:color="auto" w:fill="auto"/>
            <w:noWrap/>
          </w:tcPr>
          <w:p w:rsidR="00A6340D" w:rsidRDefault="00A6340D" w:rsidP="00C60AEC">
            <w:pPr>
              <w:pStyle w:val="TableBodyText"/>
            </w:pPr>
            <w:r>
              <w:t>57.3</w:t>
            </w:r>
          </w:p>
        </w:tc>
        <w:tc>
          <w:tcPr>
            <w:tcW w:w="335" w:type="pct"/>
            <w:tcBorders>
              <w:top w:val="nil"/>
            </w:tcBorders>
            <w:shd w:val="clear" w:color="auto" w:fill="auto"/>
            <w:noWrap/>
          </w:tcPr>
          <w:p w:rsidR="00A6340D" w:rsidRDefault="00A6340D" w:rsidP="00C60AEC">
            <w:pPr>
              <w:pStyle w:val="TableBodyText"/>
            </w:pPr>
            <w:r>
              <w:t>44.4</w:t>
            </w:r>
          </w:p>
        </w:tc>
        <w:tc>
          <w:tcPr>
            <w:tcW w:w="309" w:type="pct"/>
            <w:tcBorders>
              <w:top w:val="nil"/>
            </w:tcBorders>
            <w:shd w:val="clear" w:color="auto" w:fill="auto"/>
            <w:noWrap/>
          </w:tcPr>
          <w:p w:rsidR="00A6340D" w:rsidRDefault="00A6340D" w:rsidP="00C60AEC">
            <w:pPr>
              <w:pStyle w:val="TableBodyText"/>
            </w:pPr>
            <w:r>
              <w:t>67.2</w:t>
            </w:r>
          </w:p>
        </w:tc>
        <w:tc>
          <w:tcPr>
            <w:tcW w:w="309" w:type="pct"/>
            <w:tcBorders>
              <w:top w:val="nil"/>
            </w:tcBorders>
            <w:shd w:val="clear" w:color="auto" w:fill="auto"/>
            <w:noWrap/>
          </w:tcPr>
          <w:p w:rsidR="00A6340D" w:rsidRDefault="00A6340D" w:rsidP="00C60AEC">
            <w:pPr>
              <w:pStyle w:val="TableBodyText"/>
            </w:pPr>
            <w:r>
              <w:t>48.2</w:t>
            </w:r>
          </w:p>
        </w:tc>
        <w:tc>
          <w:tcPr>
            <w:tcW w:w="314" w:type="pct"/>
            <w:tcBorders>
              <w:top w:val="nil"/>
              <w:left w:val="nil"/>
            </w:tcBorders>
            <w:shd w:val="clear" w:color="auto" w:fill="auto"/>
            <w:noWrap/>
          </w:tcPr>
          <w:p w:rsidR="00A6340D" w:rsidRDefault="00A6340D" w:rsidP="00C60AEC">
            <w:pPr>
              <w:pStyle w:val="TableBodyText"/>
            </w:pPr>
            <w:r>
              <w:t>42.7</w:t>
            </w:r>
          </w:p>
        </w:tc>
        <w:tc>
          <w:tcPr>
            <w:tcW w:w="394" w:type="pct"/>
            <w:tcBorders>
              <w:top w:val="nil"/>
              <w:right w:val="nil"/>
            </w:tcBorders>
            <w:shd w:val="clear" w:color="auto" w:fill="auto"/>
            <w:noWrap/>
          </w:tcPr>
          <w:p w:rsidR="00A6340D" w:rsidRDefault="00A6340D" w:rsidP="00C60AEC">
            <w:pPr>
              <w:pStyle w:val="TableBodyText"/>
              <w:ind w:right="28"/>
            </w:pPr>
            <w:r>
              <w:t>52.0</w:t>
            </w:r>
          </w:p>
        </w:tc>
      </w:tr>
      <w:tr w:rsidR="00A6340D" w:rsidRPr="008908B2" w:rsidTr="00776390">
        <w:trPr>
          <w:trHeight w:val="225"/>
        </w:trPr>
        <w:tc>
          <w:tcPr>
            <w:tcW w:w="1459" w:type="pct"/>
            <w:tcBorders>
              <w:top w:val="nil"/>
              <w:left w:val="nil"/>
              <w:bottom w:val="single" w:sz="6" w:space="0" w:color="auto"/>
            </w:tcBorders>
            <w:shd w:val="clear" w:color="auto" w:fill="auto"/>
            <w:noWrap/>
          </w:tcPr>
          <w:p w:rsidR="00A6340D" w:rsidRPr="008908B2" w:rsidRDefault="00A6340D" w:rsidP="004537A1">
            <w:pPr>
              <w:pStyle w:val="TableBodyText"/>
              <w:jc w:val="left"/>
            </w:pPr>
            <w:r>
              <w:t>Lower skill</w:t>
            </w:r>
            <w:r w:rsidR="004537A1">
              <w:rPr>
                <w:rStyle w:val="NoteLabel"/>
              </w:rPr>
              <w:t>d</w:t>
            </w:r>
          </w:p>
        </w:tc>
        <w:tc>
          <w:tcPr>
            <w:tcW w:w="335" w:type="pct"/>
            <w:tcBorders>
              <w:top w:val="nil"/>
              <w:bottom w:val="single" w:sz="6" w:space="0" w:color="auto"/>
            </w:tcBorders>
            <w:shd w:val="clear" w:color="auto" w:fill="auto"/>
            <w:noWrap/>
          </w:tcPr>
          <w:p w:rsidR="00A6340D" w:rsidRPr="00EE4D67" w:rsidRDefault="00A6340D" w:rsidP="00C60AEC">
            <w:pPr>
              <w:pStyle w:val="TableBodyText"/>
            </w:pPr>
            <w:r w:rsidRPr="00EE4D67">
              <w:t>14.7</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18.5</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20.6</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14.4</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22.1</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15.3</w:t>
            </w:r>
          </w:p>
        </w:tc>
        <w:tc>
          <w:tcPr>
            <w:tcW w:w="335" w:type="pct"/>
            <w:tcBorders>
              <w:top w:val="nil"/>
              <w:bottom w:val="single" w:sz="6" w:space="0" w:color="auto"/>
            </w:tcBorders>
            <w:shd w:val="clear" w:color="auto" w:fill="auto"/>
            <w:noWrap/>
          </w:tcPr>
          <w:p w:rsidR="00A6340D" w:rsidRPr="00EE4D67" w:rsidRDefault="00A6340D" w:rsidP="00C60AEC">
            <w:pPr>
              <w:pStyle w:val="TableBodyText"/>
            </w:pPr>
            <w:r w:rsidRPr="00EE4D67">
              <w:t>6.6</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-5.2</w:t>
            </w:r>
          </w:p>
        </w:tc>
        <w:tc>
          <w:tcPr>
            <w:tcW w:w="309" w:type="pct"/>
            <w:tcBorders>
              <w:top w:val="nil"/>
              <w:bottom w:val="single" w:sz="6" w:space="0" w:color="auto"/>
            </w:tcBorders>
            <w:shd w:val="clear" w:color="auto" w:fill="auto"/>
            <w:noWrap/>
          </w:tcPr>
          <w:p w:rsidR="00A6340D" w:rsidRPr="00EE4D67" w:rsidRDefault="00A6340D" w:rsidP="00C60AEC">
            <w:pPr>
              <w:pStyle w:val="TableBodyText"/>
            </w:pPr>
            <w:r w:rsidRPr="00EE4D67">
              <w:t>17.9</w:t>
            </w:r>
          </w:p>
        </w:tc>
        <w:tc>
          <w:tcPr>
            <w:tcW w:w="314" w:type="pct"/>
            <w:tcBorders>
              <w:top w:val="nil"/>
              <w:left w:val="nil"/>
              <w:bottom w:val="single" w:sz="6" w:space="0" w:color="auto"/>
            </w:tcBorders>
            <w:shd w:val="clear" w:color="auto" w:fill="auto"/>
            <w:noWrap/>
          </w:tcPr>
          <w:p w:rsidR="00A6340D" w:rsidRPr="00EE4D67" w:rsidRDefault="00A6340D" w:rsidP="00C60AEC">
            <w:pPr>
              <w:pStyle w:val="TableBodyText"/>
            </w:pPr>
            <w:r w:rsidRPr="00EE4D67">
              <w:t>20.7</w:t>
            </w:r>
          </w:p>
        </w:tc>
        <w:tc>
          <w:tcPr>
            <w:tcW w:w="394" w:type="pct"/>
            <w:tcBorders>
              <w:top w:val="nil"/>
              <w:bottom w:val="single" w:sz="6" w:space="0" w:color="auto"/>
              <w:right w:val="nil"/>
            </w:tcBorders>
            <w:shd w:val="clear" w:color="auto" w:fill="auto"/>
            <w:noWrap/>
          </w:tcPr>
          <w:p w:rsidR="00A6340D" w:rsidRPr="00EE4D67" w:rsidRDefault="00A6340D" w:rsidP="00C60AEC">
            <w:pPr>
              <w:pStyle w:val="TableBodyText"/>
              <w:ind w:right="28"/>
            </w:pPr>
            <w:r w:rsidRPr="00EE4D67">
              <w:t>15.9</w:t>
            </w:r>
          </w:p>
        </w:tc>
      </w:tr>
    </w:tbl>
    <w:p w:rsidR="00A6340D" w:rsidRPr="004E0966" w:rsidRDefault="00A6340D" w:rsidP="00A6340D">
      <w:pPr>
        <w:pStyle w:val="Note"/>
        <w:rPr>
          <w:b/>
        </w:rPr>
      </w:pPr>
      <w:r w:rsidRPr="008E77FE">
        <w:rPr>
          <w:rStyle w:val="NoteLabel"/>
        </w:rPr>
        <w:t>a</w:t>
      </w:r>
      <w:r>
        <w:t xml:space="preserve"> Totals </w:t>
      </w:r>
      <w:r w:rsidR="0009441D">
        <w:t>might</w:t>
      </w:r>
      <w:r>
        <w:t xml:space="preserve"> not add to 100 because of rounding.  </w:t>
      </w:r>
      <w:r>
        <w:rPr>
          <w:rStyle w:val="NoteLabel"/>
        </w:rPr>
        <w:t>b</w:t>
      </w:r>
      <w:r>
        <w:t xml:space="preserve"> White collar occupations are defined to include managers, professionals, community and personal service workers, clerical and administrative workers and sales workers. Blue collar include technicians and trade workers, machinery operators and drivers and labourers.  </w:t>
      </w:r>
      <w:r w:rsidR="00FC57EE">
        <w:br/>
      </w:r>
      <w:r>
        <w:rPr>
          <w:rStyle w:val="NoteLabel"/>
        </w:rPr>
        <w:t>c</w:t>
      </w:r>
      <w:r w:rsidRPr="004E0966">
        <w:t xml:space="preserve"> </w:t>
      </w:r>
      <w:r>
        <w:t xml:space="preserve">Higher skill excluding farmers is defined to include other managers and professionals.  </w:t>
      </w:r>
      <w:r w:rsidR="004537A1">
        <w:rPr>
          <w:rStyle w:val="NoteLabel"/>
        </w:rPr>
        <w:t>d</w:t>
      </w:r>
      <w:r>
        <w:t xml:space="preserve"> Lower skill is defined to include sales workers, machinery operators and drivers and labourers.</w:t>
      </w:r>
    </w:p>
    <w:p w:rsidR="00A6340D" w:rsidRPr="00E25E32" w:rsidRDefault="00A6340D" w:rsidP="00A6340D">
      <w:pPr>
        <w:pStyle w:val="Source"/>
      </w:pPr>
      <w:r>
        <w:rPr>
          <w:i/>
        </w:rPr>
        <w:t>Source</w:t>
      </w:r>
      <w:r>
        <w:t xml:space="preserve">: ABS </w:t>
      </w:r>
      <w:r w:rsidR="002D362D">
        <w:t>(</w:t>
      </w:r>
      <w:r w:rsidRPr="0082132F">
        <w:rPr>
          <w:i/>
        </w:rPr>
        <w:t>Labour Force Australia, Detailed</w:t>
      </w:r>
      <w:r>
        <w:t>, Cat. no. 6291.0.55.00</w:t>
      </w:r>
      <w:r w:rsidR="00951590">
        <w:t>3</w:t>
      </w:r>
      <w:r w:rsidR="002D362D">
        <w:t>)</w:t>
      </w:r>
      <w:r>
        <w:t>.</w:t>
      </w:r>
    </w:p>
    <w:p w:rsidR="00A6340D" w:rsidRDefault="00A6340D" w:rsidP="00A6340D">
      <w:pPr>
        <w:pStyle w:val="BodyText"/>
      </w:pPr>
    </w:p>
    <w:p w:rsidR="00A6340D" w:rsidRDefault="00A6340D" w:rsidP="00A6340D">
      <w:pPr>
        <w:pStyle w:val="BodyText"/>
      </w:pPr>
    </w:p>
    <w:p w:rsidR="00A6340D" w:rsidRDefault="00A6340D" w:rsidP="00A6340D">
      <w:pPr>
        <w:pStyle w:val="BodyText"/>
        <w:sectPr w:rsidR="00A6340D">
          <w:headerReference w:type="even" r:id="rId13"/>
          <w:headerReference w:type="default" r:id="rId14"/>
          <w:footerReference w:type="even" r:id="rId15"/>
          <w:footerReference w:type="default" r:id="rId16"/>
          <w:footnotePr>
            <w:numStart w:val="44"/>
          </w:footnotePr>
          <w:pgSz w:w="16840" w:h="11907" w:orient="landscape" w:code="9"/>
          <w:pgMar w:top="1814" w:right="1985" w:bottom="1304" w:left="1418" w:header="1701" w:footer="567" w:gutter="0"/>
          <w:pgNumType w:chapSep="period"/>
          <w:cols w:space="720"/>
        </w:sectPr>
      </w:pPr>
    </w:p>
    <w:p w:rsidR="00A6340D" w:rsidRDefault="0011181F" w:rsidP="00525473">
      <w:pPr>
        <w:pStyle w:val="Heading2"/>
        <w:spacing w:before="360"/>
      </w:pPr>
      <w:r>
        <w:lastRenderedPageBreak/>
        <w:fldChar w:fldCharType="begin"/>
      </w:r>
      <w:r>
        <w:instrText xml:space="preserve"> COMMENTS  \* MERGEFORMAT </w:instrText>
      </w:r>
      <w:r>
        <w:fldChar w:fldCharType="separate"/>
      </w:r>
      <w:proofErr w:type="spellStart"/>
      <w:r w:rsidR="00765DD9">
        <w:t>E.</w:t>
      </w:r>
      <w:r>
        <w:fldChar w:fldCharType="end"/>
      </w:r>
      <w:r>
        <w:fldChar w:fldCharType="begin"/>
      </w:r>
      <w:r>
        <w:instrText xml:space="preserve"> SEQ Heading2 </w:instrText>
      </w:r>
      <w:r>
        <w:fldChar w:fldCharType="separate"/>
      </w:r>
      <w:r w:rsidR="00765DD9">
        <w:rPr>
          <w:noProof/>
        </w:rPr>
        <w:t>2</w:t>
      </w:r>
      <w:proofErr w:type="spellEnd"/>
      <w:r>
        <w:rPr>
          <w:noProof/>
        </w:rPr>
        <w:fldChar w:fldCharType="end"/>
      </w:r>
      <w:r w:rsidR="006D2453">
        <w:tab/>
      </w:r>
      <w:r w:rsidR="00A6340D">
        <w:t xml:space="preserve">Changes in </w:t>
      </w:r>
      <w:r w:rsidR="009E34EA">
        <w:t>forms of work</w:t>
      </w:r>
      <w:r w:rsidR="00A6340D">
        <w:t xml:space="preserve"> by state</w:t>
      </w:r>
    </w:p>
    <w:p w:rsidR="00A6340D" w:rsidRPr="006E5CD5" w:rsidRDefault="00A6340D" w:rsidP="00A6340D">
      <w:pPr>
        <w:pStyle w:val="BodyText"/>
      </w:pPr>
      <w:r>
        <w:t>T</w:t>
      </w:r>
      <w:r w:rsidRPr="006E5CD5">
        <w:t xml:space="preserve">he </w:t>
      </w:r>
      <w:r>
        <w:t xml:space="preserve">distributions of employment by </w:t>
      </w:r>
      <w:proofErr w:type="spellStart"/>
      <w:r>
        <w:t>FOW</w:t>
      </w:r>
      <w:proofErr w:type="spellEnd"/>
      <w:r w:rsidRPr="006E5CD5">
        <w:t xml:space="preserve"> </w:t>
      </w:r>
      <w:r>
        <w:t xml:space="preserve">and </w:t>
      </w:r>
      <w:r w:rsidRPr="006E5CD5">
        <w:t xml:space="preserve">by </w:t>
      </w:r>
      <w:r>
        <w:t>state</w:t>
      </w:r>
      <w:r w:rsidRPr="006E5CD5">
        <w:t xml:space="preserve"> </w:t>
      </w:r>
      <w:r>
        <w:t>were reasonably similar in 2001 (table </w:t>
      </w:r>
      <w:proofErr w:type="spellStart"/>
      <w:r>
        <w:t>E.4</w:t>
      </w:r>
      <w:proofErr w:type="spellEnd"/>
      <w:r>
        <w:t>)</w:t>
      </w:r>
      <w:r w:rsidRPr="006E5CD5">
        <w:t xml:space="preserve">. </w:t>
      </w:r>
      <w:r>
        <w:t>For example, the mining states accounted for 28 per cent of permanent employees and 30 per cent of employment overall.</w:t>
      </w:r>
    </w:p>
    <w:p w:rsidR="00A6340D" w:rsidRDefault="00A6340D" w:rsidP="00A6340D">
      <w:pPr>
        <w:pStyle w:val="TableTitle"/>
      </w:pPr>
      <w:r>
        <w:rPr>
          <w:b w:val="0"/>
        </w:rPr>
        <w:t xml:space="preserve">Table </w:t>
      </w:r>
      <w:bookmarkStart w:id="7" w:name="OLE_LINK4"/>
      <w:proofErr w:type="spellStart"/>
      <w:r>
        <w:rPr>
          <w:b w:val="0"/>
        </w:rPr>
        <w:t>E.</w:t>
      </w:r>
      <w:r>
        <w:rPr>
          <w:b w:val="0"/>
          <w:noProof/>
        </w:rPr>
        <w:t>4</w:t>
      </w:r>
      <w:bookmarkEnd w:id="7"/>
      <w:proofErr w:type="spellEnd"/>
      <w:r>
        <w:tab/>
        <w:t xml:space="preserve">Distribution of employment within states by </w:t>
      </w:r>
      <w:proofErr w:type="spellStart"/>
      <w:r>
        <w:t>FOW</w:t>
      </w:r>
      <w:proofErr w:type="spellEnd"/>
      <w:r>
        <w:t>, 2001</w:t>
      </w:r>
      <w:r w:rsidR="00466710" w:rsidRPr="00466710">
        <w:rPr>
          <w:rStyle w:val="NoteLabel"/>
          <w:b/>
        </w:rPr>
        <w:t>a</w:t>
      </w:r>
    </w:p>
    <w:p w:rsidR="00A6340D" w:rsidRPr="007874BF" w:rsidRDefault="00A6340D" w:rsidP="00A6340D">
      <w:pPr>
        <w:pStyle w:val="Subtitle"/>
      </w:pPr>
      <w:r>
        <w:t>Per cent</w:t>
      </w:r>
    </w:p>
    <w:tbl>
      <w:tblPr>
        <w:tblW w:w="5000" w:type="pct"/>
        <w:tblLayout w:type="fixed"/>
        <w:tblCellMar>
          <w:left w:w="0" w:type="dxa"/>
          <w:right w:w="0" w:type="dxa"/>
        </w:tblCellMar>
        <w:tblLook w:val="04A0" w:firstRow="1" w:lastRow="0" w:firstColumn="1" w:lastColumn="0" w:noHBand="0" w:noVBand="1"/>
      </w:tblPr>
      <w:tblGrid>
        <w:gridCol w:w="2696"/>
        <w:gridCol w:w="1419"/>
        <w:gridCol w:w="1215"/>
        <w:gridCol w:w="1237"/>
        <w:gridCol w:w="1232"/>
        <w:gridCol w:w="990"/>
      </w:tblGrid>
      <w:tr w:rsidR="00A6340D" w:rsidRPr="00994BD0" w:rsidTr="00C60AEC">
        <w:trPr>
          <w:trHeight w:val="225"/>
        </w:trPr>
        <w:tc>
          <w:tcPr>
            <w:tcW w:w="1534" w:type="pct"/>
            <w:tcBorders>
              <w:top w:val="single" w:sz="6" w:space="0" w:color="auto"/>
              <w:left w:val="nil"/>
              <w:bottom w:val="single" w:sz="6" w:space="0" w:color="auto"/>
              <w:right w:val="nil"/>
            </w:tcBorders>
            <w:shd w:val="clear" w:color="auto" w:fill="auto"/>
            <w:noWrap/>
            <w:vAlign w:val="bottom"/>
            <w:hideMark/>
          </w:tcPr>
          <w:p w:rsidR="00A6340D" w:rsidRPr="00994BD0" w:rsidRDefault="00A6340D" w:rsidP="00C60AEC">
            <w:pPr>
              <w:pStyle w:val="TableColumnHeading"/>
              <w:jc w:val="left"/>
            </w:pPr>
          </w:p>
        </w:tc>
        <w:tc>
          <w:tcPr>
            <w:tcW w:w="807" w:type="pct"/>
            <w:tcBorders>
              <w:top w:val="single" w:sz="6" w:space="0" w:color="auto"/>
              <w:left w:val="nil"/>
              <w:bottom w:val="single" w:sz="6" w:space="0" w:color="auto"/>
              <w:right w:val="nil"/>
            </w:tcBorders>
            <w:shd w:val="clear" w:color="auto" w:fill="auto"/>
            <w:noWrap/>
            <w:vAlign w:val="bottom"/>
            <w:hideMark/>
          </w:tcPr>
          <w:p w:rsidR="00A6340D" w:rsidRPr="0083084F" w:rsidRDefault="00A6340D" w:rsidP="00C60AEC">
            <w:pPr>
              <w:pStyle w:val="TableColumnHeading"/>
            </w:pPr>
            <w:r>
              <w:t>Permanent employees</w:t>
            </w:r>
          </w:p>
        </w:tc>
        <w:tc>
          <w:tcPr>
            <w:tcW w:w="691" w:type="pct"/>
            <w:tcBorders>
              <w:top w:val="single" w:sz="6" w:space="0" w:color="auto"/>
              <w:left w:val="nil"/>
              <w:bottom w:val="single" w:sz="6" w:space="0" w:color="auto"/>
              <w:right w:val="nil"/>
            </w:tcBorders>
            <w:shd w:val="clear" w:color="auto" w:fill="auto"/>
            <w:noWrap/>
            <w:vAlign w:val="bottom"/>
            <w:hideMark/>
          </w:tcPr>
          <w:p w:rsidR="00A6340D" w:rsidRPr="0083084F" w:rsidRDefault="00A6340D" w:rsidP="00C60AEC">
            <w:pPr>
              <w:pStyle w:val="TableColumnHeading"/>
            </w:pPr>
            <w:r>
              <w:t>Casuals</w:t>
            </w:r>
          </w:p>
        </w:tc>
        <w:tc>
          <w:tcPr>
            <w:tcW w:w="704" w:type="pct"/>
            <w:tcBorders>
              <w:top w:val="single" w:sz="6" w:space="0" w:color="auto"/>
              <w:left w:val="nil"/>
              <w:bottom w:val="single" w:sz="6" w:space="0" w:color="auto"/>
              <w:right w:val="nil"/>
            </w:tcBorders>
            <w:shd w:val="clear" w:color="auto" w:fill="auto"/>
            <w:noWrap/>
            <w:vAlign w:val="bottom"/>
            <w:hideMark/>
          </w:tcPr>
          <w:p w:rsidR="00A6340D" w:rsidRPr="0083084F" w:rsidRDefault="00A6340D" w:rsidP="0042104A">
            <w:pPr>
              <w:pStyle w:val="TableColumnHeading"/>
              <w:ind w:right="0"/>
            </w:pPr>
            <w:proofErr w:type="spellStart"/>
            <w:r w:rsidRPr="0083084F">
              <w:t>OMIEs</w:t>
            </w:r>
            <w:proofErr w:type="spellEnd"/>
            <w:r w:rsidR="00131269">
              <w:rPr>
                <w:rStyle w:val="NoteLabel"/>
                <w:i w:val="0"/>
              </w:rPr>
              <w:t>b</w:t>
            </w:r>
          </w:p>
        </w:tc>
        <w:tc>
          <w:tcPr>
            <w:tcW w:w="701" w:type="pct"/>
            <w:tcBorders>
              <w:top w:val="single" w:sz="6" w:space="0" w:color="auto"/>
              <w:left w:val="nil"/>
              <w:bottom w:val="single" w:sz="6" w:space="0" w:color="auto"/>
              <w:right w:val="nil"/>
            </w:tcBorders>
            <w:shd w:val="clear" w:color="auto" w:fill="auto"/>
            <w:noWrap/>
            <w:vAlign w:val="bottom"/>
            <w:hideMark/>
          </w:tcPr>
          <w:p w:rsidR="00A6340D" w:rsidRPr="0083084F" w:rsidRDefault="00A6340D" w:rsidP="0042104A">
            <w:pPr>
              <w:pStyle w:val="TableColumnHeading"/>
              <w:ind w:right="0"/>
            </w:pPr>
            <w:proofErr w:type="spellStart"/>
            <w:r w:rsidRPr="0083084F">
              <w:t>OMUEs</w:t>
            </w:r>
            <w:proofErr w:type="spellEnd"/>
            <w:r w:rsidR="00131269">
              <w:rPr>
                <w:rStyle w:val="NoteLabel"/>
                <w:i w:val="0"/>
              </w:rPr>
              <w:t>c</w:t>
            </w:r>
          </w:p>
        </w:tc>
        <w:tc>
          <w:tcPr>
            <w:tcW w:w="564" w:type="pct"/>
            <w:tcBorders>
              <w:top w:val="single" w:sz="6" w:space="0" w:color="auto"/>
              <w:left w:val="nil"/>
              <w:bottom w:val="single" w:sz="6" w:space="0" w:color="auto"/>
              <w:right w:val="nil"/>
            </w:tcBorders>
          </w:tcPr>
          <w:p w:rsidR="00A6340D" w:rsidRPr="0083084F" w:rsidRDefault="00A6340D" w:rsidP="00C60AEC">
            <w:pPr>
              <w:pStyle w:val="TableColumnHeading"/>
              <w:ind w:right="28"/>
            </w:pPr>
            <w:r>
              <w:br/>
              <w:t>Total</w:t>
            </w:r>
          </w:p>
        </w:tc>
      </w:tr>
      <w:tr w:rsidR="00A6340D" w:rsidRPr="00A048B0" w:rsidTr="00C60AEC">
        <w:trPr>
          <w:trHeight w:val="225"/>
        </w:trPr>
        <w:tc>
          <w:tcPr>
            <w:tcW w:w="1534" w:type="pct"/>
            <w:tcBorders>
              <w:top w:val="nil"/>
              <w:left w:val="nil"/>
              <w:bottom w:val="nil"/>
              <w:right w:val="nil"/>
            </w:tcBorders>
            <w:shd w:val="clear" w:color="auto" w:fill="auto"/>
            <w:noWrap/>
            <w:vAlign w:val="bottom"/>
            <w:hideMark/>
          </w:tcPr>
          <w:p w:rsidR="00A6340D" w:rsidRPr="00A048B0" w:rsidRDefault="00A6340D" w:rsidP="00C60AEC">
            <w:pPr>
              <w:pStyle w:val="TableBodyText"/>
              <w:spacing w:before="80"/>
              <w:jc w:val="left"/>
              <w:rPr>
                <w:b/>
                <w:bCs/>
                <w:szCs w:val="24"/>
              </w:rPr>
            </w:pPr>
            <w:r w:rsidRPr="00A048B0">
              <w:rPr>
                <w:b/>
                <w:bCs/>
              </w:rPr>
              <w:t>Mining</w:t>
            </w:r>
          </w:p>
        </w:tc>
        <w:tc>
          <w:tcPr>
            <w:tcW w:w="807" w:type="pct"/>
            <w:tcBorders>
              <w:top w:val="nil"/>
              <w:left w:val="nil"/>
              <w:bottom w:val="nil"/>
              <w:right w:val="nil"/>
            </w:tcBorders>
            <w:shd w:val="clear" w:color="auto" w:fill="auto"/>
            <w:noWrap/>
            <w:vAlign w:val="bottom"/>
            <w:hideMark/>
          </w:tcPr>
          <w:p w:rsidR="00A6340D" w:rsidRPr="00A048B0" w:rsidRDefault="00A6340D" w:rsidP="00C60AEC">
            <w:pPr>
              <w:pStyle w:val="TableBodyText"/>
              <w:spacing w:before="80"/>
              <w:rPr>
                <w:b/>
                <w:i/>
              </w:rPr>
            </w:pPr>
            <w:r w:rsidRPr="00A048B0">
              <w:rPr>
                <w:b/>
              </w:rPr>
              <w:t>27.6</w:t>
            </w:r>
          </w:p>
        </w:tc>
        <w:tc>
          <w:tcPr>
            <w:tcW w:w="691" w:type="pct"/>
            <w:tcBorders>
              <w:top w:val="nil"/>
              <w:left w:val="nil"/>
              <w:bottom w:val="nil"/>
              <w:right w:val="nil"/>
            </w:tcBorders>
            <w:shd w:val="clear" w:color="auto" w:fill="auto"/>
            <w:noWrap/>
            <w:vAlign w:val="bottom"/>
            <w:hideMark/>
          </w:tcPr>
          <w:p w:rsidR="00A6340D" w:rsidRPr="00A048B0" w:rsidRDefault="00A6340D" w:rsidP="00C60AEC">
            <w:pPr>
              <w:pStyle w:val="TableBodyText"/>
              <w:spacing w:before="80"/>
              <w:rPr>
                <w:b/>
                <w:i/>
              </w:rPr>
            </w:pPr>
            <w:r w:rsidRPr="00A048B0">
              <w:rPr>
                <w:b/>
              </w:rPr>
              <w:t>33.4</w:t>
            </w:r>
          </w:p>
        </w:tc>
        <w:tc>
          <w:tcPr>
            <w:tcW w:w="704" w:type="pct"/>
            <w:tcBorders>
              <w:top w:val="nil"/>
              <w:left w:val="nil"/>
              <w:bottom w:val="nil"/>
              <w:right w:val="nil"/>
            </w:tcBorders>
            <w:shd w:val="clear" w:color="auto" w:fill="auto"/>
            <w:noWrap/>
            <w:vAlign w:val="bottom"/>
            <w:hideMark/>
          </w:tcPr>
          <w:p w:rsidR="00A6340D" w:rsidRPr="00A048B0" w:rsidRDefault="00A6340D" w:rsidP="00C60AEC">
            <w:pPr>
              <w:pStyle w:val="TableBodyText"/>
              <w:spacing w:before="80"/>
              <w:rPr>
                <w:b/>
                <w:i/>
              </w:rPr>
            </w:pPr>
            <w:r w:rsidRPr="00A048B0">
              <w:rPr>
                <w:b/>
              </w:rPr>
              <w:t>28.5</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spacing w:before="80"/>
              <w:rPr>
                <w:b/>
                <w:i/>
              </w:rPr>
            </w:pPr>
            <w:r w:rsidRPr="00A048B0">
              <w:rPr>
                <w:b/>
              </w:rPr>
              <w:t>33.2</w:t>
            </w:r>
          </w:p>
        </w:tc>
        <w:tc>
          <w:tcPr>
            <w:tcW w:w="564" w:type="pct"/>
            <w:tcBorders>
              <w:top w:val="nil"/>
              <w:left w:val="nil"/>
              <w:bottom w:val="nil"/>
              <w:right w:val="nil"/>
            </w:tcBorders>
            <w:vAlign w:val="bottom"/>
          </w:tcPr>
          <w:p w:rsidR="00A6340D" w:rsidRPr="00A048B0" w:rsidRDefault="00A6340D" w:rsidP="00C60AEC">
            <w:pPr>
              <w:pStyle w:val="TableBodyText"/>
              <w:spacing w:before="80"/>
              <w:ind w:right="28"/>
              <w:rPr>
                <w:b/>
                <w:i/>
              </w:rPr>
            </w:pPr>
            <w:r w:rsidRPr="00A048B0">
              <w:rPr>
                <w:b/>
              </w:rPr>
              <w:t>29.6</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Queensland</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16.8</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22.2</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18.0</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20.9</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18.5</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Western Australia</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9.9</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10.4</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9.7</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11.7</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10.2</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Northern Territory</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1.0</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0.8</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0.9</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0.7</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0.9</w:t>
            </w:r>
          </w:p>
        </w:tc>
      </w:tr>
      <w:tr w:rsidR="00A6340D" w:rsidRPr="00A048B0" w:rsidTr="00C60AEC">
        <w:trPr>
          <w:trHeight w:val="225"/>
        </w:trPr>
        <w:tc>
          <w:tcPr>
            <w:tcW w:w="1534" w:type="pct"/>
            <w:tcBorders>
              <w:top w:val="nil"/>
              <w:left w:val="nil"/>
              <w:bottom w:val="nil"/>
              <w:right w:val="nil"/>
            </w:tcBorders>
            <w:shd w:val="clear" w:color="auto" w:fill="auto"/>
            <w:noWrap/>
            <w:vAlign w:val="bottom"/>
            <w:hideMark/>
          </w:tcPr>
          <w:p w:rsidR="00A6340D" w:rsidRPr="00A048B0" w:rsidRDefault="00A6340D" w:rsidP="00C60AEC">
            <w:pPr>
              <w:pStyle w:val="TableBodyText"/>
              <w:jc w:val="left"/>
              <w:rPr>
                <w:b/>
                <w:bCs/>
              </w:rPr>
            </w:pPr>
            <w:r w:rsidRPr="00A048B0">
              <w:rPr>
                <w:b/>
                <w:bCs/>
              </w:rPr>
              <w:t>Non-mining</w:t>
            </w:r>
          </w:p>
        </w:tc>
        <w:tc>
          <w:tcPr>
            <w:tcW w:w="807" w:type="pct"/>
            <w:tcBorders>
              <w:top w:val="nil"/>
              <w:left w:val="nil"/>
              <w:bottom w:val="nil"/>
              <w:right w:val="nil"/>
            </w:tcBorders>
            <w:shd w:val="clear" w:color="auto" w:fill="auto"/>
            <w:noWrap/>
            <w:vAlign w:val="bottom"/>
            <w:hideMark/>
          </w:tcPr>
          <w:p w:rsidR="00A6340D" w:rsidRPr="00A048B0" w:rsidRDefault="00A6340D" w:rsidP="00C60AEC">
            <w:pPr>
              <w:pStyle w:val="TableBodyText"/>
              <w:rPr>
                <w:b/>
              </w:rPr>
            </w:pPr>
            <w:r w:rsidRPr="00A048B0">
              <w:rPr>
                <w:b/>
              </w:rPr>
              <w:t>72.4</w:t>
            </w:r>
          </w:p>
        </w:tc>
        <w:tc>
          <w:tcPr>
            <w:tcW w:w="691" w:type="pct"/>
            <w:tcBorders>
              <w:top w:val="nil"/>
              <w:left w:val="nil"/>
              <w:bottom w:val="nil"/>
              <w:right w:val="nil"/>
            </w:tcBorders>
            <w:shd w:val="clear" w:color="auto" w:fill="auto"/>
            <w:noWrap/>
            <w:vAlign w:val="bottom"/>
            <w:hideMark/>
          </w:tcPr>
          <w:p w:rsidR="00A6340D" w:rsidRPr="00A048B0" w:rsidRDefault="00A6340D" w:rsidP="00C60AEC">
            <w:pPr>
              <w:pStyle w:val="TableBodyText"/>
              <w:rPr>
                <w:b/>
              </w:rPr>
            </w:pPr>
            <w:r w:rsidRPr="00A048B0">
              <w:rPr>
                <w:b/>
              </w:rPr>
              <w:t>66.6</w:t>
            </w:r>
          </w:p>
        </w:tc>
        <w:tc>
          <w:tcPr>
            <w:tcW w:w="704" w:type="pct"/>
            <w:tcBorders>
              <w:top w:val="nil"/>
              <w:left w:val="nil"/>
              <w:bottom w:val="nil"/>
              <w:right w:val="nil"/>
            </w:tcBorders>
            <w:shd w:val="clear" w:color="auto" w:fill="auto"/>
            <w:noWrap/>
            <w:vAlign w:val="bottom"/>
            <w:hideMark/>
          </w:tcPr>
          <w:p w:rsidR="00A6340D" w:rsidRPr="00A048B0" w:rsidRDefault="00A6340D" w:rsidP="00C60AEC">
            <w:pPr>
              <w:pStyle w:val="TableBodyText"/>
              <w:rPr>
                <w:b/>
              </w:rPr>
            </w:pPr>
            <w:r w:rsidRPr="00A048B0">
              <w:rPr>
                <w:b/>
              </w:rPr>
              <w:t>71.5</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rPr>
                <w:b/>
              </w:rPr>
            </w:pPr>
            <w:r w:rsidRPr="00A048B0">
              <w:rPr>
                <w:b/>
              </w:rPr>
              <w:t>66.8</w:t>
            </w:r>
          </w:p>
        </w:tc>
        <w:tc>
          <w:tcPr>
            <w:tcW w:w="564" w:type="pct"/>
            <w:tcBorders>
              <w:top w:val="nil"/>
              <w:left w:val="nil"/>
              <w:bottom w:val="nil"/>
              <w:right w:val="nil"/>
            </w:tcBorders>
            <w:vAlign w:val="bottom"/>
          </w:tcPr>
          <w:p w:rsidR="00A6340D" w:rsidRPr="00A048B0" w:rsidRDefault="00A6340D" w:rsidP="00C60AEC">
            <w:pPr>
              <w:pStyle w:val="TableBodyText"/>
              <w:ind w:right="28"/>
              <w:rPr>
                <w:b/>
              </w:rPr>
            </w:pPr>
            <w:r w:rsidRPr="00A048B0">
              <w:rPr>
                <w:b/>
              </w:rPr>
              <w:t>70.4</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New South Wales</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34.9</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30.2</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36.6</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32.4</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33.7</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Victoria</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26.4</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23.6</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26.7</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22.2</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25.3</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South Australia</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6.9</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8.7</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5.1</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8.6</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7.4</w:t>
            </w:r>
          </w:p>
        </w:tc>
      </w:tr>
      <w:tr w:rsidR="00A6340D" w:rsidRPr="00994BD0" w:rsidTr="00C60AEC">
        <w:trPr>
          <w:trHeight w:val="225"/>
        </w:trPr>
        <w:tc>
          <w:tcPr>
            <w:tcW w:w="1534" w:type="pct"/>
            <w:tcBorders>
              <w:top w:val="nil"/>
              <w:left w:val="nil"/>
              <w:bottom w:val="nil"/>
              <w:right w:val="nil"/>
            </w:tcBorders>
            <w:shd w:val="clear" w:color="auto" w:fill="auto"/>
            <w:noWrap/>
            <w:vAlign w:val="bottom"/>
            <w:hideMark/>
          </w:tcPr>
          <w:p w:rsidR="00A6340D" w:rsidRPr="00994BD0" w:rsidRDefault="00A6340D" w:rsidP="00FC57EE">
            <w:pPr>
              <w:pStyle w:val="TableBodyText"/>
              <w:ind w:left="142"/>
              <w:jc w:val="left"/>
            </w:pPr>
            <w:r w:rsidRPr="00994BD0">
              <w:t>Tasmania</w:t>
            </w:r>
          </w:p>
        </w:tc>
        <w:tc>
          <w:tcPr>
            <w:tcW w:w="807" w:type="pct"/>
            <w:tcBorders>
              <w:top w:val="nil"/>
              <w:left w:val="nil"/>
              <w:bottom w:val="nil"/>
              <w:right w:val="nil"/>
            </w:tcBorders>
            <w:shd w:val="clear" w:color="auto" w:fill="auto"/>
            <w:noWrap/>
            <w:vAlign w:val="bottom"/>
            <w:hideMark/>
          </w:tcPr>
          <w:p w:rsidR="00A6340D" w:rsidRDefault="00A6340D" w:rsidP="00C60AEC">
            <w:pPr>
              <w:pStyle w:val="TableBodyText"/>
            </w:pPr>
            <w:r>
              <w:t>2.0</w:t>
            </w:r>
          </w:p>
        </w:tc>
        <w:tc>
          <w:tcPr>
            <w:tcW w:w="691" w:type="pct"/>
            <w:tcBorders>
              <w:top w:val="nil"/>
              <w:left w:val="nil"/>
              <w:bottom w:val="nil"/>
              <w:right w:val="nil"/>
            </w:tcBorders>
            <w:shd w:val="clear" w:color="auto" w:fill="auto"/>
            <w:noWrap/>
            <w:vAlign w:val="bottom"/>
            <w:hideMark/>
          </w:tcPr>
          <w:p w:rsidR="00A6340D" w:rsidRDefault="00A6340D" w:rsidP="00C60AEC">
            <w:pPr>
              <w:pStyle w:val="TableBodyText"/>
            </w:pPr>
            <w:r>
              <w:t>2.3</w:t>
            </w:r>
          </w:p>
        </w:tc>
        <w:tc>
          <w:tcPr>
            <w:tcW w:w="704" w:type="pct"/>
            <w:tcBorders>
              <w:top w:val="nil"/>
              <w:left w:val="nil"/>
              <w:bottom w:val="nil"/>
              <w:right w:val="nil"/>
            </w:tcBorders>
            <w:shd w:val="clear" w:color="auto" w:fill="auto"/>
            <w:noWrap/>
            <w:vAlign w:val="bottom"/>
            <w:hideMark/>
          </w:tcPr>
          <w:p w:rsidR="00A6340D" w:rsidRDefault="00A6340D" w:rsidP="00C60AEC">
            <w:pPr>
              <w:pStyle w:val="TableBodyText"/>
            </w:pPr>
            <w:r>
              <w:t>1.7</w:t>
            </w:r>
          </w:p>
        </w:tc>
        <w:tc>
          <w:tcPr>
            <w:tcW w:w="701" w:type="pct"/>
            <w:tcBorders>
              <w:top w:val="nil"/>
              <w:left w:val="nil"/>
              <w:bottom w:val="nil"/>
              <w:right w:val="nil"/>
            </w:tcBorders>
            <w:shd w:val="clear" w:color="auto" w:fill="auto"/>
            <w:noWrap/>
            <w:vAlign w:val="bottom"/>
            <w:hideMark/>
          </w:tcPr>
          <w:p w:rsidR="00A6340D" w:rsidRPr="00A048B0" w:rsidRDefault="00A6340D" w:rsidP="00C60AEC">
            <w:pPr>
              <w:pStyle w:val="TableBodyText"/>
            </w:pPr>
            <w:r w:rsidRPr="00A048B0">
              <w:t>2.5</w:t>
            </w:r>
          </w:p>
        </w:tc>
        <w:tc>
          <w:tcPr>
            <w:tcW w:w="564" w:type="pct"/>
            <w:tcBorders>
              <w:top w:val="nil"/>
              <w:left w:val="nil"/>
              <w:bottom w:val="nil"/>
              <w:right w:val="nil"/>
            </w:tcBorders>
            <w:vAlign w:val="bottom"/>
          </w:tcPr>
          <w:p w:rsidR="00A6340D" w:rsidRPr="00A048B0" w:rsidRDefault="00A6340D" w:rsidP="00C60AEC">
            <w:pPr>
              <w:pStyle w:val="TableBodyText"/>
              <w:ind w:right="28"/>
            </w:pPr>
            <w:r w:rsidRPr="00A048B0">
              <w:t>2.1</w:t>
            </w:r>
          </w:p>
        </w:tc>
      </w:tr>
      <w:tr w:rsidR="00A6340D" w:rsidRPr="00994BD0" w:rsidTr="00C60AEC">
        <w:trPr>
          <w:trHeight w:val="225"/>
        </w:trPr>
        <w:tc>
          <w:tcPr>
            <w:tcW w:w="1534" w:type="pct"/>
            <w:tcBorders>
              <w:top w:val="nil"/>
              <w:left w:val="nil"/>
              <w:right w:val="nil"/>
            </w:tcBorders>
            <w:shd w:val="clear" w:color="auto" w:fill="auto"/>
            <w:noWrap/>
            <w:vAlign w:val="bottom"/>
            <w:hideMark/>
          </w:tcPr>
          <w:p w:rsidR="00A6340D" w:rsidRPr="00994BD0" w:rsidRDefault="00A6340D" w:rsidP="00FC57EE">
            <w:pPr>
              <w:pStyle w:val="TableBodyText"/>
              <w:ind w:left="142"/>
              <w:jc w:val="left"/>
            </w:pPr>
            <w:r w:rsidRPr="00994BD0">
              <w:t>Australian Capital Territory</w:t>
            </w:r>
          </w:p>
        </w:tc>
        <w:tc>
          <w:tcPr>
            <w:tcW w:w="807" w:type="pct"/>
            <w:tcBorders>
              <w:top w:val="nil"/>
              <w:left w:val="nil"/>
              <w:right w:val="nil"/>
            </w:tcBorders>
            <w:shd w:val="clear" w:color="auto" w:fill="auto"/>
            <w:noWrap/>
            <w:vAlign w:val="bottom"/>
            <w:hideMark/>
          </w:tcPr>
          <w:p w:rsidR="00A6340D" w:rsidRDefault="00A6340D" w:rsidP="00C60AEC">
            <w:pPr>
              <w:pStyle w:val="TableBodyText"/>
            </w:pPr>
            <w:r>
              <w:t>2.1</w:t>
            </w:r>
          </w:p>
        </w:tc>
        <w:tc>
          <w:tcPr>
            <w:tcW w:w="691" w:type="pct"/>
            <w:tcBorders>
              <w:top w:val="nil"/>
              <w:left w:val="nil"/>
              <w:right w:val="nil"/>
            </w:tcBorders>
            <w:shd w:val="clear" w:color="auto" w:fill="auto"/>
            <w:noWrap/>
            <w:vAlign w:val="bottom"/>
            <w:hideMark/>
          </w:tcPr>
          <w:p w:rsidR="00A6340D" w:rsidRDefault="00A6340D" w:rsidP="00C60AEC">
            <w:pPr>
              <w:pStyle w:val="TableBodyText"/>
            </w:pPr>
            <w:r>
              <w:t>1.8</w:t>
            </w:r>
          </w:p>
        </w:tc>
        <w:tc>
          <w:tcPr>
            <w:tcW w:w="704" w:type="pct"/>
            <w:tcBorders>
              <w:top w:val="nil"/>
              <w:left w:val="nil"/>
              <w:right w:val="nil"/>
            </w:tcBorders>
            <w:shd w:val="clear" w:color="auto" w:fill="auto"/>
            <w:noWrap/>
            <w:vAlign w:val="bottom"/>
            <w:hideMark/>
          </w:tcPr>
          <w:p w:rsidR="00A6340D" w:rsidRDefault="00A6340D" w:rsidP="00C60AEC">
            <w:pPr>
              <w:pStyle w:val="TableBodyText"/>
            </w:pPr>
            <w:r>
              <w:t>1.3</w:t>
            </w:r>
          </w:p>
        </w:tc>
        <w:tc>
          <w:tcPr>
            <w:tcW w:w="701" w:type="pct"/>
            <w:tcBorders>
              <w:top w:val="nil"/>
              <w:left w:val="nil"/>
              <w:right w:val="nil"/>
            </w:tcBorders>
            <w:shd w:val="clear" w:color="auto" w:fill="auto"/>
            <w:noWrap/>
            <w:vAlign w:val="bottom"/>
            <w:hideMark/>
          </w:tcPr>
          <w:p w:rsidR="00A6340D" w:rsidRPr="00A048B0" w:rsidRDefault="00A6340D" w:rsidP="00C60AEC">
            <w:pPr>
              <w:pStyle w:val="TableBodyText"/>
            </w:pPr>
            <w:r w:rsidRPr="00A048B0">
              <w:t>1.1</w:t>
            </w:r>
          </w:p>
        </w:tc>
        <w:tc>
          <w:tcPr>
            <w:tcW w:w="564" w:type="pct"/>
            <w:tcBorders>
              <w:top w:val="nil"/>
              <w:left w:val="nil"/>
              <w:right w:val="nil"/>
            </w:tcBorders>
            <w:vAlign w:val="bottom"/>
          </w:tcPr>
          <w:p w:rsidR="00A6340D" w:rsidRPr="00A048B0" w:rsidRDefault="00A6340D" w:rsidP="00C60AEC">
            <w:pPr>
              <w:pStyle w:val="TableBodyText"/>
              <w:ind w:right="28"/>
            </w:pPr>
            <w:r w:rsidRPr="00A048B0">
              <w:t>1.8</w:t>
            </w:r>
          </w:p>
        </w:tc>
      </w:tr>
      <w:tr w:rsidR="00A6340D" w:rsidRPr="00A048B0" w:rsidTr="00C60AEC">
        <w:trPr>
          <w:trHeight w:val="225"/>
        </w:trPr>
        <w:tc>
          <w:tcPr>
            <w:tcW w:w="1534" w:type="pct"/>
            <w:tcBorders>
              <w:top w:val="nil"/>
              <w:left w:val="nil"/>
              <w:bottom w:val="single" w:sz="6" w:space="0" w:color="auto"/>
              <w:right w:val="nil"/>
            </w:tcBorders>
            <w:shd w:val="clear" w:color="auto" w:fill="auto"/>
            <w:noWrap/>
            <w:vAlign w:val="bottom"/>
            <w:hideMark/>
          </w:tcPr>
          <w:p w:rsidR="00A6340D" w:rsidRPr="00A048B0" w:rsidRDefault="00A6340D" w:rsidP="00C60AEC">
            <w:pPr>
              <w:pStyle w:val="TableBodyText"/>
              <w:jc w:val="left"/>
              <w:rPr>
                <w:b/>
                <w:bCs/>
              </w:rPr>
            </w:pPr>
            <w:r w:rsidRPr="00A048B0">
              <w:rPr>
                <w:b/>
                <w:bCs/>
              </w:rPr>
              <w:t>Australia</w:t>
            </w:r>
          </w:p>
        </w:tc>
        <w:tc>
          <w:tcPr>
            <w:tcW w:w="807" w:type="pct"/>
            <w:tcBorders>
              <w:top w:val="nil"/>
              <w:left w:val="nil"/>
              <w:bottom w:val="single" w:sz="6" w:space="0" w:color="auto"/>
              <w:right w:val="nil"/>
            </w:tcBorders>
            <w:shd w:val="clear" w:color="auto" w:fill="auto"/>
            <w:noWrap/>
            <w:vAlign w:val="bottom"/>
            <w:hideMark/>
          </w:tcPr>
          <w:p w:rsidR="00A6340D" w:rsidRPr="00A048B0" w:rsidRDefault="00A6340D" w:rsidP="00C60AEC">
            <w:pPr>
              <w:pStyle w:val="TableBodyText"/>
              <w:rPr>
                <w:b/>
              </w:rPr>
            </w:pPr>
            <w:r w:rsidRPr="00A048B0">
              <w:rPr>
                <w:b/>
              </w:rPr>
              <w:t>100.0</w:t>
            </w:r>
          </w:p>
        </w:tc>
        <w:tc>
          <w:tcPr>
            <w:tcW w:w="691" w:type="pct"/>
            <w:tcBorders>
              <w:top w:val="nil"/>
              <w:left w:val="nil"/>
              <w:bottom w:val="single" w:sz="6" w:space="0" w:color="auto"/>
              <w:right w:val="nil"/>
            </w:tcBorders>
            <w:shd w:val="clear" w:color="auto" w:fill="auto"/>
            <w:noWrap/>
            <w:vAlign w:val="bottom"/>
            <w:hideMark/>
          </w:tcPr>
          <w:p w:rsidR="00A6340D" w:rsidRPr="00A048B0" w:rsidRDefault="00A6340D" w:rsidP="00C60AEC">
            <w:pPr>
              <w:pStyle w:val="TableBodyText"/>
              <w:rPr>
                <w:b/>
              </w:rPr>
            </w:pPr>
            <w:r w:rsidRPr="00A048B0">
              <w:rPr>
                <w:b/>
              </w:rPr>
              <w:t>100.0</w:t>
            </w:r>
          </w:p>
        </w:tc>
        <w:tc>
          <w:tcPr>
            <w:tcW w:w="704" w:type="pct"/>
            <w:tcBorders>
              <w:top w:val="nil"/>
              <w:left w:val="nil"/>
              <w:bottom w:val="single" w:sz="6" w:space="0" w:color="auto"/>
              <w:right w:val="nil"/>
            </w:tcBorders>
            <w:shd w:val="clear" w:color="auto" w:fill="auto"/>
            <w:noWrap/>
            <w:vAlign w:val="bottom"/>
            <w:hideMark/>
          </w:tcPr>
          <w:p w:rsidR="00A6340D" w:rsidRPr="00A048B0" w:rsidRDefault="00A6340D" w:rsidP="00C60AEC">
            <w:pPr>
              <w:pStyle w:val="TableBodyText"/>
              <w:rPr>
                <w:b/>
              </w:rPr>
            </w:pPr>
            <w:r w:rsidRPr="00A048B0">
              <w:rPr>
                <w:b/>
              </w:rPr>
              <w:t>100.0</w:t>
            </w:r>
          </w:p>
        </w:tc>
        <w:tc>
          <w:tcPr>
            <w:tcW w:w="701" w:type="pct"/>
            <w:tcBorders>
              <w:top w:val="nil"/>
              <w:left w:val="nil"/>
              <w:bottom w:val="single" w:sz="6" w:space="0" w:color="auto"/>
              <w:right w:val="nil"/>
            </w:tcBorders>
            <w:shd w:val="clear" w:color="auto" w:fill="auto"/>
            <w:noWrap/>
            <w:vAlign w:val="bottom"/>
            <w:hideMark/>
          </w:tcPr>
          <w:p w:rsidR="00A6340D" w:rsidRPr="00A048B0" w:rsidRDefault="00A6340D" w:rsidP="00C60AEC">
            <w:pPr>
              <w:pStyle w:val="TableBodyText"/>
              <w:rPr>
                <w:b/>
              </w:rPr>
            </w:pPr>
            <w:r w:rsidRPr="00A048B0">
              <w:rPr>
                <w:b/>
              </w:rPr>
              <w:t>100.0</w:t>
            </w:r>
          </w:p>
        </w:tc>
        <w:tc>
          <w:tcPr>
            <w:tcW w:w="564" w:type="pct"/>
            <w:tcBorders>
              <w:top w:val="nil"/>
              <w:left w:val="nil"/>
              <w:bottom w:val="single" w:sz="6" w:space="0" w:color="auto"/>
              <w:right w:val="nil"/>
            </w:tcBorders>
            <w:vAlign w:val="bottom"/>
          </w:tcPr>
          <w:p w:rsidR="00A6340D" w:rsidRPr="00A048B0" w:rsidRDefault="00A6340D" w:rsidP="00C60AEC">
            <w:pPr>
              <w:pStyle w:val="TableBodyText"/>
              <w:ind w:right="28"/>
              <w:rPr>
                <w:b/>
              </w:rPr>
            </w:pPr>
            <w:r w:rsidRPr="00A048B0">
              <w:rPr>
                <w:b/>
              </w:rPr>
              <w:t>100.0</w:t>
            </w:r>
          </w:p>
        </w:tc>
      </w:tr>
    </w:tbl>
    <w:p w:rsidR="00A6340D" w:rsidRPr="003725FA" w:rsidRDefault="00466710" w:rsidP="00A6340D">
      <w:pPr>
        <w:pStyle w:val="Note"/>
        <w:rPr>
          <w:b/>
        </w:rPr>
      </w:pPr>
      <w:r>
        <w:rPr>
          <w:rStyle w:val="NoteLabel"/>
        </w:rPr>
        <w:t>a</w:t>
      </w:r>
      <w:r w:rsidRPr="00466710">
        <w:t xml:space="preserve"> </w:t>
      </w:r>
      <w:r>
        <w:t xml:space="preserve">Totals might not add </w:t>
      </w:r>
      <w:r w:rsidR="00131269">
        <w:t>due to</w:t>
      </w:r>
      <w:r>
        <w:t xml:space="preserve"> rounding.</w:t>
      </w:r>
      <w:r w:rsidRPr="00466710">
        <w:t xml:space="preserve">  </w:t>
      </w:r>
      <w:r>
        <w:rPr>
          <w:rStyle w:val="NoteLabel"/>
        </w:rPr>
        <w:t>b</w:t>
      </w:r>
      <w:r w:rsidR="00A6340D">
        <w:t xml:space="preserve"> Owner</w:t>
      </w:r>
      <w:r w:rsidR="003725FA">
        <w:t xml:space="preserve"> </w:t>
      </w:r>
      <w:r w:rsidR="00A6340D">
        <w:t>managers of incorporated enterprises.</w:t>
      </w:r>
      <w:r w:rsidR="003725FA">
        <w:t xml:space="preserve">  </w:t>
      </w:r>
      <w:r>
        <w:rPr>
          <w:rStyle w:val="NoteLabel"/>
        </w:rPr>
        <w:t>c</w:t>
      </w:r>
      <w:r w:rsidR="003725FA">
        <w:t xml:space="preserve"> Owner managers of unincorporated enterprises.</w:t>
      </w:r>
    </w:p>
    <w:p w:rsidR="00A6340D" w:rsidRPr="008C3CDC" w:rsidRDefault="00A6340D" w:rsidP="00A6340D">
      <w:pPr>
        <w:pStyle w:val="Source"/>
      </w:pPr>
      <w:r>
        <w:rPr>
          <w:i/>
        </w:rPr>
        <w:t>Source</w:t>
      </w:r>
      <w:r>
        <w:t xml:space="preserve">: ABS </w:t>
      </w:r>
      <w:r w:rsidR="002D362D">
        <w:t>(</w:t>
      </w:r>
      <w:r w:rsidRPr="00E84657">
        <w:rPr>
          <w:i/>
        </w:rPr>
        <w:t>Australian Labour Market Statistics</w:t>
      </w:r>
      <w:r>
        <w:t>, Cat. no. 6105.0</w:t>
      </w:r>
      <w:r w:rsidR="002D362D">
        <w:t>).</w:t>
      </w:r>
    </w:p>
    <w:p w:rsidR="00A6340D" w:rsidRDefault="00A6340D" w:rsidP="00A6340D">
      <w:pPr>
        <w:pStyle w:val="BodyText"/>
        <w:rPr>
          <w:spacing w:val="-2"/>
        </w:rPr>
      </w:pPr>
      <w:r w:rsidRPr="00A5762E">
        <w:t xml:space="preserve">Given the relatively rapid employment growth recorded by the mining states, these differences in prevalence in 2001 might have been expected to translate into a smaller share of permanent employees, and increases for casuals and </w:t>
      </w:r>
      <w:r w:rsidR="00C60AEC">
        <w:t>owner managers of unincorporated enterprises (</w:t>
      </w:r>
      <w:proofErr w:type="spellStart"/>
      <w:r w:rsidRPr="00A5762E">
        <w:t>OMUEs</w:t>
      </w:r>
      <w:proofErr w:type="spellEnd"/>
      <w:r w:rsidR="00C60AEC">
        <w:t>)</w:t>
      </w:r>
      <w:r w:rsidRPr="00A5762E">
        <w:t>, nationwide, in 2011. However, slower growth in the non</w:t>
      </w:r>
      <w:r w:rsidRPr="00A5762E">
        <w:noBreakHyphen/>
        <w:t xml:space="preserve">mining states, in which permanent employees were relatively concentrated (and casuals and </w:t>
      </w:r>
      <w:proofErr w:type="spellStart"/>
      <w:r w:rsidRPr="00A5762E">
        <w:t>OMUEs</w:t>
      </w:r>
      <w:proofErr w:type="spellEnd"/>
      <w:r w:rsidRPr="00A5762E">
        <w:t xml:space="preserve"> less so), offset the effects of faster mining state expansion. As a result, share effects were very small contributors to employment change for each </w:t>
      </w:r>
      <w:proofErr w:type="spellStart"/>
      <w:r w:rsidRPr="00A5762E">
        <w:t>FOW</w:t>
      </w:r>
      <w:proofErr w:type="spellEnd"/>
      <w:r w:rsidRPr="00A5762E">
        <w:t xml:space="preserve"> (tables </w:t>
      </w:r>
      <w:proofErr w:type="spellStart"/>
      <w:r w:rsidRPr="00A5762E">
        <w:t>E.5</w:t>
      </w:r>
      <w:proofErr w:type="spellEnd"/>
      <w:r w:rsidRPr="00A5762E">
        <w:t xml:space="preserve"> to </w:t>
      </w:r>
      <w:proofErr w:type="spellStart"/>
      <w:r w:rsidRPr="00A5762E">
        <w:t>E.8</w:t>
      </w:r>
      <w:proofErr w:type="spellEnd"/>
      <w:r w:rsidRPr="00A5762E">
        <w:t>).</w:t>
      </w:r>
      <w:r w:rsidR="00466710">
        <w:t xml:space="preserve"> </w:t>
      </w:r>
      <w:r w:rsidRPr="009C45EC">
        <w:rPr>
          <w:spacing w:val="-2"/>
        </w:rPr>
        <w:t xml:space="preserve">Shift effects are </w:t>
      </w:r>
      <w:r>
        <w:rPr>
          <w:spacing w:val="-2"/>
        </w:rPr>
        <w:t xml:space="preserve">the </w:t>
      </w:r>
      <w:r w:rsidRPr="009C45EC">
        <w:rPr>
          <w:spacing w:val="-2"/>
        </w:rPr>
        <w:t xml:space="preserve">key to understanding changes in the prevalence of different </w:t>
      </w:r>
      <w:proofErr w:type="spellStart"/>
      <w:r w:rsidRPr="009C45EC">
        <w:rPr>
          <w:spacing w:val="-2"/>
        </w:rPr>
        <w:t>FOW</w:t>
      </w:r>
      <w:r w:rsidR="003374DE">
        <w:rPr>
          <w:spacing w:val="-2"/>
        </w:rPr>
        <w:t>s</w:t>
      </w:r>
      <w:proofErr w:type="spellEnd"/>
      <w:r w:rsidRPr="009C45EC">
        <w:rPr>
          <w:spacing w:val="-2"/>
        </w:rPr>
        <w:t xml:space="preserve"> </w:t>
      </w:r>
      <w:r w:rsidRPr="005B31EE">
        <w:rPr>
          <w:spacing w:val="-2"/>
        </w:rPr>
        <w:t>from the perspective of state</w:t>
      </w:r>
      <w:r w:rsidRPr="005B31EE">
        <w:rPr>
          <w:spacing w:val="-2"/>
        </w:rPr>
        <w:noBreakHyphen/>
        <w:t>level employment growth</w:t>
      </w:r>
      <w:r w:rsidRPr="009C45EC">
        <w:rPr>
          <w:spacing w:val="-2"/>
        </w:rPr>
        <w:t>.</w:t>
      </w:r>
      <w:r>
        <w:rPr>
          <w:spacing w:val="-2"/>
        </w:rPr>
        <w:t xml:space="preserve"> </w:t>
      </w:r>
    </w:p>
    <w:p w:rsidR="00A6340D" w:rsidRDefault="00A6340D" w:rsidP="00A6340D">
      <w:pPr>
        <w:rPr>
          <w:szCs w:val="20"/>
        </w:rPr>
      </w:pPr>
      <w:r>
        <w:br w:type="page"/>
      </w:r>
    </w:p>
    <w:p w:rsidR="00A6340D" w:rsidRDefault="00A6340D" w:rsidP="00A6340D">
      <w:pPr>
        <w:pStyle w:val="TableTitle"/>
      </w:pPr>
      <w:r>
        <w:rPr>
          <w:b w:val="0"/>
        </w:rPr>
        <w:lastRenderedPageBreak/>
        <w:t xml:space="preserve">Table </w:t>
      </w:r>
      <w:bookmarkStart w:id="8" w:name="OLE_LINK5"/>
      <w:proofErr w:type="spellStart"/>
      <w:r>
        <w:rPr>
          <w:b w:val="0"/>
        </w:rPr>
        <w:t>E.</w:t>
      </w:r>
      <w:r>
        <w:rPr>
          <w:b w:val="0"/>
          <w:noProof/>
        </w:rPr>
        <w:t>5</w:t>
      </w:r>
      <w:bookmarkEnd w:id="8"/>
      <w:proofErr w:type="spellEnd"/>
      <w:r>
        <w:tab/>
        <w:t>Shift</w:t>
      </w:r>
      <w:r w:rsidR="00B940AE">
        <w:t>–</w:t>
      </w:r>
      <w:r>
        <w:t>share analysis for permanent employees</w:t>
      </w:r>
    </w:p>
    <w:tbl>
      <w:tblPr>
        <w:tblW w:w="5000" w:type="pct"/>
        <w:tblLayout w:type="fixed"/>
        <w:tblCellMar>
          <w:left w:w="0" w:type="dxa"/>
          <w:right w:w="0" w:type="dxa"/>
        </w:tblCellMar>
        <w:tblLook w:val="04A0" w:firstRow="1" w:lastRow="0" w:firstColumn="1" w:lastColumn="0" w:noHBand="0" w:noVBand="1"/>
      </w:tblPr>
      <w:tblGrid>
        <w:gridCol w:w="2552"/>
        <w:gridCol w:w="1336"/>
        <w:gridCol w:w="90"/>
        <w:gridCol w:w="1009"/>
        <w:gridCol w:w="863"/>
        <w:gridCol w:w="795"/>
        <w:gridCol w:w="88"/>
        <w:gridCol w:w="1065"/>
        <w:gridCol w:w="991"/>
      </w:tblGrid>
      <w:tr w:rsidR="001B4120" w:rsidRPr="0080021B" w:rsidTr="00776390">
        <w:trPr>
          <w:trHeight w:val="300"/>
        </w:trPr>
        <w:tc>
          <w:tcPr>
            <w:tcW w:w="1452" w:type="pct"/>
            <w:tcBorders>
              <w:top w:val="single" w:sz="6" w:space="0" w:color="auto"/>
              <w:left w:val="nil"/>
              <w:right w:val="nil"/>
            </w:tcBorders>
            <w:shd w:val="clear" w:color="auto" w:fill="auto"/>
            <w:noWrap/>
            <w:vAlign w:val="bottom"/>
          </w:tcPr>
          <w:p w:rsidR="001B4120" w:rsidRPr="003B4749" w:rsidRDefault="001B4120" w:rsidP="00C60AEC">
            <w:pPr>
              <w:pStyle w:val="TableColumnHeading"/>
            </w:pPr>
          </w:p>
        </w:tc>
        <w:tc>
          <w:tcPr>
            <w:tcW w:w="760" w:type="pct"/>
            <w:tcBorders>
              <w:top w:val="single" w:sz="6" w:space="0" w:color="auto"/>
              <w:left w:val="nil"/>
              <w:bottom w:val="single" w:sz="6" w:space="0" w:color="auto"/>
              <w:right w:val="nil"/>
            </w:tcBorders>
            <w:shd w:val="clear" w:color="auto" w:fill="auto"/>
            <w:noWrap/>
            <w:vAlign w:val="bottom"/>
          </w:tcPr>
          <w:p w:rsidR="001B4120" w:rsidRPr="003B4749" w:rsidRDefault="001B4120" w:rsidP="00B65FC2">
            <w:pPr>
              <w:pStyle w:val="TableColumnHeading"/>
              <w:jc w:val="center"/>
            </w:pPr>
            <w:r>
              <w:t>Change</w:t>
            </w:r>
          </w:p>
        </w:tc>
        <w:tc>
          <w:tcPr>
            <w:tcW w:w="51" w:type="pct"/>
            <w:tcBorders>
              <w:top w:val="single" w:sz="6" w:space="0" w:color="auto"/>
              <w:left w:val="nil"/>
              <w:right w:val="nil"/>
            </w:tcBorders>
          </w:tcPr>
          <w:p w:rsidR="001B4120" w:rsidRDefault="001B4120" w:rsidP="00C60AEC">
            <w:pPr>
              <w:pStyle w:val="TableColumnHeading"/>
              <w:jc w:val="center"/>
            </w:pPr>
          </w:p>
        </w:tc>
        <w:tc>
          <w:tcPr>
            <w:tcW w:w="1517" w:type="pct"/>
            <w:gridSpan w:val="3"/>
            <w:tcBorders>
              <w:top w:val="single" w:sz="6" w:space="0" w:color="auto"/>
              <w:left w:val="nil"/>
              <w:bottom w:val="single" w:sz="6" w:space="0" w:color="auto"/>
            </w:tcBorders>
            <w:shd w:val="clear" w:color="auto" w:fill="auto"/>
            <w:noWrap/>
            <w:vAlign w:val="bottom"/>
          </w:tcPr>
          <w:p w:rsidR="001B4120" w:rsidRPr="003B4749" w:rsidRDefault="001B4120" w:rsidP="00C60AEC">
            <w:pPr>
              <w:pStyle w:val="TableColumnHeading"/>
              <w:jc w:val="center"/>
            </w:pPr>
            <w:r>
              <w:t>Decomposition</w:t>
            </w:r>
          </w:p>
        </w:tc>
        <w:tc>
          <w:tcPr>
            <w:tcW w:w="50" w:type="pct"/>
            <w:tcBorders>
              <w:top w:val="single" w:sz="6" w:space="0" w:color="auto"/>
              <w:left w:val="nil"/>
              <w:right w:val="nil"/>
            </w:tcBorders>
          </w:tcPr>
          <w:p w:rsidR="001B4120" w:rsidRDefault="001B4120" w:rsidP="00C60AEC">
            <w:pPr>
              <w:pStyle w:val="TableUnitsRow"/>
              <w:ind w:right="28"/>
              <w:jc w:val="center"/>
              <w:rPr>
                <w:i/>
              </w:rPr>
            </w:pPr>
          </w:p>
        </w:tc>
        <w:tc>
          <w:tcPr>
            <w:tcW w:w="1170" w:type="pct"/>
            <w:gridSpan w:val="2"/>
            <w:tcBorders>
              <w:top w:val="single" w:sz="6" w:space="0" w:color="auto"/>
              <w:left w:val="nil"/>
              <w:bottom w:val="single" w:sz="6" w:space="0" w:color="auto"/>
            </w:tcBorders>
          </w:tcPr>
          <w:p w:rsidR="001B4120" w:rsidRPr="0080021B" w:rsidRDefault="001B4120" w:rsidP="00C60AEC">
            <w:pPr>
              <w:pStyle w:val="TableUnitsRow"/>
              <w:ind w:right="28"/>
              <w:jc w:val="center"/>
              <w:rPr>
                <w:i/>
              </w:rPr>
            </w:pPr>
            <w:r>
              <w:rPr>
                <w:i/>
              </w:rPr>
              <w:t>Share of:</w:t>
            </w:r>
          </w:p>
        </w:tc>
      </w:tr>
      <w:tr w:rsidR="001B4120" w:rsidRPr="003B4749" w:rsidTr="00776390">
        <w:trPr>
          <w:trHeight w:val="300"/>
        </w:trPr>
        <w:tc>
          <w:tcPr>
            <w:tcW w:w="1452" w:type="pct"/>
            <w:tcBorders>
              <w:left w:val="nil"/>
              <w:bottom w:val="single" w:sz="6" w:space="0" w:color="auto"/>
              <w:right w:val="nil"/>
            </w:tcBorders>
            <w:shd w:val="clear" w:color="auto" w:fill="auto"/>
            <w:noWrap/>
            <w:vAlign w:val="bottom"/>
          </w:tcPr>
          <w:p w:rsidR="001B4120" w:rsidRPr="003B4749" w:rsidRDefault="001B4120" w:rsidP="00C60AEC">
            <w:pPr>
              <w:pStyle w:val="TableColumnHeading"/>
            </w:pPr>
          </w:p>
        </w:tc>
        <w:tc>
          <w:tcPr>
            <w:tcW w:w="760" w:type="pct"/>
            <w:tcBorders>
              <w:top w:val="single" w:sz="6" w:space="0" w:color="auto"/>
              <w:left w:val="nil"/>
              <w:bottom w:val="single" w:sz="6" w:space="0" w:color="auto"/>
              <w:right w:val="nil"/>
            </w:tcBorders>
            <w:shd w:val="clear" w:color="auto" w:fill="auto"/>
            <w:noWrap/>
            <w:vAlign w:val="bottom"/>
          </w:tcPr>
          <w:p w:rsidR="001B4120" w:rsidRPr="003B4749" w:rsidRDefault="001B4120" w:rsidP="00C60AEC">
            <w:pPr>
              <w:pStyle w:val="TableColumnHeading"/>
            </w:pPr>
            <w:r w:rsidRPr="003B4749">
              <w:t>2001 to 201</w:t>
            </w:r>
            <w:r>
              <w:t>1</w:t>
            </w:r>
          </w:p>
        </w:tc>
        <w:tc>
          <w:tcPr>
            <w:tcW w:w="51" w:type="pct"/>
            <w:tcBorders>
              <w:left w:val="nil"/>
              <w:bottom w:val="single" w:sz="6" w:space="0" w:color="auto"/>
              <w:right w:val="nil"/>
            </w:tcBorders>
          </w:tcPr>
          <w:p w:rsidR="001B4120" w:rsidRPr="003B4749" w:rsidRDefault="001B4120" w:rsidP="00C60AEC">
            <w:pPr>
              <w:pStyle w:val="TableColumnHeading"/>
            </w:pPr>
          </w:p>
        </w:tc>
        <w:tc>
          <w:tcPr>
            <w:tcW w:w="574" w:type="pct"/>
            <w:tcBorders>
              <w:top w:val="single" w:sz="6" w:space="0" w:color="auto"/>
              <w:left w:val="nil"/>
              <w:bottom w:val="single" w:sz="6" w:space="0" w:color="auto"/>
              <w:right w:val="nil"/>
            </w:tcBorders>
            <w:shd w:val="clear" w:color="auto" w:fill="auto"/>
            <w:noWrap/>
            <w:vAlign w:val="bottom"/>
          </w:tcPr>
          <w:p w:rsidR="001B4120" w:rsidRPr="003B4749" w:rsidRDefault="001B4120" w:rsidP="00C60AEC">
            <w:pPr>
              <w:pStyle w:val="TableColumnHeading"/>
            </w:pPr>
            <w:r w:rsidRPr="003B4749">
              <w:t>Growth</w:t>
            </w:r>
          </w:p>
        </w:tc>
        <w:tc>
          <w:tcPr>
            <w:tcW w:w="491" w:type="pct"/>
            <w:tcBorders>
              <w:top w:val="single" w:sz="6" w:space="0" w:color="auto"/>
              <w:left w:val="nil"/>
              <w:bottom w:val="single" w:sz="6" w:space="0" w:color="auto"/>
              <w:right w:val="nil"/>
            </w:tcBorders>
            <w:shd w:val="clear" w:color="auto" w:fill="auto"/>
            <w:noWrap/>
            <w:vAlign w:val="bottom"/>
          </w:tcPr>
          <w:p w:rsidR="001B4120" w:rsidRPr="003B4749" w:rsidRDefault="001B4120" w:rsidP="00C60AEC">
            <w:pPr>
              <w:pStyle w:val="TableColumnHeading"/>
            </w:pPr>
            <w:r w:rsidRPr="003B4749">
              <w:t>Share</w:t>
            </w:r>
          </w:p>
        </w:tc>
        <w:tc>
          <w:tcPr>
            <w:tcW w:w="452" w:type="pct"/>
            <w:tcBorders>
              <w:top w:val="single" w:sz="6" w:space="0" w:color="auto"/>
              <w:left w:val="nil"/>
              <w:bottom w:val="single" w:sz="6" w:space="0" w:color="auto"/>
            </w:tcBorders>
            <w:shd w:val="clear" w:color="auto" w:fill="auto"/>
            <w:noWrap/>
            <w:vAlign w:val="bottom"/>
          </w:tcPr>
          <w:p w:rsidR="001B4120" w:rsidRPr="00F43B4D" w:rsidRDefault="001B4120" w:rsidP="00F43B4D">
            <w:pPr>
              <w:pStyle w:val="TableColumnHeading"/>
            </w:pPr>
            <w:r w:rsidRPr="00DF27FF">
              <w:t>Shift</w:t>
            </w:r>
          </w:p>
        </w:tc>
        <w:tc>
          <w:tcPr>
            <w:tcW w:w="50" w:type="pct"/>
            <w:tcBorders>
              <w:left w:val="nil"/>
              <w:bottom w:val="single" w:sz="6" w:space="0" w:color="auto"/>
            </w:tcBorders>
          </w:tcPr>
          <w:p w:rsidR="001B4120" w:rsidRDefault="001B4120" w:rsidP="00F43B4D">
            <w:pPr>
              <w:pStyle w:val="TableColumnHeading"/>
            </w:pPr>
          </w:p>
        </w:tc>
        <w:tc>
          <w:tcPr>
            <w:tcW w:w="606" w:type="pct"/>
            <w:tcBorders>
              <w:top w:val="single" w:sz="6" w:space="0" w:color="auto"/>
              <w:left w:val="nil"/>
              <w:bottom w:val="single" w:sz="6" w:space="0" w:color="auto"/>
              <w:right w:val="nil"/>
            </w:tcBorders>
          </w:tcPr>
          <w:p w:rsidR="001B4120" w:rsidRPr="00F43B4D" w:rsidRDefault="001B4120" w:rsidP="00F43B4D">
            <w:pPr>
              <w:pStyle w:val="TableColumnHeading"/>
            </w:pPr>
            <w:r>
              <w:t>2001 emp.</w:t>
            </w:r>
          </w:p>
        </w:tc>
        <w:tc>
          <w:tcPr>
            <w:tcW w:w="564" w:type="pct"/>
            <w:tcBorders>
              <w:top w:val="single" w:sz="6" w:space="0" w:color="auto"/>
              <w:left w:val="nil"/>
              <w:bottom w:val="single" w:sz="6" w:space="0" w:color="auto"/>
              <w:right w:val="nil"/>
            </w:tcBorders>
          </w:tcPr>
          <w:p w:rsidR="001B4120" w:rsidRPr="00DF27FF" w:rsidRDefault="001B4120" w:rsidP="00C60AEC">
            <w:pPr>
              <w:pStyle w:val="TableUnitsRow"/>
              <w:ind w:right="28"/>
              <w:rPr>
                <w:i/>
              </w:rPr>
            </w:pPr>
            <w:r>
              <w:rPr>
                <w:i/>
              </w:rPr>
              <w:t>Shift effect</w:t>
            </w:r>
          </w:p>
        </w:tc>
      </w:tr>
      <w:tr w:rsidR="001B4120" w:rsidRPr="003B4749" w:rsidTr="00776390">
        <w:trPr>
          <w:trHeight w:val="300"/>
        </w:trPr>
        <w:tc>
          <w:tcPr>
            <w:tcW w:w="1452" w:type="pct"/>
            <w:tcBorders>
              <w:top w:val="single" w:sz="6" w:space="0" w:color="auto"/>
              <w:left w:val="nil"/>
              <w:bottom w:val="nil"/>
              <w:right w:val="nil"/>
            </w:tcBorders>
            <w:shd w:val="clear" w:color="auto" w:fill="auto"/>
            <w:noWrap/>
            <w:vAlign w:val="bottom"/>
            <w:hideMark/>
          </w:tcPr>
          <w:p w:rsidR="001B4120" w:rsidRPr="003B4749" w:rsidRDefault="001B4120" w:rsidP="00C60AEC">
            <w:pPr>
              <w:pStyle w:val="TableUnitsRow"/>
              <w:jc w:val="left"/>
            </w:pPr>
          </w:p>
        </w:tc>
        <w:tc>
          <w:tcPr>
            <w:tcW w:w="760" w:type="pct"/>
            <w:tcBorders>
              <w:top w:val="single" w:sz="6" w:space="0" w:color="auto"/>
              <w:left w:val="nil"/>
              <w:bottom w:val="nil"/>
              <w:right w:val="nil"/>
            </w:tcBorders>
            <w:shd w:val="clear" w:color="auto" w:fill="auto"/>
            <w:noWrap/>
            <w:vAlign w:val="bottom"/>
          </w:tcPr>
          <w:p w:rsidR="001B4120" w:rsidRPr="003B4749" w:rsidRDefault="001B4120" w:rsidP="00C60AEC">
            <w:pPr>
              <w:pStyle w:val="TableUnitsRow"/>
            </w:pPr>
            <w:r>
              <w:t>’000</w:t>
            </w:r>
          </w:p>
        </w:tc>
        <w:tc>
          <w:tcPr>
            <w:tcW w:w="51" w:type="pct"/>
            <w:tcBorders>
              <w:top w:val="single" w:sz="6" w:space="0" w:color="auto"/>
              <w:left w:val="nil"/>
              <w:bottom w:val="nil"/>
              <w:right w:val="nil"/>
            </w:tcBorders>
          </w:tcPr>
          <w:p w:rsidR="001B4120" w:rsidRDefault="001B4120" w:rsidP="00C60AEC">
            <w:pPr>
              <w:pStyle w:val="TableUnitsRow"/>
            </w:pPr>
          </w:p>
        </w:tc>
        <w:tc>
          <w:tcPr>
            <w:tcW w:w="574" w:type="pct"/>
            <w:tcBorders>
              <w:top w:val="single" w:sz="6" w:space="0" w:color="auto"/>
              <w:left w:val="nil"/>
              <w:bottom w:val="nil"/>
              <w:right w:val="nil"/>
            </w:tcBorders>
            <w:shd w:val="clear" w:color="auto" w:fill="auto"/>
            <w:noWrap/>
            <w:vAlign w:val="bottom"/>
          </w:tcPr>
          <w:p w:rsidR="001B4120" w:rsidRPr="003B4749" w:rsidRDefault="001B4120" w:rsidP="00C60AEC">
            <w:pPr>
              <w:pStyle w:val="TableUnitsRow"/>
            </w:pPr>
            <w:r>
              <w:t>’000</w:t>
            </w:r>
          </w:p>
        </w:tc>
        <w:tc>
          <w:tcPr>
            <w:tcW w:w="491" w:type="pct"/>
            <w:tcBorders>
              <w:top w:val="single" w:sz="6" w:space="0" w:color="auto"/>
              <w:left w:val="nil"/>
              <w:bottom w:val="nil"/>
              <w:right w:val="nil"/>
            </w:tcBorders>
            <w:shd w:val="clear" w:color="auto" w:fill="auto"/>
            <w:noWrap/>
            <w:vAlign w:val="bottom"/>
          </w:tcPr>
          <w:p w:rsidR="001B4120" w:rsidRPr="003B4749" w:rsidRDefault="001B4120" w:rsidP="00C60AEC">
            <w:pPr>
              <w:pStyle w:val="TableUnitsRow"/>
            </w:pPr>
            <w:r>
              <w:t>’000</w:t>
            </w:r>
          </w:p>
        </w:tc>
        <w:tc>
          <w:tcPr>
            <w:tcW w:w="452" w:type="pct"/>
            <w:tcBorders>
              <w:top w:val="single" w:sz="6" w:space="0" w:color="auto"/>
              <w:left w:val="nil"/>
              <w:bottom w:val="nil"/>
            </w:tcBorders>
            <w:shd w:val="clear" w:color="auto" w:fill="auto"/>
            <w:noWrap/>
            <w:vAlign w:val="bottom"/>
          </w:tcPr>
          <w:p w:rsidR="001B4120" w:rsidRPr="00FF2B26" w:rsidRDefault="001B4120" w:rsidP="00F43B4D">
            <w:pPr>
              <w:pStyle w:val="TableUnitsRow"/>
            </w:pPr>
            <w:r>
              <w:t>’</w:t>
            </w:r>
            <w:r w:rsidRPr="00FF2B26">
              <w:t>000</w:t>
            </w:r>
          </w:p>
        </w:tc>
        <w:tc>
          <w:tcPr>
            <w:tcW w:w="50" w:type="pct"/>
            <w:tcBorders>
              <w:top w:val="single" w:sz="6" w:space="0" w:color="auto"/>
              <w:left w:val="nil"/>
              <w:bottom w:val="nil"/>
            </w:tcBorders>
          </w:tcPr>
          <w:p w:rsidR="001B4120" w:rsidRDefault="001B4120" w:rsidP="00F43B4D">
            <w:pPr>
              <w:pStyle w:val="TableUnitsRow"/>
            </w:pPr>
          </w:p>
        </w:tc>
        <w:tc>
          <w:tcPr>
            <w:tcW w:w="606" w:type="pct"/>
            <w:tcBorders>
              <w:top w:val="single" w:sz="6" w:space="0" w:color="auto"/>
              <w:left w:val="nil"/>
              <w:bottom w:val="nil"/>
              <w:right w:val="nil"/>
            </w:tcBorders>
          </w:tcPr>
          <w:p w:rsidR="001B4120" w:rsidRPr="00FF2B26" w:rsidRDefault="001B4120" w:rsidP="00F43B4D">
            <w:pPr>
              <w:pStyle w:val="TableUnitsRow"/>
            </w:pPr>
            <w:r>
              <w:t>%</w:t>
            </w:r>
          </w:p>
        </w:tc>
        <w:tc>
          <w:tcPr>
            <w:tcW w:w="564" w:type="pct"/>
            <w:tcBorders>
              <w:top w:val="single" w:sz="6" w:space="0" w:color="auto"/>
              <w:left w:val="nil"/>
              <w:bottom w:val="nil"/>
              <w:right w:val="nil"/>
            </w:tcBorders>
          </w:tcPr>
          <w:p w:rsidR="001B4120" w:rsidRPr="00FF2B26" w:rsidRDefault="001B4120" w:rsidP="00C60AEC">
            <w:pPr>
              <w:pStyle w:val="TableUnitsRow"/>
              <w:ind w:right="28"/>
            </w:pPr>
            <w:r>
              <w:t>%</w:t>
            </w:r>
          </w:p>
        </w:tc>
      </w:tr>
      <w:tr w:rsidR="001B4120" w:rsidRPr="00D761A0" w:rsidTr="00776390">
        <w:trPr>
          <w:trHeight w:val="300"/>
        </w:trPr>
        <w:tc>
          <w:tcPr>
            <w:tcW w:w="1452" w:type="pct"/>
            <w:tcBorders>
              <w:top w:val="nil"/>
              <w:left w:val="nil"/>
              <w:bottom w:val="nil"/>
              <w:right w:val="nil"/>
            </w:tcBorders>
            <w:shd w:val="clear" w:color="auto" w:fill="auto"/>
            <w:noWrap/>
            <w:vAlign w:val="bottom"/>
          </w:tcPr>
          <w:p w:rsidR="001B4120" w:rsidRPr="00D761A0" w:rsidRDefault="001B4120" w:rsidP="00C60AEC">
            <w:pPr>
              <w:pStyle w:val="TableBodyText"/>
              <w:jc w:val="left"/>
              <w:rPr>
                <w:b/>
              </w:rPr>
            </w:pPr>
            <w:r w:rsidRPr="00D761A0">
              <w:rPr>
                <w:b/>
              </w:rPr>
              <w:t>Mining</w:t>
            </w:r>
          </w:p>
        </w:tc>
        <w:tc>
          <w:tcPr>
            <w:tcW w:w="760" w:type="pct"/>
            <w:tcBorders>
              <w:top w:val="nil"/>
              <w:left w:val="nil"/>
              <w:bottom w:val="nil"/>
              <w:right w:val="nil"/>
            </w:tcBorders>
            <w:shd w:val="clear" w:color="auto" w:fill="auto"/>
            <w:noWrap/>
            <w:vAlign w:val="bottom"/>
          </w:tcPr>
          <w:p w:rsidR="001B4120" w:rsidRPr="00D761A0" w:rsidRDefault="001B4120" w:rsidP="00C60AEC">
            <w:pPr>
              <w:pStyle w:val="TableBodyText"/>
              <w:rPr>
                <w:b/>
              </w:rPr>
            </w:pPr>
            <w:r w:rsidRPr="00D761A0">
              <w:rPr>
                <w:b/>
              </w:rPr>
              <w:t>785.2</w:t>
            </w:r>
          </w:p>
        </w:tc>
        <w:tc>
          <w:tcPr>
            <w:tcW w:w="51" w:type="pct"/>
            <w:tcBorders>
              <w:top w:val="nil"/>
              <w:left w:val="nil"/>
              <w:bottom w:val="nil"/>
              <w:right w:val="nil"/>
            </w:tcBorders>
          </w:tcPr>
          <w:p w:rsidR="001B4120" w:rsidRPr="00D761A0" w:rsidRDefault="001B4120" w:rsidP="00C60AEC">
            <w:pPr>
              <w:pStyle w:val="TableBodyText"/>
              <w:rPr>
                <w:b/>
              </w:rPr>
            </w:pPr>
          </w:p>
        </w:tc>
        <w:tc>
          <w:tcPr>
            <w:tcW w:w="574" w:type="pct"/>
            <w:tcBorders>
              <w:top w:val="nil"/>
              <w:left w:val="nil"/>
              <w:bottom w:val="nil"/>
              <w:right w:val="nil"/>
            </w:tcBorders>
            <w:shd w:val="clear" w:color="auto" w:fill="auto"/>
            <w:noWrap/>
            <w:vAlign w:val="bottom"/>
          </w:tcPr>
          <w:p w:rsidR="001B4120" w:rsidRPr="00D761A0" w:rsidRDefault="001B4120" w:rsidP="00C60AEC">
            <w:pPr>
              <w:pStyle w:val="TableBodyText"/>
              <w:rPr>
                <w:b/>
              </w:rPr>
            </w:pPr>
            <w:r w:rsidRPr="00D761A0">
              <w:rPr>
                <w:b/>
              </w:rPr>
              <w:t>387.0</w:t>
            </w:r>
          </w:p>
        </w:tc>
        <w:tc>
          <w:tcPr>
            <w:tcW w:w="491" w:type="pct"/>
            <w:tcBorders>
              <w:top w:val="nil"/>
              <w:left w:val="nil"/>
              <w:bottom w:val="nil"/>
              <w:right w:val="nil"/>
            </w:tcBorders>
            <w:shd w:val="clear" w:color="auto" w:fill="auto"/>
            <w:noWrap/>
            <w:vAlign w:val="bottom"/>
          </w:tcPr>
          <w:p w:rsidR="001B4120" w:rsidRPr="00D761A0" w:rsidRDefault="001B4120" w:rsidP="00C60AEC">
            <w:pPr>
              <w:pStyle w:val="TableBodyText"/>
              <w:rPr>
                <w:b/>
              </w:rPr>
            </w:pPr>
            <w:r w:rsidRPr="00D761A0">
              <w:rPr>
                <w:b/>
              </w:rPr>
              <w:t>176.8</w:t>
            </w:r>
          </w:p>
        </w:tc>
        <w:tc>
          <w:tcPr>
            <w:tcW w:w="452" w:type="pct"/>
            <w:tcBorders>
              <w:top w:val="nil"/>
              <w:left w:val="nil"/>
              <w:bottom w:val="nil"/>
            </w:tcBorders>
            <w:shd w:val="clear" w:color="auto" w:fill="auto"/>
            <w:noWrap/>
            <w:vAlign w:val="bottom"/>
          </w:tcPr>
          <w:p w:rsidR="001B4120" w:rsidRPr="00D761A0" w:rsidRDefault="001B4120" w:rsidP="00F43B4D">
            <w:pPr>
              <w:pStyle w:val="TableBodyText"/>
              <w:rPr>
                <w:b/>
              </w:rPr>
            </w:pPr>
            <w:r w:rsidRPr="00D761A0">
              <w:rPr>
                <w:b/>
              </w:rPr>
              <w:t>221.4</w:t>
            </w:r>
          </w:p>
        </w:tc>
        <w:tc>
          <w:tcPr>
            <w:tcW w:w="50" w:type="pct"/>
            <w:tcBorders>
              <w:top w:val="nil"/>
              <w:left w:val="nil"/>
              <w:bottom w:val="nil"/>
            </w:tcBorders>
          </w:tcPr>
          <w:p w:rsidR="001B4120" w:rsidRPr="00D761A0" w:rsidRDefault="001B4120" w:rsidP="00C60AEC">
            <w:pPr>
              <w:pStyle w:val="TableBodyText"/>
              <w:rPr>
                <w:b/>
              </w:rPr>
            </w:pPr>
          </w:p>
        </w:tc>
        <w:tc>
          <w:tcPr>
            <w:tcW w:w="606" w:type="pct"/>
            <w:tcBorders>
              <w:top w:val="nil"/>
              <w:left w:val="nil"/>
              <w:bottom w:val="nil"/>
              <w:right w:val="nil"/>
            </w:tcBorders>
            <w:vAlign w:val="bottom"/>
          </w:tcPr>
          <w:p w:rsidR="001B4120" w:rsidRPr="00D761A0" w:rsidRDefault="001B4120" w:rsidP="00C60AEC">
            <w:pPr>
              <w:pStyle w:val="TableBodyText"/>
              <w:rPr>
                <w:b/>
              </w:rPr>
            </w:pPr>
            <w:r w:rsidRPr="00D761A0">
              <w:rPr>
                <w:b/>
              </w:rPr>
              <w:t>27.6</w:t>
            </w:r>
          </w:p>
        </w:tc>
        <w:tc>
          <w:tcPr>
            <w:tcW w:w="564" w:type="pct"/>
            <w:tcBorders>
              <w:top w:val="nil"/>
              <w:left w:val="nil"/>
              <w:bottom w:val="nil"/>
              <w:right w:val="nil"/>
            </w:tcBorders>
            <w:vAlign w:val="bottom"/>
          </w:tcPr>
          <w:p w:rsidR="001B4120" w:rsidRPr="000A0506" w:rsidRDefault="001B4120" w:rsidP="00C60AEC">
            <w:pPr>
              <w:pStyle w:val="TableBodyText"/>
              <w:ind w:right="28"/>
              <w:rPr>
                <w:b/>
              </w:rPr>
            </w:pPr>
            <w:r w:rsidRPr="000A0506">
              <w:rPr>
                <w:b/>
              </w:rPr>
              <w:t>62.9</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Queensland</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504.3</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235.4</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122.8</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146.1</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16.8</w:t>
            </w:r>
          </w:p>
        </w:tc>
        <w:tc>
          <w:tcPr>
            <w:tcW w:w="564" w:type="pct"/>
            <w:tcBorders>
              <w:top w:val="nil"/>
              <w:left w:val="nil"/>
              <w:bottom w:val="nil"/>
              <w:right w:val="nil"/>
            </w:tcBorders>
            <w:vAlign w:val="bottom"/>
          </w:tcPr>
          <w:p w:rsidR="001B4120" w:rsidRDefault="001B4120" w:rsidP="00C60AEC">
            <w:pPr>
              <w:pStyle w:val="TableBodyText"/>
              <w:ind w:right="28"/>
            </w:pPr>
            <w:r>
              <w:t>41.5</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Western Australia</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251.4</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138.2</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41.3</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71.9</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9.9</w:t>
            </w:r>
          </w:p>
        </w:tc>
        <w:tc>
          <w:tcPr>
            <w:tcW w:w="564" w:type="pct"/>
            <w:tcBorders>
              <w:top w:val="nil"/>
              <w:left w:val="nil"/>
              <w:bottom w:val="nil"/>
              <w:right w:val="nil"/>
            </w:tcBorders>
            <w:vAlign w:val="bottom"/>
          </w:tcPr>
          <w:p w:rsidR="001B4120" w:rsidRDefault="001B4120" w:rsidP="00C60AEC">
            <w:pPr>
              <w:pStyle w:val="TableBodyText"/>
              <w:ind w:right="28"/>
            </w:pPr>
            <w:r>
              <w:t>20.4</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Northern Territory</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29.4</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13.4</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12.6</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3.4</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1.0</w:t>
            </w:r>
          </w:p>
        </w:tc>
        <w:tc>
          <w:tcPr>
            <w:tcW w:w="564" w:type="pct"/>
            <w:tcBorders>
              <w:top w:val="nil"/>
              <w:left w:val="nil"/>
              <w:bottom w:val="nil"/>
              <w:right w:val="nil"/>
            </w:tcBorders>
            <w:vAlign w:val="bottom"/>
          </w:tcPr>
          <w:p w:rsidR="001B4120" w:rsidRDefault="001B4120" w:rsidP="00C60AEC">
            <w:pPr>
              <w:pStyle w:val="TableBodyText"/>
              <w:ind w:right="28"/>
            </w:pPr>
            <w:r>
              <w:t>1.0</w:t>
            </w:r>
          </w:p>
        </w:tc>
      </w:tr>
      <w:tr w:rsidR="001B4120" w:rsidRPr="00D761A0" w:rsidTr="00776390">
        <w:trPr>
          <w:trHeight w:val="300"/>
        </w:trPr>
        <w:tc>
          <w:tcPr>
            <w:tcW w:w="1452" w:type="pct"/>
            <w:tcBorders>
              <w:top w:val="nil"/>
              <w:left w:val="nil"/>
              <w:bottom w:val="nil"/>
              <w:right w:val="nil"/>
            </w:tcBorders>
            <w:shd w:val="clear" w:color="auto" w:fill="auto"/>
            <w:noWrap/>
            <w:vAlign w:val="bottom"/>
            <w:hideMark/>
          </w:tcPr>
          <w:p w:rsidR="001B4120" w:rsidRPr="00D761A0" w:rsidRDefault="001B4120" w:rsidP="00C60AEC">
            <w:pPr>
              <w:pStyle w:val="TableBodyText"/>
              <w:jc w:val="left"/>
              <w:rPr>
                <w:b/>
              </w:rPr>
            </w:pPr>
            <w:r>
              <w:rPr>
                <w:b/>
              </w:rPr>
              <w:t>Non-mining</w:t>
            </w:r>
          </w:p>
        </w:tc>
        <w:tc>
          <w:tcPr>
            <w:tcW w:w="760" w:type="pct"/>
            <w:tcBorders>
              <w:top w:val="nil"/>
              <w:left w:val="nil"/>
              <w:bottom w:val="nil"/>
              <w:right w:val="nil"/>
            </w:tcBorders>
            <w:shd w:val="clear" w:color="auto" w:fill="auto"/>
            <w:noWrap/>
            <w:vAlign w:val="bottom"/>
            <w:hideMark/>
          </w:tcPr>
          <w:p w:rsidR="001B4120" w:rsidRPr="00D761A0" w:rsidRDefault="001B4120" w:rsidP="00C60AEC">
            <w:pPr>
              <w:pStyle w:val="TableBodyText"/>
              <w:rPr>
                <w:b/>
              </w:rPr>
            </w:pPr>
            <w:r w:rsidRPr="00D761A0">
              <w:rPr>
                <w:b/>
              </w:rPr>
              <w:t>949.2</w:t>
            </w:r>
          </w:p>
        </w:tc>
        <w:tc>
          <w:tcPr>
            <w:tcW w:w="51" w:type="pct"/>
            <w:tcBorders>
              <w:top w:val="nil"/>
              <w:left w:val="nil"/>
              <w:bottom w:val="nil"/>
              <w:right w:val="nil"/>
            </w:tcBorders>
          </w:tcPr>
          <w:p w:rsidR="001B4120" w:rsidRPr="00D761A0" w:rsidRDefault="001B4120" w:rsidP="00C60AEC">
            <w:pPr>
              <w:pStyle w:val="TableBodyText"/>
              <w:rPr>
                <w:b/>
              </w:rPr>
            </w:pPr>
          </w:p>
        </w:tc>
        <w:tc>
          <w:tcPr>
            <w:tcW w:w="574" w:type="pct"/>
            <w:tcBorders>
              <w:top w:val="nil"/>
              <w:left w:val="nil"/>
              <w:bottom w:val="nil"/>
              <w:right w:val="nil"/>
            </w:tcBorders>
            <w:shd w:val="clear" w:color="auto" w:fill="auto"/>
            <w:noWrap/>
            <w:vAlign w:val="bottom"/>
            <w:hideMark/>
          </w:tcPr>
          <w:p w:rsidR="001B4120" w:rsidRPr="00D761A0" w:rsidRDefault="001B4120" w:rsidP="00C60AEC">
            <w:pPr>
              <w:pStyle w:val="TableBodyText"/>
              <w:rPr>
                <w:b/>
              </w:rPr>
            </w:pPr>
            <w:r w:rsidRPr="00D761A0">
              <w:rPr>
                <w:b/>
              </w:rPr>
              <w:t>1</w:t>
            </w:r>
            <w:r>
              <w:rPr>
                <w:b/>
              </w:rPr>
              <w:t xml:space="preserve"> </w:t>
            </w:r>
            <w:r w:rsidRPr="00D761A0">
              <w:rPr>
                <w:b/>
              </w:rPr>
              <w:t>013.9</w:t>
            </w:r>
          </w:p>
        </w:tc>
        <w:tc>
          <w:tcPr>
            <w:tcW w:w="491" w:type="pct"/>
            <w:tcBorders>
              <w:top w:val="nil"/>
              <w:left w:val="nil"/>
              <w:bottom w:val="nil"/>
              <w:right w:val="nil"/>
            </w:tcBorders>
            <w:shd w:val="clear" w:color="auto" w:fill="auto"/>
            <w:noWrap/>
            <w:vAlign w:val="bottom"/>
            <w:hideMark/>
          </w:tcPr>
          <w:p w:rsidR="001B4120" w:rsidRPr="00D761A0" w:rsidRDefault="001B4120" w:rsidP="00C60AEC">
            <w:pPr>
              <w:pStyle w:val="TableBodyText"/>
              <w:rPr>
                <w:b/>
              </w:rPr>
            </w:pPr>
            <w:r w:rsidRPr="00D761A0">
              <w:rPr>
                <w:b/>
              </w:rPr>
              <w:t>-195.0</w:t>
            </w:r>
          </w:p>
        </w:tc>
        <w:tc>
          <w:tcPr>
            <w:tcW w:w="452" w:type="pct"/>
            <w:tcBorders>
              <w:top w:val="nil"/>
              <w:left w:val="nil"/>
              <w:bottom w:val="nil"/>
            </w:tcBorders>
            <w:shd w:val="clear" w:color="auto" w:fill="auto"/>
            <w:noWrap/>
            <w:vAlign w:val="bottom"/>
            <w:hideMark/>
          </w:tcPr>
          <w:p w:rsidR="001B4120" w:rsidRPr="00D761A0" w:rsidRDefault="001B4120" w:rsidP="00F43B4D">
            <w:pPr>
              <w:pStyle w:val="TableBodyText"/>
              <w:rPr>
                <w:b/>
              </w:rPr>
            </w:pPr>
            <w:r w:rsidRPr="00D761A0">
              <w:rPr>
                <w:b/>
              </w:rPr>
              <w:t>130.3</w:t>
            </w:r>
          </w:p>
        </w:tc>
        <w:tc>
          <w:tcPr>
            <w:tcW w:w="50" w:type="pct"/>
            <w:tcBorders>
              <w:top w:val="nil"/>
              <w:left w:val="nil"/>
              <w:bottom w:val="nil"/>
            </w:tcBorders>
          </w:tcPr>
          <w:p w:rsidR="001B4120" w:rsidRPr="00D761A0" w:rsidRDefault="001B4120" w:rsidP="00C60AEC">
            <w:pPr>
              <w:pStyle w:val="TableBodyText"/>
              <w:rPr>
                <w:b/>
              </w:rPr>
            </w:pPr>
          </w:p>
        </w:tc>
        <w:tc>
          <w:tcPr>
            <w:tcW w:w="606" w:type="pct"/>
            <w:tcBorders>
              <w:top w:val="nil"/>
              <w:left w:val="nil"/>
              <w:bottom w:val="nil"/>
              <w:right w:val="nil"/>
            </w:tcBorders>
            <w:vAlign w:val="bottom"/>
          </w:tcPr>
          <w:p w:rsidR="001B4120" w:rsidRPr="00D761A0" w:rsidRDefault="001B4120" w:rsidP="00C60AEC">
            <w:pPr>
              <w:pStyle w:val="TableBodyText"/>
              <w:rPr>
                <w:b/>
              </w:rPr>
            </w:pPr>
            <w:r w:rsidRPr="00D761A0">
              <w:rPr>
                <w:b/>
              </w:rPr>
              <w:t>72.4</w:t>
            </w:r>
          </w:p>
        </w:tc>
        <w:tc>
          <w:tcPr>
            <w:tcW w:w="564" w:type="pct"/>
            <w:tcBorders>
              <w:top w:val="nil"/>
              <w:left w:val="nil"/>
              <w:bottom w:val="nil"/>
              <w:right w:val="nil"/>
            </w:tcBorders>
            <w:vAlign w:val="bottom"/>
          </w:tcPr>
          <w:p w:rsidR="001B4120" w:rsidRPr="000A0506" w:rsidRDefault="001B4120" w:rsidP="00C60AEC">
            <w:pPr>
              <w:pStyle w:val="TableBodyText"/>
              <w:ind w:right="28"/>
              <w:rPr>
                <w:b/>
              </w:rPr>
            </w:pPr>
            <w:r w:rsidRPr="000A0506">
              <w:rPr>
                <w:b/>
              </w:rPr>
              <w:t>37.1</w:t>
            </w:r>
          </w:p>
        </w:tc>
      </w:tr>
      <w:tr w:rsidR="001B4120" w:rsidRPr="003B4749" w:rsidTr="00776390">
        <w:trPr>
          <w:trHeight w:val="300"/>
        </w:trPr>
        <w:tc>
          <w:tcPr>
            <w:tcW w:w="1452" w:type="pct"/>
            <w:tcBorders>
              <w:top w:val="nil"/>
              <w:left w:val="nil"/>
              <w:bottom w:val="nil"/>
              <w:right w:val="nil"/>
            </w:tcBorders>
            <w:shd w:val="clear" w:color="auto" w:fill="auto"/>
            <w:noWrap/>
            <w:vAlign w:val="bottom"/>
          </w:tcPr>
          <w:p w:rsidR="001B4120" w:rsidRDefault="001B4120" w:rsidP="00FC57EE">
            <w:pPr>
              <w:pStyle w:val="TableBodyText"/>
              <w:ind w:left="142"/>
              <w:jc w:val="left"/>
            </w:pPr>
            <w:r>
              <w:t>New South Wales</w:t>
            </w:r>
          </w:p>
        </w:tc>
        <w:tc>
          <w:tcPr>
            <w:tcW w:w="760" w:type="pct"/>
            <w:tcBorders>
              <w:top w:val="nil"/>
              <w:left w:val="nil"/>
              <w:bottom w:val="nil"/>
              <w:right w:val="nil"/>
            </w:tcBorders>
            <w:shd w:val="clear" w:color="auto" w:fill="auto"/>
            <w:noWrap/>
            <w:vAlign w:val="bottom"/>
          </w:tcPr>
          <w:p w:rsidR="001B4120" w:rsidRDefault="001B4120" w:rsidP="00C60AEC">
            <w:pPr>
              <w:pStyle w:val="TableBodyText"/>
            </w:pPr>
            <w:r>
              <w:t>369.2</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tcPr>
          <w:p w:rsidR="001B4120" w:rsidRDefault="001B4120" w:rsidP="00C60AEC">
            <w:pPr>
              <w:pStyle w:val="TableBodyText"/>
            </w:pPr>
            <w:r>
              <w:t>488.8</w:t>
            </w:r>
          </w:p>
        </w:tc>
        <w:tc>
          <w:tcPr>
            <w:tcW w:w="491" w:type="pct"/>
            <w:tcBorders>
              <w:top w:val="nil"/>
              <w:left w:val="nil"/>
              <w:bottom w:val="nil"/>
              <w:right w:val="nil"/>
            </w:tcBorders>
            <w:shd w:val="clear" w:color="auto" w:fill="auto"/>
            <w:noWrap/>
            <w:vAlign w:val="bottom"/>
          </w:tcPr>
          <w:p w:rsidR="001B4120" w:rsidRDefault="001B4120" w:rsidP="00C60AEC">
            <w:pPr>
              <w:pStyle w:val="TableBodyText"/>
            </w:pPr>
            <w:r>
              <w:t>-153.7</w:t>
            </w:r>
          </w:p>
        </w:tc>
        <w:tc>
          <w:tcPr>
            <w:tcW w:w="452" w:type="pct"/>
            <w:tcBorders>
              <w:top w:val="nil"/>
              <w:left w:val="nil"/>
              <w:bottom w:val="nil"/>
            </w:tcBorders>
            <w:shd w:val="clear" w:color="auto" w:fill="auto"/>
            <w:noWrap/>
            <w:vAlign w:val="bottom"/>
          </w:tcPr>
          <w:p w:rsidR="001B4120" w:rsidRPr="00B56B04" w:rsidRDefault="001B4120" w:rsidP="00F43B4D">
            <w:pPr>
              <w:pStyle w:val="TableBodyText"/>
            </w:pPr>
            <w:r w:rsidRPr="00B56B04">
              <w:t>34.1</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34.9</w:t>
            </w:r>
          </w:p>
        </w:tc>
        <w:tc>
          <w:tcPr>
            <w:tcW w:w="564" w:type="pct"/>
            <w:tcBorders>
              <w:top w:val="nil"/>
              <w:left w:val="nil"/>
              <w:bottom w:val="nil"/>
              <w:right w:val="nil"/>
            </w:tcBorders>
            <w:vAlign w:val="bottom"/>
          </w:tcPr>
          <w:p w:rsidR="001B4120" w:rsidRDefault="001B4120" w:rsidP="00C60AEC">
            <w:pPr>
              <w:pStyle w:val="TableBodyText"/>
              <w:ind w:right="28"/>
            </w:pPr>
            <w:r>
              <w:t>9.7</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Victoria</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398.1</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370.3</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-20.2</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48.0</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26.4</w:t>
            </w:r>
          </w:p>
        </w:tc>
        <w:tc>
          <w:tcPr>
            <w:tcW w:w="564" w:type="pct"/>
            <w:tcBorders>
              <w:top w:val="nil"/>
              <w:left w:val="nil"/>
              <w:bottom w:val="nil"/>
              <w:right w:val="nil"/>
            </w:tcBorders>
            <w:vAlign w:val="bottom"/>
          </w:tcPr>
          <w:p w:rsidR="001B4120" w:rsidRDefault="001B4120" w:rsidP="00C60AEC">
            <w:pPr>
              <w:pStyle w:val="TableBodyText"/>
              <w:ind w:right="28"/>
            </w:pPr>
            <w:r>
              <w:t>13.6</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South Australia</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109.5</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97.2</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-13.4</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25.7</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6.9</w:t>
            </w:r>
          </w:p>
        </w:tc>
        <w:tc>
          <w:tcPr>
            <w:tcW w:w="564" w:type="pct"/>
            <w:tcBorders>
              <w:top w:val="nil"/>
              <w:left w:val="nil"/>
              <w:bottom w:val="nil"/>
              <w:right w:val="nil"/>
            </w:tcBorders>
            <w:vAlign w:val="bottom"/>
          </w:tcPr>
          <w:p w:rsidR="001B4120" w:rsidRDefault="001B4120" w:rsidP="00C60AEC">
            <w:pPr>
              <w:pStyle w:val="TableBodyText"/>
              <w:ind w:right="28"/>
            </w:pPr>
            <w:r>
              <w:t>7.3</w:t>
            </w:r>
          </w:p>
        </w:tc>
      </w:tr>
      <w:tr w:rsidR="001B4120" w:rsidRPr="003B4749" w:rsidTr="00776390">
        <w:trPr>
          <w:trHeight w:val="300"/>
        </w:trPr>
        <w:tc>
          <w:tcPr>
            <w:tcW w:w="1452" w:type="pct"/>
            <w:tcBorders>
              <w:top w:val="nil"/>
              <w:left w:val="nil"/>
              <w:bottom w:val="nil"/>
              <w:right w:val="nil"/>
            </w:tcBorders>
            <w:shd w:val="clear" w:color="auto" w:fill="auto"/>
            <w:noWrap/>
            <w:vAlign w:val="bottom"/>
            <w:hideMark/>
          </w:tcPr>
          <w:p w:rsidR="001B4120" w:rsidRDefault="001B4120" w:rsidP="00FC57EE">
            <w:pPr>
              <w:pStyle w:val="TableBodyText"/>
              <w:ind w:left="142"/>
              <w:jc w:val="left"/>
            </w:pPr>
            <w:r>
              <w:t>Tasmania</w:t>
            </w:r>
          </w:p>
        </w:tc>
        <w:tc>
          <w:tcPr>
            <w:tcW w:w="760" w:type="pct"/>
            <w:tcBorders>
              <w:top w:val="nil"/>
              <w:left w:val="nil"/>
              <w:bottom w:val="nil"/>
              <w:right w:val="nil"/>
            </w:tcBorders>
            <w:shd w:val="clear" w:color="auto" w:fill="auto"/>
            <w:noWrap/>
            <w:vAlign w:val="bottom"/>
            <w:hideMark/>
          </w:tcPr>
          <w:p w:rsidR="001B4120" w:rsidRDefault="001B4120" w:rsidP="00C60AEC">
            <w:pPr>
              <w:pStyle w:val="TableBodyText"/>
            </w:pPr>
            <w:r>
              <w:t>36.8</w:t>
            </w:r>
          </w:p>
        </w:tc>
        <w:tc>
          <w:tcPr>
            <w:tcW w:w="51" w:type="pct"/>
            <w:tcBorders>
              <w:top w:val="nil"/>
              <w:left w:val="nil"/>
              <w:bottom w:val="nil"/>
              <w:right w:val="nil"/>
            </w:tcBorders>
          </w:tcPr>
          <w:p w:rsidR="001B4120" w:rsidRDefault="001B4120" w:rsidP="00C60AEC">
            <w:pPr>
              <w:pStyle w:val="TableBodyText"/>
            </w:pPr>
          </w:p>
        </w:tc>
        <w:tc>
          <w:tcPr>
            <w:tcW w:w="574" w:type="pct"/>
            <w:tcBorders>
              <w:top w:val="nil"/>
              <w:left w:val="nil"/>
              <w:bottom w:val="nil"/>
              <w:right w:val="nil"/>
            </w:tcBorders>
            <w:shd w:val="clear" w:color="auto" w:fill="auto"/>
            <w:noWrap/>
            <w:vAlign w:val="bottom"/>
            <w:hideMark/>
          </w:tcPr>
          <w:p w:rsidR="001B4120" w:rsidRDefault="001B4120" w:rsidP="00C60AEC">
            <w:pPr>
              <w:pStyle w:val="TableBodyText"/>
            </w:pPr>
            <w:r>
              <w:t>28.4</w:t>
            </w:r>
          </w:p>
        </w:tc>
        <w:tc>
          <w:tcPr>
            <w:tcW w:w="491" w:type="pct"/>
            <w:tcBorders>
              <w:top w:val="nil"/>
              <w:left w:val="nil"/>
              <w:bottom w:val="nil"/>
              <w:right w:val="nil"/>
            </w:tcBorders>
            <w:shd w:val="clear" w:color="auto" w:fill="auto"/>
            <w:noWrap/>
            <w:vAlign w:val="bottom"/>
            <w:hideMark/>
          </w:tcPr>
          <w:p w:rsidR="001B4120" w:rsidRDefault="001B4120" w:rsidP="00C60AEC">
            <w:pPr>
              <w:pStyle w:val="TableBodyText"/>
            </w:pPr>
            <w:r>
              <w:t>-4.1</w:t>
            </w:r>
          </w:p>
        </w:tc>
        <w:tc>
          <w:tcPr>
            <w:tcW w:w="452" w:type="pct"/>
            <w:tcBorders>
              <w:top w:val="nil"/>
              <w:left w:val="nil"/>
              <w:bottom w:val="nil"/>
            </w:tcBorders>
            <w:shd w:val="clear" w:color="auto" w:fill="auto"/>
            <w:noWrap/>
            <w:vAlign w:val="bottom"/>
            <w:hideMark/>
          </w:tcPr>
          <w:p w:rsidR="001B4120" w:rsidRPr="00B56B04" w:rsidRDefault="001B4120" w:rsidP="00F43B4D">
            <w:pPr>
              <w:pStyle w:val="TableBodyText"/>
            </w:pPr>
            <w:r w:rsidRPr="00B56B04">
              <w:t>12.5</w:t>
            </w:r>
          </w:p>
        </w:tc>
        <w:tc>
          <w:tcPr>
            <w:tcW w:w="50" w:type="pct"/>
            <w:tcBorders>
              <w:top w:val="nil"/>
              <w:left w:val="nil"/>
              <w:bottom w:val="nil"/>
            </w:tcBorders>
          </w:tcPr>
          <w:p w:rsidR="001B4120" w:rsidRDefault="001B4120" w:rsidP="00C60AEC">
            <w:pPr>
              <w:pStyle w:val="TableBodyText"/>
            </w:pPr>
          </w:p>
        </w:tc>
        <w:tc>
          <w:tcPr>
            <w:tcW w:w="606" w:type="pct"/>
            <w:tcBorders>
              <w:top w:val="nil"/>
              <w:left w:val="nil"/>
              <w:bottom w:val="nil"/>
              <w:right w:val="nil"/>
            </w:tcBorders>
            <w:vAlign w:val="bottom"/>
          </w:tcPr>
          <w:p w:rsidR="001B4120" w:rsidRDefault="001B4120" w:rsidP="00C60AEC">
            <w:pPr>
              <w:pStyle w:val="TableBodyText"/>
            </w:pPr>
            <w:r>
              <w:t>2.0</w:t>
            </w:r>
          </w:p>
        </w:tc>
        <w:tc>
          <w:tcPr>
            <w:tcW w:w="564" w:type="pct"/>
            <w:tcBorders>
              <w:top w:val="nil"/>
              <w:left w:val="nil"/>
              <w:bottom w:val="nil"/>
              <w:right w:val="nil"/>
            </w:tcBorders>
            <w:vAlign w:val="bottom"/>
          </w:tcPr>
          <w:p w:rsidR="001B4120" w:rsidRDefault="001B4120" w:rsidP="00C60AEC">
            <w:pPr>
              <w:pStyle w:val="TableBodyText"/>
              <w:ind w:right="28"/>
            </w:pPr>
            <w:r>
              <w:t>3.5</w:t>
            </w:r>
          </w:p>
        </w:tc>
      </w:tr>
      <w:tr w:rsidR="001B4120" w:rsidRPr="003B4749" w:rsidTr="00776390">
        <w:trPr>
          <w:trHeight w:val="300"/>
        </w:trPr>
        <w:tc>
          <w:tcPr>
            <w:tcW w:w="1452" w:type="pct"/>
            <w:tcBorders>
              <w:top w:val="nil"/>
              <w:left w:val="nil"/>
              <w:right w:val="nil"/>
            </w:tcBorders>
            <w:shd w:val="clear" w:color="auto" w:fill="auto"/>
            <w:noWrap/>
            <w:vAlign w:val="bottom"/>
            <w:hideMark/>
          </w:tcPr>
          <w:p w:rsidR="001B4120" w:rsidRDefault="001B4120" w:rsidP="00FC57EE">
            <w:pPr>
              <w:pStyle w:val="TableBodyText"/>
              <w:ind w:left="142"/>
              <w:jc w:val="left"/>
            </w:pPr>
            <w:r>
              <w:t>Australian Capital Territory</w:t>
            </w:r>
          </w:p>
        </w:tc>
        <w:tc>
          <w:tcPr>
            <w:tcW w:w="760" w:type="pct"/>
            <w:tcBorders>
              <w:top w:val="nil"/>
              <w:left w:val="nil"/>
              <w:right w:val="nil"/>
            </w:tcBorders>
            <w:shd w:val="clear" w:color="auto" w:fill="auto"/>
            <w:noWrap/>
            <w:vAlign w:val="bottom"/>
            <w:hideMark/>
          </w:tcPr>
          <w:p w:rsidR="001B4120" w:rsidRDefault="001B4120" w:rsidP="00C60AEC">
            <w:pPr>
              <w:pStyle w:val="TableBodyText"/>
            </w:pPr>
            <w:r>
              <w:t>35.6</w:t>
            </w:r>
          </w:p>
        </w:tc>
        <w:tc>
          <w:tcPr>
            <w:tcW w:w="51" w:type="pct"/>
            <w:tcBorders>
              <w:top w:val="nil"/>
              <w:left w:val="nil"/>
              <w:right w:val="nil"/>
            </w:tcBorders>
          </w:tcPr>
          <w:p w:rsidR="001B4120" w:rsidRDefault="001B4120" w:rsidP="00C60AEC">
            <w:pPr>
              <w:pStyle w:val="TableBodyText"/>
            </w:pPr>
          </w:p>
        </w:tc>
        <w:tc>
          <w:tcPr>
            <w:tcW w:w="574" w:type="pct"/>
            <w:tcBorders>
              <w:top w:val="nil"/>
              <w:left w:val="nil"/>
              <w:right w:val="nil"/>
            </w:tcBorders>
            <w:shd w:val="clear" w:color="auto" w:fill="auto"/>
            <w:noWrap/>
            <w:vAlign w:val="bottom"/>
            <w:hideMark/>
          </w:tcPr>
          <w:p w:rsidR="001B4120" w:rsidRDefault="001B4120" w:rsidP="00C60AEC">
            <w:pPr>
              <w:pStyle w:val="TableBodyText"/>
            </w:pPr>
            <w:r>
              <w:t>29.2</w:t>
            </w:r>
          </w:p>
        </w:tc>
        <w:tc>
          <w:tcPr>
            <w:tcW w:w="491" w:type="pct"/>
            <w:tcBorders>
              <w:top w:val="nil"/>
              <w:left w:val="nil"/>
              <w:right w:val="nil"/>
            </w:tcBorders>
            <w:shd w:val="clear" w:color="auto" w:fill="auto"/>
            <w:noWrap/>
            <w:vAlign w:val="bottom"/>
            <w:hideMark/>
          </w:tcPr>
          <w:p w:rsidR="001B4120" w:rsidRDefault="001B4120" w:rsidP="00C60AEC">
            <w:pPr>
              <w:pStyle w:val="TableBodyText"/>
            </w:pPr>
            <w:r>
              <w:t>-3.7</w:t>
            </w:r>
          </w:p>
        </w:tc>
        <w:tc>
          <w:tcPr>
            <w:tcW w:w="452" w:type="pct"/>
            <w:tcBorders>
              <w:top w:val="nil"/>
              <w:left w:val="nil"/>
            </w:tcBorders>
            <w:shd w:val="clear" w:color="auto" w:fill="auto"/>
            <w:noWrap/>
            <w:vAlign w:val="bottom"/>
            <w:hideMark/>
          </w:tcPr>
          <w:p w:rsidR="001B4120" w:rsidRPr="00B56B04" w:rsidRDefault="001B4120" w:rsidP="00F43B4D">
            <w:pPr>
              <w:pStyle w:val="TableBodyText"/>
            </w:pPr>
            <w:r w:rsidRPr="00B56B04">
              <w:t>10.1</w:t>
            </w:r>
          </w:p>
        </w:tc>
        <w:tc>
          <w:tcPr>
            <w:tcW w:w="50" w:type="pct"/>
            <w:tcBorders>
              <w:top w:val="nil"/>
              <w:left w:val="nil"/>
            </w:tcBorders>
          </w:tcPr>
          <w:p w:rsidR="001B4120" w:rsidRDefault="001B4120" w:rsidP="00C60AEC">
            <w:pPr>
              <w:pStyle w:val="TableBodyText"/>
            </w:pPr>
          </w:p>
        </w:tc>
        <w:tc>
          <w:tcPr>
            <w:tcW w:w="606" w:type="pct"/>
            <w:tcBorders>
              <w:top w:val="nil"/>
              <w:left w:val="nil"/>
              <w:right w:val="nil"/>
            </w:tcBorders>
            <w:vAlign w:val="bottom"/>
          </w:tcPr>
          <w:p w:rsidR="001B4120" w:rsidRDefault="001B4120" w:rsidP="00C60AEC">
            <w:pPr>
              <w:pStyle w:val="TableBodyText"/>
            </w:pPr>
            <w:r>
              <w:t>2.1</w:t>
            </w:r>
          </w:p>
        </w:tc>
        <w:tc>
          <w:tcPr>
            <w:tcW w:w="564" w:type="pct"/>
            <w:tcBorders>
              <w:top w:val="nil"/>
              <w:left w:val="nil"/>
              <w:right w:val="nil"/>
            </w:tcBorders>
            <w:vAlign w:val="bottom"/>
          </w:tcPr>
          <w:p w:rsidR="001B4120" w:rsidRDefault="001B4120" w:rsidP="00C60AEC">
            <w:pPr>
              <w:pStyle w:val="TableBodyText"/>
              <w:ind w:right="28"/>
            </w:pPr>
            <w:r>
              <w:t>2.9</w:t>
            </w:r>
          </w:p>
        </w:tc>
      </w:tr>
      <w:tr w:rsidR="001B4120" w:rsidRPr="00D761A0" w:rsidTr="00776390">
        <w:trPr>
          <w:trHeight w:val="300"/>
        </w:trPr>
        <w:tc>
          <w:tcPr>
            <w:tcW w:w="1452" w:type="pct"/>
            <w:tcBorders>
              <w:top w:val="nil"/>
              <w:left w:val="nil"/>
              <w:bottom w:val="single" w:sz="6" w:space="0" w:color="auto"/>
              <w:right w:val="nil"/>
            </w:tcBorders>
            <w:shd w:val="clear" w:color="auto" w:fill="auto"/>
            <w:noWrap/>
            <w:vAlign w:val="bottom"/>
            <w:hideMark/>
          </w:tcPr>
          <w:p w:rsidR="001B4120" w:rsidRPr="00D761A0" w:rsidRDefault="001B4120" w:rsidP="00C60AEC">
            <w:pPr>
              <w:pStyle w:val="TableBodyText"/>
              <w:jc w:val="left"/>
              <w:rPr>
                <w:b/>
              </w:rPr>
            </w:pPr>
            <w:r w:rsidRPr="00D761A0">
              <w:rPr>
                <w:b/>
              </w:rPr>
              <w:t>Australia</w:t>
            </w:r>
          </w:p>
        </w:tc>
        <w:tc>
          <w:tcPr>
            <w:tcW w:w="760" w:type="pct"/>
            <w:tcBorders>
              <w:top w:val="nil"/>
              <w:left w:val="nil"/>
              <w:bottom w:val="single" w:sz="6" w:space="0" w:color="auto"/>
              <w:right w:val="nil"/>
            </w:tcBorders>
            <w:shd w:val="clear" w:color="auto" w:fill="auto"/>
            <w:noWrap/>
            <w:vAlign w:val="bottom"/>
            <w:hideMark/>
          </w:tcPr>
          <w:p w:rsidR="001B4120" w:rsidRPr="00D761A0" w:rsidRDefault="001B4120" w:rsidP="00C60AEC">
            <w:pPr>
              <w:pStyle w:val="TableBodyText"/>
              <w:rPr>
                <w:b/>
              </w:rPr>
            </w:pPr>
            <w:r w:rsidRPr="00D761A0">
              <w:rPr>
                <w:b/>
              </w:rPr>
              <w:t>1</w:t>
            </w:r>
            <w:r>
              <w:rPr>
                <w:b/>
              </w:rPr>
              <w:t xml:space="preserve"> </w:t>
            </w:r>
            <w:r w:rsidRPr="00D761A0">
              <w:rPr>
                <w:b/>
              </w:rPr>
              <w:t>734.4</w:t>
            </w:r>
          </w:p>
        </w:tc>
        <w:tc>
          <w:tcPr>
            <w:tcW w:w="51" w:type="pct"/>
            <w:tcBorders>
              <w:top w:val="nil"/>
              <w:left w:val="nil"/>
              <w:bottom w:val="single" w:sz="6" w:space="0" w:color="auto"/>
              <w:right w:val="nil"/>
            </w:tcBorders>
          </w:tcPr>
          <w:p w:rsidR="001B4120" w:rsidRPr="00D761A0" w:rsidRDefault="001B4120" w:rsidP="00C60AEC">
            <w:pPr>
              <w:pStyle w:val="TableBodyText"/>
              <w:rPr>
                <w:b/>
              </w:rPr>
            </w:pPr>
          </w:p>
        </w:tc>
        <w:tc>
          <w:tcPr>
            <w:tcW w:w="574" w:type="pct"/>
            <w:tcBorders>
              <w:top w:val="nil"/>
              <w:left w:val="nil"/>
              <w:bottom w:val="single" w:sz="6" w:space="0" w:color="auto"/>
              <w:right w:val="nil"/>
            </w:tcBorders>
            <w:shd w:val="clear" w:color="auto" w:fill="auto"/>
            <w:noWrap/>
            <w:vAlign w:val="bottom"/>
            <w:hideMark/>
          </w:tcPr>
          <w:p w:rsidR="001B4120" w:rsidRPr="00D761A0" w:rsidRDefault="001B4120" w:rsidP="00C60AEC">
            <w:pPr>
              <w:pStyle w:val="TableBodyText"/>
              <w:rPr>
                <w:b/>
              </w:rPr>
            </w:pPr>
            <w:r w:rsidRPr="00D761A0">
              <w:rPr>
                <w:b/>
              </w:rPr>
              <w:t>1</w:t>
            </w:r>
            <w:r>
              <w:rPr>
                <w:b/>
              </w:rPr>
              <w:t xml:space="preserve"> </w:t>
            </w:r>
            <w:r w:rsidRPr="00D761A0">
              <w:rPr>
                <w:b/>
              </w:rPr>
              <w:t>400.9</w:t>
            </w:r>
          </w:p>
        </w:tc>
        <w:tc>
          <w:tcPr>
            <w:tcW w:w="491" w:type="pct"/>
            <w:tcBorders>
              <w:top w:val="nil"/>
              <w:left w:val="nil"/>
              <w:bottom w:val="single" w:sz="6" w:space="0" w:color="auto"/>
              <w:right w:val="nil"/>
            </w:tcBorders>
            <w:shd w:val="clear" w:color="auto" w:fill="auto"/>
            <w:noWrap/>
            <w:vAlign w:val="bottom"/>
            <w:hideMark/>
          </w:tcPr>
          <w:p w:rsidR="001B4120" w:rsidRPr="00D761A0" w:rsidRDefault="001B4120" w:rsidP="00C60AEC">
            <w:pPr>
              <w:pStyle w:val="TableBodyText"/>
              <w:rPr>
                <w:b/>
              </w:rPr>
            </w:pPr>
            <w:r w:rsidRPr="00D761A0">
              <w:rPr>
                <w:b/>
              </w:rPr>
              <w:t>-18.3</w:t>
            </w:r>
          </w:p>
        </w:tc>
        <w:tc>
          <w:tcPr>
            <w:tcW w:w="452" w:type="pct"/>
            <w:tcBorders>
              <w:top w:val="nil"/>
              <w:left w:val="nil"/>
              <w:bottom w:val="single" w:sz="6" w:space="0" w:color="auto"/>
            </w:tcBorders>
            <w:shd w:val="clear" w:color="auto" w:fill="auto"/>
            <w:noWrap/>
            <w:vAlign w:val="bottom"/>
            <w:hideMark/>
          </w:tcPr>
          <w:p w:rsidR="001B4120" w:rsidRPr="00D761A0" w:rsidRDefault="001B4120" w:rsidP="00F43B4D">
            <w:pPr>
              <w:pStyle w:val="TableBodyText"/>
              <w:rPr>
                <w:b/>
              </w:rPr>
            </w:pPr>
            <w:r w:rsidRPr="00D761A0">
              <w:rPr>
                <w:b/>
              </w:rPr>
              <w:t>351.8</w:t>
            </w:r>
          </w:p>
        </w:tc>
        <w:tc>
          <w:tcPr>
            <w:tcW w:w="50" w:type="pct"/>
            <w:tcBorders>
              <w:top w:val="nil"/>
              <w:left w:val="nil"/>
              <w:bottom w:val="single" w:sz="6" w:space="0" w:color="auto"/>
            </w:tcBorders>
          </w:tcPr>
          <w:p w:rsidR="001B4120" w:rsidRPr="00D761A0" w:rsidRDefault="001B4120" w:rsidP="00C60AEC">
            <w:pPr>
              <w:pStyle w:val="TableBodyText"/>
              <w:rPr>
                <w:b/>
              </w:rPr>
            </w:pPr>
          </w:p>
        </w:tc>
        <w:tc>
          <w:tcPr>
            <w:tcW w:w="606" w:type="pct"/>
            <w:tcBorders>
              <w:top w:val="nil"/>
              <w:left w:val="nil"/>
              <w:bottom w:val="single" w:sz="6" w:space="0" w:color="auto"/>
              <w:right w:val="nil"/>
            </w:tcBorders>
            <w:vAlign w:val="bottom"/>
          </w:tcPr>
          <w:p w:rsidR="001B4120" w:rsidRPr="00D761A0" w:rsidRDefault="001B4120" w:rsidP="00C60AEC">
            <w:pPr>
              <w:pStyle w:val="TableBodyText"/>
              <w:rPr>
                <w:b/>
              </w:rPr>
            </w:pPr>
            <w:r w:rsidRPr="00D761A0">
              <w:rPr>
                <w:b/>
              </w:rPr>
              <w:t>100.0</w:t>
            </w:r>
          </w:p>
        </w:tc>
        <w:tc>
          <w:tcPr>
            <w:tcW w:w="564" w:type="pct"/>
            <w:tcBorders>
              <w:top w:val="nil"/>
              <w:left w:val="nil"/>
              <w:bottom w:val="single" w:sz="6" w:space="0" w:color="auto"/>
              <w:right w:val="nil"/>
            </w:tcBorders>
            <w:vAlign w:val="bottom"/>
          </w:tcPr>
          <w:p w:rsidR="001B4120" w:rsidRPr="000A0506" w:rsidRDefault="001B4120" w:rsidP="00C60AEC">
            <w:pPr>
              <w:pStyle w:val="TableBodyText"/>
              <w:ind w:right="28"/>
              <w:rPr>
                <w:b/>
              </w:rPr>
            </w:pPr>
            <w:r w:rsidRPr="000A0506">
              <w:rPr>
                <w:b/>
              </w:rPr>
              <w:t>100.0</w:t>
            </w:r>
          </w:p>
        </w:tc>
      </w:tr>
    </w:tbl>
    <w:p w:rsidR="00A6340D" w:rsidRDefault="00A6340D" w:rsidP="00A6340D">
      <w:pPr>
        <w:pStyle w:val="Note"/>
      </w:pPr>
      <w:proofErr w:type="spellStart"/>
      <w:r w:rsidRPr="00616401">
        <w:rPr>
          <w:rStyle w:val="NoteLabel"/>
        </w:rPr>
        <w:t>a</w:t>
      </w:r>
      <w:proofErr w:type="spellEnd"/>
      <w:r>
        <w:t xml:space="preserve"> The source data contain a break in series. Estimates for 2001 are for August, and 2011 estimates are for November. The effect of this </w:t>
      </w:r>
      <w:r w:rsidR="009E34EA">
        <w:t>b</w:t>
      </w:r>
      <w:r w:rsidR="00765DD9">
        <w:t>reak is discussed at footnote 49</w:t>
      </w:r>
      <w:r>
        <w:t>.</w:t>
      </w:r>
    </w:p>
    <w:p w:rsidR="00A6340D" w:rsidRPr="002D362D" w:rsidRDefault="00A6340D" w:rsidP="00A6340D">
      <w:pPr>
        <w:pStyle w:val="Source"/>
        <w:rPr>
          <w:spacing w:val="-2"/>
        </w:rPr>
      </w:pPr>
      <w:r w:rsidRPr="002D362D">
        <w:rPr>
          <w:i/>
          <w:spacing w:val="-2"/>
        </w:rPr>
        <w:t>Source</w:t>
      </w:r>
      <w:r w:rsidRPr="002D362D">
        <w:rPr>
          <w:spacing w:val="-2"/>
        </w:rPr>
        <w:t xml:space="preserve">: </w:t>
      </w:r>
      <w:r w:rsidR="00971BAD">
        <w:rPr>
          <w:spacing w:val="-2"/>
        </w:rPr>
        <w:t>Authors’</w:t>
      </w:r>
      <w:r w:rsidRPr="002D362D">
        <w:rPr>
          <w:spacing w:val="-2"/>
        </w:rPr>
        <w:t xml:space="preserve"> estimates based on ABS </w:t>
      </w:r>
      <w:r w:rsidR="002D362D" w:rsidRPr="002D362D">
        <w:rPr>
          <w:spacing w:val="-2"/>
        </w:rPr>
        <w:t>(</w:t>
      </w:r>
      <w:r w:rsidRPr="002D362D">
        <w:rPr>
          <w:i/>
          <w:spacing w:val="-2"/>
        </w:rPr>
        <w:t>Australian Labour Market Statistics</w:t>
      </w:r>
      <w:r w:rsidRPr="002D362D">
        <w:rPr>
          <w:spacing w:val="-2"/>
        </w:rPr>
        <w:t>, Cat. no. 6105.0</w:t>
      </w:r>
      <w:r w:rsidR="002D362D" w:rsidRPr="002D362D">
        <w:rPr>
          <w:spacing w:val="-2"/>
        </w:rPr>
        <w:t>)</w:t>
      </w:r>
      <w:r w:rsidRPr="002D362D">
        <w:rPr>
          <w:spacing w:val="-2"/>
        </w:rPr>
        <w:t>.</w:t>
      </w:r>
    </w:p>
    <w:p w:rsidR="00A6340D" w:rsidRDefault="00A6340D" w:rsidP="00A6340D">
      <w:pPr>
        <w:pStyle w:val="TableTitle"/>
      </w:pPr>
      <w:r>
        <w:rPr>
          <w:b w:val="0"/>
        </w:rPr>
        <w:t xml:space="preserve">Table </w:t>
      </w:r>
      <w:bookmarkStart w:id="9" w:name="OLE_LINK6"/>
      <w:proofErr w:type="spellStart"/>
      <w:r>
        <w:rPr>
          <w:b w:val="0"/>
        </w:rPr>
        <w:t>E.</w:t>
      </w:r>
      <w:r>
        <w:rPr>
          <w:b w:val="0"/>
          <w:noProof/>
        </w:rPr>
        <w:t>6</w:t>
      </w:r>
      <w:bookmarkEnd w:id="9"/>
      <w:proofErr w:type="spellEnd"/>
      <w:r>
        <w:tab/>
      </w:r>
      <w:r w:rsidR="00642CC7">
        <w:t>Shift–share analysis for casual employees</w:t>
      </w:r>
    </w:p>
    <w:tbl>
      <w:tblPr>
        <w:tblW w:w="5000" w:type="pct"/>
        <w:tblLayout w:type="fixed"/>
        <w:tblCellMar>
          <w:left w:w="0" w:type="dxa"/>
          <w:right w:w="0" w:type="dxa"/>
        </w:tblCellMar>
        <w:tblLook w:val="04A0" w:firstRow="1" w:lastRow="0" w:firstColumn="1" w:lastColumn="0" w:noHBand="0" w:noVBand="1"/>
      </w:tblPr>
      <w:tblGrid>
        <w:gridCol w:w="2536"/>
        <w:gridCol w:w="1317"/>
        <w:gridCol w:w="88"/>
        <w:gridCol w:w="923"/>
        <w:gridCol w:w="860"/>
        <w:gridCol w:w="861"/>
        <w:gridCol w:w="88"/>
        <w:gridCol w:w="1114"/>
        <w:gridCol w:w="1002"/>
      </w:tblGrid>
      <w:tr w:rsidR="00E05C0E" w:rsidRPr="0080021B" w:rsidTr="00776390">
        <w:trPr>
          <w:trHeight w:val="300"/>
        </w:trPr>
        <w:tc>
          <w:tcPr>
            <w:tcW w:w="1434" w:type="pct"/>
            <w:tcBorders>
              <w:top w:val="single" w:sz="6" w:space="0" w:color="auto"/>
              <w:left w:val="nil"/>
              <w:right w:val="nil"/>
            </w:tcBorders>
            <w:shd w:val="clear" w:color="auto" w:fill="auto"/>
            <w:noWrap/>
            <w:vAlign w:val="bottom"/>
          </w:tcPr>
          <w:p w:rsidR="006C24FC" w:rsidRPr="003B4749" w:rsidRDefault="006C24FC" w:rsidP="00C60AEC">
            <w:pPr>
              <w:pStyle w:val="TableColumnHeading"/>
            </w:pPr>
          </w:p>
        </w:tc>
        <w:tc>
          <w:tcPr>
            <w:tcW w:w="744" w:type="pct"/>
            <w:tcBorders>
              <w:top w:val="single" w:sz="6" w:space="0" w:color="auto"/>
              <w:left w:val="nil"/>
              <w:bottom w:val="single" w:sz="6" w:space="0" w:color="auto"/>
              <w:right w:val="nil"/>
            </w:tcBorders>
            <w:shd w:val="clear" w:color="auto" w:fill="auto"/>
            <w:noWrap/>
            <w:vAlign w:val="bottom"/>
          </w:tcPr>
          <w:p w:rsidR="006C24FC" w:rsidRPr="003B4749" w:rsidRDefault="006C24FC" w:rsidP="00B65FC2">
            <w:pPr>
              <w:pStyle w:val="TableColumnHeading"/>
              <w:jc w:val="center"/>
            </w:pPr>
            <w:r>
              <w:t>Change</w:t>
            </w:r>
          </w:p>
        </w:tc>
        <w:tc>
          <w:tcPr>
            <w:tcW w:w="50" w:type="pct"/>
            <w:tcBorders>
              <w:top w:val="single" w:sz="6" w:space="0" w:color="auto"/>
              <w:left w:val="nil"/>
              <w:right w:val="nil"/>
            </w:tcBorders>
          </w:tcPr>
          <w:p w:rsidR="006C24FC" w:rsidRDefault="006C24FC" w:rsidP="00C60AEC">
            <w:pPr>
              <w:pStyle w:val="TableColumnHeading"/>
              <w:jc w:val="center"/>
            </w:pPr>
          </w:p>
        </w:tc>
        <w:tc>
          <w:tcPr>
            <w:tcW w:w="1495" w:type="pct"/>
            <w:gridSpan w:val="3"/>
            <w:tcBorders>
              <w:top w:val="single" w:sz="6" w:space="0" w:color="auto"/>
              <w:left w:val="nil"/>
              <w:bottom w:val="single" w:sz="6" w:space="0" w:color="auto"/>
            </w:tcBorders>
            <w:shd w:val="clear" w:color="auto" w:fill="auto"/>
            <w:noWrap/>
            <w:vAlign w:val="bottom"/>
          </w:tcPr>
          <w:p w:rsidR="006C24FC" w:rsidRPr="003B4749" w:rsidRDefault="006C24FC" w:rsidP="00C60AEC">
            <w:pPr>
              <w:pStyle w:val="TableColumnHeading"/>
              <w:jc w:val="center"/>
            </w:pPr>
            <w:r>
              <w:t>Decomposition</w:t>
            </w:r>
          </w:p>
        </w:tc>
        <w:tc>
          <w:tcPr>
            <w:tcW w:w="50" w:type="pct"/>
            <w:tcBorders>
              <w:top w:val="single" w:sz="6" w:space="0" w:color="auto"/>
              <w:left w:val="nil"/>
              <w:right w:val="nil"/>
            </w:tcBorders>
          </w:tcPr>
          <w:p w:rsidR="006C24FC" w:rsidRDefault="006C24FC" w:rsidP="00C60AEC">
            <w:pPr>
              <w:pStyle w:val="TableUnitsRow"/>
              <w:ind w:right="28"/>
              <w:jc w:val="center"/>
              <w:rPr>
                <w:i/>
              </w:rPr>
            </w:pPr>
          </w:p>
        </w:tc>
        <w:tc>
          <w:tcPr>
            <w:tcW w:w="1196" w:type="pct"/>
            <w:gridSpan w:val="2"/>
            <w:tcBorders>
              <w:top w:val="single" w:sz="6" w:space="0" w:color="auto"/>
              <w:left w:val="nil"/>
              <w:bottom w:val="single" w:sz="6" w:space="0" w:color="auto"/>
            </w:tcBorders>
          </w:tcPr>
          <w:p w:rsidR="006C24FC" w:rsidRPr="0080021B" w:rsidRDefault="006C24FC" w:rsidP="00C60AEC">
            <w:pPr>
              <w:pStyle w:val="TableUnitsRow"/>
              <w:ind w:right="28"/>
              <w:jc w:val="center"/>
              <w:rPr>
                <w:i/>
              </w:rPr>
            </w:pPr>
            <w:r>
              <w:rPr>
                <w:i/>
              </w:rPr>
              <w:t>Share of:</w:t>
            </w:r>
          </w:p>
        </w:tc>
      </w:tr>
      <w:tr w:rsidR="00E05C0E" w:rsidRPr="003B4749" w:rsidTr="00776390">
        <w:trPr>
          <w:trHeight w:val="300"/>
        </w:trPr>
        <w:tc>
          <w:tcPr>
            <w:tcW w:w="1434" w:type="pct"/>
            <w:tcBorders>
              <w:left w:val="nil"/>
              <w:bottom w:val="single" w:sz="6" w:space="0" w:color="auto"/>
              <w:right w:val="nil"/>
            </w:tcBorders>
            <w:shd w:val="clear" w:color="auto" w:fill="auto"/>
            <w:noWrap/>
            <w:vAlign w:val="bottom"/>
          </w:tcPr>
          <w:p w:rsidR="006C24FC" w:rsidRPr="003B4749" w:rsidRDefault="006C24FC" w:rsidP="00C60AEC">
            <w:pPr>
              <w:pStyle w:val="TableColumnHeading"/>
            </w:pPr>
          </w:p>
        </w:tc>
        <w:tc>
          <w:tcPr>
            <w:tcW w:w="744" w:type="pct"/>
            <w:tcBorders>
              <w:top w:val="single" w:sz="6" w:space="0" w:color="auto"/>
              <w:left w:val="nil"/>
              <w:bottom w:val="single" w:sz="6" w:space="0" w:color="auto"/>
              <w:right w:val="nil"/>
            </w:tcBorders>
            <w:shd w:val="clear" w:color="auto" w:fill="auto"/>
            <w:noWrap/>
            <w:vAlign w:val="bottom"/>
          </w:tcPr>
          <w:p w:rsidR="006C24FC" w:rsidRPr="003B4749" w:rsidRDefault="006C24FC" w:rsidP="00C60AEC">
            <w:pPr>
              <w:pStyle w:val="TableColumnHeading"/>
            </w:pPr>
            <w:r w:rsidRPr="003B4749">
              <w:t>2001 to 201</w:t>
            </w:r>
            <w:r>
              <w:t>1</w:t>
            </w:r>
          </w:p>
        </w:tc>
        <w:tc>
          <w:tcPr>
            <w:tcW w:w="50" w:type="pct"/>
            <w:tcBorders>
              <w:left w:val="nil"/>
              <w:bottom w:val="single" w:sz="6" w:space="0" w:color="auto"/>
              <w:right w:val="nil"/>
            </w:tcBorders>
          </w:tcPr>
          <w:p w:rsidR="006C24FC" w:rsidRPr="003B4749" w:rsidRDefault="006C24FC" w:rsidP="00C60AEC">
            <w:pPr>
              <w:pStyle w:val="TableColumnHeading"/>
            </w:pPr>
          </w:p>
        </w:tc>
        <w:tc>
          <w:tcPr>
            <w:tcW w:w="522" w:type="pct"/>
            <w:tcBorders>
              <w:top w:val="single" w:sz="6" w:space="0" w:color="auto"/>
              <w:left w:val="nil"/>
              <w:bottom w:val="single" w:sz="6" w:space="0" w:color="auto"/>
              <w:right w:val="nil"/>
            </w:tcBorders>
            <w:shd w:val="clear" w:color="auto" w:fill="auto"/>
            <w:noWrap/>
            <w:vAlign w:val="bottom"/>
          </w:tcPr>
          <w:p w:rsidR="006C24FC" w:rsidRPr="003B4749" w:rsidRDefault="006C24FC" w:rsidP="00C60AEC">
            <w:pPr>
              <w:pStyle w:val="TableColumnHeading"/>
            </w:pPr>
            <w:r w:rsidRPr="003B4749">
              <w:t>Growth</w:t>
            </w:r>
          </w:p>
        </w:tc>
        <w:tc>
          <w:tcPr>
            <w:tcW w:w="486" w:type="pct"/>
            <w:tcBorders>
              <w:top w:val="single" w:sz="6" w:space="0" w:color="auto"/>
              <w:left w:val="nil"/>
              <w:bottom w:val="single" w:sz="6" w:space="0" w:color="auto"/>
              <w:right w:val="nil"/>
            </w:tcBorders>
            <w:shd w:val="clear" w:color="auto" w:fill="auto"/>
            <w:noWrap/>
            <w:vAlign w:val="bottom"/>
          </w:tcPr>
          <w:p w:rsidR="006C24FC" w:rsidRPr="003B4749" w:rsidRDefault="006C24FC" w:rsidP="00C60AEC">
            <w:pPr>
              <w:pStyle w:val="TableColumnHeading"/>
            </w:pPr>
            <w:r w:rsidRPr="003B4749">
              <w:t>Share</w:t>
            </w:r>
          </w:p>
        </w:tc>
        <w:tc>
          <w:tcPr>
            <w:tcW w:w="487" w:type="pct"/>
            <w:tcBorders>
              <w:top w:val="single" w:sz="6" w:space="0" w:color="auto"/>
              <w:left w:val="nil"/>
              <w:bottom w:val="single" w:sz="6" w:space="0" w:color="auto"/>
            </w:tcBorders>
            <w:shd w:val="clear" w:color="auto" w:fill="auto"/>
            <w:noWrap/>
            <w:vAlign w:val="bottom"/>
          </w:tcPr>
          <w:p w:rsidR="006C24FC" w:rsidRPr="00F43B4D" w:rsidRDefault="006C24FC" w:rsidP="00F43B4D">
            <w:pPr>
              <w:pStyle w:val="TableColumnHeading"/>
            </w:pPr>
            <w:r w:rsidRPr="00DF27FF">
              <w:t>Shift</w:t>
            </w:r>
          </w:p>
        </w:tc>
        <w:tc>
          <w:tcPr>
            <w:tcW w:w="50" w:type="pct"/>
            <w:tcBorders>
              <w:left w:val="nil"/>
              <w:bottom w:val="single" w:sz="6" w:space="0" w:color="auto"/>
            </w:tcBorders>
          </w:tcPr>
          <w:p w:rsidR="006C24FC" w:rsidRDefault="006C24FC" w:rsidP="00F43B4D">
            <w:pPr>
              <w:pStyle w:val="TableColumnHeading"/>
            </w:pPr>
          </w:p>
        </w:tc>
        <w:tc>
          <w:tcPr>
            <w:tcW w:w="630" w:type="pct"/>
            <w:tcBorders>
              <w:top w:val="single" w:sz="6" w:space="0" w:color="auto"/>
              <w:left w:val="nil"/>
              <w:bottom w:val="single" w:sz="6" w:space="0" w:color="auto"/>
              <w:right w:val="nil"/>
            </w:tcBorders>
          </w:tcPr>
          <w:p w:rsidR="006C24FC" w:rsidRPr="00F43B4D" w:rsidRDefault="006C24FC" w:rsidP="00F43B4D">
            <w:pPr>
              <w:pStyle w:val="TableColumnHeading"/>
            </w:pPr>
            <w:r>
              <w:t>2001 emp.</w:t>
            </w:r>
          </w:p>
        </w:tc>
        <w:tc>
          <w:tcPr>
            <w:tcW w:w="566" w:type="pct"/>
            <w:tcBorders>
              <w:top w:val="single" w:sz="6" w:space="0" w:color="auto"/>
              <w:left w:val="nil"/>
              <w:bottom w:val="single" w:sz="6" w:space="0" w:color="auto"/>
              <w:right w:val="nil"/>
            </w:tcBorders>
          </w:tcPr>
          <w:p w:rsidR="006C24FC" w:rsidRPr="00DF27FF" w:rsidRDefault="006C24FC" w:rsidP="00C60AEC">
            <w:pPr>
              <w:pStyle w:val="TableUnitsRow"/>
              <w:ind w:right="28"/>
              <w:rPr>
                <w:i/>
              </w:rPr>
            </w:pPr>
            <w:r>
              <w:rPr>
                <w:i/>
              </w:rPr>
              <w:t>Shift effect</w:t>
            </w:r>
          </w:p>
        </w:tc>
      </w:tr>
      <w:tr w:rsidR="00E05C0E" w:rsidRPr="003B4749" w:rsidTr="00E05C0E">
        <w:trPr>
          <w:trHeight w:val="300"/>
        </w:trPr>
        <w:tc>
          <w:tcPr>
            <w:tcW w:w="1434" w:type="pct"/>
            <w:tcBorders>
              <w:top w:val="single" w:sz="6" w:space="0" w:color="auto"/>
              <w:left w:val="nil"/>
              <w:bottom w:val="nil"/>
              <w:right w:val="nil"/>
            </w:tcBorders>
            <w:shd w:val="clear" w:color="auto" w:fill="auto"/>
            <w:noWrap/>
            <w:vAlign w:val="bottom"/>
            <w:hideMark/>
          </w:tcPr>
          <w:p w:rsidR="006C24FC" w:rsidRPr="003B4749" w:rsidRDefault="006C24FC" w:rsidP="00C60AEC">
            <w:pPr>
              <w:pStyle w:val="TableUnitsRow"/>
              <w:jc w:val="left"/>
            </w:pPr>
          </w:p>
        </w:tc>
        <w:tc>
          <w:tcPr>
            <w:tcW w:w="744" w:type="pct"/>
            <w:tcBorders>
              <w:top w:val="single" w:sz="6" w:space="0" w:color="auto"/>
              <w:left w:val="nil"/>
              <w:bottom w:val="nil"/>
              <w:right w:val="nil"/>
            </w:tcBorders>
            <w:shd w:val="clear" w:color="auto" w:fill="auto"/>
            <w:noWrap/>
            <w:vAlign w:val="bottom"/>
          </w:tcPr>
          <w:p w:rsidR="006C24FC" w:rsidRPr="003B4749" w:rsidRDefault="006C24FC" w:rsidP="00C60AEC">
            <w:pPr>
              <w:pStyle w:val="TableUnitsRow"/>
            </w:pPr>
            <w:r>
              <w:t>’000</w:t>
            </w:r>
          </w:p>
        </w:tc>
        <w:tc>
          <w:tcPr>
            <w:tcW w:w="50" w:type="pct"/>
            <w:tcBorders>
              <w:top w:val="single" w:sz="6" w:space="0" w:color="auto"/>
              <w:left w:val="nil"/>
              <w:bottom w:val="nil"/>
              <w:right w:val="nil"/>
            </w:tcBorders>
          </w:tcPr>
          <w:p w:rsidR="006C24FC" w:rsidRDefault="006C24FC" w:rsidP="00C60AEC">
            <w:pPr>
              <w:pStyle w:val="TableUnitsRow"/>
            </w:pPr>
          </w:p>
        </w:tc>
        <w:tc>
          <w:tcPr>
            <w:tcW w:w="522" w:type="pct"/>
            <w:tcBorders>
              <w:top w:val="single" w:sz="6" w:space="0" w:color="auto"/>
              <w:left w:val="nil"/>
              <w:bottom w:val="nil"/>
              <w:right w:val="nil"/>
            </w:tcBorders>
            <w:shd w:val="clear" w:color="auto" w:fill="auto"/>
            <w:noWrap/>
            <w:vAlign w:val="bottom"/>
          </w:tcPr>
          <w:p w:rsidR="006C24FC" w:rsidRPr="003B4749" w:rsidRDefault="006C24FC" w:rsidP="00C60AEC">
            <w:pPr>
              <w:pStyle w:val="TableUnitsRow"/>
            </w:pPr>
            <w:r>
              <w:t>’000</w:t>
            </w:r>
          </w:p>
        </w:tc>
        <w:tc>
          <w:tcPr>
            <w:tcW w:w="486" w:type="pct"/>
            <w:tcBorders>
              <w:top w:val="single" w:sz="6" w:space="0" w:color="auto"/>
              <w:left w:val="nil"/>
              <w:bottom w:val="nil"/>
              <w:right w:val="nil"/>
            </w:tcBorders>
            <w:shd w:val="clear" w:color="auto" w:fill="auto"/>
            <w:noWrap/>
            <w:vAlign w:val="bottom"/>
          </w:tcPr>
          <w:p w:rsidR="006C24FC" w:rsidRPr="003B4749" w:rsidRDefault="006C24FC" w:rsidP="00C60AEC">
            <w:pPr>
              <w:pStyle w:val="TableUnitsRow"/>
            </w:pPr>
            <w:r>
              <w:t>’000</w:t>
            </w:r>
          </w:p>
        </w:tc>
        <w:tc>
          <w:tcPr>
            <w:tcW w:w="487" w:type="pct"/>
            <w:tcBorders>
              <w:top w:val="single" w:sz="6" w:space="0" w:color="auto"/>
              <w:left w:val="nil"/>
              <w:bottom w:val="nil"/>
            </w:tcBorders>
            <w:shd w:val="clear" w:color="auto" w:fill="auto"/>
            <w:noWrap/>
            <w:vAlign w:val="bottom"/>
          </w:tcPr>
          <w:p w:rsidR="006C24FC" w:rsidRPr="00FF2B26" w:rsidRDefault="006C24FC" w:rsidP="00F43B4D">
            <w:pPr>
              <w:pStyle w:val="TableUnitsRow"/>
            </w:pPr>
            <w:r>
              <w:t>’</w:t>
            </w:r>
            <w:r w:rsidRPr="00FF2B26">
              <w:t>000</w:t>
            </w:r>
          </w:p>
        </w:tc>
        <w:tc>
          <w:tcPr>
            <w:tcW w:w="50" w:type="pct"/>
            <w:tcBorders>
              <w:top w:val="single" w:sz="6" w:space="0" w:color="auto"/>
              <w:left w:val="nil"/>
              <w:bottom w:val="nil"/>
            </w:tcBorders>
          </w:tcPr>
          <w:p w:rsidR="006C24FC" w:rsidRDefault="006C24FC" w:rsidP="00F43B4D">
            <w:pPr>
              <w:pStyle w:val="TableUnitsRow"/>
            </w:pPr>
          </w:p>
        </w:tc>
        <w:tc>
          <w:tcPr>
            <w:tcW w:w="630" w:type="pct"/>
            <w:tcBorders>
              <w:top w:val="single" w:sz="6" w:space="0" w:color="auto"/>
              <w:left w:val="nil"/>
              <w:bottom w:val="nil"/>
              <w:right w:val="nil"/>
            </w:tcBorders>
          </w:tcPr>
          <w:p w:rsidR="006C24FC" w:rsidRPr="00FF2B26" w:rsidRDefault="006C24FC" w:rsidP="00F43B4D">
            <w:pPr>
              <w:pStyle w:val="TableUnitsRow"/>
            </w:pPr>
            <w:r>
              <w:t>%</w:t>
            </w:r>
          </w:p>
        </w:tc>
        <w:tc>
          <w:tcPr>
            <w:tcW w:w="566" w:type="pct"/>
            <w:tcBorders>
              <w:top w:val="single" w:sz="6" w:space="0" w:color="auto"/>
              <w:left w:val="nil"/>
              <w:bottom w:val="nil"/>
              <w:right w:val="nil"/>
            </w:tcBorders>
          </w:tcPr>
          <w:p w:rsidR="006C24FC" w:rsidRPr="00FF2B26" w:rsidRDefault="006C24FC" w:rsidP="00C60AEC">
            <w:pPr>
              <w:pStyle w:val="TableUnitsRow"/>
              <w:ind w:right="28"/>
            </w:pPr>
            <w:r>
              <w:t>%</w:t>
            </w:r>
          </w:p>
        </w:tc>
      </w:tr>
      <w:tr w:rsidR="006C24FC" w:rsidRPr="000A0506" w:rsidTr="00776390">
        <w:trPr>
          <w:trHeight w:val="300"/>
        </w:trPr>
        <w:tc>
          <w:tcPr>
            <w:tcW w:w="1434" w:type="pct"/>
            <w:tcBorders>
              <w:top w:val="nil"/>
              <w:left w:val="nil"/>
              <w:bottom w:val="nil"/>
              <w:right w:val="nil"/>
            </w:tcBorders>
            <w:shd w:val="clear" w:color="auto" w:fill="auto"/>
            <w:noWrap/>
            <w:vAlign w:val="bottom"/>
          </w:tcPr>
          <w:p w:rsidR="006C24FC" w:rsidRPr="000A0506" w:rsidRDefault="006C24FC" w:rsidP="00C60AEC">
            <w:pPr>
              <w:pStyle w:val="TableBodyText"/>
              <w:jc w:val="left"/>
              <w:rPr>
                <w:b/>
              </w:rPr>
            </w:pPr>
            <w:r w:rsidRPr="000A0506">
              <w:rPr>
                <w:b/>
              </w:rPr>
              <w:t>Mining</w:t>
            </w:r>
          </w:p>
        </w:tc>
        <w:tc>
          <w:tcPr>
            <w:tcW w:w="744" w:type="pct"/>
            <w:tcBorders>
              <w:top w:val="nil"/>
              <w:left w:val="nil"/>
              <w:bottom w:val="nil"/>
              <w:right w:val="nil"/>
            </w:tcBorders>
            <w:shd w:val="clear" w:color="auto" w:fill="auto"/>
            <w:noWrap/>
            <w:vAlign w:val="bottom"/>
          </w:tcPr>
          <w:p w:rsidR="006C24FC" w:rsidRPr="000A0506" w:rsidRDefault="006C24FC" w:rsidP="00C60AEC">
            <w:pPr>
              <w:pStyle w:val="TableBodyText"/>
              <w:rPr>
                <w:b/>
              </w:rPr>
            </w:pPr>
            <w:r w:rsidRPr="000A0506">
              <w:rPr>
                <w:b/>
              </w:rPr>
              <w:t>171.5</w:t>
            </w:r>
          </w:p>
        </w:tc>
        <w:tc>
          <w:tcPr>
            <w:tcW w:w="50" w:type="pct"/>
            <w:tcBorders>
              <w:top w:val="nil"/>
              <w:left w:val="nil"/>
              <w:bottom w:val="nil"/>
              <w:right w:val="nil"/>
            </w:tcBorders>
          </w:tcPr>
          <w:p w:rsidR="006C24FC" w:rsidRPr="000A0506" w:rsidRDefault="006C24FC" w:rsidP="00C60AEC">
            <w:pPr>
              <w:pStyle w:val="TableBodyText"/>
              <w:rPr>
                <w:b/>
              </w:rPr>
            </w:pPr>
          </w:p>
        </w:tc>
        <w:tc>
          <w:tcPr>
            <w:tcW w:w="522" w:type="pct"/>
            <w:tcBorders>
              <w:top w:val="nil"/>
              <w:left w:val="nil"/>
              <w:bottom w:val="nil"/>
              <w:right w:val="nil"/>
            </w:tcBorders>
            <w:shd w:val="clear" w:color="auto" w:fill="auto"/>
            <w:noWrap/>
            <w:vAlign w:val="bottom"/>
          </w:tcPr>
          <w:p w:rsidR="006C24FC" w:rsidRPr="000A0506" w:rsidRDefault="006C24FC" w:rsidP="00C60AEC">
            <w:pPr>
              <w:pStyle w:val="TableBodyText"/>
              <w:rPr>
                <w:b/>
              </w:rPr>
            </w:pPr>
            <w:r w:rsidRPr="000A0506">
              <w:rPr>
                <w:b/>
              </w:rPr>
              <w:t>156.6</w:t>
            </w:r>
          </w:p>
        </w:tc>
        <w:tc>
          <w:tcPr>
            <w:tcW w:w="486" w:type="pct"/>
            <w:tcBorders>
              <w:top w:val="nil"/>
              <w:left w:val="nil"/>
              <w:bottom w:val="nil"/>
              <w:right w:val="nil"/>
            </w:tcBorders>
            <w:shd w:val="clear" w:color="auto" w:fill="auto"/>
            <w:noWrap/>
            <w:vAlign w:val="bottom"/>
          </w:tcPr>
          <w:p w:rsidR="006C24FC" w:rsidRPr="000A0506" w:rsidRDefault="006C24FC" w:rsidP="00C60AEC">
            <w:pPr>
              <w:pStyle w:val="TableBodyText"/>
              <w:rPr>
                <w:b/>
              </w:rPr>
            </w:pPr>
            <w:r w:rsidRPr="000A0506">
              <w:rPr>
                <w:b/>
              </w:rPr>
              <w:t>72.4</w:t>
            </w:r>
          </w:p>
        </w:tc>
        <w:tc>
          <w:tcPr>
            <w:tcW w:w="487" w:type="pct"/>
            <w:tcBorders>
              <w:top w:val="nil"/>
              <w:left w:val="nil"/>
              <w:bottom w:val="nil"/>
            </w:tcBorders>
            <w:shd w:val="clear" w:color="auto" w:fill="auto"/>
            <w:noWrap/>
            <w:vAlign w:val="bottom"/>
          </w:tcPr>
          <w:p w:rsidR="006C24FC" w:rsidRPr="000A0506" w:rsidRDefault="006C24FC" w:rsidP="00F43B4D">
            <w:pPr>
              <w:pStyle w:val="TableBodyText"/>
              <w:rPr>
                <w:b/>
              </w:rPr>
            </w:pPr>
            <w:r w:rsidRPr="000A0506">
              <w:rPr>
                <w:b/>
              </w:rPr>
              <w:t>-57.5</w:t>
            </w:r>
          </w:p>
        </w:tc>
        <w:tc>
          <w:tcPr>
            <w:tcW w:w="50" w:type="pct"/>
            <w:tcBorders>
              <w:top w:val="nil"/>
              <w:left w:val="nil"/>
              <w:bottom w:val="nil"/>
            </w:tcBorders>
          </w:tcPr>
          <w:p w:rsidR="006C24FC" w:rsidRPr="000A0506" w:rsidRDefault="006C24FC" w:rsidP="00C60AEC">
            <w:pPr>
              <w:pStyle w:val="TableBodyText"/>
              <w:rPr>
                <w:b/>
              </w:rPr>
            </w:pPr>
          </w:p>
        </w:tc>
        <w:tc>
          <w:tcPr>
            <w:tcW w:w="630" w:type="pct"/>
            <w:tcBorders>
              <w:top w:val="nil"/>
              <w:left w:val="nil"/>
              <w:bottom w:val="nil"/>
              <w:right w:val="nil"/>
            </w:tcBorders>
            <w:vAlign w:val="bottom"/>
          </w:tcPr>
          <w:p w:rsidR="006C24FC" w:rsidRPr="000A0506" w:rsidRDefault="006C24FC" w:rsidP="00C60AEC">
            <w:pPr>
              <w:pStyle w:val="TableBodyText"/>
              <w:rPr>
                <w:b/>
              </w:rPr>
            </w:pPr>
            <w:r w:rsidRPr="000A0506">
              <w:rPr>
                <w:b/>
              </w:rPr>
              <w:t>33.4</w:t>
            </w:r>
          </w:p>
        </w:tc>
        <w:tc>
          <w:tcPr>
            <w:tcW w:w="566" w:type="pct"/>
            <w:tcBorders>
              <w:top w:val="nil"/>
              <w:left w:val="nil"/>
              <w:bottom w:val="nil"/>
              <w:right w:val="nil"/>
            </w:tcBorders>
            <w:vAlign w:val="bottom"/>
          </w:tcPr>
          <w:p w:rsidR="006C24FC" w:rsidRPr="000A0506" w:rsidRDefault="006C24FC" w:rsidP="00C60AEC">
            <w:pPr>
              <w:pStyle w:val="TableBodyText"/>
              <w:ind w:right="28"/>
              <w:rPr>
                <w:b/>
              </w:rPr>
            </w:pPr>
            <w:r w:rsidRPr="000A0506">
              <w:rPr>
                <w:b/>
              </w:rPr>
              <w:t>332.2</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Queensland</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109.1</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103.9</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54.2</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-49.0</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22.2</w:t>
            </w:r>
          </w:p>
        </w:tc>
        <w:tc>
          <w:tcPr>
            <w:tcW w:w="566" w:type="pct"/>
            <w:tcBorders>
              <w:top w:val="nil"/>
              <w:left w:val="nil"/>
              <w:bottom w:val="nil"/>
              <w:right w:val="nil"/>
            </w:tcBorders>
            <w:vAlign w:val="bottom"/>
          </w:tcPr>
          <w:p w:rsidR="006C24FC" w:rsidRDefault="006C24FC" w:rsidP="00C60AEC">
            <w:pPr>
              <w:pStyle w:val="TableBodyText"/>
              <w:ind w:right="28"/>
            </w:pPr>
            <w:r>
              <w:t>283.3</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Western Australia</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52.2</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48.9</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14.6</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-11.3</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10.4</w:t>
            </w:r>
          </w:p>
        </w:tc>
        <w:tc>
          <w:tcPr>
            <w:tcW w:w="566" w:type="pct"/>
            <w:tcBorders>
              <w:top w:val="nil"/>
              <w:left w:val="nil"/>
              <w:bottom w:val="nil"/>
              <w:right w:val="nil"/>
            </w:tcBorders>
            <w:vAlign w:val="bottom"/>
          </w:tcPr>
          <w:p w:rsidR="006C24FC" w:rsidRDefault="006C24FC" w:rsidP="00C60AEC">
            <w:pPr>
              <w:pStyle w:val="TableBodyText"/>
              <w:ind w:right="28"/>
            </w:pPr>
            <w:r>
              <w:t>65.1</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Northern Territory</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10.1</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3.8</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3.6</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2.8</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0.8</w:t>
            </w:r>
          </w:p>
        </w:tc>
        <w:tc>
          <w:tcPr>
            <w:tcW w:w="566" w:type="pct"/>
            <w:tcBorders>
              <w:top w:val="nil"/>
              <w:left w:val="nil"/>
              <w:bottom w:val="nil"/>
              <w:right w:val="nil"/>
            </w:tcBorders>
            <w:vAlign w:val="bottom"/>
          </w:tcPr>
          <w:p w:rsidR="006C24FC" w:rsidRDefault="006C24FC" w:rsidP="00C60AEC">
            <w:pPr>
              <w:pStyle w:val="TableBodyText"/>
              <w:ind w:right="28"/>
            </w:pPr>
            <w:r>
              <w:t>-16.2</w:t>
            </w:r>
          </w:p>
        </w:tc>
      </w:tr>
      <w:tr w:rsidR="006C24FC" w:rsidRPr="000A0506" w:rsidTr="00776390">
        <w:trPr>
          <w:trHeight w:val="300"/>
        </w:trPr>
        <w:tc>
          <w:tcPr>
            <w:tcW w:w="1434" w:type="pct"/>
            <w:tcBorders>
              <w:top w:val="nil"/>
              <w:left w:val="nil"/>
              <w:bottom w:val="nil"/>
              <w:right w:val="nil"/>
            </w:tcBorders>
            <w:shd w:val="clear" w:color="auto" w:fill="auto"/>
            <w:noWrap/>
            <w:vAlign w:val="bottom"/>
            <w:hideMark/>
          </w:tcPr>
          <w:p w:rsidR="006C24FC" w:rsidRPr="000A0506" w:rsidRDefault="006C24FC" w:rsidP="00C60AEC">
            <w:pPr>
              <w:pStyle w:val="TableBodyText"/>
              <w:jc w:val="left"/>
              <w:rPr>
                <w:b/>
              </w:rPr>
            </w:pPr>
            <w:r w:rsidRPr="000A0506">
              <w:rPr>
                <w:b/>
              </w:rPr>
              <w:t>Non-mining</w:t>
            </w:r>
          </w:p>
        </w:tc>
        <w:tc>
          <w:tcPr>
            <w:tcW w:w="744" w:type="pct"/>
            <w:tcBorders>
              <w:top w:val="nil"/>
              <w:left w:val="nil"/>
              <w:bottom w:val="nil"/>
              <w:right w:val="nil"/>
            </w:tcBorders>
            <w:shd w:val="clear" w:color="auto" w:fill="auto"/>
            <w:noWrap/>
            <w:vAlign w:val="bottom"/>
            <w:hideMark/>
          </w:tcPr>
          <w:p w:rsidR="006C24FC" w:rsidRPr="000A0506" w:rsidRDefault="006C24FC" w:rsidP="00C60AEC">
            <w:pPr>
              <w:pStyle w:val="TableBodyText"/>
              <w:rPr>
                <w:b/>
              </w:rPr>
            </w:pPr>
            <w:r w:rsidRPr="000A0506">
              <w:rPr>
                <w:b/>
              </w:rPr>
              <w:t>293.8</w:t>
            </w:r>
          </w:p>
        </w:tc>
        <w:tc>
          <w:tcPr>
            <w:tcW w:w="50" w:type="pct"/>
            <w:tcBorders>
              <w:top w:val="nil"/>
              <w:left w:val="nil"/>
              <w:bottom w:val="nil"/>
              <w:right w:val="nil"/>
            </w:tcBorders>
          </w:tcPr>
          <w:p w:rsidR="006C24FC" w:rsidRPr="000A0506" w:rsidRDefault="006C24FC" w:rsidP="00C60AEC">
            <w:pPr>
              <w:pStyle w:val="TableBodyText"/>
              <w:rPr>
                <w:b/>
              </w:rPr>
            </w:pPr>
          </w:p>
        </w:tc>
        <w:tc>
          <w:tcPr>
            <w:tcW w:w="522" w:type="pct"/>
            <w:tcBorders>
              <w:top w:val="nil"/>
              <w:left w:val="nil"/>
              <w:bottom w:val="nil"/>
              <w:right w:val="nil"/>
            </w:tcBorders>
            <w:shd w:val="clear" w:color="auto" w:fill="auto"/>
            <w:noWrap/>
            <w:vAlign w:val="bottom"/>
            <w:hideMark/>
          </w:tcPr>
          <w:p w:rsidR="006C24FC" w:rsidRPr="000A0506" w:rsidRDefault="006C24FC" w:rsidP="00C60AEC">
            <w:pPr>
              <w:pStyle w:val="TableBodyText"/>
              <w:rPr>
                <w:b/>
              </w:rPr>
            </w:pPr>
            <w:r w:rsidRPr="000A0506">
              <w:rPr>
                <w:b/>
              </w:rPr>
              <w:t>312.5</w:t>
            </w:r>
          </w:p>
        </w:tc>
        <w:tc>
          <w:tcPr>
            <w:tcW w:w="486" w:type="pct"/>
            <w:tcBorders>
              <w:top w:val="nil"/>
              <w:left w:val="nil"/>
              <w:bottom w:val="nil"/>
              <w:right w:val="nil"/>
            </w:tcBorders>
            <w:shd w:val="clear" w:color="auto" w:fill="auto"/>
            <w:noWrap/>
            <w:vAlign w:val="bottom"/>
            <w:hideMark/>
          </w:tcPr>
          <w:p w:rsidR="006C24FC" w:rsidRPr="000A0506" w:rsidRDefault="006C24FC" w:rsidP="00C60AEC">
            <w:pPr>
              <w:pStyle w:val="TableBodyText"/>
              <w:rPr>
                <w:b/>
              </w:rPr>
            </w:pPr>
            <w:r w:rsidRPr="000A0506">
              <w:rPr>
                <w:b/>
              </w:rPr>
              <w:t>-58.9</w:t>
            </w:r>
          </w:p>
        </w:tc>
        <w:tc>
          <w:tcPr>
            <w:tcW w:w="487" w:type="pct"/>
            <w:tcBorders>
              <w:top w:val="nil"/>
              <w:left w:val="nil"/>
              <w:bottom w:val="nil"/>
            </w:tcBorders>
            <w:shd w:val="clear" w:color="auto" w:fill="auto"/>
            <w:noWrap/>
            <w:vAlign w:val="bottom"/>
            <w:hideMark/>
          </w:tcPr>
          <w:p w:rsidR="006C24FC" w:rsidRPr="000A0506" w:rsidRDefault="006C24FC" w:rsidP="00F43B4D">
            <w:pPr>
              <w:pStyle w:val="TableBodyText"/>
              <w:rPr>
                <w:b/>
              </w:rPr>
            </w:pPr>
            <w:r w:rsidRPr="000A0506">
              <w:rPr>
                <w:b/>
              </w:rPr>
              <w:t>40.2</w:t>
            </w:r>
          </w:p>
        </w:tc>
        <w:tc>
          <w:tcPr>
            <w:tcW w:w="50" w:type="pct"/>
            <w:tcBorders>
              <w:top w:val="nil"/>
              <w:left w:val="nil"/>
              <w:bottom w:val="nil"/>
            </w:tcBorders>
          </w:tcPr>
          <w:p w:rsidR="006C24FC" w:rsidRPr="000A0506" w:rsidRDefault="006C24FC" w:rsidP="00C60AEC">
            <w:pPr>
              <w:pStyle w:val="TableBodyText"/>
              <w:rPr>
                <w:b/>
              </w:rPr>
            </w:pPr>
          </w:p>
        </w:tc>
        <w:tc>
          <w:tcPr>
            <w:tcW w:w="630" w:type="pct"/>
            <w:tcBorders>
              <w:top w:val="nil"/>
              <w:left w:val="nil"/>
              <w:bottom w:val="nil"/>
              <w:right w:val="nil"/>
            </w:tcBorders>
            <w:vAlign w:val="bottom"/>
          </w:tcPr>
          <w:p w:rsidR="006C24FC" w:rsidRPr="000A0506" w:rsidRDefault="006C24FC" w:rsidP="00C60AEC">
            <w:pPr>
              <w:pStyle w:val="TableBodyText"/>
              <w:rPr>
                <w:b/>
              </w:rPr>
            </w:pPr>
            <w:r w:rsidRPr="000A0506">
              <w:rPr>
                <w:b/>
              </w:rPr>
              <w:t>66.6</w:t>
            </w:r>
          </w:p>
        </w:tc>
        <w:tc>
          <w:tcPr>
            <w:tcW w:w="566" w:type="pct"/>
            <w:tcBorders>
              <w:top w:val="nil"/>
              <w:left w:val="nil"/>
              <w:bottom w:val="nil"/>
              <w:right w:val="nil"/>
            </w:tcBorders>
            <w:vAlign w:val="bottom"/>
          </w:tcPr>
          <w:p w:rsidR="006C24FC" w:rsidRPr="000A0506" w:rsidRDefault="006C24FC" w:rsidP="00C60AEC">
            <w:pPr>
              <w:pStyle w:val="TableBodyText"/>
              <w:ind w:right="28"/>
              <w:rPr>
                <w:b/>
              </w:rPr>
            </w:pPr>
            <w:r w:rsidRPr="000A0506">
              <w:rPr>
                <w:b/>
              </w:rPr>
              <w:t>-232.2</w:t>
            </w:r>
          </w:p>
        </w:tc>
      </w:tr>
      <w:tr w:rsidR="006C24FC" w:rsidRPr="003B4749" w:rsidTr="00776390">
        <w:trPr>
          <w:trHeight w:val="300"/>
        </w:trPr>
        <w:tc>
          <w:tcPr>
            <w:tcW w:w="1434" w:type="pct"/>
            <w:tcBorders>
              <w:top w:val="nil"/>
              <w:left w:val="nil"/>
              <w:bottom w:val="nil"/>
              <w:right w:val="nil"/>
            </w:tcBorders>
            <w:shd w:val="clear" w:color="auto" w:fill="auto"/>
            <w:noWrap/>
            <w:vAlign w:val="bottom"/>
          </w:tcPr>
          <w:p w:rsidR="006C24FC" w:rsidRDefault="006C24FC" w:rsidP="00FC57EE">
            <w:pPr>
              <w:pStyle w:val="TableBodyText"/>
              <w:ind w:left="142"/>
              <w:jc w:val="left"/>
            </w:pPr>
            <w:r>
              <w:t>New South Wales</w:t>
            </w:r>
          </w:p>
        </w:tc>
        <w:tc>
          <w:tcPr>
            <w:tcW w:w="744" w:type="pct"/>
            <w:tcBorders>
              <w:top w:val="nil"/>
              <w:left w:val="nil"/>
              <w:bottom w:val="nil"/>
              <w:right w:val="nil"/>
            </w:tcBorders>
            <w:shd w:val="clear" w:color="auto" w:fill="auto"/>
            <w:noWrap/>
            <w:vAlign w:val="bottom"/>
          </w:tcPr>
          <w:p w:rsidR="006C24FC" w:rsidRDefault="006C24FC" w:rsidP="00C60AEC">
            <w:pPr>
              <w:pStyle w:val="TableBodyText"/>
            </w:pPr>
            <w:r>
              <w:t>169.0</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tcPr>
          <w:p w:rsidR="006C24FC" w:rsidRDefault="006C24FC" w:rsidP="00C60AEC">
            <w:pPr>
              <w:pStyle w:val="TableBodyText"/>
            </w:pPr>
            <w:r>
              <w:t>141.9</w:t>
            </w:r>
          </w:p>
        </w:tc>
        <w:tc>
          <w:tcPr>
            <w:tcW w:w="486" w:type="pct"/>
            <w:tcBorders>
              <w:top w:val="nil"/>
              <w:left w:val="nil"/>
              <w:bottom w:val="nil"/>
              <w:right w:val="nil"/>
            </w:tcBorders>
            <w:shd w:val="clear" w:color="auto" w:fill="auto"/>
            <w:noWrap/>
            <w:vAlign w:val="bottom"/>
          </w:tcPr>
          <w:p w:rsidR="006C24FC" w:rsidRDefault="006C24FC" w:rsidP="00C60AEC">
            <w:pPr>
              <w:pStyle w:val="TableBodyText"/>
            </w:pPr>
            <w:r>
              <w:t>-44.6</w:t>
            </w:r>
          </w:p>
        </w:tc>
        <w:tc>
          <w:tcPr>
            <w:tcW w:w="487" w:type="pct"/>
            <w:tcBorders>
              <w:top w:val="nil"/>
              <w:left w:val="nil"/>
              <w:bottom w:val="nil"/>
            </w:tcBorders>
            <w:shd w:val="clear" w:color="auto" w:fill="auto"/>
            <w:noWrap/>
            <w:vAlign w:val="bottom"/>
          </w:tcPr>
          <w:p w:rsidR="006C24FC" w:rsidRPr="00F43B4D" w:rsidRDefault="006C24FC" w:rsidP="00F43B4D">
            <w:pPr>
              <w:pStyle w:val="TableBodyText"/>
            </w:pPr>
            <w:r w:rsidRPr="00F43B4D">
              <w:t>71.7</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30.2</w:t>
            </w:r>
          </w:p>
        </w:tc>
        <w:tc>
          <w:tcPr>
            <w:tcW w:w="566" w:type="pct"/>
            <w:tcBorders>
              <w:top w:val="nil"/>
              <w:left w:val="nil"/>
              <w:bottom w:val="nil"/>
              <w:right w:val="nil"/>
            </w:tcBorders>
            <w:vAlign w:val="bottom"/>
          </w:tcPr>
          <w:p w:rsidR="006C24FC" w:rsidRDefault="006C24FC" w:rsidP="00C60AEC">
            <w:pPr>
              <w:pStyle w:val="TableBodyText"/>
              <w:ind w:right="28"/>
            </w:pPr>
            <w:r>
              <w:t>-414.8</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Victoria</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83.0</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110.5</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-6.0</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-21.5</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23.6</w:t>
            </w:r>
          </w:p>
        </w:tc>
        <w:tc>
          <w:tcPr>
            <w:tcW w:w="566" w:type="pct"/>
            <w:tcBorders>
              <w:top w:val="nil"/>
              <w:left w:val="nil"/>
              <w:bottom w:val="nil"/>
              <w:right w:val="nil"/>
            </w:tcBorders>
            <w:vAlign w:val="bottom"/>
          </w:tcPr>
          <w:p w:rsidR="006C24FC" w:rsidRDefault="006C24FC" w:rsidP="00C60AEC">
            <w:pPr>
              <w:pStyle w:val="TableBodyText"/>
              <w:ind w:right="28"/>
            </w:pPr>
            <w:r>
              <w:t>124.5</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South Australia</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32.8</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41.0</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-5.7</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-2.5</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8.7</w:t>
            </w:r>
          </w:p>
        </w:tc>
        <w:tc>
          <w:tcPr>
            <w:tcW w:w="566" w:type="pct"/>
            <w:tcBorders>
              <w:top w:val="nil"/>
              <w:left w:val="nil"/>
              <w:bottom w:val="nil"/>
              <w:right w:val="nil"/>
            </w:tcBorders>
            <w:vAlign w:val="bottom"/>
          </w:tcPr>
          <w:p w:rsidR="006C24FC" w:rsidRDefault="006C24FC" w:rsidP="00C60AEC">
            <w:pPr>
              <w:pStyle w:val="TableBodyText"/>
              <w:ind w:right="28"/>
            </w:pPr>
            <w:r>
              <w:t>14.6</w:t>
            </w:r>
          </w:p>
        </w:tc>
      </w:tr>
      <w:tr w:rsidR="006C24FC" w:rsidRPr="003B4749" w:rsidTr="00776390">
        <w:trPr>
          <w:trHeight w:val="300"/>
        </w:trPr>
        <w:tc>
          <w:tcPr>
            <w:tcW w:w="1434" w:type="pct"/>
            <w:tcBorders>
              <w:top w:val="nil"/>
              <w:left w:val="nil"/>
              <w:bottom w:val="nil"/>
              <w:right w:val="nil"/>
            </w:tcBorders>
            <w:shd w:val="clear" w:color="auto" w:fill="auto"/>
            <w:noWrap/>
            <w:vAlign w:val="bottom"/>
            <w:hideMark/>
          </w:tcPr>
          <w:p w:rsidR="006C24FC" w:rsidRDefault="006C24FC" w:rsidP="00FC57EE">
            <w:pPr>
              <w:pStyle w:val="TableBodyText"/>
              <w:ind w:left="142"/>
              <w:jc w:val="left"/>
            </w:pPr>
            <w:r>
              <w:t>Tasmania</w:t>
            </w:r>
          </w:p>
        </w:tc>
        <w:tc>
          <w:tcPr>
            <w:tcW w:w="744" w:type="pct"/>
            <w:tcBorders>
              <w:top w:val="nil"/>
              <w:left w:val="nil"/>
              <w:bottom w:val="nil"/>
              <w:right w:val="nil"/>
            </w:tcBorders>
            <w:shd w:val="clear" w:color="auto" w:fill="auto"/>
            <w:noWrap/>
            <w:vAlign w:val="bottom"/>
            <w:hideMark/>
          </w:tcPr>
          <w:p w:rsidR="006C24FC" w:rsidRDefault="006C24FC" w:rsidP="00C60AEC">
            <w:pPr>
              <w:pStyle w:val="TableBodyText"/>
            </w:pPr>
            <w:r>
              <w:t>7.8</w:t>
            </w:r>
          </w:p>
        </w:tc>
        <w:tc>
          <w:tcPr>
            <w:tcW w:w="50" w:type="pct"/>
            <w:tcBorders>
              <w:top w:val="nil"/>
              <w:left w:val="nil"/>
              <w:bottom w:val="nil"/>
              <w:right w:val="nil"/>
            </w:tcBorders>
          </w:tcPr>
          <w:p w:rsidR="006C24FC" w:rsidRDefault="006C24FC" w:rsidP="00C60AEC">
            <w:pPr>
              <w:pStyle w:val="TableBodyText"/>
            </w:pPr>
          </w:p>
        </w:tc>
        <w:tc>
          <w:tcPr>
            <w:tcW w:w="522" w:type="pct"/>
            <w:tcBorders>
              <w:top w:val="nil"/>
              <w:left w:val="nil"/>
              <w:bottom w:val="nil"/>
              <w:right w:val="nil"/>
            </w:tcBorders>
            <w:shd w:val="clear" w:color="auto" w:fill="auto"/>
            <w:noWrap/>
            <w:vAlign w:val="bottom"/>
            <w:hideMark/>
          </w:tcPr>
          <w:p w:rsidR="006C24FC" w:rsidRDefault="006C24FC" w:rsidP="00C60AEC">
            <w:pPr>
              <w:pStyle w:val="TableBodyText"/>
            </w:pPr>
            <w:r>
              <w:t>10.7</w:t>
            </w:r>
          </w:p>
        </w:tc>
        <w:tc>
          <w:tcPr>
            <w:tcW w:w="486" w:type="pct"/>
            <w:tcBorders>
              <w:top w:val="nil"/>
              <w:left w:val="nil"/>
              <w:bottom w:val="nil"/>
              <w:right w:val="nil"/>
            </w:tcBorders>
            <w:shd w:val="clear" w:color="auto" w:fill="auto"/>
            <w:noWrap/>
            <w:vAlign w:val="bottom"/>
            <w:hideMark/>
          </w:tcPr>
          <w:p w:rsidR="006C24FC" w:rsidRDefault="006C24FC" w:rsidP="00C60AEC">
            <w:pPr>
              <w:pStyle w:val="TableBodyText"/>
            </w:pPr>
            <w:r>
              <w:t>-1.5</w:t>
            </w:r>
          </w:p>
        </w:tc>
        <w:tc>
          <w:tcPr>
            <w:tcW w:w="487" w:type="pct"/>
            <w:tcBorders>
              <w:top w:val="nil"/>
              <w:left w:val="nil"/>
              <w:bottom w:val="nil"/>
            </w:tcBorders>
            <w:shd w:val="clear" w:color="auto" w:fill="auto"/>
            <w:noWrap/>
            <w:vAlign w:val="bottom"/>
            <w:hideMark/>
          </w:tcPr>
          <w:p w:rsidR="006C24FC" w:rsidRPr="00F43B4D" w:rsidRDefault="006C24FC" w:rsidP="00F43B4D">
            <w:pPr>
              <w:pStyle w:val="TableBodyText"/>
            </w:pPr>
            <w:r w:rsidRPr="00F43B4D">
              <w:t>-1.4</w:t>
            </w:r>
          </w:p>
        </w:tc>
        <w:tc>
          <w:tcPr>
            <w:tcW w:w="50" w:type="pct"/>
            <w:tcBorders>
              <w:top w:val="nil"/>
              <w:left w:val="nil"/>
              <w:bottom w:val="nil"/>
            </w:tcBorders>
          </w:tcPr>
          <w:p w:rsidR="006C24FC" w:rsidRDefault="006C24FC" w:rsidP="00C60AEC">
            <w:pPr>
              <w:pStyle w:val="TableBodyText"/>
            </w:pPr>
          </w:p>
        </w:tc>
        <w:tc>
          <w:tcPr>
            <w:tcW w:w="630" w:type="pct"/>
            <w:tcBorders>
              <w:top w:val="nil"/>
              <w:left w:val="nil"/>
              <w:bottom w:val="nil"/>
              <w:right w:val="nil"/>
            </w:tcBorders>
            <w:vAlign w:val="bottom"/>
          </w:tcPr>
          <w:p w:rsidR="006C24FC" w:rsidRDefault="006C24FC" w:rsidP="00C60AEC">
            <w:pPr>
              <w:pStyle w:val="TableBodyText"/>
            </w:pPr>
            <w:r>
              <w:t>2.3</w:t>
            </w:r>
          </w:p>
        </w:tc>
        <w:tc>
          <w:tcPr>
            <w:tcW w:w="566" w:type="pct"/>
            <w:tcBorders>
              <w:top w:val="nil"/>
              <w:left w:val="nil"/>
              <w:bottom w:val="nil"/>
              <w:right w:val="nil"/>
            </w:tcBorders>
            <w:vAlign w:val="bottom"/>
          </w:tcPr>
          <w:p w:rsidR="006C24FC" w:rsidRDefault="006C24FC" w:rsidP="00C60AEC">
            <w:pPr>
              <w:pStyle w:val="TableBodyText"/>
              <w:ind w:right="28"/>
            </w:pPr>
            <w:r>
              <w:t>8.2</w:t>
            </w:r>
          </w:p>
        </w:tc>
      </w:tr>
      <w:tr w:rsidR="00E05C0E" w:rsidRPr="003B4749" w:rsidTr="00E05C0E">
        <w:trPr>
          <w:trHeight w:val="300"/>
        </w:trPr>
        <w:tc>
          <w:tcPr>
            <w:tcW w:w="1434" w:type="pct"/>
            <w:tcBorders>
              <w:top w:val="nil"/>
              <w:left w:val="nil"/>
              <w:right w:val="nil"/>
            </w:tcBorders>
            <w:shd w:val="clear" w:color="auto" w:fill="auto"/>
            <w:noWrap/>
            <w:vAlign w:val="bottom"/>
            <w:hideMark/>
          </w:tcPr>
          <w:p w:rsidR="006C24FC" w:rsidRDefault="006C24FC" w:rsidP="00FC57EE">
            <w:pPr>
              <w:pStyle w:val="TableBodyText"/>
              <w:ind w:left="142"/>
              <w:jc w:val="left"/>
            </w:pPr>
            <w:r>
              <w:t>Australian Capital Territory</w:t>
            </w:r>
          </w:p>
        </w:tc>
        <w:tc>
          <w:tcPr>
            <w:tcW w:w="744" w:type="pct"/>
            <w:tcBorders>
              <w:top w:val="nil"/>
              <w:left w:val="nil"/>
              <w:right w:val="nil"/>
            </w:tcBorders>
            <w:shd w:val="clear" w:color="auto" w:fill="auto"/>
            <w:noWrap/>
            <w:vAlign w:val="bottom"/>
            <w:hideMark/>
          </w:tcPr>
          <w:p w:rsidR="006C24FC" w:rsidRDefault="006C24FC" w:rsidP="00C60AEC">
            <w:pPr>
              <w:pStyle w:val="TableBodyText"/>
            </w:pPr>
            <w:r>
              <w:t>1.2</w:t>
            </w:r>
          </w:p>
        </w:tc>
        <w:tc>
          <w:tcPr>
            <w:tcW w:w="50" w:type="pct"/>
            <w:tcBorders>
              <w:top w:val="nil"/>
              <w:left w:val="nil"/>
              <w:right w:val="nil"/>
            </w:tcBorders>
          </w:tcPr>
          <w:p w:rsidR="006C24FC" w:rsidRDefault="006C24FC" w:rsidP="00C60AEC">
            <w:pPr>
              <w:pStyle w:val="TableBodyText"/>
            </w:pPr>
          </w:p>
        </w:tc>
        <w:tc>
          <w:tcPr>
            <w:tcW w:w="522" w:type="pct"/>
            <w:tcBorders>
              <w:top w:val="nil"/>
              <w:left w:val="nil"/>
              <w:right w:val="nil"/>
            </w:tcBorders>
            <w:shd w:val="clear" w:color="auto" w:fill="auto"/>
            <w:noWrap/>
            <w:vAlign w:val="bottom"/>
            <w:hideMark/>
          </w:tcPr>
          <w:p w:rsidR="006C24FC" w:rsidRDefault="006C24FC" w:rsidP="00C60AEC">
            <w:pPr>
              <w:pStyle w:val="TableBodyText"/>
            </w:pPr>
            <w:r>
              <w:t>8.4</w:t>
            </w:r>
          </w:p>
        </w:tc>
        <w:tc>
          <w:tcPr>
            <w:tcW w:w="486" w:type="pct"/>
            <w:tcBorders>
              <w:top w:val="nil"/>
              <w:left w:val="nil"/>
              <w:right w:val="nil"/>
            </w:tcBorders>
            <w:shd w:val="clear" w:color="auto" w:fill="auto"/>
            <w:noWrap/>
            <w:vAlign w:val="bottom"/>
            <w:hideMark/>
          </w:tcPr>
          <w:p w:rsidR="006C24FC" w:rsidRDefault="006C24FC" w:rsidP="00C60AEC">
            <w:pPr>
              <w:pStyle w:val="TableBodyText"/>
            </w:pPr>
            <w:r>
              <w:t>-1.0</w:t>
            </w:r>
          </w:p>
        </w:tc>
        <w:tc>
          <w:tcPr>
            <w:tcW w:w="487" w:type="pct"/>
            <w:tcBorders>
              <w:top w:val="nil"/>
              <w:left w:val="nil"/>
            </w:tcBorders>
            <w:shd w:val="clear" w:color="auto" w:fill="auto"/>
            <w:noWrap/>
            <w:vAlign w:val="bottom"/>
            <w:hideMark/>
          </w:tcPr>
          <w:p w:rsidR="006C24FC" w:rsidRPr="00F43B4D" w:rsidRDefault="006C24FC" w:rsidP="00F43B4D">
            <w:pPr>
              <w:pStyle w:val="TableBodyText"/>
            </w:pPr>
            <w:r w:rsidRPr="00F43B4D">
              <w:t>-6.1</w:t>
            </w:r>
          </w:p>
        </w:tc>
        <w:tc>
          <w:tcPr>
            <w:tcW w:w="50" w:type="pct"/>
            <w:tcBorders>
              <w:top w:val="nil"/>
              <w:left w:val="nil"/>
            </w:tcBorders>
          </w:tcPr>
          <w:p w:rsidR="006C24FC" w:rsidRDefault="006C24FC" w:rsidP="00C60AEC">
            <w:pPr>
              <w:pStyle w:val="TableBodyText"/>
            </w:pPr>
          </w:p>
        </w:tc>
        <w:tc>
          <w:tcPr>
            <w:tcW w:w="630" w:type="pct"/>
            <w:tcBorders>
              <w:top w:val="nil"/>
              <w:left w:val="nil"/>
              <w:right w:val="nil"/>
            </w:tcBorders>
            <w:vAlign w:val="bottom"/>
          </w:tcPr>
          <w:p w:rsidR="006C24FC" w:rsidRDefault="006C24FC" w:rsidP="00C60AEC">
            <w:pPr>
              <w:pStyle w:val="TableBodyText"/>
            </w:pPr>
            <w:r>
              <w:t>1.8</w:t>
            </w:r>
          </w:p>
        </w:tc>
        <w:tc>
          <w:tcPr>
            <w:tcW w:w="566" w:type="pct"/>
            <w:tcBorders>
              <w:top w:val="nil"/>
              <w:left w:val="nil"/>
              <w:right w:val="nil"/>
            </w:tcBorders>
            <w:vAlign w:val="bottom"/>
          </w:tcPr>
          <w:p w:rsidR="006C24FC" w:rsidRDefault="006C24FC" w:rsidP="00C60AEC">
            <w:pPr>
              <w:pStyle w:val="TableBodyText"/>
              <w:ind w:right="28"/>
            </w:pPr>
            <w:r>
              <w:t>35.3</w:t>
            </w:r>
          </w:p>
        </w:tc>
      </w:tr>
      <w:tr w:rsidR="006C24FC" w:rsidRPr="000A0506" w:rsidTr="00776390">
        <w:trPr>
          <w:trHeight w:val="300"/>
        </w:trPr>
        <w:tc>
          <w:tcPr>
            <w:tcW w:w="1434" w:type="pct"/>
            <w:tcBorders>
              <w:top w:val="nil"/>
              <w:left w:val="nil"/>
              <w:bottom w:val="single" w:sz="6" w:space="0" w:color="auto"/>
              <w:right w:val="nil"/>
            </w:tcBorders>
            <w:shd w:val="clear" w:color="auto" w:fill="auto"/>
            <w:noWrap/>
            <w:vAlign w:val="bottom"/>
            <w:hideMark/>
          </w:tcPr>
          <w:p w:rsidR="006C24FC" w:rsidRPr="000A0506" w:rsidRDefault="006C24FC" w:rsidP="00C60AEC">
            <w:pPr>
              <w:pStyle w:val="TableBodyText"/>
              <w:jc w:val="left"/>
              <w:rPr>
                <w:b/>
              </w:rPr>
            </w:pPr>
            <w:r w:rsidRPr="000A0506">
              <w:rPr>
                <w:b/>
              </w:rPr>
              <w:t>Australia</w:t>
            </w:r>
          </w:p>
        </w:tc>
        <w:tc>
          <w:tcPr>
            <w:tcW w:w="744" w:type="pct"/>
            <w:tcBorders>
              <w:top w:val="nil"/>
              <w:left w:val="nil"/>
              <w:bottom w:val="single" w:sz="6" w:space="0" w:color="auto"/>
              <w:right w:val="nil"/>
            </w:tcBorders>
            <w:shd w:val="clear" w:color="auto" w:fill="auto"/>
            <w:noWrap/>
            <w:vAlign w:val="bottom"/>
            <w:hideMark/>
          </w:tcPr>
          <w:p w:rsidR="006C24FC" w:rsidRPr="000A0506" w:rsidRDefault="006C24FC" w:rsidP="00C60AEC">
            <w:pPr>
              <w:pStyle w:val="TableBodyText"/>
              <w:rPr>
                <w:b/>
              </w:rPr>
            </w:pPr>
            <w:r w:rsidRPr="000A0506">
              <w:rPr>
                <w:b/>
              </w:rPr>
              <w:t>465.3</w:t>
            </w:r>
          </w:p>
        </w:tc>
        <w:tc>
          <w:tcPr>
            <w:tcW w:w="50" w:type="pct"/>
            <w:tcBorders>
              <w:top w:val="nil"/>
              <w:left w:val="nil"/>
              <w:bottom w:val="single" w:sz="6" w:space="0" w:color="auto"/>
              <w:right w:val="nil"/>
            </w:tcBorders>
          </w:tcPr>
          <w:p w:rsidR="006C24FC" w:rsidRPr="000A0506" w:rsidRDefault="006C24FC" w:rsidP="00C60AEC">
            <w:pPr>
              <w:pStyle w:val="TableBodyText"/>
              <w:rPr>
                <w:b/>
              </w:rPr>
            </w:pPr>
          </w:p>
        </w:tc>
        <w:tc>
          <w:tcPr>
            <w:tcW w:w="522" w:type="pct"/>
            <w:tcBorders>
              <w:top w:val="nil"/>
              <w:left w:val="nil"/>
              <w:bottom w:val="single" w:sz="6" w:space="0" w:color="auto"/>
              <w:right w:val="nil"/>
            </w:tcBorders>
            <w:shd w:val="clear" w:color="auto" w:fill="auto"/>
            <w:noWrap/>
            <w:vAlign w:val="bottom"/>
            <w:hideMark/>
          </w:tcPr>
          <w:p w:rsidR="006C24FC" w:rsidRPr="000A0506" w:rsidRDefault="006C24FC" w:rsidP="00C60AEC">
            <w:pPr>
              <w:pStyle w:val="TableBodyText"/>
              <w:rPr>
                <w:b/>
              </w:rPr>
            </w:pPr>
            <w:r w:rsidRPr="000A0506">
              <w:rPr>
                <w:b/>
              </w:rPr>
              <w:t>469.1</w:t>
            </w:r>
          </w:p>
        </w:tc>
        <w:tc>
          <w:tcPr>
            <w:tcW w:w="486" w:type="pct"/>
            <w:tcBorders>
              <w:top w:val="nil"/>
              <w:left w:val="nil"/>
              <w:bottom w:val="single" w:sz="6" w:space="0" w:color="auto"/>
              <w:right w:val="nil"/>
            </w:tcBorders>
            <w:shd w:val="clear" w:color="auto" w:fill="auto"/>
            <w:noWrap/>
            <w:vAlign w:val="bottom"/>
            <w:hideMark/>
          </w:tcPr>
          <w:p w:rsidR="006C24FC" w:rsidRPr="000A0506" w:rsidRDefault="006C24FC" w:rsidP="00C60AEC">
            <w:pPr>
              <w:pStyle w:val="TableBodyText"/>
              <w:rPr>
                <w:b/>
              </w:rPr>
            </w:pPr>
            <w:r w:rsidRPr="000A0506">
              <w:rPr>
                <w:b/>
              </w:rPr>
              <w:t>13.5</w:t>
            </w:r>
          </w:p>
        </w:tc>
        <w:tc>
          <w:tcPr>
            <w:tcW w:w="487" w:type="pct"/>
            <w:tcBorders>
              <w:top w:val="nil"/>
              <w:left w:val="nil"/>
              <w:bottom w:val="single" w:sz="6" w:space="0" w:color="auto"/>
            </w:tcBorders>
            <w:shd w:val="clear" w:color="auto" w:fill="auto"/>
            <w:noWrap/>
            <w:vAlign w:val="bottom"/>
            <w:hideMark/>
          </w:tcPr>
          <w:p w:rsidR="006C24FC" w:rsidRPr="000A0506" w:rsidRDefault="006C24FC" w:rsidP="00F43B4D">
            <w:pPr>
              <w:pStyle w:val="TableBodyText"/>
              <w:rPr>
                <w:b/>
              </w:rPr>
            </w:pPr>
            <w:r w:rsidRPr="000A0506">
              <w:rPr>
                <w:b/>
              </w:rPr>
              <w:t>-17.3</w:t>
            </w:r>
          </w:p>
        </w:tc>
        <w:tc>
          <w:tcPr>
            <w:tcW w:w="50" w:type="pct"/>
            <w:tcBorders>
              <w:top w:val="nil"/>
              <w:left w:val="nil"/>
              <w:bottom w:val="single" w:sz="6" w:space="0" w:color="auto"/>
            </w:tcBorders>
          </w:tcPr>
          <w:p w:rsidR="006C24FC" w:rsidRPr="000A0506" w:rsidRDefault="006C24FC" w:rsidP="00C60AEC">
            <w:pPr>
              <w:pStyle w:val="TableBodyText"/>
              <w:rPr>
                <w:b/>
              </w:rPr>
            </w:pPr>
          </w:p>
        </w:tc>
        <w:tc>
          <w:tcPr>
            <w:tcW w:w="630" w:type="pct"/>
            <w:tcBorders>
              <w:top w:val="nil"/>
              <w:left w:val="nil"/>
              <w:bottom w:val="single" w:sz="6" w:space="0" w:color="auto"/>
              <w:right w:val="nil"/>
            </w:tcBorders>
            <w:vAlign w:val="bottom"/>
          </w:tcPr>
          <w:p w:rsidR="006C24FC" w:rsidRPr="000A0506" w:rsidRDefault="006C24FC" w:rsidP="00C60AEC">
            <w:pPr>
              <w:pStyle w:val="TableBodyText"/>
              <w:rPr>
                <w:b/>
              </w:rPr>
            </w:pPr>
            <w:r w:rsidRPr="000A0506">
              <w:rPr>
                <w:b/>
              </w:rPr>
              <w:t>100.0</w:t>
            </w:r>
          </w:p>
        </w:tc>
        <w:tc>
          <w:tcPr>
            <w:tcW w:w="566" w:type="pct"/>
            <w:tcBorders>
              <w:top w:val="nil"/>
              <w:left w:val="nil"/>
              <w:bottom w:val="single" w:sz="6" w:space="0" w:color="auto"/>
              <w:right w:val="nil"/>
            </w:tcBorders>
            <w:vAlign w:val="bottom"/>
          </w:tcPr>
          <w:p w:rsidR="006C24FC" w:rsidRPr="000A0506" w:rsidRDefault="006C24FC" w:rsidP="00C60AEC">
            <w:pPr>
              <w:pStyle w:val="TableBodyText"/>
              <w:ind w:right="28"/>
              <w:rPr>
                <w:b/>
              </w:rPr>
            </w:pPr>
            <w:r w:rsidRPr="000A0506">
              <w:rPr>
                <w:b/>
              </w:rPr>
              <w:t>100.0</w:t>
            </w:r>
          </w:p>
        </w:tc>
      </w:tr>
    </w:tbl>
    <w:p w:rsidR="00A6340D" w:rsidRDefault="00A6340D" w:rsidP="00A6340D">
      <w:pPr>
        <w:pStyle w:val="Note"/>
      </w:pPr>
      <w:proofErr w:type="spellStart"/>
      <w:r w:rsidRPr="00616401">
        <w:rPr>
          <w:rStyle w:val="NoteLabel"/>
        </w:rPr>
        <w:t>a</w:t>
      </w:r>
      <w:proofErr w:type="spellEnd"/>
      <w:r>
        <w:t xml:space="preserve"> The source data contain a break in series. Estimates for 2001 are for August, and 2011 estimates are for November. The effect of this </w:t>
      </w:r>
      <w:r w:rsidR="00642CC7">
        <w:t>b</w:t>
      </w:r>
      <w:r w:rsidR="00765DD9">
        <w:t>reak is discussed at footnote 49</w:t>
      </w:r>
      <w:r>
        <w: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Pr="00B410CE" w:rsidRDefault="00A6340D" w:rsidP="00A6340D">
      <w:pPr>
        <w:pStyle w:val="Source"/>
      </w:pPr>
      <w:r>
        <w:t>.</w:t>
      </w:r>
      <w:r>
        <w:rPr>
          <w:b/>
        </w:rPr>
        <w:br w:type="page"/>
      </w:r>
    </w:p>
    <w:p w:rsidR="00A6340D" w:rsidRDefault="00A6340D" w:rsidP="00A6340D">
      <w:pPr>
        <w:pStyle w:val="TableTitle"/>
        <w:rPr>
          <w:rStyle w:val="NoteLabel"/>
          <w:b/>
        </w:rPr>
      </w:pPr>
      <w:r>
        <w:rPr>
          <w:b w:val="0"/>
        </w:rPr>
        <w:lastRenderedPageBreak/>
        <w:t xml:space="preserve">Table </w:t>
      </w:r>
      <w:proofErr w:type="spellStart"/>
      <w:r>
        <w:rPr>
          <w:b w:val="0"/>
        </w:rPr>
        <w:t>E.</w:t>
      </w:r>
      <w:r>
        <w:rPr>
          <w:b w:val="0"/>
          <w:noProof/>
        </w:rPr>
        <w:t>7</w:t>
      </w:r>
      <w:proofErr w:type="spellEnd"/>
      <w:r>
        <w:tab/>
        <w:t xml:space="preserve">Shift–share analysis for </w:t>
      </w:r>
      <w:proofErr w:type="spellStart"/>
      <w:r>
        <w:t>OMIEs</w:t>
      </w:r>
      <w:proofErr w:type="spellEnd"/>
      <w:r>
        <w:t xml:space="preserve"> by jurisdiction</w:t>
      </w:r>
      <w:r w:rsidRPr="00616401">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645"/>
        <w:gridCol w:w="1376"/>
        <w:gridCol w:w="88"/>
        <w:gridCol w:w="840"/>
        <w:gridCol w:w="872"/>
        <w:gridCol w:w="714"/>
        <w:gridCol w:w="88"/>
        <w:gridCol w:w="1127"/>
        <w:gridCol w:w="1039"/>
      </w:tblGrid>
      <w:tr w:rsidR="00150057" w:rsidRPr="003B4749" w:rsidTr="00776390">
        <w:trPr>
          <w:trHeight w:val="300"/>
        </w:trPr>
        <w:tc>
          <w:tcPr>
            <w:tcW w:w="1505" w:type="pct"/>
            <w:tcBorders>
              <w:top w:val="single" w:sz="6" w:space="0" w:color="auto"/>
              <w:left w:val="nil"/>
              <w:right w:val="nil"/>
            </w:tcBorders>
            <w:shd w:val="clear" w:color="auto" w:fill="auto"/>
            <w:noWrap/>
            <w:vAlign w:val="bottom"/>
          </w:tcPr>
          <w:p w:rsidR="00150057" w:rsidRPr="003B4749" w:rsidRDefault="00150057" w:rsidP="00C60AEC">
            <w:pPr>
              <w:pStyle w:val="TableColumnHeading"/>
            </w:pPr>
          </w:p>
        </w:tc>
        <w:tc>
          <w:tcPr>
            <w:tcW w:w="783" w:type="pct"/>
            <w:tcBorders>
              <w:top w:val="single" w:sz="6" w:space="0" w:color="auto"/>
              <w:left w:val="nil"/>
              <w:bottom w:val="single" w:sz="6" w:space="0" w:color="auto"/>
              <w:right w:val="nil"/>
            </w:tcBorders>
            <w:shd w:val="clear" w:color="auto" w:fill="auto"/>
            <w:noWrap/>
            <w:vAlign w:val="bottom"/>
          </w:tcPr>
          <w:p w:rsidR="00150057" w:rsidRPr="003B4749" w:rsidRDefault="00150057" w:rsidP="00B65FC2">
            <w:pPr>
              <w:pStyle w:val="TableColumnHeading"/>
              <w:jc w:val="center"/>
            </w:pPr>
            <w:r>
              <w:t>Change</w:t>
            </w:r>
          </w:p>
        </w:tc>
        <w:tc>
          <w:tcPr>
            <w:tcW w:w="50" w:type="pct"/>
            <w:tcBorders>
              <w:top w:val="single" w:sz="6" w:space="0" w:color="auto"/>
              <w:left w:val="nil"/>
              <w:right w:val="nil"/>
            </w:tcBorders>
          </w:tcPr>
          <w:p w:rsidR="00150057" w:rsidRDefault="00150057" w:rsidP="00C60AEC">
            <w:pPr>
              <w:pStyle w:val="TableColumnHeading"/>
              <w:jc w:val="center"/>
            </w:pPr>
          </w:p>
        </w:tc>
        <w:tc>
          <w:tcPr>
            <w:tcW w:w="1380" w:type="pct"/>
            <w:gridSpan w:val="3"/>
            <w:tcBorders>
              <w:top w:val="single" w:sz="6" w:space="0" w:color="auto"/>
              <w:left w:val="nil"/>
              <w:bottom w:val="single" w:sz="6" w:space="0" w:color="auto"/>
            </w:tcBorders>
            <w:shd w:val="clear" w:color="auto" w:fill="auto"/>
            <w:noWrap/>
            <w:vAlign w:val="bottom"/>
          </w:tcPr>
          <w:p w:rsidR="00150057" w:rsidRPr="003B4749" w:rsidRDefault="00150057" w:rsidP="00C60AEC">
            <w:pPr>
              <w:pStyle w:val="TableColumnHeading"/>
              <w:jc w:val="center"/>
            </w:pPr>
            <w:r>
              <w:t>Decomposition</w:t>
            </w:r>
          </w:p>
        </w:tc>
        <w:tc>
          <w:tcPr>
            <w:tcW w:w="50" w:type="pct"/>
            <w:tcBorders>
              <w:top w:val="single" w:sz="6" w:space="0" w:color="auto"/>
              <w:left w:val="nil"/>
              <w:right w:val="nil"/>
            </w:tcBorders>
          </w:tcPr>
          <w:p w:rsidR="00150057" w:rsidRDefault="00150057" w:rsidP="00C60AEC">
            <w:pPr>
              <w:pStyle w:val="TableUnitsRow"/>
              <w:ind w:right="28"/>
              <w:jc w:val="center"/>
              <w:rPr>
                <w:i/>
              </w:rPr>
            </w:pPr>
          </w:p>
        </w:tc>
        <w:tc>
          <w:tcPr>
            <w:tcW w:w="1232" w:type="pct"/>
            <w:gridSpan w:val="2"/>
            <w:tcBorders>
              <w:top w:val="single" w:sz="6" w:space="0" w:color="auto"/>
              <w:left w:val="nil"/>
              <w:bottom w:val="single" w:sz="6" w:space="0" w:color="auto"/>
            </w:tcBorders>
          </w:tcPr>
          <w:p w:rsidR="00150057" w:rsidRPr="0080021B" w:rsidRDefault="00150057" w:rsidP="00C60AEC">
            <w:pPr>
              <w:pStyle w:val="TableUnitsRow"/>
              <w:ind w:right="28"/>
              <w:jc w:val="center"/>
              <w:rPr>
                <w:i/>
              </w:rPr>
            </w:pPr>
            <w:r>
              <w:rPr>
                <w:i/>
              </w:rPr>
              <w:t>Share of:</w:t>
            </w:r>
          </w:p>
        </w:tc>
      </w:tr>
      <w:tr w:rsidR="00150057" w:rsidRPr="003B4749" w:rsidTr="00776390">
        <w:trPr>
          <w:trHeight w:val="300"/>
        </w:trPr>
        <w:tc>
          <w:tcPr>
            <w:tcW w:w="1505" w:type="pct"/>
            <w:tcBorders>
              <w:left w:val="nil"/>
              <w:bottom w:val="single" w:sz="6" w:space="0" w:color="auto"/>
              <w:right w:val="nil"/>
            </w:tcBorders>
            <w:shd w:val="clear" w:color="auto" w:fill="auto"/>
            <w:noWrap/>
            <w:vAlign w:val="bottom"/>
          </w:tcPr>
          <w:p w:rsidR="00D31F0D" w:rsidRPr="003B4749" w:rsidRDefault="00D31F0D" w:rsidP="00C60AEC">
            <w:pPr>
              <w:pStyle w:val="TableColumnHeading"/>
            </w:pPr>
          </w:p>
        </w:tc>
        <w:tc>
          <w:tcPr>
            <w:tcW w:w="783" w:type="pct"/>
            <w:tcBorders>
              <w:top w:val="single" w:sz="6" w:space="0" w:color="auto"/>
              <w:left w:val="nil"/>
              <w:bottom w:val="single" w:sz="6" w:space="0" w:color="auto"/>
              <w:right w:val="nil"/>
            </w:tcBorders>
            <w:shd w:val="clear" w:color="auto" w:fill="auto"/>
            <w:noWrap/>
            <w:vAlign w:val="bottom"/>
          </w:tcPr>
          <w:p w:rsidR="00D31F0D" w:rsidRPr="003B4749" w:rsidRDefault="00D31F0D" w:rsidP="00C60AEC">
            <w:pPr>
              <w:pStyle w:val="TableColumnHeading"/>
            </w:pPr>
            <w:r w:rsidRPr="003B4749">
              <w:t>2001 to 201</w:t>
            </w:r>
            <w:r>
              <w:t>1</w:t>
            </w:r>
          </w:p>
        </w:tc>
        <w:tc>
          <w:tcPr>
            <w:tcW w:w="50" w:type="pct"/>
            <w:tcBorders>
              <w:left w:val="nil"/>
              <w:bottom w:val="single" w:sz="6" w:space="0" w:color="auto"/>
              <w:right w:val="nil"/>
            </w:tcBorders>
          </w:tcPr>
          <w:p w:rsidR="00D31F0D" w:rsidRPr="003B4749" w:rsidRDefault="00D31F0D" w:rsidP="00C60AEC">
            <w:pPr>
              <w:pStyle w:val="TableColumnHeading"/>
            </w:pPr>
          </w:p>
        </w:tc>
        <w:tc>
          <w:tcPr>
            <w:tcW w:w="478" w:type="pct"/>
            <w:tcBorders>
              <w:top w:val="single" w:sz="6" w:space="0" w:color="auto"/>
              <w:left w:val="nil"/>
              <w:bottom w:val="single" w:sz="6" w:space="0" w:color="auto"/>
              <w:right w:val="nil"/>
            </w:tcBorders>
            <w:shd w:val="clear" w:color="auto" w:fill="auto"/>
            <w:noWrap/>
            <w:vAlign w:val="bottom"/>
          </w:tcPr>
          <w:p w:rsidR="00D31F0D" w:rsidRPr="003B4749" w:rsidRDefault="00D31F0D" w:rsidP="00C60AEC">
            <w:pPr>
              <w:pStyle w:val="TableColumnHeading"/>
            </w:pPr>
            <w:r w:rsidRPr="003B4749">
              <w:t>Growth</w:t>
            </w:r>
          </w:p>
        </w:tc>
        <w:tc>
          <w:tcPr>
            <w:tcW w:w="496" w:type="pct"/>
            <w:tcBorders>
              <w:top w:val="single" w:sz="6" w:space="0" w:color="auto"/>
              <w:left w:val="nil"/>
              <w:bottom w:val="single" w:sz="6" w:space="0" w:color="auto"/>
              <w:right w:val="nil"/>
            </w:tcBorders>
            <w:shd w:val="clear" w:color="auto" w:fill="auto"/>
            <w:noWrap/>
            <w:vAlign w:val="bottom"/>
          </w:tcPr>
          <w:p w:rsidR="00D31F0D" w:rsidRPr="003B4749" w:rsidRDefault="00D31F0D" w:rsidP="00C60AEC">
            <w:pPr>
              <w:pStyle w:val="TableColumnHeading"/>
            </w:pPr>
            <w:r w:rsidRPr="003B4749">
              <w:t>Share</w:t>
            </w:r>
          </w:p>
        </w:tc>
        <w:tc>
          <w:tcPr>
            <w:tcW w:w="406" w:type="pct"/>
            <w:tcBorders>
              <w:top w:val="single" w:sz="6" w:space="0" w:color="auto"/>
              <w:left w:val="nil"/>
              <w:bottom w:val="single" w:sz="6" w:space="0" w:color="auto"/>
            </w:tcBorders>
            <w:shd w:val="clear" w:color="auto" w:fill="auto"/>
            <w:noWrap/>
            <w:vAlign w:val="bottom"/>
          </w:tcPr>
          <w:p w:rsidR="00D31F0D" w:rsidRPr="00F43B4D" w:rsidRDefault="00D31F0D" w:rsidP="00F43B4D">
            <w:pPr>
              <w:pStyle w:val="TableColumnHeading"/>
            </w:pPr>
            <w:r w:rsidRPr="00DF27FF">
              <w:t>Shift</w:t>
            </w:r>
          </w:p>
        </w:tc>
        <w:tc>
          <w:tcPr>
            <w:tcW w:w="50" w:type="pct"/>
            <w:tcBorders>
              <w:left w:val="nil"/>
              <w:bottom w:val="single" w:sz="6" w:space="0" w:color="auto"/>
            </w:tcBorders>
          </w:tcPr>
          <w:p w:rsidR="00D31F0D" w:rsidRDefault="00D31F0D" w:rsidP="00F43B4D">
            <w:pPr>
              <w:pStyle w:val="TableColumnHeading"/>
            </w:pPr>
          </w:p>
        </w:tc>
        <w:tc>
          <w:tcPr>
            <w:tcW w:w="641" w:type="pct"/>
            <w:tcBorders>
              <w:top w:val="single" w:sz="6" w:space="0" w:color="auto"/>
              <w:left w:val="nil"/>
              <w:bottom w:val="single" w:sz="6" w:space="0" w:color="auto"/>
              <w:right w:val="nil"/>
            </w:tcBorders>
          </w:tcPr>
          <w:p w:rsidR="00D31F0D" w:rsidRPr="00F43B4D" w:rsidRDefault="00D31F0D" w:rsidP="00F43B4D">
            <w:pPr>
              <w:pStyle w:val="TableColumnHeading"/>
            </w:pPr>
            <w:r>
              <w:t>2001 emp.</w:t>
            </w:r>
          </w:p>
        </w:tc>
        <w:tc>
          <w:tcPr>
            <w:tcW w:w="591" w:type="pct"/>
            <w:tcBorders>
              <w:top w:val="single" w:sz="6" w:space="0" w:color="auto"/>
              <w:left w:val="nil"/>
              <w:bottom w:val="single" w:sz="6" w:space="0" w:color="auto"/>
              <w:right w:val="nil"/>
            </w:tcBorders>
          </w:tcPr>
          <w:p w:rsidR="00D31F0D" w:rsidRPr="00DF27FF" w:rsidRDefault="00D31F0D" w:rsidP="00C60AEC">
            <w:pPr>
              <w:pStyle w:val="TableUnitsRow"/>
              <w:ind w:right="28"/>
              <w:rPr>
                <w:i/>
              </w:rPr>
            </w:pPr>
            <w:r>
              <w:rPr>
                <w:i/>
              </w:rPr>
              <w:t>Shift effect</w:t>
            </w:r>
          </w:p>
        </w:tc>
      </w:tr>
      <w:tr w:rsidR="00150057" w:rsidRPr="003B4749" w:rsidTr="00776390">
        <w:trPr>
          <w:trHeight w:val="300"/>
        </w:trPr>
        <w:tc>
          <w:tcPr>
            <w:tcW w:w="1505" w:type="pct"/>
            <w:tcBorders>
              <w:top w:val="single" w:sz="6" w:space="0" w:color="auto"/>
              <w:left w:val="nil"/>
              <w:bottom w:val="nil"/>
              <w:right w:val="nil"/>
            </w:tcBorders>
            <w:shd w:val="clear" w:color="auto" w:fill="auto"/>
            <w:noWrap/>
            <w:vAlign w:val="bottom"/>
            <w:hideMark/>
          </w:tcPr>
          <w:p w:rsidR="00D31F0D" w:rsidRPr="003B4749" w:rsidRDefault="00D31F0D" w:rsidP="00C60AEC">
            <w:pPr>
              <w:pStyle w:val="TableUnitsRow"/>
              <w:jc w:val="left"/>
            </w:pPr>
          </w:p>
        </w:tc>
        <w:tc>
          <w:tcPr>
            <w:tcW w:w="783" w:type="pct"/>
            <w:tcBorders>
              <w:top w:val="single" w:sz="6" w:space="0" w:color="auto"/>
              <w:left w:val="nil"/>
              <w:bottom w:val="nil"/>
              <w:right w:val="nil"/>
            </w:tcBorders>
            <w:shd w:val="clear" w:color="auto" w:fill="auto"/>
            <w:noWrap/>
            <w:vAlign w:val="bottom"/>
          </w:tcPr>
          <w:p w:rsidR="00D31F0D" w:rsidRPr="003B4749" w:rsidRDefault="00D31F0D" w:rsidP="00C60AEC">
            <w:pPr>
              <w:pStyle w:val="TableUnitsRow"/>
            </w:pPr>
            <w:r>
              <w:t>’000</w:t>
            </w:r>
          </w:p>
        </w:tc>
        <w:tc>
          <w:tcPr>
            <w:tcW w:w="50" w:type="pct"/>
            <w:tcBorders>
              <w:top w:val="single" w:sz="6" w:space="0" w:color="auto"/>
              <w:left w:val="nil"/>
              <w:bottom w:val="nil"/>
              <w:right w:val="nil"/>
            </w:tcBorders>
          </w:tcPr>
          <w:p w:rsidR="00D31F0D" w:rsidRDefault="00D31F0D" w:rsidP="00C60AEC">
            <w:pPr>
              <w:pStyle w:val="TableUnitsRow"/>
            </w:pPr>
          </w:p>
        </w:tc>
        <w:tc>
          <w:tcPr>
            <w:tcW w:w="478" w:type="pct"/>
            <w:tcBorders>
              <w:top w:val="single" w:sz="6" w:space="0" w:color="auto"/>
              <w:left w:val="nil"/>
              <w:bottom w:val="nil"/>
              <w:right w:val="nil"/>
            </w:tcBorders>
            <w:shd w:val="clear" w:color="auto" w:fill="auto"/>
            <w:noWrap/>
            <w:vAlign w:val="bottom"/>
          </w:tcPr>
          <w:p w:rsidR="00D31F0D" w:rsidRPr="003B4749" w:rsidRDefault="00D31F0D" w:rsidP="00C60AEC">
            <w:pPr>
              <w:pStyle w:val="TableUnitsRow"/>
            </w:pPr>
            <w:r>
              <w:t>’000</w:t>
            </w:r>
          </w:p>
        </w:tc>
        <w:tc>
          <w:tcPr>
            <w:tcW w:w="496" w:type="pct"/>
            <w:tcBorders>
              <w:top w:val="single" w:sz="6" w:space="0" w:color="auto"/>
              <w:left w:val="nil"/>
              <w:bottom w:val="nil"/>
              <w:right w:val="nil"/>
            </w:tcBorders>
            <w:shd w:val="clear" w:color="auto" w:fill="auto"/>
            <w:noWrap/>
            <w:vAlign w:val="bottom"/>
          </w:tcPr>
          <w:p w:rsidR="00D31F0D" w:rsidRPr="003B4749" w:rsidRDefault="00D31F0D" w:rsidP="00C60AEC">
            <w:pPr>
              <w:pStyle w:val="TableUnitsRow"/>
            </w:pPr>
            <w:r>
              <w:t>’000</w:t>
            </w:r>
          </w:p>
        </w:tc>
        <w:tc>
          <w:tcPr>
            <w:tcW w:w="406" w:type="pct"/>
            <w:tcBorders>
              <w:top w:val="single" w:sz="6" w:space="0" w:color="auto"/>
              <w:left w:val="nil"/>
              <w:bottom w:val="nil"/>
            </w:tcBorders>
            <w:shd w:val="clear" w:color="auto" w:fill="auto"/>
            <w:noWrap/>
            <w:vAlign w:val="bottom"/>
          </w:tcPr>
          <w:p w:rsidR="00D31F0D" w:rsidRPr="00FF2B26" w:rsidRDefault="00D31F0D" w:rsidP="00F43B4D">
            <w:pPr>
              <w:pStyle w:val="TableUnitsRow"/>
            </w:pPr>
            <w:r>
              <w:t>’</w:t>
            </w:r>
            <w:r w:rsidRPr="00FF2B26">
              <w:t>000</w:t>
            </w:r>
          </w:p>
        </w:tc>
        <w:tc>
          <w:tcPr>
            <w:tcW w:w="50" w:type="pct"/>
            <w:tcBorders>
              <w:top w:val="single" w:sz="6" w:space="0" w:color="auto"/>
              <w:left w:val="nil"/>
              <w:bottom w:val="nil"/>
            </w:tcBorders>
          </w:tcPr>
          <w:p w:rsidR="00D31F0D" w:rsidRDefault="00D31F0D" w:rsidP="00F43B4D">
            <w:pPr>
              <w:pStyle w:val="TableUnitsRow"/>
            </w:pPr>
          </w:p>
        </w:tc>
        <w:tc>
          <w:tcPr>
            <w:tcW w:w="641" w:type="pct"/>
            <w:tcBorders>
              <w:top w:val="single" w:sz="6" w:space="0" w:color="auto"/>
              <w:left w:val="nil"/>
              <w:bottom w:val="nil"/>
              <w:right w:val="nil"/>
            </w:tcBorders>
          </w:tcPr>
          <w:p w:rsidR="00D31F0D" w:rsidRPr="00FF2B26" w:rsidRDefault="00D31F0D" w:rsidP="00F43B4D">
            <w:pPr>
              <w:pStyle w:val="TableUnitsRow"/>
            </w:pPr>
            <w:r>
              <w:t>%</w:t>
            </w:r>
          </w:p>
        </w:tc>
        <w:tc>
          <w:tcPr>
            <w:tcW w:w="591" w:type="pct"/>
            <w:tcBorders>
              <w:top w:val="single" w:sz="6" w:space="0" w:color="auto"/>
              <w:left w:val="nil"/>
              <w:bottom w:val="nil"/>
              <w:right w:val="nil"/>
            </w:tcBorders>
          </w:tcPr>
          <w:p w:rsidR="00D31F0D" w:rsidRPr="00FF2B26" w:rsidRDefault="00D31F0D" w:rsidP="00C60AEC">
            <w:pPr>
              <w:pStyle w:val="TableUnitsRow"/>
              <w:ind w:right="28"/>
            </w:pPr>
            <w:r>
              <w:t>%</w:t>
            </w:r>
          </w:p>
        </w:tc>
      </w:tr>
      <w:tr w:rsidR="00150057" w:rsidRPr="000A0506" w:rsidTr="00776390">
        <w:trPr>
          <w:trHeight w:val="300"/>
        </w:trPr>
        <w:tc>
          <w:tcPr>
            <w:tcW w:w="1505" w:type="pct"/>
            <w:tcBorders>
              <w:top w:val="nil"/>
              <w:left w:val="nil"/>
              <w:bottom w:val="nil"/>
              <w:right w:val="nil"/>
            </w:tcBorders>
            <w:shd w:val="clear" w:color="auto" w:fill="auto"/>
            <w:noWrap/>
            <w:vAlign w:val="bottom"/>
          </w:tcPr>
          <w:p w:rsidR="00D31F0D" w:rsidRPr="000A0506" w:rsidRDefault="00D31F0D" w:rsidP="00C60AEC">
            <w:pPr>
              <w:pStyle w:val="TableBodyText"/>
              <w:jc w:val="left"/>
              <w:rPr>
                <w:b/>
              </w:rPr>
            </w:pPr>
            <w:r w:rsidRPr="000A0506">
              <w:rPr>
                <w:b/>
              </w:rPr>
              <w:t>Mining</w:t>
            </w:r>
          </w:p>
        </w:tc>
        <w:tc>
          <w:tcPr>
            <w:tcW w:w="783" w:type="pct"/>
            <w:tcBorders>
              <w:top w:val="nil"/>
              <w:left w:val="nil"/>
              <w:bottom w:val="nil"/>
              <w:right w:val="nil"/>
            </w:tcBorders>
            <w:shd w:val="clear" w:color="auto" w:fill="auto"/>
            <w:noWrap/>
            <w:vAlign w:val="bottom"/>
          </w:tcPr>
          <w:p w:rsidR="00D31F0D" w:rsidRPr="000A0506" w:rsidRDefault="00D31F0D" w:rsidP="00C60AEC">
            <w:pPr>
              <w:pStyle w:val="TableBodyText"/>
              <w:rPr>
                <w:b/>
              </w:rPr>
            </w:pPr>
            <w:r w:rsidRPr="000A0506">
              <w:rPr>
                <w:b/>
              </w:rPr>
              <w:t>73.9</w:t>
            </w:r>
          </w:p>
        </w:tc>
        <w:tc>
          <w:tcPr>
            <w:tcW w:w="50" w:type="pct"/>
            <w:tcBorders>
              <w:top w:val="nil"/>
              <w:left w:val="nil"/>
              <w:bottom w:val="nil"/>
              <w:right w:val="nil"/>
            </w:tcBorders>
          </w:tcPr>
          <w:p w:rsidR="00D31F0D" w:rsidRPr="000A0506" w:rsidRDefault="00D31F0D" w:rsidP="00C60AEC">
            <w:pPr>
              <w:pStyle w:val="TableBodyText"/>
              <w:rPr>
                <w:b/>
              </w:rPr>
            </w:pPr>
          </w:p>
        </w:tc>
        <w:tc>
          <w:tcPr>
            <w:tcW w:w="478" w:type="pct"/>
            <w:tcBorders>
              <w:top w:val="nil"/>
              <w:left w:val="nil"/>
              <w:bottom w:val="nil"/>
              <w:right w:val="nil"/>
            </w:tcBorders>
            <w:shd w:val="clear" w:color="auto" w:fill="auto"/>
            <w:noWrap/>
            <w:vAlign w:val="bottom"/>
          </w:tcPr>
          <w:p w:rsidR="00D31F0D" w:rsidRPr="000A0506" w:rsidRDefault="00D31F0D" w:rsidP="00C60AEC">
            <w:pPr>
              <w:pStyle w:val="TableBodyText"/>
              <w:rPr>
                <w:b/>
              </w:rPr>
            </w:pPr>
            <w:r w:rsidRPr="000A0506">
              <w:rPr>
                <w:b/>
              </w:rPr>
              <w:t>45.5</w:t>
            </w:r>
          </w:p>
        </w:tc>
        <w:tc>
          <w:tcPr>
            <w:tcW w:w="496" w:type="pct"/>
            <w:tcBorders>
              <w:top w:val="nil"/>
              <w:left w:val="nil"/>
              <w:bottom w:val="nil"/>
              <w:right w:val="nil"/>
            </w:tcBorders>
            <w:shd w:val="clear" w:color="auto" w:fill="auto"/>
            <w:noWrap/>
            <w:vAlign w:val="bottom"/>
          </w:tcPr>
          <w:p w:rsidR="00D31F0D" w:rsidRPr="000A0506" w:rsidRDefault="00D31F0D" w:rsidP="00C60AEC">
            <w:pPr>
              <w:pStyle w:val="TableBodyText"/>
              <w:rPr>
                <w:b/>
              </w:rPr>
            </w:pPr>
            <w:r w:rsidRPr="000A0506">
              <w:rPr>
                <w:b/>
              </w:rPr>
              <w:t>20.9</w:t>
            </w:r>
          </w:p>
        </w:tc>
        <w:tc>
          <w:tcPr>
            <w:tcW w:w="406" w:type="pct"/>
            <w:tcBorders>
              <w:top w:val="nil"/>
              <w:left w:val="nil"/>
              <w:bottom w:val="nil"/>
            </w:tcBorders>
            <w:shd w:val="clear" w:color="auto" w:fill="auto"/>
            <w:noWrap/>
            <w:vAlign w:val="bottom"/>
          </w:tcPr>
          <w:p w:rsidR="00D31F0D" w:rsidRPr="000A0506" w:rsidRDefault="00D31F0D" w:rsidP="00F43B4D">
            <w:pPr>
              <w:pStyle w:val="TableBodyText"/>
              <w:rPr>
                <w:b/>
              </w:rPr>
            </w:pPr>
            <w:r w:rsidRPr="000A0506">
              <w:rPr>
                <w:b/>
              </w:rPr>
              <w:t>7.5</w:t>
            </w:r>
          </w:p>
        </w:tc>
        <w:tc>
          <w:tcPr>
            <w:tcW w:w="50" w:type="pct"/>
            <w:tcBorders>
              <w:top w:val="nil"/>
              <w:left w:val="nil"/>
              <w:bottom w:val="nil"/>
            </w:tcBorders>
          </w:tcPr>
          <w:p w:rsidR="00D31F0D" w:rsidRPr="000A0506" w:rsidRDefault="00D31F0D" w:rsidP="00C60AEC">
            <w:pPr>
              <w:pStyle w:val="TableBodyText"/>
              <w:rPr>
                <w:b/>
              </w:rPr>
            </w:pPr>
          </w:p>
        </w:tc>
        <w:tc>
          <w:tcPr>
            <w:tcW w:w="641" w:type="pct"/>
            <w:tcBorders>
              <w:top w:val="nil"/>
              <w:left w:val="nil"/>
              <w:bottom w:val="nil"/>
              <w:right w:val="nil"/>
            </w:tcBorders>
            <w:vAlign w:val="bottom"/>
          </w:tcPr>
          <w:p w:rsidR="00D31F0D" w:rsidRPr="000A0506" w:rsidRDefault="00D31F0D" w:rsidP="00C60AEC">
            <w:pPr>
              <w:pStyle w:val="TableBodyText"/>
              <w:rPr>
                <w:b/>
              </w:rPr>
            </w:pPr>
            <w:r w:rsidRPr="000A0506">
              <w:rPr>
                <w:b/>
              </w:rPr>
              <w:t>28.5</w:t>
            </w:r>
          </w:p>
        </w:tc>
        <w:tc>
          <w:tcPr>
            <w:tcW w:w="591" w:type="pct"/>
            <w:tcBorders>
              <w:top w:val="nil"/>
              <w:left w:val="nil"/>
              <w:bottom w:val="nil"/>
              <w:right w:val="nil"/>
            </w:tcBorders>
            <w:vAlign w:val="bottom"/>
          </w:tcPr>
          <w:p w:rsidR="00D31F0D" w:rsidRPr="000A0506" w:rsidRDefault="00D31F0D" w:rsidP="00C60AEC">
            <w:pPr>
              <w:pStyle w:val="TableBodyText"/>
              <w:ind w:right="28"/>
              <w:rPr>
                <w:b/>
              </w:rPr>
            </w:pPr>
            <w:r w:rsidRPr="000A0506">
              <w:rPr>
                <w:b/>
              </w:rPr>
              <w:t>41.9</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Queensland</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63.7</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28.6</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14.9</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20.1</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18.0</w:t>
            </w:r>
          </w:p>
        </w:tc>
        <w:tc>
          <w:tcPr>
            <w:tcW w:w="591" w:type="pct"/>
            <w:tcBorders>
              <w:top w:val="nil"/>
              <w:left w:val="nil"/>
              <w:bottom w:val="nil"/>
              <w:right w:val="nil"/>
            </w:tcBorders>
            <w:vAlign w:val="bottom"/>
          </w:tcPr>
          <w:p w:rsidR="00D31F0D" w:rsidRDefault="00D31F0D" w:rsidP="00C60AEC">
            <w:pPr>
              <w:pStyle w:val="TableBodyText"/>
              <w:ind w:right="28"/>
            </w:pPr>
            <w:r>
              <w:t>111.7</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Western Australia</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9.8</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15.4</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4.6</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-10.2</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9.7</w:t>
            </w:r>
          </w:p>
        </w:tc>
        <w:tc>
          <w:tcPr>
            <w:tcW w:w="591" w:type="pct"/>
            <w:tcBorders>
              <w:top w:val="nil"/>
              <w:left w:val="nil"/>
              <w:bottom w:val="nil"/>
              <w:right w:val="nil"/>
            </w:tcBorders>
            <w:vAlign w:val="bottom"/>
          </w:tcPr>
          <w:p w:rsidR="00D31F0D" w:rsidRDefault="00D31F0D" w:rsidP="00C60AEC">
            <w:pPr>
              <w:pStyle w:val="TableBodyText"/>
              <w:ind w:right="28"/>
            </w:pPr>
            <w:r>
              <w:t>-56.9</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Northern Territory</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0.4</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1.4</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1.3</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-2.3</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0.9</w:t>
            </w:r>
          </w:p>
        </w:tc>
        <w:tc>
          <w:tcPr>
            <w:tcW w:w="591" w:type="pct"/>
            <w:tcBorders>
              <w:top w:val="nil"/>
              <w:left w:val="nil"/>
              <w:bottom w:val="nil"/>
              <w:right w:val="nil"/>
            </w:tcBorders>
            <w:vAlign w:val="bottom"/>
          </w:tcPr>
          <w:p w:rsidR="00D31F0D" w:rsidRDefault="00D31F0D" w:rsidP="00C60AEC">
            <w:pPr>
              <w:pStyle w:val="TableBodyText"/>
              <w:ind w:right="28"/>
            </w:pPr>
            <w:r>
              <w:t>-12.9</w:t>
            </w:r>
          </w:p>
        </w:tc>
      </w:tr>
      <w:tr w:rsidR="00150057" w:rsidRPr="000A0506" w:rsidTr="00776390">
        <w:trPr>
          <w:trHeight w:val="300"/>
        </w:trPr>
        <w:tc>
          <w:tcPr>
            <w:tcW w:w="1505" w:type="pct"/>
            <w:tcBorders>
              <w:top w:val="nil"/>
              <w:left w:val="nil"/>
              <w:bottom w:val="nil"/>
              <w:right w:val="nil"/>
            </w:tcBorders>
            <w:shd w:val="clear" w:color="auto" w:fill="auto"/>
            <w:noWrap/>
            <w:vAlign w:val="bottom"/>
            <w:hideMark/>
          </w:tcPr>
          <w:p w:rsidR="00D31F0D" w:rsidRPr="000A0506" w:rsidRDefault="00D31F0D" w:rsidP="00C60AEC">
            <w:pPr>
              <w:pStyle w:val="TableBodyText"/>
              <w:jc w:val="left"/>
              <w:rPr>
                <w:b/>
              </w:rPr>
            </w:pPr>
            <w:r w:rsidRPr="000A0506">
              <w:rPr>
                <w:b/>
              </w:rPr>
              <w:t>Non-mining</w:t>
            </w:r>
          </w:p>
        </w:tc>
        <w:tc>
          <w:tcPr>
            <w:tcW w:w="783" w:type="pct"/>
            <w:tcBorders>
              <w:top w:val="nil"/>
              <w:left w:val="nil"/>
              <w:bottom w:val="nil"/>
              <w:right w:val="nil"/>
            </w:tcBorders>
            <w:shd w:val="clear" w:color="auto" w:fill="auto"/>
            <w:noWrap/>
            <w:vAlign w:val="bottom"/>
            <w:hideMark/>
          </w:tcPr>
          <w:p w:rsidR="00D31F0D" w:rsidRPr="000A0506" w:rsidRDefault="00D31F0D" w:rsidP="00C60AEC">
            <w:pPr>
              <w:pStyle w:val="TableBodyText"/>
              <w:rPr>
                <w:b/>
              </w:rPr>
            </w:pPr>
            <w:r w:rsidRPr="000A0506">
              <w:rPr>
                <w:b/>
              </w:rPr>
              <w:t>101.8</w:t>
            </w:r>
          </w:p>
        </w:tc>
        <w:tc>
          <w:tcPr>
            <w:tcW w:w="50" w:type="pct"/>
            <w:tcBorders>
              <w:top w:val="nil"/>
              <w:left w:val="nil"/>
              <w:bottom w:val="nil"/>
              <w:right w:val="nil"/>
            </w:tcBorders>
          </w:tcPr>
          <w:p w:rsidR="00D31F0D" w:rsidRPr="000A0506" w:rsidRDefault="00D31F0D" w:rsidP="00C60AEC">
            <w:pPr>
              <w:pStyle w:val="TableBodyText"/>
              <w:rPr>
                <w:b/>
              </w:rPr>
            </w:pPr>
          </w:p>
        </w:tc>
        <w:tc>
          <w:tcPr>
            <w:tcW w:w="478" w:type="pct"/>
            <w:tcBorders>
              <w:top w:val="nil"/>
              <w:left w:val="nil"/>
              <w:bottom w:val="nil"/>
              <w:right w:val="nil"/>
            </w:tcBorders>
            <w:shd w:val="clear" w:color="auto" w:fill="auto"/>
            <w:noWrap/>
            <w:vAlign w:val="bottom"/>
            <w:hideMark/>
          </w:tcPr>
          <w:p w:rsidR="00D31F0D" w:rsidRPr="000A0506" w:rsidRDefault="00D31F0D" w:rsidP="00C60AEC">
            <w:pPr>
              <w:pStyle w:val="TableBodyText"/>
              <w:rPr>
                <w:b/>
              </w:rPr>
            </w:pPr>
            <w:r w:rsidRPr="000A0506">
              <w:rPr>
                <w:b/>
              </w:rPr>
              <w:t>113.8</w:t>
            </w:r>
          </w:p>
        </w:tc>
        <w:tc>
          <w:tcPr>
            <w:tcW w:w="496" w:type="pct"/>
            <w:tcBorders>
              <w:top w:val="nil"/>
              <w:left w:val="nil"/>
              <w:bottom w:val="nil"/>
              <w:right w:val="nil"/>
            </w:tcBorders>
            <w:shd w:val="clear" w:color="auto" w:fill="auto"/>
            <w:noWrap/>
            <w:vAlign w:val="bottom"/>
            <w:hideMark/>
          </w:tcPr>
          <w:p w:rsidR="00D31F0D" w:rsidRPr="000A0506" w:rsidRDefault="00D31F0D" w:rsidP="00C60AEC">
            <w:pPr>
              <w:pStyle w:val="TableBodyText"/>
              <w:rPr>
                <w:b/>
              </w:rPr>
            </w:pPr>
            <w:r w:rsidRPr="000A0506">
              <w:rPr>
                <w:b/>
              </w:rPr>
              <w:t>-22.4</w:t>
            </w:r>
          </w:p>
        </w:tc>
        <w:tc>
          <w:tcPr>
            <w:tcW w:w="406" w:type="pct"/>
            <w:tcBorders>
              <w:top w:val="nil"/>
              <w:left w:val="nil"/>
              <w:bottom w:val="nil"/>
            </w:tcBorders>
            <w:shd w:val="clear" w:color="auto" w:fill="auto"/>
            <w:noWrap/>
            <w:vAlign w:val="bottom"/>
            <w:hideMark/>
          </w:tcPr>
          <w:p w:rsidR="00D31F0D" w:rsidRPr="000A0506" w:rsidRDefault="00D31F0D" w:rsidP="00F43B4D">
            <w:pPr>
              <w:pStyle w:val="TableBodyText"/>
              <w:rPr>
                <w:b/>
              </w:rPr>
            </w:pPr>
            <w:r w:rsidRPr="000A0506">
              <w:rPr>
                <w:b/>
              </w:rPr>
              <w:t>10.4</w:t>
            </w:r>
          </w:p>
        </w:tc>
        <w:tc>
          <w:tcPr>
            <w:tcW w:w="50" w:type="pct"/>
            <w:tcBorders>
              <w:top w:val="nil"/>
              <w:left w:val="nil"/>
              <w:bottom w:val="nil"/>
            </w:tcBorders>
          </w:tcPr>
          <w:p w:rsidR="00D31F0D" w:rsidRPr="000A0506" w:rsidRDefault="00D31F0D" w:rsidP="00C60AEC">
            <w:pPr>
              <w:pStyle w:val="TableBodyText"/>
              <w:rPr>
                <w:b/>
              </w:rPr>
            </w:pPr>
          </w:p>
        </w:tc>
        <w:tc>
          <w:tcPr>
            <w:tcW w:w="641" w:type="pct"/>
            <w:tcBorders>
              <w:top w:val="nil"/>
              <w:left w:val="nil"/>
              <w:bottom w:val="nil"/>
              <w:right w:val="nil"/>
            </w:tcBorders>
            <w:vAlign w:val="bottom"/>
          </w:tcPr>
          <w:p w:rsidR="00D31F0D" w:rsidRPr="000A0506" w:rsidRDefault="00D31F0D" w:rsidP="00C60AEC">
            <w:pPr>
              <w:pStyle w:val="TableBodyText"/>
              <w:rPr>
                <w:b/>
              </w:rPr>
            </w:pPr>
            <w:r w:rsidRPr="000A0506">
              <w:rPr>
                <w:b/>
              </w:rPr>
              <w:t>71.5</w:t>
            </w:r>
          </w:p>
        </w:tc>
        <w:tc>
          <w:tcPr>
            <w:tcW w:w="591" w:type="pct"/>
            <w:tcBorders>
              <w:top w:val="nil"/>
              <w:left w:val="nil"/>
              <w:bottom w:val="nil"/>
              <w:right w:val="nil"/>
            </w:tcBorders>
            <w:vAlign w:val="bottom"/>
          </w:tcPr>
          <w:p w:rsidR="00D31F0D" w:rsidRPr="000A0506" w:rsidRDefault="00D31F0D" w:rsidP="00C60AEC">
            <w:pPr>
              <w:pStyle w:val="TableBodyText"/>
              <w:ind w:right="28"/>
              <w:rPr>
                <w:b/>
              </w:rPr>
            </w:pPr>
            <w:r w:rsidRPr="000A0506">
              <w:rPr>
                <w:b/>
              </w:rPr>
              <w:t>58.1</w:t>
            </w:r>
          </w:p>
        </w:tc>
      </w:tr>
      <w:tr w:rsidR="00150057" w:rsidRPr="003B4749" w:rsidTr="00776390">
        <w:trPr>
          <w:trHeight w:val="300"/>
        </w:trPr>
        <w:tc>
          <w:tcPr>
            <w:tcW w:w="1505" w:type="pct"/>
            <w:tcBorders>
              <w:top w:val="nil"/>
              <w:left w:val="nil"/>
              <w:bottom w:val="nil"/>
              <w:right w:val="nil"/>
            </w:tcBorders>
            <w:shd w:val="clear" w:color="auto" w:fill="auto"/>
            <w:noWrap/>
            <w:vAlign w:val="bottom"/>
          </w:tcPr>
          <w:p w:rsidR="00D31F0D" w:rsidRDefault="00D31F0D" w:rsidP="00FC57EE">
            <w:pPr>
              <w:pStyle w:val="TableBodyText"/>
              <w:ind w:left="142"/>
              <w:jc w:val="left"/>
            </w:pPr>
            <w:r>
              <w:t>New South Wales</w:t>
            </w:r>
          </w:p>
        </w:tc>
        <w:tc>
          <w:tcPr>
            <w:tcW w:w="783" w:type="pct"/>
            <w:tcBorders>
              <w:top w:val="nil"/>
              <w:left w:val="nil"/>
              <w:bottom w:val="nil"/>
              <w:right w:val="nil"/>
            </w:tcBorders>
            <w:shd w:val="clear" w:color="auto" w:fill="auto"/>
            <w:noWrap/>
            <w:vAlign w:val="bottom"/>
          </w:tcPr>
          <w:p w:rsidR="00D31F0D" w:rsidRDefault="00D31F0D" w:rsidP="00C60AEC">
            <w:pPr>
              <w:pStyle w:val="TableBodyText"/>
            </w:pPr>
            <w:r>
              <w:t>19.3</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tcPr>
          <w:p w:rsidR="00D31F0D" w:rsidRDefault="00D31F0D" w:rsidP="00C60AEC">
            <w:pPr>
              <w:pStyle w:val="TableBodyText"/>
            </w:pPr>
            <w:r>
              <w:t>58.2</w:t>
            </w:r>
          </w:p>
        </w:tc>
        <w:tc>
          <w:tcPr>
            <w:tcW w:w="496" w:type="pct"/>
            <w:tcBorders>
              <w:top w:val="nil"/>
              <w:left w:val="nil"/>
              <w:bottom w:val="nil"/>
              <w:right w:val="nil"/>
            </w:tcBorders>
            <w:shd w:val="clear" w:color="auto" w:fill="auto"/>
            <w:noWrap/>
            <w:vAlign w:val="bottom"/>
          </w:tcPr>
          <w:p w:rsidR="00D31F0D" w:rsidRDefault="00D31F0D" w:rsidP="00C60AEC">
            <w:pPr>
              <w:pStyle w:val="TableBodyText"/>
            </w:pPr>
            <w:r>
              <w:t>-18.3</w:t>
            </w:r>
          </w:p>
        </w:tc>
        <w:tc>
          <w:tcPr>
            <w:tcW w:w="406" w:type="pct"/>
            <w:tcBorders>
              <w:top w:val="nil"/>
              <w:left w:val="nil"/>
              <w:bottom w:val="nil"/>
            </w:tcBorders>
            <w:shd w:val="clear" w:color="auto" w:fill="auto"/>
            <w:noWrap/>
            <w:vAlign w:val="bottom"/>
          </w:tcPr>
          <w:p w:rsidR="00D31F0D" w:rsidRPr="00705680" w:rsidRDefault="00D31F0D" w:rsidP="00F43B4D">
            <w:pPr>
              <w:pStyle w:val="TableBodyText"/>
            </w:pPr>
            <w:r w:rsidRPr="00705680">
              <w:t>-20.7</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36.6</w:t>
            </w:r>
          </w:p>
        </w:tc>
        <w:tc>
          <w:tcPr>
            <w:tcW w:w="591" w:type="pct"/>
            <w:tcBorders>
              <w:top w:val="nil"/>
              <w:left w:val="nil"/>
              <w:bottom w:val="nil"/>
              <w:right w:val="nil"/>
            </w:tcBorders>
            <w:vAlign w:val="bottom"/>
          </w:tcPr>
          <w:p w:rsidR="00D31F0D" w:rsidRDefault="00D31F0D" w:rsidP="00C60AEC">
            <w:pPr>
              <w:pStyle w:val="TableBodyText"/>
              <w:ind w:right="28"/>
            </w:pPr>
            <w:r>
              <w:t>-114.8</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Victoria</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63.9</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42.6</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-2.3</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23.6</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26.7</w:t>
            </w:r>
          </w:p>
        </w:tc>
        <w:tc>
          <w:tcPr>
            <w:tcW w:w="591" w:type="pct"/>
            <w:tcBorders>
              <w:top w:val="nil"/>
              <w:left w:val="nil"/>
              <w:bottom w:val="nil"/>
              <w:right w:val="nil"/>
            </w:tcBorders>
            <w:vAlign w:val="bottom"/>
          </w:tcPr>
          <w:p w:rsidR="00D31F0D" w:rsidRDefault="00D31F0D" w:rsidP="00C60AEC">
            <w:pPr>
              <w:pStyle w:val="TableBodyText"/>
              <w:ind w:right="28"/>
            </w:pPr>
            <w:r>
              <w:t>131.3</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South Australia</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17.0</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8.1</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-1.1</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10.1</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5.1</w:t>
            </w:r>
          </w:p>
        </w:tc>
        <w:tc>
          <w:tcPr>
            <w:tcW w:w="591" w:type="pct"/>
            <w:tcBorders>
              <w:top w:val="nil"/>
              <w:left w:val="nil"/>
              <w:bottom w:val="nil"/>
              <w:right w:val="nil"/>
            </w:tcBorders>
            <w:vAlign w:val="bottom"/>
          </w:tcPr>
          <w:p w:rsidR="00D31F0D" w:rsidRDefault="00D31F0D" w:rsidP="00C60AEC">
            <w:pPr>
              <w:pStyle w:val="TableBodyText"/>
              <w:ind w:right="28"/>
            </w:pPr>
            <w:r>
              <w:t>56.0</w:t>
            </w:r>
          </w:p>
        </w:tc>
      </w:tr>
      <w:tr w:rsidR="00150057" w:rsidRPr="003B4749" w:rsidTr="00776390">
        <w:trPr>
          <w:trHeight w:val="300"/>
        </w:trPr>
        <w:tc>
          <w:tcPr>
            <w:tcW w:w="1505" w:type="pct"/>
            <w:tcBorders>
              <w:top w:val="nil"/>
              <w:left w:val="nil"/>
              <w:bottom w:val="nil"/>
              <w:right w:val="nil"/>
            </w:tcBorders>
            <w:shd w:val="clear" w:color="auto" w:fill="auto"/>
            <w:noWrap/>
            <w:vAlign w:val="bottom"/>
            <w:hideMark/>
          </w:tcPr>
          <w:p w:rsidR="00D31F0D" w:rsidRDefault="00D31F0D" w:rsidP="00FC57EE">
            <w:pPr>
              <w:pStyle w:val="TableBodyText"/>
              <w:ind w:left="142"/>
              <w:jc w:val="left"/>
            </w:pPr>
            <w:r>
              <w:t>Tasmania</w:t>
            </w:r>
          </w:p>
        </w:tc>
        <w:tc>
          <w:tcPr>
            <w:tcW w:w="783" w:type="pct"/>
            <w:tcBorders>
              <w:top w:val="nil"/>
              <w:left w:val="nil"/>
              <w:bottom w:val="nil"/>
              <w:right w:val="nil"/>
            </w:tcBorders>
            <w:shd w:val="clear" w:color="auto" w:fill="auto"/>
            <w:noWrap/>
            <w:vAlign w:val="bottom"/>
            <w:hideMark/>
          </w:tcPr>
          <w:p w:rsidR="00D31F0D" w:rsidRDefault="00D31F0D" w:rsidP="00C60AEC">
            <w:pPr>
              <w:pStyle w:val="TableBodyText"/>
            </w:pPr>
            <w:r>
              <w:t>-0.6</w:t>
            </w:r>
          </w:p>
        </w:tc>
        <w:tc>
          <w:tcPr>
            <w:tcW w:w="50" w:type="pct"/>
            <w:tcBorders>
              <w:top w:val="nil"/>
              <w:left w:val="nil"/>
              <w:bottom w:val="nil"/>
              <w:right w:val="nil"/>
            </w:tcBorders>
          </w:tcPr>
          <w:p w:rsidR="00D31F0D" w:rsidRDefault="00D31F0D" w:rsidP="00C60AEC">
            <w:pPr>
              <w:pStyle w:val="TableBodyText"/>
            </w:pPr>
          </w:p>
        </w:tc>
        <w:tc>
          <w:tcPr>
            <w:tcW w:w="478" w:type="pct"/>
            <w:tcBorders>
              <w:top w:val="nil"/>
              <w:left w:val="nil"/>
              <w:bottom w:val="nil"/>
              <w:right w:val="nil"/>
            </w:tcBorders>
            <w:shd w:val="clear" w:color="auto" w:fill="auto"/>
            <w:noWrap/>
            <w:vAlign w:val="bottom"/>
            <w:hideMark/>
          </w:tcPr>
          <w:p w:rsidR="00D31F0D" w:rsidRDefault="00D31F0D" w:rsidP="00C60AEC">
            <w:pPr>
              <w:pStyle w:val="TableBodyText"/>
            </w:pPr>
            <w:r>
              <w:t>2.8</w:t>
            </w:r>
          </w:p>
        </w:tc>
        <w:tc>
          <w:tcPr>
            <w:tcW w:w="496" w:type="pct"/>
            <w:tcBorders>
              <w:top w:val="nil"/>
              <w:left w:val="nil"/>
              <w:bottom w:val="nil"/>
              <w:right w:val="nil"/>
            </w:tcBorders>
            <w:shd w:val="clear" w:color="auto" w:fill="auto"/>
            <w:noWrap/>
            <w:vAlign w:val="bottom"/>
            <w:hideMark/>
          </w:tcPr>
          <w:p w:rsidR="00D31F0D" w:rsidRDefault="00D31F0D" w:rsidP="00C60AEC">
            <w:pPr>
              <w:pStyle w:val="TableBodyText"/>
            </w:pPr>
            <w:r>
              <w:t>-0.4</w:t>
            </w:r>
          </w:p>
        </w:tc>
        <w:tc>
          <w:tcPr>
            <w:tcW w:w="406" w:type="pct"/>
            <w:tcBorders>
              <w:top w:val="nil"/>
              <w:left w:val="nil"/>
              <w:bottom w:val="nil"/>
            </w:tcBorders>
            <w:shd w:val="clear" w:color="auto" w:fill="auto"/>
            <w:noWrap/>
            <w:vAlign w:val="bottom"/>
            <w:hideMark/>
          </w:tcPr>
          <w:p w:rsidR="00D31F0D" w:rsidRPr="00705680" w:rsidRDefault="00D31F0D" w:rsidP="00F43B4D">
            <w:pPr>
              <w:pStyle w:val="TableBodyText"/>
            </w:pPr>
            <w:r w:rsidRPr="00705680">
              <w:t>-2.9</w:t>
            </w:r>
          </w:p>
        </w:tc>
        <w:tc>
          <w:tcPr>
            <w:tcW w:w="50" w:type="pct"/>
            <w:tcBorders>
              <w:top w:val="nil"/>
              <w:left w:val="nil"/>
              <w:bottom w:val="nil"/>
            </w:tcBorders>
          </w:tcPr>
          <w:p w:rsidR="00D31F0D" w:rsidRDefault="00D31F0D" w:rsidP="00C60AEC">
            <w:pPr>
              <w:pStyle w:val="TableBodyText"/>
            </w:pPr>
          </w:p>
        </w:tc>
        <w:tc>
          <w:tcPr>
            <w:tcW w:w="641" w:type="pct"/>
            <w:tcBorders>
              <w:top w:val="nil"/>
              <w:left w:val="nil"/>
              <w:bottom w:val="nil"/>
              <w:right w:val="nil"/>
            </w:tcBorders>
            <w:vAlign w:val="bottom"/>
          </w:tcPr>
          <w:p w:rsidR="00D31F0D" w:rsidRDefault="00D31F0D" w:rsidP="00C60AEC">
            <w:pPr>
              <w:pStyle w:val="TableBodyText"/>
            </w:pPr>
            <w:r>
              <w:t>1.7</w:t>
            </w:r>
          </w:p>
        </w:tc>
        <w:tc>
          <w:tcPr>
            <w:tcW w:w="591" w:type="pct"/>
            <w:tcBorders>
              <w:top w:val="nil"/>
              <w:left w:val="nil"/>
              <w:bottom w:val="nil"/>
              <w:right w:val="nil"/>
            </w:tcBorders>
            <w:vAlign w:val="bottom"/>
          </w:tcPr>
          <w:p w:rsidR="00D31F0D" w:rsidRDefault="00D31F0D" w:rsidP="00C60AEC">
            <w:pPr>
              <w:pStyle w:val="TableBodyText"/>
              <w:ind w:right="28"/>
            </w:pPr>
            <w:r>
              <w:t>-16.4</w:t>
            </w:r>
          </w:p>
        </w:tc>
      </w:tr>
      <w:tr w:rsidR="00150057" w:rsidRPr="003B4749" w:rsidTr="00776390">
        <w:trPr>
          <w:trHeight w:val="300"/>
        </w:trPr>
        <w:tc>
          <w:tcPr>
            <w:tcW w:w="1505" w:type="pct"/>
            <w:tcBorders>
              <w:top w:val="nil"/>
              <w:left w:val="nil"/>
              <w:right w:val="nil"/>
            </w:tcBorders>
            <w:shd w:val="clear" w:color="auto" w:fill="auto"/>
            <w:noWrap/>
            <w:vAlign w:val="bottom"/>
            <w:hideMark/>
          </w:tcPr>
          <w:p w:rsidR="00D31F0D" w:rsidRDefault="00D31F0D" w:rsidP="00FC57EE">
            <w:pPr>
              <w:pStyle w:val="TableBodyText"/>
              <w:ind w:left="142"/>
              <w:jc w:val="left"/>
            </w:pPr>
            <w:r>
              <w:t>Australian Capital Territory</w:t>
            </w:r>
          </w:p>
        </w:tc>
        <w:tc>
          <w:tcPr>
            <w:tcW w:w="783" w:type="pct"/>
            <w:tcBorders>
              <w:top w:val="nil"/>
              <w:left w:val="nil"/>
              <w:right w:val="nil"/>
            </w:tcBorders>
            <w:shd w:val="clear" w:color="auto" w:fill="auto"/>
            <w:noWrap/>
            <w:vAlign w:val="bottom"/>
            <w:hideMark/>
          </w:tcPr>
          <w:p w:rsidR="00D31F0D" w:rsidRDefault="00D31F0D" w:rsidP="00C60AEC">
            <w:pPr>
              <w:pStyle w:val="TableBodyText"/>
            </w:pPr>
            <w:r>
              <w:t>2.2</w:t>
            </w:r>
          </w:p>
        </w:tc>
        <w:tc>
          <w:tcPr>
            <w:tcW w:w="50" w:type="pct"/>
            <w:tcBorders>
              <w:top w:val="nil"/>
              <w:left w:val="nil"/>
              <w:right w:val="nil"/>
            </w:tcBorders>
          </w:tcPr>
          <w:p w:rsidR="00D31F0D" w:rsidRDefault="00D31F0D" w:rsidP="00C60AEC">
            <w:pPr>
              <w:pStyle w:val="TableBodyText"/>
            </w:pPr>
          </w:p>
        </w:tc>
        <w:tc>
          <w:tcPr>
            <w:tcW w:w="478" w:type="pct"/>
            <w:tcBorders>
              <w:top w:val="nil"/>
              <w:left w:val="nil"/>
              <w:right w:val="nil"/>
            </w:tcBorders>
            <w:shd w:val="clear" w:color="auto" w:fill="auto"/>
            <w:noWrap/>
            <w:vAlign w:val="bottom"/>
            <w:hideMark/>
          </w:tcPr>
          <w:p w:rsidR="00D31F0D" w:rsidRDefault="00D31F0D" w:rsidP="00C60AEC">
            <w:pPr>
              <w:pStyle w:val="TableBodyText"/>
            </w:pPr>
            <w:r>
              <w:t>2.1</w:t>
            </w:r>
          </w:p>
        </w:tc>
        <w:tc>
          <w:tcPr>
            <w:tcW w:w="496" w:type="pct"/>
            <w:tcBorders>
              <w:top w:val="nil"/>
              <w:left w:val="nil"/>
              <w:right w:val="nil"/>
            </w:tcBorders>
            <w:shd w:val="clear" w:color="auto" w:fill="auto"/>
            <w:noWrap/>
            <w:vAlign w:val="bottom"/>
            <w:hideMark/>
          </w:tcPr>
          <w:p w:rsidR="00D31F0D" w:rsidRDefault="00D31F0D" w:rsidP="00C60AEC">
            <w:pPr>
              <w:pStyle w:val="TableBodyText"/>
            </w:pPr>
            <w:r>
              <w:t>-0.3</w:t>
            </w:r>
          </w:p>
        </w:tc>
        <w:tc>
          <w:tcPr>
            <w:tcW w:w="406" w:type="pct"/>
            <w:tcBorders>
              <w:top w:val="nil"/>
              <w:left w:val="nil"/>
            </w:tcBorders>
            <w:shd w:val="clear" w:color="auto" w:fill="auto"/>
            <w:noWrap/>
            <w:vAlign w:val="bottom"/>
            <w:hideMark/>
          </w:tcPr>
          <w:p w:rsidR="00D31F0D" w:rsidRPr="00705680" w:rsidRDefault="00D31F0D" w:rsidP="00F43B4D">
            <w:pPr>
              <w:pStyle w:val="TableBodyText"/>
            </w:pPr>
            <w:r w:rsidRPr="00705680">
              <w:t>0.4</w:t>
            </w:r>
          </w:p>
        </w:tc>
        <w:tc>
          <w:tcPr>
            <w:tcW w:w="50" w:type="pct"/>
            <w:tcBorders>
              <w:top w:val="nil"/>
              <w:left w:val="nil"/>
            </w:tcBorders>
          </w:tcPr>
          <w:p w:rsidR="00D31F0D" w:rsidRDefault="00D31F0D" w:rsidP="00C60AEC">
            <w:pPr>
              <w:pStyle w:val="TableBodyText"/>
            </w:pPr>
          </w:p>
        </w:tc>
        <w:tc>
          <w:tcPr>
            <w:tcW w:w="641" w:type="pct"/>
            <w:tcBorders>
              <w:top w:val="nil"/>
              <w:left w:val="nil"/>
              <w:right w:val="nil"/>
            </w:tcBorders>
            <w:vAlign w:val="bottom"/>
          </w:tcPr>
          <w:p w:rsidR="00D31F0D" w:rsidRDefault="00D31F0D" w:rsidP="00C60AEC">
            <w:pPr>
              <w:pStyle w:val="TableBodyText"/>
            </w:pPr>
            <w:r>
              <w:t>1.3</w:t>
            </w:r>
          </w:p>
        </w:tc>
        <w:tc>
          <w:tcPr>
            <w:tcW w:w="591" w:type="pct"/>
            <w:tcBorders>
              <w:top w:val="nil"/>
              <w:left w:val="nil"/>
              <w:right w:val="nil"/>
            </w:tcBorders>
            <w:vAlign w:val="bottom"/>
          </w:tcPr>
          <w:p w:rsidR="00D31F0D" w:rsidRDefault="00D31F0D" w:rsidP="00C60AEC">
            <w:pPr>
              <w:pStyle w:val="TableBodyText"/>
              <w:ind w:right="28"/>
            </w:pPr>
            <w:r>
              <w:t>2.0</w:t>
            </w:r>
          </w:p>
        </w:tc>
      </w:tr>
      <w:tr w:rsidR="00150057" w:rsidRPr="000A0506" w:rsidTr="00776390">
        <w:trPr>
          <w:trHeight w:val="300"/>
        </w:trPr>
        <w:tc>
          <w:tcPr>
            <w:tcW w:w="1505" w:type="pct"/>
            <w:tcBorders>
              <w:top w:val="nil"/>
              <w:left w:val="nil"/>
              <w:bottom w:val="single" w:sz="6" w:space="0" w:color="auto"/>
              <w:right w:val="nil"/>
            </w:tcBorders>
            <w:shd w:val="clear" w:color="auto" w:fill="auto"/>
            <w:noWrap/>
            <w:vAlign w:val="bottom"/>
            <w:hideMark/>
          </w:tcPr>
          <w:p w:rsidR="00D31F0D" w:rsidRPr="000A0506" w:rsidRDefault="00D31F0D" w:rsidP="00C60AEC">
            <w:pPr>
              <w:pStyle w:val="TableBodyText"/>
              <w:jc w:val="left"/>
              <w:rPr>
                <w:b/>
              </w:rPr>
            </w:pPr>
            <w:r w:rsidRPr="000A0506">
              <w:rPr>
                <w:b/>
              </w:rPr>
              <w:t>Australia</w:t>
            </w:r>
          </w:p>
        </w:tc>
        <w:tc>
          <w:tcPr>
            <w:tcW w:w="783" w:type="pct"/>
            <w:tcBorders>
              <w:top w:val="nil"/>
              <w:left w:val="nil"/>
              <w:bottom w:val="single" w:sz="6" w:space="0" w:color="auto"/>
              <w:right w:val="nil"/>
            </w:tcBorders>
            <w:shd w:val="clear" w:color="auto" w:fill="auto"/>
            <w:noWrap/>
            <w:vAlign w:val="bottom"/>
            <w:hideMark/>
          </w:tcPr>
          <w:p w:rsidR="00D31F0D" w:rsidRPr="000A0506" w:rsidRDefault="00D31F0D" w:rsidP="00C60AEC">
            <w:pPr>
              <w:pStyle w:val="TableBodyText"/>
              <w:rPr>
                <w:b/>
              </w:rPr>
            </w:pPr>
            <w:r w:rsidRPr="000A0506">
              <w:rPr>
                <w:b/>
              </w:rPr>
              <w:t>175.7</w:t>
            </w:r>
          </w:p>
        </w:tc>
        <w:tc>
          <w:tcPr>
            <w:tcW w:w="50" w:type="pct"/>
            <w:tcBorders>
              <w:top w:val="nil"/>
              <w:left w:val="nil"/>
              <w:bottom w:val="single" w:sz="6" w:space="0" w:color="auto"/>
              <w:right w:val="nil"/>
            </w:tcBorders>
          </w:tcPr>
          <w:p w:rsidR="00D31F0D" w:rsidRPr="000A0506" w:rsidRDefault="00D31F0D" w:rsidP="00C60AEC">
            <w:pPr>
              <w:pStyle w:val="TableBodyText"/>
              <w:rPr>
                <w:b/>
              </w:rPr>
            </w:pPr>
          </w:p>
        </w:tc>
        <w:tc>
          <w:tcPr>
            <w:tcW w:w="478" w:type="pct"/>
            <w:tcBorders>
              <w:top w:val="nil"/>
              <w:left w:val="nil"/>
              <w:bottom w:val="single" w:sz="6" w:space="0" w:color="auto"/>
              <w:right w:val="nil"/>
            </w:tcBorders>
            <w:shd w:val="clear" w:color="auto" w:fill="auto"/>
            <w:noWrap/>
            <w:vAlign w:val="bottom"/>
            <w:hideMark/>
          </w:tcPr>
          <w:p w:rsidR="00D31F0D" w:rsidRPr="000A0506" w:rsidRDefault="00D31F0D" w:rsidP="00C60AEC">
            <w:pPr>
              <w:pStyle w:val="TableBodyText"/>
              <w:rPr>
                <w:b/>
              </w:rPr>
            </w:pPr>
            <w:r w:rsidRPr="000A0506">
              <w:rPr>
                <w:b/>
              </w:rPr>
              <w:t>159.3</w:t>
            </w:r>
          </w:p>
        </w:tc>
        <w:tc>
          <w:tcPr>
            <w:tcW w:w="496" w:type="pct"/>
            <w:tcBorders>
              <w:top w:val="nil"/>
              <w:left w:val="nil"/>
              <w:bottom w:val="single" w:sz="6" w:space="0" w:color="auto"/>
              <w:right w:val="nil"/>
            </w:tcBorders>
            <w:shd w:val="clear" w:color="auto" w:fill="auto"/>
            <w:noWrap/>
            <w:vAlign w:val="bottom"/>
            <w:hideMark/>
          </w:tcPr>
          <w:p w:rsidR="00D31F0D" w:rsidRPr="000A0506" w:rsidRDefault="00D31F0D" w:rsidP="00C60AEC">
            <w:pPr>
              <w:pStyle w:val="TableBodyText"/>
              <w:rPr>
                <w:b/>
              </w:rPr>
            </w:pPr>
            <w:r w:rsidRPr="000A0506">
              <w:rPr>
                <w:b/>
              </w:rPr>
              <w:t>-1.5</w:t>
            </w:r>
          </w:p>
        </w:tc>
        <w:tc>
          <w:tcPr>
            <w:tcW w:w="406" w:type="pct"/>
            <w:tcBorders>
              <w:top w:val="nil"/>
              <w:left w:val="nil"/>
              <w:bottom w:val="single" w:sz="6" w:space="0" w:color="auto"/>
            </w:tcBorders>
            <w:shd w:val="clear" w:color="auto" w:fill="auto"/>
            <w:noWrap/>
            <w:vAlign w:val="bottom"/>
            <w:hideMark/>
          </w:tcPr>
          <w:p w:rsidR="00D31F0D" w:rsidRPr="000A0506" w:rsidRDefault="00D31F0D" w:rsidP="00F43B4D">
            <w:pPr>
              <w:pStyle w:val="TableBodyText"/>
              <w:rPr>
                <w:b/>
              </w:rPr>
            </w:pPr>
            <w:r w:rsidRPr="000A0506">
              <w:rPr>
                <w:b/>
              </w:rPr>
              <w:t>18.0</w:t>
            </w:r>
          </w:p>
        </w:tc>
        <w:tc>
          <w:tcPr>
            <w:tcW w:w="50" w:type="pct"/>
            <w:tcBorders>
              <w:top w:val="nil"/>
              <w:left w:val="nil"/>
              <w:bottom w:val="single" w:sz="6" w:space="0" w:color="auto"/>
            </w:tcBorders>
          </w:tcPr>
          <w:p w:rsidR="00D31F0D" w:rsidRPr="000A0506" w:rsidRDefault="00D31F0D" w:rsidP="00C60AEC">
            <w:pPr>
              <w:pStyle w:val="TableBodyText"/>
              <w:rPr>
                <w:b/>
              </w:rPr>
            </w:pPr>
          </w:p>
        </w:tc>
        <w:tc>
          <w:tcPr>
            <w:tcW w:w="641" w:type="pct"/>
            <w:tcBorders>
              <w:top w:val="nil"/>
              <w:left w:val="nil"/>
              <w:bottom w:val="single" w:sz="6" w:space="0" w:color="auto"/>
              <w:right w:val="nil"/>
            </w:tcBorders>
            <w:vAlign w:val="bottom"/>
          </w:tcPr>
          <w:p w:rsidR="00D31F0D" w:rsidRPr="000A0506" w:rsidRDefault="00D31F0D" w:rsidP="00C60AEC">
            <w:pPr>
              <w:pStyle w:val="TableBodyText"/>
              <w:rPr>
                <w:b/>
              </w:rPr>
            </w:pPr>
            <w:r w:rsidRPr="000A0506">
              <w:rPr>
                <w:b/>
              </w:rPr>
              <w:t>100.0</w:t>
            </w:r>
          </w:p>
        </w:tc>
        <w:tc>
          <w:tcPr>
            <w:tcW w:w="591" w:type="pct"/>
            <w:tcBorders>
              <w:top w:val="nil"/>
              <w:left w:val="nil"/>
              <w:bottom w:val="single" w:sz="6" w:space="0" w:color="auto"/>
              <w:right w:val="nil"/>
            </w:tcBorders>
            <w:vAlign w:val="bottom"/>
          </w:tcPr>
          <w:p w:rsidR="00D31F0D" w:rsidRPr="000A0506" w:rsidRDefault="00D31F0D" w:rsidP="00C60AEC">
            <w:pPr>
              <w:pStyle w:val="TableBodyText"/>
              <w:ind w:right="28"/>
              <w:rPr>
                <w:b/>
              </w:rPr>
            </w:pPr>
            <w:r w:rsidRPr="000A0506">
              <w:rPr>
                <w:b/>
              </w:rPr>
              <w:t>100.0</w:t>
            </w:r>
          </w:p>
        </w:tc>
      </w:tr>
    </w:tbl>
    <w:p w:rsidR="00A6340D" w:rsidRDefault="00A6340D" w:rsidP="00A6340D">
      <w:pPr>
        <w:pStyle w:val="Note"/>
      </w:pPr>
      <w:proofErr w:type="spellStart"/>
      <w:r w:rsidRPr="00616401">
        <w:rPr>
          <w:rStyle w:val="NoteLabel"/>
        </w:rPr>
        <w:t>a</w:t>
      </w:r>
      <w:proofErr w:type="spellEnd"/>
      <w:r>
        <w:t xml:space="preserve"> The source data contain a break in series. Estimates for 2001 are for August, and 2011 estimates are for November. The effect of this break is discussed at footnote </w:t>
      </w:r>
      <w:r w:rsidR="00765DD9">
        <w:t>49</w:t>
      </w:r>
      <w:r>
        <w:t>.</w:t>
      </w:r>
    </w:p>
    <w:p w:rsidR="00A6340D" w:rsidRPr="002D362D" w:rsidRDefault="002D362D" w:rsidP="00A6340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Default="00A6340D" w:rsidP="00A6340D">
      <w:pPr>
        <w:pStyle w:val="TableTitle"/>
      </w:pPr>
      <w:r>
        <w:rPr>
          <w:b w:val="0"/>
        </w:rPr>
        <w:t xml:space="preserve">Table </w:t>
      </w:r>
      <w:bookmarkStart w:id="10" w:name="OLE_LINK7"/>
      <w:proofErr w:type="spellStart"/>
      <w:r>
        <w:rPr>
          <w:b w:val="0"/>
        </w:rPr>
        <w:t>E.</w:t>
      </w:r>
      <w:r>
        <w:rPr>
          <w:b w:val="0"/>
          <w:noProof/>
        </w:rPr>
        <w:t>8</w:t>
      </w:r>
      <w:bookmarkEnd w:id="10"/>
      <w:proofErr w:type="spellEnd"/>
      <w:r>
        <w:tab/>
        <w:t xml:space="preserve">Shift–share analysis for </w:t>
      </w:r>
      <w:proofErr w:type="spellStart"/>
      <w:r>
        <w:t>OMUEs</w:t>
      </w:r>
      <w:proofErr w:type="spellEnd"/>
      <w:r>
        <w:t xml:space="preserve"> by jurisdiction</w:t>
      </w:r>
      <w:r w:rsidRPr="00616401">
        <w:rPr>
          <w:rStyle w:val="NoteLabel"/>
          <w:b/>
        </w:rPr>
        <w:t>a</w:t>
      </w:r>
    </w:p>
    <w:tbl>
      <w:tblPr>
        <w:tblW w:w="5000" w:type="pct"/>
        <w:tblLayout w:type="fixed"/>
        <w:tblCellMar>
          <w:left w:w="0" w:type="dxa"/>
          <w:right w:w="0" w:type="dxa"/>
        </w:tblCellMar>
        <w:tblLook w:val="04A0" w:firstRow="1" w:lastRow="0" w:firstColumn="1" w:lastColumn="0" w:noHBand="0" w:noVBand="1"/>
      </w:tblPr>
      <w:tblGrid>
        <w:gridCol w:w="2676"/>
        <w:gridCol w:w="1346"/>
        <w:gridCol w:w="88"/>
        <w:gridCol w:w="854"/>
        <w:gridCol w:w="856"/>
        <w:gridCol w:w="756"/>
        <w:gridCol w:w="88"/>
        <w:gridCol w:w="1102"/>
        <w:gridCol w:w="1023"/>
      </w:tblGrid>
      <w:tr w:rsidR="0042104A" w:rsidRPr="003B4749" w:rsidTr="0042104A">
        <w:trPr>
          <w:trHeight w:val="300"/>
        </w:trPr>
        <w:tc>
          <w:tcPr>
            <w:tcW w:w="1522" w:type="pct"/>
            <w:tcBorders>
              <w:top w:val="single" w:sz="6" w:space="0" w:color="auto"/>
              <w:left w:val="nil"/>
              <w:right w:val="nil"/>
            </w:tcBorders>
            <w:shd w:val="clear" w:color="auto" w:fill="auto"/>
            <w:noWrap/>
            <w:vAlign w:val="bottom"/>
          </w:tcPr>
          <w:p w:rsidR="0042104A" w:rsidRPr="003B4749" w:rsidRDefault="0042104A" w:rsidP="00C60AEC">
            <w:pPr>
              <w:pStyle w:val="TableColumnHeading"/>
            </w:pPr>
          </w:p>
        </w:tc>
        <w:tc>
          <w:tcPr>
            <w:tcW w:w="766" w:type="pct"/>
            <w:tcBorders>
              <w:top w:val="single" w:sz="6" w:space="0" w:color="auto"/>
              <w:left w:val="nil"/>
              <w:bottom w:val="single" w:sz="6" w:space="0" w:color="auto"/>
              <w:right w:val="nil"/>
            </w:tcBorders>
            <w:shd w:val="clear" w:color="auto" w:fill="auto"/>
            <w:noWrap/>
            <w:vAlign w:val="bottom"/>
          </w:tcPr>
          <w:p w:rsidR="0042104A" w:rsidRPr="003B4749" w:rsidRDefault="0042104A" w:rsidP="00B65FC2">
            <w:pPr>
              <w:pStyle w:val="TableColumnHeading"/>
              <w:jc w:val="center"/>
            </w:pPr>
            <w:r>
              <w:t>Change</w:t>
            </w:r>
          </w:p>
        </w:tc>
        <w:tc>
          <w:tcPr>
            <w:tcW w:w="50" w:type="pct"/>
            <w:tcBorders>
              <w:top w:val="single" w:sz="6" w:space="0" w:color="auto"/>
              <w:left w:val="nil"/>
              <w:right w:val="nil"/>
            </w:tcBorders>
          </w:tcPr>
          <w:p w:rsidR="0042104A" w:rsidRDefault="0042104A" w:rsidP="00C60AEC">
            <w:pPr>
              <w:pStyle w:val="TableColumnHeading"/>
              <w:jc w:val="center"/>
            </w:pPr>
          </w:p>
        </w:tc>
        <w:tc>
          <w:tcPr>
            <w:tcW w:w="1403" w:type="pct"/>
            <w:gridSpan w:val="3"/>
            <w:tcBorders>
              <w:top w:val="single" w:sz="6" w:space="0" w:color="auto"/>
              <w:left w:val="nil"/>
              <w:bottom w:val="single" w:sz="6" w:space="0" w:color="auto"/>
            </w:tcBorders>
            <w:shd w:val="clear" w:color="auto" w:fill="auto"/>
            <w:noWrap/>
            <w:vAlign w:val="bottom"/>
          </w:tcPr>
          <w:p w:rsidR="0042104A" w:rsidRPr="003B4749" w:rsidRDefault="0042104A" w:rsidP="00C60AEC">
            <w:pPr>
              <w:pStyle w:val="TableColumnHeading"/>
              <w:jc w:val="center"/>
            </w:pPr>
            <w:r>
              <w:t>Decomposition</w:t>
            </w:r>
          </w:p>
        </w:tc>
        <w:tc>
          <w:tcPr>
            <w:tcW w:w="50" w:type="pct"/>
            <w:tcBorders>
              <w:top w:val="single" w:sz="6" w:space="0" w:color="auto"/>
              <w:left w:val="nil"/>
              <w:right w:val="nil"/>
            </w:tcBorders>
          </w:tcPr>
          <w:p w:rsidR="0042104A" w:rsidRDefault="0042104A" w:rsidP="00C60AEC">
            <w:pPr>
              <w:pStyle w:val="TableUnitsRow"/>
              <w:ind w:right="28"/>
              <w:jc w:val="center"/>
              <w:rPr>
                <w:i/>
              </w:rPr>
            </w:pPr>
          </w:p>
        </w:tc>
        <w:tc>
          <w:tcPr>
            <w:tcW w:w="1209" w:type="pct"/>
            <w:gridSpan w:val="2"/>
            <w:tcBorders>
              <w:top w:val="single" w:sz="6" w:space="0" w:color="auto"/>
              <w:left w:val="nil"/>
              <w:bottom w:val="single" w:sz="6" w:space="0" w:color="auto"/>
            </w:tcBorders>
          </w:tcPr>
          <w:p w:rsidR="0042104A" w:rsidRPr="0080021B" w:rsidRDefault="0042104A" w:rsidP="00C60AEC">
            <w:pPr>
              <w:pStyle w:val="TableUnitsRow"/>
              <w:ind w:right="28"/>
              <w:jc w:val="center"/>
              <w:rPr>
                <w:i/>
              </w:rPr>
            </w:pPr>
            <w:r>
              <w:rPr>
                <w:i/>
              </w:rPr>
              <w:t>Share of:</w:t>
            </w:r>
          </w:p>
        </w:tc>
      </w:tr>
      <w:tr w:rsidR="00C943F0" w:rsidRPr="003B4749" w:rsidTr="0042104A">
        <w:trPr>
          <w:trHeight w:val="300"/>
        </w:trPr>
        <w:tc>
          <w:tcPr>
            <w:tcW w:w="1522" w:type="pct"/>
            <w:tcBorders>
              <w:left w:val="nil"/>
              <w:bottom w:val="single" w:sz="6" w:space="0" w:color="auto"/>
              <w:right w:val="nil"/>
            </w:tcBorders>
            <w:shd w:val="clear" w:color="auto" w:fill="auto"/>
            <w:noWrap/>
            <w:vAlign w:val="bottom"/>
          </w:tcPr>
          <w:p w:rsidR="002E5C6D" w:rsidRPr="003B4749" w:rsidRDefault="002E5C6D" w:rsidP="00C60AEC">
            <w:pPr>
              <w:pStyle w:val="TableColumnHeading"/>
            </w:pPr>
          </w:p>
        </w:tc>
        <w:tc>
          <w:tcPr>
            <w:tcW w:w="766" w:type="pct"/>
            <w:tcBorders>
              <w:top w:val="single" w:sz="6" w:space="0" w:color="auto"/>
              <w:left w:val="nil"/>
              <w:bottom w:val="single" w:sz="6" w:space="0" w:color="auto"/>
              <w:right w:val="nil"/>
            </w:tcBorders>
            <w:shd w:val="clear" w:color="auto" w:fill="auto"/>
            <w:noWrap/>
            <w:vAlign w:val="bottom"/>
          </w:tcPr>
          <w:p w:rsidR="002E5C6D" w:rsidRPr="003B4749" w:rsidRDefault="002E5C6D" w:rsidP="00C60AEC">
            <w:pPr>
              <w:pStyle w:val="TableColumnHeading"/>
            </w:pPr>
            <w:r w:rsidRPr="003B4749">
              <w:t>2001 to 201</w:t>
            </w:r>
            <w:r>
              <w:t>1</w:t>
            </w:r>
          </w:p>
        </w:tc>
        <w:tc>
          <w:tcPr>
            <w:tcW w:w="50" w:type="pct"/>
            <w:tcBorders>
              <w:left w:val="nil"/>
              <w:bottom w:val="single" w:sz="6" w:space="0" w:color="auto"/>
              <w:right w:val="nil"/>
            </w:tcBorders>
          </w:tcPr>
          <w:p w:rsidR="002E5C6D" w:rsidRPr="003B4749" w:rsidRDefault="002E5C6D" w:rsidP="00C60AEC">
            <w:pPr>
              <w:pStyle w:val="TableColumnHeading"/>
            </w:pPr>
          </w:p>
        </w:tc>
        <w:tc>
          <w:tcPr>
            <w:tcW w:w="486" w:type="pct"/>
            <w:tcBorders>
              <w:top w:val="single" w:sz="6" w:space="0" w:color="auto"/>
              <w:left w:val="nil"/>
              <w:bottom w:val="single" w:sz="6" w:space="0" w:color="auto"/>
              <w:right w:val="nil"/>
            </w:tcBorders>
            <w:shd w:val="clear" w:color="auto" w:fill="auto"/>
            <w:noWrap/>
            <w:vAlign w:val="bottom"/>
          </w:tcPr>
          <w:p w:rsidR="002E5C6D" w:rsidRPr="003B4749" w:rsidRDefault="002E5C6D" w:rsidP="00C60AEC">
            <w:pPr>
              <w:pStyle w:val="TableColumnHeading"/>
            </w:pPr>
            <w:r w:rsidRPr="003B4749">
              <w:t>Growth</w:t>
            </w:r>
          </w:p>
        </w:tc>
        <w:tc>
          <w:tcPr>
            <w:tcW w:w="487" w:type="pct"/>
            <w:tcBorders>
              <w:top w:val="single" w:sz="6" w:space="0" w:color="auto"/>
              <w:left w:val="nil"/>
              <w:bottom w:val="single" w:sz="6" w:space="0" w:color="auto"/>
              <w:right w:val="nil"/>
            </w:tcBorders>
            <w:shd w:val="clear" w:color="auto" w:fill="auto"/>
            <w:noWrap/>
            <w:vAlign w:val="bottom"/>
          </w:tcPr>
          <w:p w:rsidR="002E5C6D" w:rsidRPr="003B4749" w:rsidRDefault="002E5C6D" w:rsidP="00C60AEC">
            <w:pPr>
              <w:pStyle w:val="TableColumnHeading"/>
            </w:pPr>
            <w:r w:rsidRPr="003B4749">
              <w:t>Share</w:t>
            </w:r>
          </w:p>
        </w:tc>
        <w:tc>
          <w:tcPr>
            <w:tcW w:w="430" w:type="pct"/>
            <w:tcBorders>
              <w:top w:val="single" w:sz="6" w:space="0" w:color="auto"/>
              <w:left w:val="nil"/>
              <w:bottom w:val="single" w:sz="6" w:space="0" w:color="auto"/>
            </w:tcBorders>
            <w:shd w:val="clear" w:color="auto" w:fill="auto"/>
            <w:noWrap/>
            <w:vAlign w:val="bottom"/>
          </w:tcPr>
          <w:p w:rsidR="002E5C6D" w:rsidRPr="00F43B4D" w:rsidRDefault="002E5C6D" w:rsidP="00F43B4D">
            <w:pPr>
              <w:pStyle w:val="TableColumnHeading"/>
            </w:pPr>
            <w:r w:rsidRPr="00DF27FF">
              <w:t>Shift</w:t>
            </w:r>
          </w:p>
        </w:tc>
        <w:tc>
          <w:tcPr>
            <w:tcW w:w="50" w:type="pct"/>
            <w:tcBorders>
              <w:left w:val="nil"/>
              <w:bottom w:val="single" w:sz="6" w:space="0" w:color="auto"/>
            </w:tcBorders>
          </w:tcPr>
          <w:p w:rsidR="002E5C6D" w:rsidRDefault="002E5C6D" w:rsidP="00F43B4D">
            <w:pPr>
              <w:pStyle w:val="TableColumnHeading"/>
            </w:pPr>
          </w:p>
        </w:tc>
        <w:tc>
          <w:tcPr>
            <w:tcW w:w="627" w:type="pct"/>
            <w:tcBorders>
              <w:top w:val="single" w:sz="6" w:space="0" w:color="auto"/>
              <w:left w:val="nil"/>
              <w:bottom w:val="single" w:sz="6" w:space="0" w:color="auto"/>
              <w:right w:val="nil"/>
            </w:tcBorders>
          </w:tcPr>
          <w:p w:rsidR="002E5C6D" w:rsidRPr="00F43B4D" w:rsidRDefault="002E5C6D" w:rsidP="00F43B4D">
            <w:pPr>
              <w:pStyle w:val="TableColumnHeading"/>
            </w:pPr>
            <w:r>
              <w:t>2001 emp.</w:t>
            </w:r>
          </w:p>
        </w:tc>
        <w:tc>
          <w:tcPr>
            <w:tcW w:w="582" w:type="pct"/>
            <w:tcBorders>
              <w:top w:val="single" w:sz="6" w:space="0" w:color="auto"/>
              <w:left w:val="nil"/>
              <w:bottom w:val="single" w:sz="6" w:space="0" w:color="auto"/>
              <w:right w:val="nil"/>
            </w:tcBorders>
          </w:tcPr>
          <w:p w:rsidR="002E5C6D" w:rsidRPr="00DF27FF" w:rsidRDefault="002E5C6D" w:rsidP="00C60AEC">
            <w:pPr>
              <w:pStyle w:val="TableUnitsRow"/>
              <w:ind w:right="28"/>
              <w:rPr>
                <w:i/>
              </w:rPr>
            </w:pPr>
            <w:r>
              <w:rPr>
                <w:i/>
              </w:rPr>
              <w:t>Shift effect</w:t>
            </w:r>
          </w:p>
        </w:tc>
      </w:tr>
      <w:tr w:rsidR="002E5C6D" w:rsidRPr="003B4749" w:rsidTr="0042104A">
        <w:trPr>
          <w:trHeight w:val="300"/>
        </w:trPr>
        <w:tc>
          <w:tcPr>
            <w:tcW w:w="1522" w:type="pct"/>
            <w:tcBorders>
              <w:top w:val="single" w:sz="6" w:space="0" w:color="auto"/>
              <w:left w:val="nil"/>
              <w:bottom w:val="nil"/>
              <w:right w:val="nil"/>
            </w:tcBorders>
            <w:shd w:val="clear" w:color="auto" w:fill="auto"/>
            <w:noWrap/>
            <w:vAlign w:val="bottom"/>
            <w:hideMark/>
          </w:tcPr>
          <w:p w:rsidR="002E5C6D" w:rsidRPr="003B4749" w:rsidRDefault="002E5C6D" w:rsidP="00C60AEC">
            <w:pPr>
              <w:pStyle w:val="TableUnitsRow"/>
              <w:jc w:val="left"/>
            </w:pPr>
          </w:p>
        </w:tc>
        <w:tc>
          <w:tcPr>
            <w:tcW w:w="766" w:type="pct"/>
            <w:tcBorders>
              <w:top w:val="single" w:sz="6" w:space="0" w:color="auto"/>
              <w:left w:val="nil"/>
              <w:bottom w:val="nil"/>
              <w:right w:val="nil"/>
            </w:tcBorders>
            <w:shd w:val="clear" w:color="auto" w:fill="auto"/>
            <w:noWrap/>
            <w:vAlign w:val="bottom"/>
          </w:tcPr>
          <w:p w:rsidR="002E5C6D" w:rsidRPr="003B4749" w:rsidRDefault="002E5C6D" w:rsidP="00C60AEC">
            <w:pPr>
              <w:pStyle w:val="TableUnitsRow"/>
            </w:pPr>
            <w:r>
              <w:t>’000</w:t>
            </w:r>
          </w:p>
        </w:tc>
        <w:tc>
          <w:tcPr>
            <w:tcW w:w="50" w:type="pct"/>
            <w:tcBorders>
              <w:top w:val="single" w:sz="6" w:space="0" w:color="auto"/>
              <w:left w:val="nil"/>
              <w:bottom w:val="nil"/>
              <w:right w:val="nil"/>
            </w:tcBorders>
          </w:tcPr>
          <w:p w:rsidR="002E5C6D" w:rsidRDefault="002E5C6D" w:rsidP="00C60AEC">
            <w:pPr>
              <w:pStyle w:val="TableUnitsRow"/>
            </w:pPr>
          </w:p>
        </w:tc>
        <w:tc>
          <w:tcPr>
            <w:tcW w:w="486" w:type="pct"/>
            <w:tcBorders>
              <w:top w:val="single" w:sz="6" w:space="0" w:color="auto"/>
              <w:left w:val="nil"/>
              <w:bottom w:val="nil"/>
              <w:right w:val="nil"/>
            </w:tcBorders>
            <w:shd w:val="clear" w:color="auto" w:fill="auto"/>
            <w:noWrap/>
            <w:vAlign w:val="bottom"/>
          </w:tcPr>
          <w:p w:rsidR="002E5C6D" w:rsidRPr="003B4749" w:rsidRDefault="002E5C6D" w:rsidP="00C60AEC">
            <w:pPr>
              <w:pStyle w:val="TableUnitsRow"/>
            </w:pPr>
            <w:r>
              <w:t>’000</w:t>
            </w:r>
          </w:p>
        </w:tc>
        <w:tc>
          <w:tcPr>
            <w:tcW w:w="487" w:type="pct"/>
            <w:tcBorders>
              <w:top w:val="single" w:sz="6" w:space="0" w:color="auto"/>
              <w:left w:val="nil"/>
              <w:bottom w:val="nil"/>
              <w:right w:val="nil"/>
            </w:tcBorders>
            <w:shd w:val="clear" w:color="auto" w:fill="auto"/>
            <w:noWrap/>
            <w:vAlign w:val="bottom"/>
          </w:tcPr>
          <w:p w:rsidR="002E5C6D" w:rsidRPr="003B4749" w:rsidRDefault="002E5C6D" w:rsidP="00C60AEC">
            <w:pPr>
              <w:pStyle w:val="TableUnitsRow"/>
            </w:pPr>
            <w:r>
              <w:t>’000</w:t>
            </w:r>
          </w:p>
        </w:tc>
        <w:tc>
          <w:tcPr>
            <w:tcW w:w="430" w:type="pct"/>
            <w:tcBorders>
              <w:top w:val="single" w:sz="6" w:space="0" w:color="auto"/>
              <w:left w:val="nil"/>
              <w:bottom w:val="nil"/>
            </w:tcBorders>
            <w:shd w:val="clear" w:color="auto" w:fill="auto"/>
            <w:noWrap/>
            <w:vAlign w:val="bottom"/>
          </w:tcPr>
          <w:p w:rsidR="002E5C6D" w:rsidRPr="00FF2B26" w:rsidRDefault="002E5C6D" w:rsidP="00F43B4D">
            <w:pPr>
              <w:pStyle w:val="TableUnitsRow"/>
            </w:pPr>
            <w:r>
              <w:t>’</w:t>
            </w:r>
            <w:r w:rsidRPr="00FF2B26">
              <w:t>000</w:t>
            </w:r>
          </w:p>
        </w:tc>
        <w:tc>
          <w:tcPr>
            <w:tcW w:w="50" w:type="pct"/>
            <w:tcBorders>
              <w:top w:val="single" w:sz="6" w:space="0" w:color="auto"/>
              <w:left w:val="nil"/>
              <w:bottom w:val="nil"/>
            </w:tcBorders>
          </w:tcPr>
          <w:p w:rsidR="002E5C6D" w:rsidRDefault="002E5C6D" w:rsidP="00C60AEC">
            <w:pPr>
              <w:pStyle w:val="TableUnitsRow"/>
              <w:ind w:right="28"/>
            </w:pPr>
          </w:p>
        </w:tc>
        <w:tc>
          <w:tcPr>
            <w:tcW w:w="627" w:type="pct"/>
            <w:tcBorders>
              <w:top w:val="single" w:sz="6" w:space="0" w:color="auto"/>
              <w:left w:val="nil"/>
              <w:bottom w:val="nil"/>
              <w:right w:val="nil"/>
            </w:tcBorders>
          </w:tcPr>
          <w:p w:rsidR="002E5C6D" w:rsidRPr="00FF2B26" w:rsidRDefault="002E5C6D" w:rsidP="00C60AEC">
            <w:pPr>
              <w:pStyle w:val="TableUnitsRow"/>
              <w:ind w:right="28"/>
            </w:pPr>
            <w:r>
              <w:t>%</w:t>
            </w:r>
          </w:p>
        </w:tc>
        <w:tc>
          <w:tcPr>
            <w:tcW w:w="582" w:type="pct"/>
            <w:tcBorders>
              <w:top w:val="single" w:sz="6" w:space="0" w:color="auto"/>
              <w:left w:val="nil"/>
              <w:bottom w:val="nil"/>
              <w:right w:val="nil"/>
            </w:tcBorders>
          </w:tcPr>
          <w:p w:rsidR="002E5C6D" w:rsidRPr="00FF2B26" w:rsidRDefault="002E5C6D" w:rsidP="00C60AEC">
            <w:pPr>
              <w:pStyle w:val="TableUnitsRow"/>
              <w:ind w:right="28"/>
            </w:pPr>
            <w:r>
              <w:t>%</w:t>
            </w:r>
          </w:p>
        </w:tc>
      </w:tr>
      <w:tr w:rsidR="002E5C6D" w:rsidRPr="000A0506" w:rsidTr="0042104A">
        <w:trPr>
          <w:trHeight w:val="300"/>
        </w:trPr>
        <w:tc>
          <w:tcPr>
            <w:tcW w:w="1522" w:type="pct"/>
            <w:tcBorders>
              <w:top w:val="nil"/>
              <w:left w:val="nil"/>
              <w:bottom w:val="nil"/>
              <w:right w:val="nil"/>
            </w:tcBorders>
            <w:shd w:val="clear" w:color="auto" w:fill="auto"/>
            <w:noWrap/>
            <w:vAlign w:val="bottom"/>
          </w:tcPr>
          <w:p w:rsidR="002E5C6D" w:rsidRPr="000A0506" w:rsidRDefault="002E5C6D" w:rsidP="00C60AEC">
            <w:pPr>
              <w:pStyle w:val="TableBodyText"/>
              <w:jc w:val="left"/>
              <w:rPr>
                <w:b/>
              </w:rPr>
            </w:pPr>
            <w:r w:rsidRPr="000A0506">
              <w:rPr>
                <w:b/>
              </w:rPr>
              <w:t>Mining</w:t>
            </w:r>
          </w:p>
        </w:tc>
        <w:tc>
          <w:tcPr>
            <w:tcW w:w="766" w:type="pct"/>
            <w:tcBorders>
              <w:top w:val="nil"/>
              <w:left w:val="nil"/>
              <w:bottom w:val="nil"/>
              <w:right w:val="nil"/>
            </w:tcBorders>
            <w:shd w:val="clear" w:color="auto" w:fill="auto"/>
            <w:noWrap/>
            <w:vAlign w:val="bottom"/>
          </w:tcPr>
          <w:p w:rsidR="002E5C6D" w:rsidRPr="000A0506" w:rsidRDefault="002E5C6D" w:rsidP="00C60AEC">
            <w:pPr>
              <w:pStyle w:val="TableBodyText"/>
              <w:rPr>
                <w:b/>
              </w:rPr>
            </w:pPr>
            <w:r w:rsidRPr="000A0506">
              <w:rPr>
                <w:b/>
              </w:rPr>
              <w:t>-15.4</w:t>
            </w:r>
          </w:p>
        </w:tc>
        <w:tc>
          <w:tcPr>
            <w:tcW w:w="50" w:type="pct"/>
            <w:tcBorders>
              <w:top w:val="nil"/>
              <w:left w:val="nil"/>
              <w:bottom w:val="nil"/>
              <w:right w:val="nil"/>
            </w:tcBorders>
          </w:tcPr>
          <w:p w:rsidR="002E5C6D" w:rsidRPr="000A0506" w:rsidRDefault="002E5C6D" w:rsidP="00C60AEC">
            <w:pPr>
              <w:pStyle w:val="TableBodyText"/>
              <w:rPr>
                <w:b/>
              </w:rPr>
            </w:pPr>
          </w:p>
        </w:tc>
        <w:tc>
          <w:tcPr>
            <w:tcW w:w="486" w:type="pct"/>
            <w:tcBorders>
              <w:top w:val="nil"/>
              <w:left w:val="nil"/>
              <w:bottom w:val="nil"/>
              <w:right w:val="nil"/>
            </w:tcBorders>
            <w:shd w:val="clear" w:color="auto" w:fill="auto"/>
            <w:noWrap/>
            <w:vAlign w:val="bottom"/>
          </w:tcPr>
          <w:p w:rsidR="002E5C6D" w:rsidRPr="000A0506" w:rsidRDefault="002E5C6D" w:rsidP="00C60AEC">
            <w:pPr>
              <w:pStyle w:val="TableBodyText"/>
              <w:rPr>
                <w:b/>
              </w:rPr>
            </w:pPr>
            <w:r w:rsidRPr="000A0506">
              <w:rPr>
                <w:b/>
              </w:rPr>
              <w:t>107.5</w:t>
            </w:r>
          </w:p>
        </w:tc>
        <w:tc>
          <w:tcPr>
            <w:tcW w:w="487" w:type="pct"/>
            <w:tcBorders>
              <w:top w:val="nil"/>
              <w:left w:val="nil"/>
              <w:bottom w:val="nil"/>
              <w:right w:val="nil"/>
            </w:tcBorders>
            <w:shd w:val="clear" w:color="auto" w:fill="auto"/>
            <w:noWrap/>
            <w:vAlign w:val="bottom"/>
          </w:tcPr>
          <w:p w:rsidR="002E5C6D" w:rsidRPr="000A0506" w:rsidRDefault="002E5C6D" w:rsidP="00C60AEC">
            <w:pPr>
              <w:pStyle w:val="TableBodyText"/>
              <w:rPr>
                <w:b/>
              </w:rPr>
            </w:pPr>
            <w:r w:rsidRPr="000A0506">
              <w:rPr>
                <w:b/>
              </w:rPr>
              <w:t>48.6</w:t>
            </w:r>
          </w:p>
        </w:tc>
        <w:tc>
          <w:tcPr>
            <w:tcW w:w="430" w:type="pct"/>
            <w:tcBorders>
              <w:top w:val="nil"/>
              <w:left w:val="nil"/>
              <w:bottom w:val="nil"/>
            </w:tcBorders>
            <w:shd w:val="clear" w:color="auto" w:fill="auto"/>
            <w:noWrap/>
            <w:vAlign w:val="bottom"/>
          </w:tcPr>
          <w:p w:rsidR="002E5C6D" w:rsidRPr="000A0506" w:rsidRDefault="002E5C6D" w:rsidP="00C60AEC">
            <w:pPr>
              <w:pStyle w:val="TableBodyText"/>
              <w:rPr>
                <w:b/>
              </w:rPr>
            </w:pPr>
            <w:r w:rsidRPr="000A0506">
              <w:rPr>
                <w:b/>
              </w:rPr>
              <w:t>-171.5</w:t>
            </w:r>
          </w:p>
        </w:tc>
        <w:tc>
          <w:tcPr>
            <w:tcW w:w="50" w:type="pct"/>
            <w:tcBorders>
              <w:top w:val="nil"/>
              <w:left w:val="nil"/>
              <w:bottom w:val="nil"/>
            </w:tcBorders>
          </w:tcPr>
          <w:p w:rsidR="002E5C6D" w:rsidRPr="000A0506" w:rsidRDefault="002E5C6D" w:rsidP="00C60AEC">
            <w:pPr>
              <w:pStyle w:val="TableBodyText"/>
              <w:rPr>
                <w:b/>
              </w:rPr>
            </w:pPr>
          </w:p>
        </w:tc>
        <w:tc>
          <w:tcPr>
            <w:tcW w:w="627" w:type="pct"/>
            <w:tcBorders>
              <w:top w:val="nil"/>
              <w:left w:val="nil"/>
              <w:bottom w:val="nil"/>
              <w:right w:val="nil"/>
            </w:tcBorders>
            <w:vAlign w:val="bottom"/>
          </w:tcPr>
          <w:p w:rsidR="002E5C6D" w:rsidRPr="000A0506" w:rsidRDefault="002E5C6D" w:rsidP="00C60AEC">
            <w:pPr>
              <w:pStyle w:val="TableBodyText"/>
              <w:rPr>
                <w:b/>
              </w:rPr>
            </w:pPr>
            <w:r w:rsidRPr="000A0506">
              <w:rPr>
                <w:b/>
              </w:rPr>
              <w:t>33.2</w:t>
            </w:r>
          </w:p>
        </w:tc>
        <w:tc>
          <w:tcPr>
            <w:tcW w:w="582" w:type="pct"/>
            <w:tcBorders>
              <w:top w:val="nil"/>
              <w:left w:val="nil"/>
              <w:bottom w:val="nil"/>
              <w:right w:val="nil"/>
            </w:tcBorders>
            <w:vAlign w:val="bottom"/>
          </w:tcPr>
          <w:p w:rsidR="002E5C6D" w:rsidRPr="000A0506" w:rsidRDefault="002E5C6D" w:rsidP="00C60AEC">
            <w:pPr>
              <w:pStyle w:val="TableBodyText"/>
              <w:ind w:right="28"/>
              <w:rPr>
                <w:b/>
              </w:rPr>
            </w:pPr>
            <w:r w:rsidRPr="000A0506">
              <w:rPr>
                <w:b/>
              </w:rPr>
              <w:t>48.7</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Queensland</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-14.3</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67.6</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35.3</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-117.2</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20.9</w:t>
            </w:r>
          </w:p>
        </w:tc>
        <w:tc>
          <w:tcPr>
            <w:tcW w:w="582" w:type="pct"/>
            <w:tcBorders>
              <w:top w:val="nil"/>
              <w:left w:val="nil"/>
              <w:bottom w:val="nil"/>
              <w:right w:val="nil"/>
            </w:tcBorders>
            <w:vAlign w:val="bottom"/>
          </w:tcPr>
          <w:p w:rsidR="002E5C6D" w:rsidRDefault="002E5C6D" w:rsidP="00C60AEC">
            <w:pPr>
              <w:pStyle w:val="TableBodyText"/>
              <w:ind w:right="28"/>
            </w:pPr>
            <w:r>
              <w:t>33.2</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Western Australia</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-1.4</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37.7</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11.3</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-50.4</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11.7</w:t>
            </w:r>
          </w:p>
        </w:tc>
        <w:tc>
          <w:tcPr>
            <w:tcW w:w="582" w:type="pct"/>
            <w:tcBorders>
              <w:top w:val="nil"/>
              <w:left w:val="nil"/>
              <w:bottom w:val="nil"/>
              <w:right w:val="nil"/>
            </w:tcBorders>
            <w:vAlign w:val="bottom"/>
          </w:tcPr>
          <w:p w:rsidR="002E5C6D" w:rsidRDefault="002E5C6D" w:rsidP="00C60AEC">
            <w:pPr>
              <w:pStyle w:val="TableBodyText"/>
              <w:ind w:right="28"/>
            </w:pPr>
            <w:r>
              <w:t>14.3</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Northern Territory</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0.3</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2.2</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2.1</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-3.9</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0.7</w:t>
            </w:r>
          </w:p>
        </w:tc>
        <w:tc>
          <w:tcPr>
            <w:tcW w:w="582" w:type="pct"/>
            <w:tcBorders>
              <w:top w:val="nil"/>
              <w:left w:val="nil"/>
              <w:bottom w:val="nil"/>
              <w:right w:val="nil"/>
            </w:tcBorders>
            <w:vAlign w:val="bottom"/>
          </w:tcPr>
          <w:p w:rsidR="002E5C6D" w:rsidRDefault="002E5C6D" w:rsidP="00C60AEC">
            <w:pPr>
              <w:pStyle w:val="TableBodyText"/>
              <w:ind w:right="28"/>
            </w:pPr>
            <w:r>
              <w:t>1.1</w:t>
            </w:r>
          </w:p>
        </w:tc>
      </w:tr>
      <w:tr w:rsidR="002E5C6D" w:rsidRPr="000A0506" w:rsidTr="0042104A">
        <w:trPr>
          <w:trHeight w:val="300"/>
        </w:trPr>
        <w:tc>
          <w:tcPr>
            <w:tcW w:w="1522" w:type="pct"/>
            <w:tcBorders>
              <w:top w:val="nil"/>
              <w:left w:val="nil"/>
              <w:bottom w:val="nil"/>
              <w:right w:val="nil"/>
            </w:tcBorders>
            <w:shd w:val="clear" w:color="auto" w:fill="auto"/>
            <w:noWrap/>
            <w:vAlign w:val="bottom"/>
            <w:hideMark/>
          </w:tcPr>
          <w:p w:rsidR="002E5C6D" w:rsidRPr="000A0506" w:rsidRDefault="002E5C6D" w:rsidP="00C60AEC">
            <w:pPr>
              <w:pStyle w:val="TableBodyText"/>
              <w:jc w:val="left"/>
              <w:rPr>
                <w:b/>
              </w:rPr>
            </w:pPr>
            <w:r w:rsidRPr="000A0506">
              <w:rPr>
                <w:b/>
              </w:rPr>
              <w:t>Non-mining</w:t>
            </w:r>
          </w:p>
        </w:tc>
        <w:tc>
          <w:tcPr>
            <w:tcW w:w="766" w:type="pct"/>
            <w:tcBorders>
              <w:top w:val="nil"/>
              <w:left w:val="nil"/>
              <w:bottom w:val="nil"/>
              <w:right w:val="nil"/>
            </w:tcBorders>
            <w:shd w:val="clear" w:color="auto" w:fill="auto"/>
            <w:noWrap/>
            <w:vAlign w:val="bottom"/>
            <w:hideMark/>
          </w:tcPr>
          <w:p w:rsidR="002E5C6D" w:rsidRPr="000A0506" w:rsidRDefault="002E5C6D" w:rsidP="00C60AEC">
            <w:pPr>
              <w:pStyle w:val="TableBodyText"/>
              <w:rPr>
                <w:b/>
              </w:rPr>
            </w:pPr>
            <w:r w:rsidRPr="000A0506">
              <w:rPr>
                <w:b/>
              </w:rPr>
              <w:t>-7.1</w:t>
            </w:r>
          </w:p>
        </w:tc>
        <w:tc>
          <w:tcPr>
            <w:tcW w:w="50" w:type="pct"/>
            <w:tcBorders>
              <w:top w:val="nil"/>
              <w:left w:val="nil"/>
              <w:bottom w:val="nil"/>
              <w:right w:val="nil"/>
            </w:tcBorders>
          </w:tcPr>
          <w:p w:rsidR="002E5C6D" w:rsidRPr="000A0506" w:rsidRDefault="002E5C6D" w:rsidP="00C60AEC">
            <w:pPr>
              <w:pStyle w:val="TableBodyText"/>
              <w:rPr>
                <w:b/>
              </w:rPr>
            </w:pPr>
          </w:p>
        </w:tc>
        <w:tc>
          <w:tcPr>
            <w:tcW w:w="486" w:type="pct"/>
            <w:tcBorders>
              <w:top w:val="nil"/>
              <w:left w:val="nil"/>
              <w:bottom w:val="nil"/>
              <w:right w:val="nil"/>
            </w:tcBorders>
            <w:shd w:val="clear" w:color="auto" w:fill="auto"/>
            <w:noWrap/>
            <w:vAlign w:val="bottom"/>
            <w:hideMark/>
          </w:tcPr>
          <w:p w:rsidR="002E5C6D" w:rsidRPr="000A0506" w:rsidRDefault="002E5C6D" w:rsidP="00C60AEC">
            <w:pPr>
              <w:pStyle w:val="TableBodyText"/>
              <w:rPr>
                <w:b/>
              </w:rPr>
            </w:pPr>
            <w:r w:rsidRPr="000A0506">
              <w:rPr>
                <w:b/>
              </w:rPr>
              <w:t>216.2</w:t>
            </w:r>
          </w:p>
        </w:tc>
        <w:tc>
          <w:tcPr>
            <w:tcW w:w="487" w:type="pct"/>
            <w:tcBorders>
              <w:top w:val="nil"/>
              <w:left w:val="nil"/>
              <w:bottom w:val="nil"/>
              <w:right w:val="nil"/>
            </w:tcBorders>
            <w:shd w:val="clear" w:color="auto" w:fill="auto"/>
            <w:noWrap/>
            <w:vAlign w:val="bottom"/>
            <w:hideMark/>
          </w:tcPr>
          <w:p w:rsidR="002E5C6D" w:rsidRPr="000A0506" w:rsidRDefault="002E5C6D" w:rsidP="00C60AEC">
            <w:pPr>
              <w:pStyle w:val="TableBodyText"/>
              <w:rPr>
                <w:b/>
              </w:rPr>
            </w:pPr>
            <w:r w:rsidRPr="000A0506">
              <w:rPr>
                <w:b/>
              </w:rPr>
              <w:t>-42.3</w:t>
            </w:r>
          </w:p>
        </w:tc>
        <w:tc>
          <w:tcPr>
            <w:tcW w:w="430" w:type="pct"/>
            <w:tcBorders>
              <w:top w:val="nil"/>
              <w:left w:val="nil"/>
              <w:bottom w:val="nil"/>
            </w:tcBorders>
            <w:shd w:val="clear" w:color="auto" w:fill="auto"/>
            <w:noWrap/>
            <w:vAlign w:val="bottom"/>
            <w:hideMark/>
          </w:tcPr>
          <w:p w:rsidR="002E5C6D" w:rsidRPr="000A0506" w:rsidRDefault="002E5C6D" w:rsidP="00C60AEC">
            <w:pPr>
              <w:pStyle w:val="TableBodyText"/>
              <w:rPr>
                <w:b/>
              </w:rPr>
            </w:pPr>
            <w:r w:rsidRPr="000A0506">
              <w:rPr>
                <w:b/>
              </w:rPr>
              <w:t>-181.0</w:t>
            </w:r>
          </w:p>
        </w:tc>
        <w:tc>
          <w:tcPr>
            <w:tcW w:w="50" w:type="pct"/>
            <w:tcBorders>
              <w:top w:val="nil"/>
              <w:left w:val="nil"/>
              <w:bottom w:val="nil"/>
            </w:tcBorders>
          </w:tcPr>
          <w:p w:rsidR="002E5C6D" w:rsidRPr="000A0506" w:rsidRDefault="002E5C6D" w:rsidP="00C60AEC">
            <w:pPr>
              <w:pStyle w:val="TableBodyText"/>
              <w:rPr>
                <w:b/>
              </w:rPr>
            </w:pPr>
          </w:p>
        </w:tc>
        <w:tc>
          <w:tcPr>
            <w:tcW w:w="627" w:type="pct"/>
            <w:tcBorders>
              <w:top w:val="nil"/>
              <w:left w:val="nil"/>
              <w:bottom w:val="nil"/>
              <w:right w:val="nil"/>
            </w:tcBorders>
            <w:vAlign w:val="bottom"/>
          </w:tcPr>
          <w:p w:rsidR="002E5C6D" w:rsidRPr="000A0506" w:rsidRDefault="002E5C6D" w:rsidP="00C60AEC">
            <w:pPr>
              <w:pStyle w:val="TableBodyText"/>
              <w:rPr>
                <w:b/>
              </w:rPr>
            </w:pPr>
            <w:r w:rsidRPr="000A0506">
              <w:rPr>
                <w:b/>
              </w:rPr>
              <w:t>66.8</w:t>
            </w:r>
          </w:p>
        </w:tc>
        <w:tc>
          <w:tcPr>
            <w:tcW w:w="582" w:type="pct"/>
            <w:tcBorders>
              <w:top w:val="nil"/>
              <w:left w:val="nil"/>
              <w:bottom w:val="nil"/>
              <w:right w:val="nil"/>
            </w:tcBorders>
            <w:vAlign w:val="bottom"/>
          </w:tcPr>
          <w:p w:rsidR="002E5C6D" w:rsidRPr="000A0506" w:rsidRDefault="002E5C6D" w:rsidP="00C60AEC">
            <w:pPr>
              <w:pStyle w:val="TableBodyText"/>
              <w:ind w:right="28"/>
              <w:rPr>
                <w:b/>
              </w:rPr>
            </w:pPr>
            <w:r w:rsidRPr="000A0506">
              <w:rPr>
                <w:b/>
              </w:rPr>
              <w:t>51.3</w:t>
            </w:r>
          </w:p>
        </w:tc>
      </w:tr>
      <w:tr w:rsidR="002E5C6D" w:rsidRPr="003B4749" w:rsidTr="0042104A">
        <w:trPr>
          <w:trHeight w:val="300"/>
        </w:trPr>
        <w:tc>
          <w:tcPr>
            <w:tcW w:w="1522" w:type="pct"/>
            <w:tcBorders>
              <w:top w:val="nil"/>
              <w:left w:val="nil"/>
              <w:bottom w:val="nil"/>
              <w:right w:val="nil"/>
            </w:tcBorders>
            <w:shd w:val="clear" w:color="auto" w:fill="auto"/>
            <w:noWrap/>
            <w:vAlign w:val="bottom"/>
          </w:tcPr>
          <w:p w:rsidR="002E5C6D" w:rsidRDefault="002E5C6D" w:rsidP="00FC57EE">
            <w:pPr>
              <w:pStyle w:val="TableBodyText"/>
              <w:ind w:left="142"/>
              <w:jc w:val="left"/>
            </w:pPr>
            <w:r>
              <w:t>New South Wales</w:t>
            </w:r>
          </w:p>
        </w:tc>
        <w:tc>
          <w:tcPr>
            <w:tcW w:w="766" w:type="pct"/>
            <w:tcBorders>
              <w:top w:val="nil"/>
              <w:left w:val="nil"/>
              <w:bottom w:val="nil"/>
              <w:right w:val="nil"/>
            </w:tcBorders>
            <w:shd w:val="clear" w:color="auto" w:fill="auto"/>
            <w:noWrap/>
            <w:vAlign w:val="bottom"/>
          </w:tcPr>
          <w:p w:rsidR="002E5C6D" w:rsidRDefault="002E5C6D" w:rsidP="00C60AEC">
            <w:pPr>
              <w:pStyle w:val="TableBodyText"/>
            </w:pPr>
            <w:r>
              <w:t>-13.4</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tcPr>
          <w:p w:rsidR="002E5C6D" w:rsidRDefault="002E5C6D" w:rsidP="00C60AEC">
            <w:pPr>
              <w:pStyle w:val="TableBodyText"/>
            </w:pPr>
            <w:r>
              <w:t>104.8</w:t>
            </w:r>
          </w:p>
        </w:tc>
        <w:tc>
          <w:tcPr>
            <w:tcW w:w="487" w:type="pct"/>
            <w:tcBorders>
              <w:top w:val="nil"/>
              <w:left w:val="nil"/>
              <w:bottom w:val="nil"/>
              <w:right w:val="nil"/>
            </w:tcBorders>
            <w:shd w:val="clear" w:color="auto" w:fill="auto"/>
            <w:noWrap/>
            <w:vAlign w:val="bottom"/>
          </w:tcPr>
          <w:p w:rsidR="002E5C6D" w:rsidRDefault="002E5C6D" w:rsidP="00C60AEC">
            <w:pPr>
              <w:pStyle w:val="TableBodyText"/>
            </w:pPr>
            <w:r>
              <w:t>-33.0</w:t>
            </w:r>
          </w:p>
        </w:tc>
        <w:tc>
          <w:tcPr>
            <w:tcW w:w="430" w:type="pct"/>
            <w:tcBorders>
              <w:top w:val="nil"/>
              <w:left w:val="nil"/>
              <w:bottom w:val="nil"/>
            </w:tcBorders>
            <w:shd w:val="clear" w:color="auto" w:fill="auto"/>
            <w:noWrap/>
            <w:vAlign w:val="bottom"/>
          </w:tcPr>
          <w:p w:rsidR="002E5C6D" w:rsidRDefault="002E5C6D" w:rsidP="00C60AEC">
            <w:pPr>
              <w:pStyle w:val="TableBodyText"/>
            </w:pPr>
            <w:r>
              <w:t>-85.2</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32.4</w:t>
            </w:r>
          </w:p>
        </w:tc>
        <w:tc>
          <w:tcPr>
            <w:tcW w:w="582" w:type="pct"/>
            <w:tcBorders>
              <w:top w:val="nil"/>
              <w:left w:val="nil"/>
              <w:bottom w:val="nil"/>
              <w:right w:val="nil"/>
            </w:tcBorders>
            <w:vAlign w:val="bottom"/>
          </w:tcPr>
          <w:p w:rsidR="002E5C6D" w:rsidRDefault="002E5C6D" w:rsidP="00C60AEC">
            <w:pPr>
              <w:pStyle w:val="TableBodyText"/>
              <w:ind w:right="28"/>
            </w:pPr>
            <w:r>
              <w:t>24.2</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Victoria</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17.9</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71.9</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-3.9</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-50.1</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22.2</w:t>
            </w:r>
          </w:p>
        </w:tc>
        <w:tc>
          <w:tcPr>
            <w:tcW w:w="582" w:type="pct"/>
            <w:tcBorders>
              <w:top w:val="nil"/>
              <w:left w:val="nil"/>
              <w:bottom w:val="nil"/>
              <w:right w:val="nil"/>
            </w:tcBorders>
            <w:vAlign w:val="bottom"/>
          </w:tcPr>
          <w:p w:rsidR="002E5C6D" w:rsidRDefault="002E5C6D" w:rsidP="00C60AEC">
            <w:pPr>
              <w:pStyle w:val="TableBodyText"/>
              <w:ind w:right="28"/>
            </w:pPr>
            <w:r>
              <w:t>14.2</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South Australia</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-9.2</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27.9</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-3.9</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-33.2</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8.6</w:t>
            </w:r>
          </w:p>
        </w:tc>
        <w:tc>
          <w:tcPr>
            <w:tcW w:w="582" w:type="pct"/>
            <w:tcBorders>
              <w:top w:val="nil"/>
              <w:left w:val="nil"/>
              <w:bottom w:val="nil"/>
              <w:right w:val="nil"/>
            </w:tcBorders>
            <w:vAlign w:val="bottom"/>
          </w:tcPr>
          <w:p w:rsidR="002E5C6D" w:rsidRDefault="002E5C6D" w:rsidP="00C60AEC">
            <w:pPr>
              <w:pStyle w:val="TableBodyText"/>
              <w:ind w:right="28"/>
            </w:pPr>
            <w:r>
              <w:t>9.4</w:t>
            </w:r>
          </w:p>
        </w:tc>
      </w:tr>
      <w:tr w:rsidR="002E5C6D" w:rsidRPr="003B4749" w:rsidTr="0042104A">
        <w:trPr>
          <w:trHeight w:val="300"/>
        </w:trPr>
        <w:tc>
          <w:tcPr>
            <w:tcW w:w="1522" w:type="pct"/>
            <w:tcBorders>
              <w:top w:val="nil"/>
              <w:left w:val="nil"/>
              <w:bottom w:val="nil"/>
              <w:right w:val="nil"/>
            </w:tcBorders>
            <w:shd w:val="clear" w:color="auto" w:fill="auto"/>
            <w:noWrap/>
            <w:vAlign w:val="bottom"/>
            <w:hideMark/>
          </w:tcPr>
          <w:p w:rsidR="002E5C6D" w:rsidRDefault="002E5C6D" w:rsidP="00FC57EE">
            <w:pPr>
              <w:pStyle w:val="TableBodyText"/>
              <w:ind w:left="142"/>
              <w:jc w:val="left"/>
            </w:pPr>
            <w:r>
              <w:t>Tasmania</w:t>
            </w:r>
          </w:p>
        </w:tc>
        <w:tc>
          <w:tcPr>
            <w:tcW w:w="766" w:type="pct"/>
            <w:tcBorders>
              <w:top w:val="nil"/>
              <w:left w:val="nil"/>
              <w:bottom w:val="nil"/>
              <w:right w:val="nil"/>
            </w:tcBorders>
            <w:shd w:val="clear" w:color="auto" w:fill="auto"/>
            <w:noWrap/>
            <w:vAlign w:val="bottom"/>
            <w:hideMark/>
          </w:tcPr>
          <w:p w:rsidR="002E5C6D" w:rsidRDefault="002E5C6D" w:rsidP="00C60AEC">
            <w:pPr>
              <w:pStyle w:val="TableBodyText"/>
            </w:pPr>
            <w:r>
              <w:t>-1.3</w:t>
            </w:r>
          </w:p>
        </w:tc>
        <w:tc>
          <w:tcPr>
            <w:tcW w:w="50" w:type="pct"/>
            <w:tcBorders>
              <w:top w:val="nil"/>
              <w:left w:val="nil"/>
              <w:bottom w:val="nil"/>
              <w:right w:val="nil"/>
            </w:tcBorders>
          </w:tcPr>
          <w:p w:rsidR="002E5C6D" w:rsidRDefault="002E5C6D" w:rsidP="00C60AEC">
            <w:pPr>
              <w:pStyle w:val="TableBodyText"/>
            </w:pPr>
          </w:p>
        </w:tc>
        <w:tc>
          <w:tcPr>
            <w:tcW w:w="486" w:type="pct"/>
            <w:tcBorders>
              <w:top w:val="nil"/>
              <w:left w:val="nil"/>
              <w:bottom w:val="nil"/>
              <w:right w:val="nil"/>
            </w:tcBorders>
            <w:shd w:val="clear" w:color="auto" w:fill="auto"/>
            <w:noWrap/>
            <w:vAlign w:val="bottom"/>
            <w:hideMark/>
          </w:tcPr>
          <w:p w:rsidR="002E5C6D" w:rsidRDefault="002E5C6D" w:rsidP="00C60AEC">
            <w:pPr>
              <w:pStyle w:val="TableBodyText"/>
            </w:pPr>
            <w:r>
              <w:t>8.0</w:t>
            </w:r>
          </w:p>
        </w:tc>
        <w:tc>
          <w:tcPr>
            <w:tcW w:w="487" w:type="pct"/>
            <w:tcBorders>
              <w:top w:val="nil"/>
              <w:left w:val="nil"/>
              <w:bottom w:val="nil"/>
              <w:right w:val="nil"/>
            </w:tcBorders>
            <w:shd w:val="clear" w:color="auto" w:fill="auto"/>
            <w:noWrap/>
            <w:vAlign w:val="bottom"/>
            <w:hideMark/>
          </w:tcPr>
          <w:p w:rsidR="002E5C6D" w:rsidRDefault="002E5C6D" w:rsidP="00C60AEC">
            <w:pPr>
              <w:pStyle w:val="TableBodyText"/>
            </w:pPr>
            <w:r>
              <w:t>-1.1</w:t>
            </w:r>
          </w:p>
        </w:tc>
        <w:tc>
          <w:tcPr>
            <w:tcW w:w="430" w:type="pct"/>
            <w:tcBorders>
              <w:top w:val="nil"/>
              <w:left w:val="nil"/>
              <w:bottom w:val="nil"/>
            </w:tcBorders>
            <w:shd w:val="clear" w:color="auto" w:fill="auto"/>
            <w:noWrap/>
            <w:vAlign w:val="bottom"/>
            <w:hideMark/>
          </w:tcPr>
          <w:p w:rsidR="002E5C6D" w:rsidRDefault="002E5C6D" w:rsidP="00C60AEC">
            <w:pPr>
              <w:pStyle w:val="TableBodyText"/>
            </w:pPr>
            <w:r>
              <w:t>-8.1</w:t>
            </w:r>
          </w:p>
        </w:tc>
        <w:tc>
          <w:tcPr>
            <w:tcW w:w="50" w:type="pct"/>
            <w:tcBorders>
              <w:top w:val="nil"/>
              <w:left w:val="nil"/>
              <w:bottom w:val="nil"/>
            </w:tcBorders>
          </w:tcPr>
          <w:p w:rsidR="002E5C6D" w:rsidRDefault="002E5C6D" w:rsidP="00C60AEC">
            <w:pPr>
              <w:pStyle w:val="TableBodyText"/>
            </w:pPr>
          </w:p>
        </w:tc>
        <w:tc>
          <w:tcPr>
            <w:tcW w:w="627" w:type="pct"/>
            <w:tcBorders>
              <w:top w:val="nil"/>
              <w:left w:val="nil"/>
              <w:bottom w:val="nil"/>
              <w:right w:val="nil"/>
            </w:tcBorders>
            <w:vAlign w:val="bottom"/>
          </w:tcPr>
          <w:p w:rsidR="002E5C6D" w:rsidRDefault="002E5C6D" w:rsidP="00C60AEC">
            <w:pPr>
              <w:pStyle w:val="TableBodyText"/>
            </w:pPr>
            <w:r>
              <w:t>2.5</w:t>
            </w:r>
          </w:p>
        </w:tc>
        <w:tc>
          <w:tcPr>
            <w:tcW w:w="582" w:type="pct"/>
            <w:tcBorders>
              <w:top w:val="nil"/>
              <w:left w:val="nil"/>
              <w:bottom w:val="nil"/>
              <w:right w:val="nil"/>
            </w:tcBorders>
            <w:vAlign w:val="bottom"/>
          </w:tcPr>
          <w:p w:rsidR="002E5C6D" w:rsidRDefault="002E5C6D" w:rsidP="00C60AEC">
            <w:pPr>
              <w:pStyle w:val="TableBodyText"/>
              <w:ind w:right="28"/>
            </w:pPr>
            <w:r>
              <w:t>2.3</w:t>
            </w:r>
          </w:p>
        </w:tc>
      </w:tr>
      <w:tr w:rsidR="002E5C6D" w:rsidRPr="003B4749" w:rsidTr="0042104A">
        <w:trPr>
          <w:trHeight w:val="300"/>
        </w:trPr>
        <w:tc>
          <w:tcPr>
            <w:tcW w:w="1522" w:type="pct"/>
            <w:tcBorders>
              <w:top w:val="nil"/>
              <w:left w:val="nil"/>
              <w:right w:val="nil"/>
            </w:tcBorders>
            <w:shd w:val="clear" w:color="auto" w:fill="auto"/>
            <w:noWrap/>
            <w:vAlign w:val="bottom"/>
            <w:hideMark/>
          </w:tcPr>
          <w:p w:rsidR="002E5C6D" w:rsidRDefault="002E5C6D" w:rsidP="00FC57EE">
            <w:pPr>
              <w:pStyle w:val="TableBodyText"/>
              <w:ind w:left="142"/>
              <w:jc w:val="left"/>
            </w:pPr>
            <w:r>
              <w:t>Australian Capital Territory</w:t>
            </w:r>
          </w:p>
        </w:tc>
        <w:tc>
          <w:tcPr>
            <w:tcW w:w="766" w:type="pct"/>
            <w:tcBorders>
              <w:top w:val="nil"/>
              <w:left w:val="nil"/>
              <w:right w:val="nil"/>
            </w:tcBorders>
            <w:shd w:val="clear" w:color="auto" w:fill="auto"/>
            <w:noWrap/>
            <w:vAlign w:val="bottom"/>
            <w:hideMark/>
          </w:tcPr>
          <w:p w:rsidR="002E5C6D" w:rsidRDefault="002E5C6D" w:rsidP="00C60AEC">
            <w:pPr>
              <w:pStyle w:val="TableBodyText"/>
            </w:pPr>
            <w:r>
              <w:t>-1.2</w:t>
            </w:r>
          </w:p>
        </w:tc>
        <w:tc>
          <w:tcPr>
            <w:tcW w:w="50" w:type="pct"/>
            <w:tcBorders>
              <w:top w:val="nil"/>
              <w:left w:val="nil"/>
              <w:right w:val="nil"/>
            </w:tcBorders>
          </w:tcPr>
          <w:p w:rsidR="002E5C6D" w:rsidRDefault="002E5C6D" w:rsidP="00C60AEC">
            <w:pPr>
              <w:pStyle w:val="TableBodyText"/>
            </w:pPr>
          </w:p>
        </w:tc>
        <w:tc>
          <w:tcPr>
            <w:tcW w:w="486" w:type="pct"/>
            <w:tcBorders>
              <w:top w:val="nil"/>
              <w:left w:val="nil"/>
              <w:right w:val="nil"/>
            </w:tcBorders>
            <w:shd w:val="clear" w:color="auto" w:fill="auto"/>
            <w:noWrap/>
            <w:vAlign w:val="bottom"/>
            <w:hideMark/>
          </w:tcPr>
          <w:p w:rsidR="002E5C6D" w:rsidRDefault="002E5C6D" w:rsidP="00C60AEC">
            <w:pPr>
              <w:pStyle w:val="TableBodyText"/>
            </w:pPr>
            <w:r>
              <w:t>3.6</w:t>
            </w:r>
          </w:p>
        </w:tc>
        <w:tc>
          <w:tcPr>
            <w:tcW w:w="487" w:type="pct"/>
            <w:tcBorders>
              <w:top w:val="nil"/>
              <w:left w:val="nil"/>
              <w:right w:val="nil"/>
            </w:tcBorders>
            <w:shd w:val="clear" w:color="auto" w:fill="auto"/>
            <w:noWrap/>
            <w:vAlign w:val="bottom"/>
            <w:hideMark/>
          </w:tcPr>
          <w:p w:rsidR="002E5C6D" w:rsidRDefault="002E5C6D" w:rsidP="00C60AEC">
            <w:pPr>
              <w:pStyle w:val="TableBodyText"/>
            </w:pPr>
            <w:r>
              <w:t>-0.4</w:t>
            </w:r>
          </w:p>
        </w:tc>
        <w:tc>
          <w:tcPr>
            <w:tcW w:w="430" w:type="pct"/>
            <w:tcBorders>
              <w:top w:val="nil"/>
              <w:left w:val="nil"/>
            </w:tcBorders>
            <w:shd w:val="clear" w:color="auto" w:fill="auto"/>
            <w:noWrap/>
            <w:vAlign w:val="bottom"/>
            <w:hideMark/>
          </w:tcPr>
          <w:p w:rsidR="002E5C6D" w:rsidRDefault="002E5C6D" w:rsidP="00C60AEC">
            <w:pPr>
              <w:pStyle w:val="TableBodyText"/>
            </w:pPr>
            <w:r>
              <w:t>-4.3</w:t>
            </w:r>
          </w:p>
        </w:tc>
        <w:tc>
          <w:tcPr>
            <w:tcW w:w="50" w:type="pct"/>
            <w:tcBorders>
              <w:top w:val="nil"/>
              <w:left w:val="nil"/>
            </w:tcBorders>
          </w:tcPr>
          <w:p w:rsidR="002E5C6D" w:rsidRDefault="002E5C6D" w:rsidP="00C60AEC">
            <w:pPr>
              <w:pStyle w:val="TableBodyText"/>
            </w:pPr>
          </w:p>
        </w:tc>
        <w:tc>
          <w:tcPr>
            <w:tcW w:w="627" w:type="pct"/>
            <w:tcBorders>
              <w:top w:val="nil"/>
              <w:left w:val="nil"/>
              <w:right w:val="nil"/>
            </w:tcBorders>
            <w:vAlign w:val="bottom"/>
          </w:tcPr>
          <w:p w:rsidR="002E5C6D" w:rsidRDefault="002E5C6D" w:rsidP="00C60AEC">
            <w:pPr>
              <w:pStyle w:val="TableBodyText"/>
            </w:pPr>
            <w:r>
              <w:t>1.1</w:t>
            </w:r>
          </w:p>
        </w:tc>
        <w:tc>
          <w:tcPr>
            <w:tcW w:w="582" w:type="pct"/>
            <w:tcBorders>
              <w:top w:val="nil"/>
              <w:left w:val="nil"/>
              <w:right w:val="nil"/>
            </w:tcBorders>
            <w:vAlign w:val="bottom"/>
          </w:tcPr>
          <w:p w:rsidR="002E5C6D" w:rsidRDefault="002E5C6D" w:rsidP="00C60AEC">
            <w:pPr>
              <w:pStyle w:val="TableBodyText"/>
              <w:ind w:right="28"/>
            </w:pPr>
            <w:r>
              <w:t>1.2</w:t>
            </w:r>
          </w:p>
        </w:tc>
      </w:tr>
      <w:tr w:rsidR="002E5C6D" w:rsidRPr="000A0506" w:rsidTr="0042104A">
        <w:trPr>
          <w:trHeight w:val="300"/>
        </w:trPr>
        <w:tc>
          <w:tcPr>
            <w:tcW w:w="1522" w:type="pct"/>
            <w:tcBorders>
              <w:top w:val="nil"/>
              <w:left w:val="nil"/>
              <w:bottom w:val="single" w:sz="6" w:space="0" w:color="auto"/>
              <w:right w:val="nil"/>
            </w:tcBorders>
            <w:shd w:val="clear" w:color="auto" w:fill="auto"/>
            <w:noWrap/>
            <w:vAlign w:val="bottom"/>
            <w:hideMark/>
          </w:tcPr>
          <w:p w:rsidR="002E5C6D" w:rsidRPr="000A0506" w:rsidRDefault="002E5C6D" w:rsidP="00C60AEC">
            <w:pPr>
              <w:pStyle w:val="TableBodyText"/>
              <w:jc w:val="left"/>
              <w:rPr>
                <w:b/>
              </w:rPr>
            </w:pPr>
            <w:r w:rsidRPr="000A0506">
              <w:rPr>
                <w:b/>
              </w:rPr>
              <w:t>Australia</w:t>
            </w:r>
          </w:p>
        </w:tc>
        <w:tc>
          <w:tcPr>
            <w:tcW w:w="766" w:type="pct"/>
            <w:tcBorders>
              <w:top w:val="nil"/>
              <w:left w:val="nil"/>
              <w:bottom w:val="single" w:sz="6" w:space="0" w:color="auto"/>
              <w:right w:val="nil"/>
            </w:tcBorders>
            <w:shd w:val="clear" w:color="auto" w:fill="auto"/>
            <w:noWrap/>
            <w:vAlign w:val="bottom"/>
            <w:hideMark/>
          </w:tcPr>
          <w:p w:rsidR="002E5C6D" w:rsidRPr="000A0506" w:rsidRDefault="002E5C6D" w:rsidP="00C60AEC">
            <w:pPr>
              <w:pStyle w:val="TableBodyText"/>
              <w:rPr>
                <w:b/>
              </w:rPr>
            </w:pPr>
            <w:r w:rsidRPr="000A0506">
              <w:rPr>
                <w:b/>
              </w:rPr>
              <w:t>-22.5</w:t>
            </w:r>
          </w:p>
        </w:tc>
        <w:tc>
          <w:tcPr>
            <w:tcW w:w="50" w:type="pct"/>
            <w:tcBorders>
              <w:top w:val="nil"/>
              <w:left w:val="nil"/>
              <w:bottom w:val="single" w:sz="6" w:space="0" w:color="auto"/>
              <w:right w:val="nil"/>
            </w:tcBorders>
          </w:tcPr>
          <w:p w:rsidR="002E5C6D" w:rsidRPr="000A0506" w:rsidRDefault="002E5C6D" w:rsidP="00C60AEC">
            <w:pPr>
              <w:pStyle w:val="TableBodyText"/>
              <w:rPr>
                <w:b/>
              </w:rPr>
            </w:pPr>
          </w:p>
        </w:tc>
        <w:tc>
          <w:tcPr>
            <w:tcW w:w="486" w:type="pct"/>
            <w:tcBorders>
              <w:top w:val="nil"/>
              <w:left w:val="nil"/>
              <w:bottom w:val="single" w:sz="6" w:space="0" w:color="auto"/>
              <w:right w:val="nil"/>
            </w:tcBorders>
            <w:shd w:val="clear" w:color="auto" w:fill="auto"/>
            <w:noWrap/>
            <w:vAlign w:val="bottom"/>
            <w:hideMark/>
          </w:tcPr>
          <w:p w:rsidR="002E5C6D" w:rsidRPr="000A0506" w:rsidRDefault="002E5C6D" w:rsidP="00C60AEC">
            <w:pPr>
              <w:pStyle w:val="TableBodyText"/>
              <w:rPr>
                <w:b/>
              </w:rPr>
            </w:pPr>
            <w:r w:rsidRPr="000A0506">
              <w:rPr>
                <w:b/>
              </w:rPr>
              <w:t>323.7</w:t>
            </w:r>
          </w:p>
        </w:tc>
        <w:tc>
          <w:tcPr>
            <w:tcW w:w="487" w:type="pct"/>
            <w:tcBorders>
              <w:top w:val="nil"/>
              <w:left w:val="nil"/>
              <w:bottom w:val="single" w:sz="6" w:space="0" w:color="auto"/>
              <w:right w:val="nil"/>
            </w:tcBorders>
            <w:shd w:val="clear" w:color="auto" w:fill="auto"/>
            <w:noWrap/>
            <w:vAlign w:val="bottom"/>
            <w:hideMark/>
          </w:tcPr>
          <w:p w:rsidR="002E5C6D" w:rsidRPr="000A0506" w:rsidRDefault="002E5C6D" w:rsidP="00C60AEC">
            <w:pPr>
              <w:pStyle w:val="TableBodyText"/>
              <w:rPr>
                <w:b/>
              </w:rPr>
            </w:pPr>
            <w:r w:rsidRPr="000A0506">
              <w:rPr>
                <w:b/>
              </w:rPr>
              <w:t>6.3</w:t>
            </w:r>
          </w:p>
        </w:tc>
        <w:tc>
          <w:tcPr>
            <w:tcW w:w="430" w:type="pct"/>
            <w:tcBorders>
              <w:top w:val="nil"/>
              <w:left w:val="nil"/>
              <w:bottom w:val="single" w:sz="6" w:space="0" w:color="auto"/>
            </w:tcBorders>
            <w:shd w:val="clear" w:color="auto" w:fill="auto"/>
            <w:noWrap/>
            <w:vAlign w:val="bottom"/>
            <w:hideMark/>
          </w:tcPr>
          <w:p w:rsidR="002E5C6D" w:rsidRPr="000A0506" w:rsidRDefault="002E5C6D" w:rsidP="00C60AEC">
            <w:pPr>
              <w:pStyle w:val="TableBodyText"/>
              <w:rPr>
                <w:b/>
              </w:rPr>
            </w:pPr>
            <w:r w:rsidRPr="000A0506">
              <w:rPr>
                <w:b/>
              </w:rPr>
              <w:t>-352.5</w:t>
            </w:r>
          </w:p>
        </w:tc>
        <w:tc>
          <w:tcPr>
            <w:tcW w:w="50" w:type="pct"/>
            <w:tcBorders>
              <w:top w:val="nil"/>
              <w:left w:val="nil"/>
              <w:bottom w:val="single" w:sz="6" w:space="0" w:color="auto"/>
            </w:tcBorders>
          </w:tcPr>
          <w:p w:rsidR="002E5C6D" w:rsidRPr="000A0506" w:rsidRDefault="002E5C6D" w:rsidP="00C60AEC">
            <w:pPr>
              <w:pStyle w:val="TableBodyText"/>
              <w:rPr>
                <w:b/>
              </w:rPr>
            </w:pPr>
          </w:p>
        </w:tc>
        <w:tc>
          <w:tcPr>
            <w:tcW w:w="627" w:type="pct"/>
            <w:tcBorders>
              <w:top w:val="nil"/>
              <w:left w:val="nil"/>
              <w:bottom w:val="single" w:sz="6" w:space="0" w:color="auto"/>
              <w:right w:val="nil"/>
            </w:tcBorders>
            <w:vAlign w:val="bottom"/>
          </w:tcPr>
          <w:p w:rsidR="002E5C6D" w:rsidRPr="000A0506" w:rsidRDefault="002E5C6D" w:rsidP="00C60AEC">
            <w:pPr>
              <w:pStyle w:val="TableBodyText"/>
              <w:rPr>
                <w:b/>
              </w:rPr>
            </w:pPr>
            <w:r w:rsidRPr="000A0506">
              <w:rPr>
                <w:b/>
              </w:rPr>
              <w:t>100.0</w:t>
            </w:r>
          </w:p>
        </w:tc>
        <w:tc>
          <w:tcPr>
            <w:tcW w:w="582" w:type="pct"/>
            <w:tcBorders>
              <w:top w:val="nil"/>
              <w:left w:val="nil"/>
              <w:bottom w:val="single" w:sz="6" w:space="0" w:color="auto"/>
              <w:right w:val="nil"/>
            </w:tcBorders>
            <w:vAlign w:val="bottom"/>
          </w:tcPr>
          <w:p w:rsidR="002E5C6D" w:rsidRPr="000A0506" w:rsidRDefault="002E5C6D" w:rsidP="00C60AEC">
            <w:pPr>
              <w:pStyle w:val="TableBodyText"/>
              <w:ind w:right="28"/>
              <w:rPr>
                <w:b/>
              </w:rPr>
            </w:pPr>
            <w:r w:rsidRPr="000A0506">
              <w:rPr>
                <w:b/>
              </w:rPr>
              <w:t>100.0</w:t>
            </w:r>
          </w:p>
        </w:tc>
      </w:tr>
    </w:tbl>
    <w:p w:rsidR="00A6340D" w:rsidRDefault="00A6340D" w:rsidP="00A6340D">
      <w:pPr>
        <w:pStyle w:val="Note"/>
      </w:pPr>
      <w:proofErr w:type="spellStart"/>
      <w:r w:rsidRPr="00616401">
        <w:rPr>
          <w:rStyle w:val="NoteLabel"/>
        </w:rPr>
        <w:t>a</w:t>
      </w:r>
      <w:proofErr w:type="spellEnd"/>
      <w:r>
        <w:t xml:space="preserve"> The source data contain a break in series. Estimates for 2001 are for August and 2011 are for November. The effect of this break is discussed at footnote </w:t>
      </w:r>
      <w:r w:rsidR="00765DD9">
        <w:t>49</w:t>
      </w:r>
      <w:r>
        <w: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Default="00A6340D" w:rsidP="00A6340D">
      <w:pPr>
        <w:pStyle w:val="BodyText"/>
      </w:pPr>
      <w:r>
        <w:br w:type="page"/>
      </w:r>
    </w:p>
    <w:p w:rsidR="005D112E" w:rsidRDefault="005D112E" w:rsidP="005D112E">
      <w:pPr>
        <w:pStyle w:val="BodyText"/>
        <w:rPr>
          <w:spacing w:val="-2"/>
        </w:rPr>
      </w:pPr>
      <w:r>
        <w:rPr>
          <w:spacing w:val="-2"/>
        </w:rPr>
        <w:lastRenderedPageBreak/>
        <w:t>I</w:t>
      </w:r>
      <w:r w:rsidRPr="009C45EC">
        <w:rPr>
          <w:spacing w:val="-2"/>
        </w:rPr>
        <w:t xml:space="preserve">n the decade to 2011, </w:t>
      </w:r>
      <w:r>
        <w:rPr>
          <w:spacing w:val="-2"/>
        </w:rPr>
        <w:t>permanent employee numbers</w:t>
      </w:r>
      <w:r w:rsidRPr="009C45EC">
        <w:rPr>
          <w:spacing w:val="-2"/>
        </w:rPr>
        <w:t xml:space="preserve"> expanded by 1.7</w:t>
      </w:r>
      <w:r>
        <w:rPr>
          <w:spacing w:val="-2"/>
        </w:rPr>
        <w:t>3</w:t>
      </w:r>
      <w:r w:rsidRPr="009C45EC">
        <w:rPr>
          <w:spacing w:val="-2"/>
        </w:rPr>
        <w:t xml:space="preserve"> million (table </w:t>
      </w:r>
      <w:proofErr w:type="spellStart"/>
      <w:r w:rsidRPr="00FC6A85">
        <w:rPr>
          <w:spacing w:val="-2"/>
        </w:rPr>
        <w:t>E.5</w:t>
      </w:r>
      <w:proofErr w:type="spellEnd"/>
      <w:r w:rsidRPr="009C45EC">
        <w:rPr>
          <w:spacing w:val="-2"/>
        </w:rPr>
        <w:t xml:space="preserve">). If this </w:t>
      </w:r>
      <w:proofErr w:type="spellStart"/>
      <w:r w:rsidRPr="009C45EC">
        <w:rPr>
          <w:spacing w:val="-2"/>
        </w:rPr>
        <w:t>FOW</w:t>
      </w:r>
      <w:proofErr w:type="spellEnd"/>
      <w:r w:rsidRPr="009C45EC">
        <w:rPr>
          <w:spacing w:val="-2"/>
        </w:rPr>
        <w:t xml:space="preserve"> had grown in line with employ</w:t>
      </w:r>
      <w:r>
        <w:rPr>
          <w:spacing w:val="-2"/>
        </w:rPr>
        <w:t>ment overall, an additional 1.4 </w:t>
      </w:r>
      <w:r w:rsidRPr="009C45EC">
        <w:rPr>
          <w:spacing w:val="-2"/>
        </w:rPr>
        <w:t xml:space="preserve">million </w:t>
      </w:r>
      <w:r>
        <w:rPr>
          <w:spacing w:val="-2"/>
        </w:rPr>
        <w:t xml:space="preserve">permanent </w:t>
      </w:r>
      <w:r w:rsidRPr="009C45EC">
        <w:rPr>
          <w:spacing w:val="-2"/>
        </w:rPr>
        <w:t>roles would have been created. Beyond this, an increase of 352</w:t>
      </w:r>
      <w:r>
        <w:rPr>
          <w:spacing w:val="-2"/>
        </w:rPr>
        <w:t xml:space="preserve"> 000 </w:t>
      </w:r>
      <w:r w:rsidRPr="009C45EC">
        <w:rPr>
          <w:spacing w:val="-2"/>
        </w:rPr>
        <w:t xml:space="preserve">occurred because this </w:t>
      </w:r>
      <w:proofErr w:type="spellStart"/>
      <w:r w:rsidRPr="009C45EC">
        <w:rPr>
          <w:spacing w:val="-2"/>
        </w:rPr>
        <w:t>FOW</w:t>
      </w:r>
      <w:proofErr w:type="spellEnd"/>
      <w:r w:rsidRPr="009C45EC">
        <w:rPr>
          <w:spacing w:val="-2"/>
        </w:rPr>
        <w:t xml:space="preserve"> grew more rapidly than other</w:t>
      </w:r>
      <w:r>
        <w:rPr>
          <w:spacing w:val="-2"/>
        </w:rPr>
        <w:t>s</w:t>
      </w:r>
      <w:r w:rsidRPr="009C45EC">
        <w:rPr>
          <w:spacing w:val="-2"/>
        </w:rPr>
        <w:t xml:space="preserve">. This shift towards </w:t>
      </w:r>
      <w:r>
        <w:rPr>
          <w:spacing w:val="-2"/>
        </w:rPr>
        <w:t>permanent employees</w:t>
      </w:r>
      <w:r w:rsidRPr="009C45EC">
        <w:rPr>
          <w:spacing w:val="-2"/>
        </w:rPr>
        <w:t xml:space="preserve"> was disproportionately a mining state phenomenon. If it had occurred evenly across </w:t>
      </w:r>
      <w:r>
        <w:rPr>
          <w:spacing w:val="-2"/>
        </w:rPr>
        <w:t>the country</w:t>
      </w:r>
      <w:r w:rsidRPr="009C45EC">
        <w:rPr>
          <w:spacing w:val="-2"/>
        </w:rPr>
        <w:t xml:space="preserve">, mining states’ contribution to the total would have been in line with their share of </w:t>
      </w:r>
      <w:r>
        <w:rPr>
          <w:spacing w:val="-2"/>
        </w:rPr>
        <w:t>permanent employees in 2001 — 28 per </w:t>
      </w:r>
      <w:r w:rsidRPr="009C45EC">
        <w:rPr>
          <w:spacing w:val="-2"/>
        </w:rPr>
        <w:t>cent. Instead, it was 63 per cent.</w:t>
      </w:r>
    </w:p>
    <w:p w:rsidR="005D112E" w:rsidRDefault="005D112E" w:rsidP="005D112E">
      <w:pPr>
        <w:pStyle w:val="BodyText"/>
        <w:rPr>
          <w:sz w:val="24"/>
        </w:rPr>
      </w:pPr>
      <w:r>
        <w:t xml:space="preserve">The shift towards permanent employees was mirrored in a similar sized shift (353 000) away from </w:t>
      </w:r>
      <w:proofErr w:type="spellStart"/>
      <w:r>
        <w:t>OMUEs</w:t>
      </w:r>
      <w:proofErr w:type="spellEnd"/>
      <w:r>
        <w:t xml:space="preserve"> (table </w:t>
      </w:r>
      <w:proofErr w:type="spellStart"/>
      <w:r>
        <w:t>E.8</w:t>
      </w:r>
      <w:proofErr w:type="spellEnd"/>
      <w:r>
        <w:t>).</w:t>
      </w:r>
      <w:r w:rsidRPr="003F58A0">
        <w:t xml:space="preserve"> </w:t>
      </w:r>
      <w:r>
        <w:t xml:space="preserve">As a result, the overall level of </w:t>
      </w:r>
      <w:proofErr w:type="spellStart"/>
      <w:r>
        <w:t>OMUE</w:t>
      </w:r>
      <w:proofErr w:type="spellEnd"/>
      <w:r>
        <w:t xml:space="preserve"> employment changed very little between 2001 and 2011.</w:t>
      </w:r>
      <w:r>
        <w:rPr>
          <w:rStyle w:val="FootnoteReference"/>
        </w:rPr>
        <w:footnoteReference w:id="2"/>
      </w:r>
      <w:r>
        <w:t xml:space="preserve"> Although mining and non-mining states each accounted for about 50 per cent of the shift, it was a more marked phenomenon in the relatively smaller</w:t>
      </w:r>
      <w:r w:rsidR="00247DAF">
        <w:t xml:space="preserve"> mining</w:t>
      </w:r>
      <w:r w:rsidR="00247DAF">
        <w:noBreakHyphen/>
        <w:t>state labour markets (discussed below</w:t>
      </w:r>
      <w:r>
        <w:t>)</w:t>
      </w:r>
      <w:r w:rsidR="00247DAF">
        <w:t>.</w:t>
      </w:r>
    </w:p>
    <w:p w:rsidR="005D112E" w:rsidRDefault="005D112E" w:rsidP="005D112E">
      <w:pPr>
        <w:pStyle w:val="BodyText"/>
      </w:pPr>
      <w:r>
        <w:t>Looking at casuals, the negative shift effect in mining states is in contrast to the positive effect for non</w:t>
      </w:r>
      <w:r>
        <w:noBreakHyphen/>
        <w:t>mining states (driven by New South Wales).</w:t>
      </w:r>
      <w:r>
        <w:rPr>
          <w:rStyle w:val="FootnoteReference"/>
        </w:rPr>
        <w:footnoteReference w:id="3"/>
      </w:r>
      <w:r>
        <w:t xml:space="preserve"> Although these shifts were relatively small, the difference in sign for the two state groups is important, and will be discussed further in the context of shift–share analysis of employment changes by occupation in appendix G.</w:t>
      </w:r>
    </w:p>
    <w:p w:rsidR="00A6340D" w:rsidRDefault="00A6340D" w:rsidP="00A6340D">
      <w:pPr>
        <w:pStyle w:val="BodyText"/>
      </w:pPr>
      <w:r>
        <w:t xml:space="preserve">The different experiences of the mining and non-mining states are seen most clearly in their respective prevalence estimates. Two sets of estimates are presented. The first, from the </w:t>
      </w:r>
      <w:r w:rsidRPr="00A8129F">
        <w:rPr>
          <w:i/>
        </w:rPr>
        <w:t>Australian Labour Market Statistics</w:t>
      </w:r>
      <w:r>
        <w:t xml:space="preserve"> (ALMS) collection, reflects the changes in </w:t>
      </w:r>
      <w:proofErr w:type="spellStart"/>
      <w:r>
        <w:t>FOWs</w:t>
      </w:r>
      <w:proofErr w:type="spellEnd"/>
      <w:r>
        <w:t xml:space="preserve"> presented in the preceding tables. The second set of estimates is based on data from the </w:t>
      </w:r>
      <w:r w:rsidRPr="004C0CA2">
        <w:rPr>
          <w:i/>
        </w:rPr>
        <w:t>Forms of Employment</w:t>
      </w:r>
      <w:r>
        <w:t xml:space="preserve"> </w:t>
      </w:r>
      <w:r w:rsidR="009E34EA">
        <w:t xml:space="preserve">(FOE) </w:t>
      </w:r>
      <w:r w:rsidRPr="004C0CA2">
        <w:rPr>
          <w:i/>
        </w:rPr>
        <w:t>Survey</w:t>
      </w:r>
      <w:r>
        <w:t xml:space="preserve"> for people aged 15 to 69 years. These estimates are presented as a </w:t>
      </w:r>
      <w:proofErr w:type="spellStart"/>
      <w:r>
        <w:t>cross</w:t>
      </w:r>
      <w:r w:rsidR="00642CC7">
        <w:noBreakHyphen/>
      </w:r>
      <w:r>
        <w:t>check</w:t>
      </w:r>
      <w:proofErr w:type="spellEnd"/>
      <w:r>
        <w:t xml:space="preserve"> because there is a break in series in the ALMS in 2008</w:t>
      </w:r>
      <w:r w:rsidR="00642CC7">
        <w:t xml:space="preserve"> (appendix A)</w:t>
      </w:r>
      <w:r>
        <w:t xml:space="preserve">. </w:t>
      </w:r>
      <w:r w:rsidR="00E9150A">
        <w:t>Both sources support a</w:t>
      </w:r>
      <w:r>
        <w:t xml:space="preserve"> similar conclusion. Considerably larger prevalence changes for permanent employees and </w:t>
      </w:r>
      <w:proofErr w:type="spellStart"/>
      <w:r>
        <w:t>OMUEs</w:t>
      </w:r>
      <w:proofErr w:type="spellEnd"/>
      <w:r>
        <w:t xml:space="preserve"> were recorded in the mining states. For example, the prevalence of permanent employees (among people aged</w:t>
      </w:r>
      <w:r w:rsidR="0011181F">
        <w:t xml:space="preserve"> 15 to 69 years) increased by </w:t>
      </w:r>
      <w:r w:rsidR="0011181F">
        <w:lastRenderedPageBreak/>
        <w:t>5 </w:t>
      </w:r>
      <w:r>
        <w:t xml:space="preserve">percentage points between 2001 and 2011, </w:t>
      </w:r>
      <w:r w:rsidR="00E9150A">
        <w:t>much more than the</w:t>
      </w:r>
      <w:r w:rsidR="0011181F">
        <w:t xml:space="preserve"> 2 percentage </w:t>
      </w:r>
      <w:r>
        <w:t>points in the rest of the country (table </w:t>
      </w:r>
      <w:proofErr w:type="spellStart"/>
      <w:r>
        <w:t>E.9</w:t>
      </w:r>
      <w:proofErr w:type="spellEnd"/>
      <w:r>
        <w:t>).</w:t>
      </w:r>
      <w:r>
        <w:rPr>
          <w:rStyle w:val="FootnoteReference"/>
        </w:rPr>
        <w:footnoteReference w:id="4"/>
      </w:r>
    </w:p>
    <w:p w:rsidR="00A6340D" w:rsidRDefault="00A6340D" w:rsidP="00A6340D">
      <w:pPr>
        <w:pStyle w:val="BodyText"/>
      </w:pPr>
      <w:r>
        <w:t xml:space="preserve">At a national level, the mining states were responsible for all of the increased prevalence of permanent employees. Although employment in this </w:t>
      </w:r>
      <w:proofErr w:type="spellStart"/>
      <w:r>
        <w:t>FOW</w:t>
      </w:r>
      <w:proofErr w:type="spellEnd"/>
      <w:r>
        <w:t xml:space="preserve"> increased within the non</w:t>
      </w:r>
      <w:r>
        <w:noBreakHyphen/>
        <w:t>mining states in the decade to 2011, it did so at a slower rate than employment overall. As a result, permanent employees in the non</w:t>
      </w:r>
      <w:r>
        <w:noBreakHyphen/>
        <w:t>mining states fell as a share of national employment.</w:t>
      </w:r>
    </w:p>
    <w:p w:rsidR="00A6340D" w:rsidRDefault="00A6340D" w:rsidP="00A6340D">
      <w:pPr>
        <w:pStyle w:val="TableTitle"/>
      </w:pPr>
      <w:r>
        <w:rPr>
          <w:b w:val="0"/>
        </w:rPr>
        <w:t xml:space="preserve">Table </w:t>
      </w:r>
      <w:bookmarkStart w:id="11" w:name="OLE_LINK11"/>
      <w:proofErr w:type="spellStart"/>
      <w:r>
        <w:rPr>
          <w:b w:val="0"/>
        </w:rPr>
        <w:t>E.</w:t>
      </w:r>
      <w:r>
        <w:rPr>
          <w:b w:val="0"/>
          <w:noProof/>
        </w:rPr>
        <w:t>9</w:t>
      </w:r>
      <w:bookmarkEnd w:id="11"/>
      <w:proofErr w:type="spellEnd"/>
      <w:r>
        <w:tab/>
        <w:t xml:space="preserve">Changes in the prevalence of different </w:t>
      </w:r>
      <w:proofErr w:type="spellStart"/>
      <w:r>
        <w:t>FOWs</w:t>
      </w:r>
      <w:proofErr w:type="spellEnd"/>
      <w:r>
        <w:t>, 2001 to 2011, mining and non</w:t>
      </w:r>
      <w:r>
        <w:noBreakHyphen/>
        <w:t>mining states</w:t>
      </w:r>
      <w:r w:rsidRPr="00CE0129">
        <w:rPr>
          <w:rStyle w:val="NoteLabel"/>
          <w:b/>
        </w:rPr>
        <w:t>a</w:t>
      </w:r>
      <w:r>
        <w:rPr>
          <w:rStyle w:val="NoteLabel"/>
          <w:b/>
        </w:rPr>
        <w:t>,</w:t>
      </w:r>
      <w:r w:rsidR="004863C9">
        <w:rPr>
          <w:rStyle w:val="NoteLabel"/>
          <w:b/>
        </w:rPr>
        <w:t xml:space="preserve"> </w:t>
      </w:r>
      <w:r>
        <w:rPr>
          <w:rStyle w:val="NoteLabel"/>
          <w:b/>
        </w:rPr>
        <w:t>b</w:t>
      </w:r>
    </w:p>
    <w:p w:rsidR="00A6340D" w:rsidRDefault="00A6340D" w:rsidP="00A6340D">
      <w:pPr>
        <w:pStyle w:val="Subtitle"/>
      </w:pPr>
      <w:r>
        <w:t>Percentage points</w:t>
      </w:r>
    </w:p>
    <w:tbl>
      <w:tblPr>
        <w:tblW w:w="5000" w:type="pct"/>
        <w:tblLayout w:type="fixed"/>
        <w:tblCellMar>
          <w:left w:w="0" w:type="dxa"/>
          <w:right w:w="0" w:type="dxa"/>
        </w:tblCellMar>
        <w:tblLook w:val="04A0" w:firstRow="1" w:lastRow="0" w:firstColumn="1" w:lastColumn="0" w:noHBand="0" w:noVBand="1"/>
      </w:tblPr>
      <w:tblGrid>
        <w:gridCol w:w="1217"/>
        <w:gridCol w:w="1084"/>
        <w:gridCol w:w="1086"/>
        <w:gridCol w:w="128"/>
        <w:gridCol w:w="949"/>
        <w:gridCol w:w="814"/>
        <w:gridCol w:w="128"/>
        <w:gridCol w:w="947"/>
        <w:gridCol w:w="814"/>
        <w:gridCol w:w="128"/>
        <w:gridCol w:w="787"/>
        <w:gridCol w:w="707"/>
      </w:tblGrid>
      <w:tr w:rsidR="00943008" w:rsidRPr="002E092C" w:rsidTr="00943008">
        <w:trPr>
          <w:trHeight w:val="300"/>
        </w:trPr>
        <w:tc>
          <w:tcPr>
            <w:tcW w:w="692" w:type="pct"/>
            <w:tcBorders>
              <w:top w:val="single" w:sz="6" w:space="0" w:color="auto"/>
              <w:left w:val="nil"/>
              <w:right w:val="nil"/>
            </w:tcBorders>
            <w:shd w:val="clear" w:color="auto" w:fill="auto"/>
            <w:noWrap/>
            <w:vAlign w:val="bottom"/>
            <w:hideMark/>
          </w:tcPr>
          <w:p w:rsidR="00943008" w:rsidRPr="002E092C" w:rsidRDefault="00943008" w:rsidP="00C60AEC">
            <w:pPr>
              <w:pStyle w:val="TableColumnHeading"/>
              <w:jc w:val="center"/>
            </w:pPr>
          </w:p>
        </w:tc>
        <w:tc>
          <w:tcPr>
            <w:tcW w:w="1234" w:type="pct"/>
            <w:gridSpan w:val="2"/>
            <w:tcBorders>
              <w:top w:val="single" w:sz="6" w:space="0" w:color="auto"/>
              <w:left w:val="nil"/>
              <w:bottom w:val="single" w:sz="6" w:space="0" w:color="auto"/>
              <w:right w:val="nil"/>
            </w:tcBorders>
            <w:shd w:val="clear" w:color="auto" w:fill="auto"/>
            <w:noWrap/>
            <w:vAlign w:val="bottom"/>
            <w:hideMark/>
          </w:tcPr>
          <w:p w:rsidR="00943008" w:rsidRPr="002E092C" w:rsidRDefault="00943008" w:rsidP="00C60AEC">
            <w:pPr>
              <w:pStyle w:val="TableColumnHeading"/>
              <w:jc w:val="center"/>
            </w:pPr>
            <w:r>
              <w:t>Permanent</w:t>
            </w:r>
            <w:r w:rsidRPr="002E092C">
              <w:t xml:space="preserve"> employees</w:t>
            </w:r>
          </w:p>
        </w:tc>
        <w:tc>
          <w:tcPr>
            <w:tcW w:w="73" w:type="pct"/>
            <w:tcBorders>
              <w:top w:val="single" w:sz="6" w:space="0" w:color="auto"/>
              <w:left w:val="nil"/>
              <w:right w:val="nil"/>
            </w:tcBorders>
          </w:tcPr>
          <w:p w:rsidR="00943008" w:rsidRPr="002E092C" w:rsidRDefault="00943008" w:rsidP="00C60AEC">
            <w:pPr>
              <w:pStyle w:val="TableColumnHeading"/>
              <w:jc w:val="center"/>
            </w:pPr>
          </w:p>
        </w:tc>
        <w:tc>
          <w:tcPr>
            <w:tcW w:w="1003" w:type="pct"/>
            <w:gridSpan w:val="2"/>
            <w:tcBorders>
              <w:top w:val="single" w:sz="6" w:space="0" w:color="auto"/>
              <w:left w:val="nil"/>
              <w:bottom w:val="single" w:sz="6" w:space="0" w:color="auto"/>
              <w:right w:val="nil"/>
            </w:tcBorders>
            <w:shd w:val="clear" w:color="auto" w:fill="auto"/>
            <w:noWrap/>
            <w:vAlign w:val="bottom"/>
            <w:hideMark/>
          </w:tcPr>
          <w:p w:rsidR="00943008" w:rsidRPr="002E092C" w:rsidRDefault="00943008" w:rsidP="00C60AEC">
            <w:pPr>
              <w:pStyle w:val="TableColumnHeading"/>
              <w:jc w:val="center"/>
            </w:pPr>
            <w:r w:rsidRPr="002E092C">
              <w:t>Casuals</w:t>
            </w:r>
          </w:p>
        </w:tc>
        <w:tc>
          <w:tcPr>
            <w:tcW w:w="73" w:type="pct"/>
            <w:tcBorders>
              <w:top w:val="single" w:sz="6" w:space="0" w:color="auto"/>
              <w:left w:val="nil"/>
              <w:right w:val="nil"/>
            </w:tcBorders>
          </w:tcPr>
          <w:p w:rsidR="00943008" w:rsidRPr="002E092C" w:rsidRDefault="00943008" w:rsidP="00C60AEC">
            <w:pPr>
              <w:pStyle w:val="TableColumnHeading"/>
              <w:jc w:val="center"/>
            </w:pPr>
          </w:p>
        </w:tc>
        <w:tc>
          <w:tcPr>
            <w:tcW w:w="1002" w:type="pct"/>
            <w:gridSpan w:val="2"/>
            <w:tcBorders>
              <w:top w:val="single" w:sz="6" w:space="0" w:color="auto"/>
              <w:left w:val="nil"/>
              <w:bottom w:val="single" w:sz="6" w:space="0" w:color="auto"/>
              <w:right w:val="nil"/>
            </w:tcBorders>
            <w:shd w:val="clear" w:color="auto" w:fill="auto"/>
            <w:noWrap/>
            <w:vAlign w:val="bottom"/>
            <w:hideMark/>
          </w:tcPr>
          <w:p w:rsidR="00943008" w:rsidRPr="002E092C" w:rsidRDefault="00943008" w:rsidP="00C60AEC">
            <w:pPr>
              <w:pStyle w:val="TableColumnHeading"/>
              <w:jc w:val="center"/>
            </w:pPr>
            <w:proofErr w:type="spellStart"/>
            <w:r w:rsidRPr="002E092C">
              <w:t>OMIEs</w:t>
            </w:r>
            <w:proofErr w:type="spellEnd"/>
          </w:p>
        </w:tc>
        <w:tc>
          <w:tcPr>
            <w:tcW w:w="73" w:type="pct"/>
            <w:tcBorders>
              <w:top w:val="single" w:sz="6" w:space="0" w:color="auto"/>
              <w:left w:val="nil"/>
              <w:right w:val="nil"/>
            </w:tcBorders>
          </w:tcPr>
          <w:p w:rsidR="00943008" w:rsidRPr="002E092C" w:rsidRDefault="00943008" w:rsidP="00C60AEC">
            <w:pPr>
              <w:pStyle w:val="TableColumnHeading"/>
              <w:ind w:right="28"/>
              <w:jc w:val="center"/>
            </w:pPr>
          </w:p>
        </w:tc>
        <w:tc>
          <w:tcPr>
            <w:tcW w:w="851" w:type="pct"/>
            <w:gridSpan w:val="2"/>
            <w:tcBorders>
              <w:top w:val="single" w:sz="6" w:space="0" w:color="auto"/>
              <w:left w:val="nil"/>
              <w:bottom w:val="single" w:sz="6" w:space="0" w:color="auto"/>
            </w:tcBorders>
            <w:shd w:val="clear" w:color="auto" w:fill="auto"/>
            <w:noWrap/>
            <w:vAlign w:val="bottom"/>
            <w:hideMark/>
          </w:tcPr>
          <w:p w:rsidR="00943008" w:rsidRPr="002E092C" w:rsidRDefault="00943008" w:rsidP="00C60AEC">
            <w:pPr>
              <w:pStyle w:val="TableColumnHeading"/>
              <w:ind w:right="28"/>
              <w:jc w:val="center"/>
            </w:pPr>
            <w:proofErr w:type="spellStart"/>
            <w:r w:rsidRPr="002E092C">
              <w:t>OMUEs</w:t>
            </w:r>
            <w:proofErr w:type="spellEnd"/>
          </w:p>
        </w:tc>
      </w:tr>
      <w:tr w:rsidR="00776390" w:rsidRPr="002E092C" w:rsidTr="00776390">
        <w:trPr>
          <w:trHeight w:val="300"/>
        </w:trPr>
        <w:tc>
          <w:tcPr>
            <w:tcW w:w="692" w:type="pct"/>
            <w:tcBorders>
              <w:left w:val="nil"/>
              <w:bottom w:val="single" w:sz="6" w:space="0" w:color="auto"/>
              <w:right w:val="nil"/>
            </w:tcBorders>
            <w:shd w:val="clear" w:color="auto" w:fill="auto"/>
            <w:noWrap/>
            <w:vAlign w:val="bottom"/>
          </w:tcPr>
          <w:p w:rsidR="00943008" w:rsidRPr="002E092C" w:rsidRDefault="00943008" w:rsidP="00F43B4D">
            <w:pPr>
              <w:pStyle w:val="TableColumnHeading"/>
            </w:pPr>
          </w:p>
        </w:tc>
        <w:tc>
          <w:tcPr>
            <w:tcW w:w="616" w:type="pct"/>
            <w:tcBorders>
              <w:top w:val="single" w:sz="6" w:space="0" w:color="auto"/>
              <w:left w:val="nil"/>
              <w:bottom w:val="single" w:sz="6" w:space="0" w:color="auto"/>
              <w:right w:val="nil"/>
            </w:tcBorders>
            <w:shd w:val="clear" w:color="auto" w:fill="auto"/>
            <w:noWrap/>
            <w:vAlign w:val="bottom"/>
          </w:tcPr>
          <w:p w:rsidR="00943008" w:rsidRPr="002E092C" w:rsidRDefault="00943008" w:rsidP="00F43B4D">
            <w:pPr>
              <w:pStyle w:val="TableColumnHeading"/>
            </w:pPr>
            <w:r>
              <w:t>ALMS</w:t>
            </w:r>
          </w:p>
        </w:tc>
        <w:tc>
          <w:tcPr>
            <w:tcW w:w="618" w:type="pct"/>
            <w:tcBorders>
              <w:top w:val="single" w:sz="6" w:space="0" w:color="auto"/>
              <w:left w:val="nil"/>
              <w:bottom w:val="single" w:sz="6" w:space="0" w:color="auto"/>
              <w:right w:val="nil"/>
            </w:tcBorders>
            <w:shd w:val="clear" w:color="auto" w:fill="auto"/>
            <w:vAlign w:val="bottom"/>
          </w:tcPr>
          <w:p w:rsidR="00943008" w:rsidRPr="002E092C" w:rsidRDefault="00943008" w:rsidP="00F43B4D">
            <w:pPr>
              <w:pStyle w:val="TableColumnHeading"/>
            </w:pPr>
            <w:r>
              <w:t>FOE</w:t>
            </w:r>
          </w:p>
        </w:tc>
        <w:tc>
          <w:tcPr>
            <w:tcW w:w="73" w:type="pct"/>
            <w:tcBorders>
              <w:left w:val="nil"/>
              <w:bottom w:val="single" w:sz="6" w:space="0" w:color="auto"/>
              <w:right w:val="nil"/>
            </w:tcBorders>
          </w:tcPr>
          <w:p w:rsidR="00943008" w:rsidRDefault="00943008" w:rsidP="00F43B4D">
            <w:pPr>
              <w:pStyle w:val="TableColumnHeading"/>
            </w:pPr>
          </w:p>
        </w:tc>
        <w:tc>
          <w:tcPr>
            <w:tcW w:w="540" w:type="pct"/>
            <w:tcBorders>
              <w:top w:val="single" w:sz="6" w:space="0" w:color="auto"/>
              <w:left w:val="nil"/>
              <w:bottom w:val="single" w:sz="6" w:space="0" w:color="auto"/>
              <w:right w:val="nil"/>
            </w:tcBorders>
            <w:shd w:val="clear" w:color="auto" w:fill="auto"/>
            <w:noWrap/>
            <w:vAlign w:val="bottom"/>
          </w:tcPr>
          <w:p w:rsidR="00943008" w:rsidRPr="002E092C" w:rsidRDefault="00943008" w:rsidP="00F43B4D">
            <w:pPr>
              <w:pStyle w:val="TableColumnHeading"/>
            </w:pPr>
            <w:r>
              <w:t>ALMS</w:t>
            </w:r>
          </w:p>
        </w:tc>
        <w:tc>
          <w:tcPr>
            <w:tcW w:w="463" w:type="pct"/>
            <w:tcBorders>
              <w:top w:val="single" w:sz="6" w:space="0" w:color="auto"/>
              <w:left w:val="nil"/>
              <w:bottom w:val="single" w:sz="6" w:space="0" w:color="auto"/>
              <w:right w:val="nil"/>
            </w:tcBorders>
            <w:shd w:val="clear" w:color="auto" w:fill="auto"/>
            <w:vAlign w:val="bottom"/>
          </w:tcPr>
          <w:p w:rsidR="00943008" w:rsidRPr="002E092C" w:rsidRDefault="00943008" w:rsidP="00F43B4D">
            <w:pPr>
              <w:pStyle w:val="TableColumnHeading"/>
            </w:pPr>
            <w:r>
              <w:t>FOE</w:t>
            </w:r>
          </w:p>
        </w:tc>
        <w:tc>
          <w:tcPr>
            <w:tcW w:w="73" w:type="pct"/>
            <w:tcBorders>
              <w:left w:val="nil"/>
              <w:bottom w:val="single" w:sz="6" w:space="0" w:color="auto"/>
              <w:right w:val="nil"/>
            </w:tcBorders>
          </w:tcPr>
          <w:p w:rsidR="00943008" w:rsidRDefault="00943008" w:rsidP="00F43B4D">
            <w:pPr>
              <w:pStyle w:val="TableColumnHeading"/>
            </w:pPr>
          </w:p>
        </w:tc>
        <w:tc>
          <w:tcPr>
            <w:tcW w:w="539" w:type="pct"/>
            <w:tcBorders>
              <w:top w:val="single" w:sz="6" w:space="0" w:color="auto"/>
              <w:left w:val="nil"/>
              <w:bottom w:val="single" w:sz="6" w:space="0" w:color="auto"/>
              <w:right w:val="nil"/>
            </w:tcBorders>
            <w:shd w:val="clear" w:color="auto" w:fill="auto"/>
            <w:noWrap/>
            <w:vAlign w:val="bottom"/>
          </w:tcPr>
          <w:p w:rsidR="00943008" w:rsidRPr="002E092C" w:rsidRDefault="00943008" w:rsidP="00F43B4D">
            <w:pPr>
              <w:pStyle w:val="TableColumnHeading"/>
            </w:pPr>
            <w:r>
              <w:t>ALMS</w:t>
            </w:r>
          </w:p>
        </w:tc>
        <w:tc>
          <w:tcPr>
            <w:tcW w:w="463" w:type="pct"/>
            <w:tcBorders>
              <w:top w:val="single" w:sz="6" w:space="0" w:color="auto"/>
              <w:left w:val="nil"/>
              <w:bottom w:val="single" w:sz="6" w:space="0" w:color="auto"/>
              <w:right w:val="nil"/>
            </w:tcBorders>
            <w:shd w:val="clear" w:color="auto" w:fill="auto"/>
            <w:vAlign w:val="bottom"/>
          </w:tcPr>
          <w:p w:rsidR="00943008" w:rsidRPr="002E092C" w:rsidRDefault="00943008" w:rsidP="00F43B4D">
            <w:pPr>
              <w:pStyle w:val="TableColumnHeading"/>
            </w:pPr>
            <w:r>
              <w:t>FOE</w:t>
            </w:r>
          </w:p>
        </w:tc>
        <w:tc>
          <w:tcPr>
            <w:tcW w:w="73" w:type="pct"/>
            <w:tcBorders>
              <w:left w:val="nil"/>
              <w:bottom w:val="single" w:sz="6" w:space="0" w:color="auto"/>
              <w:right w:val="nil"/>
            </w:tcBorders>
          </w:tcPr>
          <w:p w:rsidR="00943008" w:rsidRDefault="00943008" w:rsidP="00F43B4D">
            <w:pPr>
              <w:pStyle w:val="TableColumnHeading"/>
            </w:pPr>
          </w:p>
        </w:tc>
        <w:tc>
          <w:tcPr>
            <w:tcW w:w="448" w:type="pct"/>
            <w:tcBorders>
              <w:top w:val="single" w:sz="6" w:space="0" w:color="auto"/>
              <w:left w:val="nil"/>
              <w:bottom w:val="single" w:sz="6" w:space="0" w:color="auto"/>
              <w:right w:val="nil"/>
            </w:tcBorders>
            <w:shd w:val="clear" w:color="auto" w:fill="auto"/>
            <w:noWrap/>
            <w:vAlign w:val="bottom"/>
          </w:tcPr>
          <w:p w:rsidR="00943008" w:rsidRPr="002E092C" w:rsidRDefault="00943008" w:rsidP="00F43B4D">
            <w:pPr>
              <w:pStyle w:val="TableColumnHeading"/>
            </w:pPr>
            <w:r>
              <w:t>ALMS</w:t>
            </w:r>
          </w:p>
        </w:tc>
        <w:tc>
          <w:tcPr>
            <w:tcW w:w="403" w:type="pct"/>
            <w:tcBorders>
              <w:top w:val="single" w:sz="6" w:space="0" w:color="auto"/>
              <w:left w:val="nil"/>
              <w:bottom w:val="single" w:sz="6" w:space="0" w:color="auto"/>
              <w:right w:val="nil"/>
            </w:tcBorders>
            <w:shd w:val="clear" w:color="auto" w:fill="auto"/>
            <w:vAlign w:val="bottom"/>
          </w:tcPr>
          <w:p w:rsidR="00943008" w:rsidRPr="002E092C" w:rsidRDefault="00943008" w:rsidP="00F43B4D">
            <w:pPr>
              <w:pStyle w:val="TableColumnHeading"/>
            </w:pPr>
            <w:r>
              <w:t>FOE</w:t>
            </w:r>
          </w:p>
        </w:tc>
      </w:tr>
      <w:tr w:rsidR="00776390" w:rsidRPr="002E092C" w:rsidTr="00776390">
        <w:trPr>
          <w:trHeight w:val="300"/>
        </w:trPr>
        <w:tc>
          <w:tcPr>
            <w:tcW w:w="692" w:type="pct"/>
            <w:tcBorders>
              <w:top w:val="single" w:sz="6" w:space="0" w:color="auto"/>
              <w:left w:val="nil"/>
              <w:right w:val="nil"/>
            </w:tcBorders>
            <w:shd w:val="clear" w:color="auto" w:fill="auto"/>
            <w:noWrap/>
            <w:vAlign w:val="bottom"/>
            <w:hideMark/>
          </w:tcPr>
          <w:p w:rsidR="00943008" w:rsidRPr="002E092C" w:rsidRDefault="00943008" w:rsidP="00C60AEC">
            <w:pPr>
              <w:pStyle w:val="TableBodyText"/>
              <w:jc w:val="left"/>
            </w:pPr>
            <w:r w:rsidRPr="002E092C">
              <w:t>Mining</w:t>
            </w:r>
          </w:p>
        </w:tc>
        <w:tc>
          <w:tcPr>
            <w:tcW w:w="616" w:type="pct"/>
            <w:tcBorders>
              <w:top w:val="single" w:sz="6" w:space="0" w:color="auto"/>
              <w:left w:val="nil"/>
              <w:right w:val="nil"/>
            </w:tcBorders>
            <w:shd w:val="clear" w:color="auto" w:fill="auto"/>
            <w:noWrap/>
            <w:vAlign w:val="bottom"/>
            <w:hideMark/>
          </w:tcPr>
          <w:p w:rsidR="00943008" w:rsidRPr="002E092C" w:rsidRDefault="00943008" w:rsidP="00C60AEC">
            <w:pPr>
              <w:pStyle w:val="TableBodyText"/>
            </w:pPr>
            <w:r>
              <w:t>6.0</w:t>
            </w:r>
          </w:p>
        </w:tc>
        <w:tc>
          <w:tcPr>
            <w:tcW w:w="618" w:type="pct"/>
            <w:tcBorders>
              <w:top w:val="single" w:sz="6" w:space="0" w:color="auto"/>
              <w:left w:val="nil"/>
              <w:right w:val="nil"/>
            </w:tcBorders>
            <w:shd w:val="clear" w:color="auto" w:fill="auto"/>
            <w:vAlign w:val="bottom"/>
          </w:tcPr>
          <w:p w:rsidR="00943008" w:rsidRPr="002E092C" w:rsidRDefault="00943008" w:rsidP="00C60AEC">
            <w:pPr>
              <w:pStyle w:val="TableBodyText"/>
            </w:pPr>
            <w:r>
              <w:t>5.2</w:t>
            </w:r>
          </w:p>
        </w:tc>
        <w:tc>
          <w:tcPr>
            <w:tcW w:w="73" w:type="pct"/>
            <w:tcBorders>
              <w:top w:val="single" w:sz="6" w:space="0" w:color="auto"/>
              <w:left w:val="nil"/>
              <w:right w:val="nil"/>
            </w:tcBorders>
          </w:tcPr>
          <w:p w:rsidR="00943008" w:rsidRDefault="00943008" w:rsidP="00C60AEC">
            <w:pPr>
              <w:pStyle w:val="TableBodyText"/>
            </w:pPr>
          </w:p>
        </w:tc>
        <w:tc>
          <w:tcPr>
            <w:tcW w:w="540" w:type="pct"/>
            <w:tcBorders>
              <w:top w:val="single" w:sz="6" w:space="0" w:color="auto"/>
              <w:left w:val="nil"/>
              <w:right w:val="nil"/>
            </w:tcBorders>
            <w:shd w:val="clear" w:color="auto" w:fill="auto"/>
            <w:noWrap/>
            <w:vAlign w:val="bottom"/>
            <w:hideMark/>
          </w:tcPr>
          <w:p w:rsidR="00943008" w:rsidRPr="002E092C" w:rsidRDefault="00943008" w:rsidP="00C60AEC">
            <w:pPr>
              <w:pStyle w:val="TableBodyText"/>
            </w:pPr>
            <w:r>
              <w:t>-1.5</w:t>
            </w:r>
          </w:p>
        </w:tc>
        <w:tc>
          <w:tcPr>
            <w:tcW w:w="463" w:type="pct"/>
            <w:tcBorders>
              <w:top w:val="single" w:sz="6" w:space="0" w:color="auto"/>
              <w:left w:val="nil"/>
              <w:right w:val="nil"/>
            </w:tcBorders>
            <w:shd w:val="clear" w:color="auto" w:fill="auto"/>
            <w:vAlign w:val="bottom"/>
          </w:tcPr>
          <w:p w:rsidR="00943008" w:rsidRPr="002E092C" w:rsidRDefault="00943008" w:rsidP="00C60AEC">
            <w:pPr>
              <w:pStyle w:val="TableBodyText"/>
            </w:pPr>
            <w:r w:rsidRPr="002E092C">
              <w:t>-1.9</w:t>
            </w:r>
          </w:p>
        </w:tc>
        <w:tc>
          <w:tcPr>
            <w:tcW w:w="73" w:type="pct"/>
            <w:tcBorders>
              <w:top w:val="single" w:sz="6" w:space="0" w:color="auto"/>
              <w:left w:val="nil"/>
              <w:right w:val="nil"/>
            </w:tcBorders>
          </w:tcPr>
          <w:p w:rsidR="00943008" w:rsidRDefault="00943008" w:rsidP="00C60AEC">
            <w:pPr>
              <w:pStyle w:val="TableBodyText"/>
            </w:pPr>
          </w:p>
        </w:tc>
        <w:tc>
          <w:tcPr>
            <w:tcW w:w="539" w:type="pct"/>
            <w:tcBorders>
              <w:top w:val="single" w:sz="6" w:space="0" w:color="auto"/>
              <w:left w:val="nil"/>
              <w:right w:val="nil"/>
            </w:tcBorders>
            <w:shd w:val="clear" w:color="auto" w:fill="auto"/>
            <w:noWrap/>
            <w:vAlign w:val="bottom"/>
            <w:hideMark/>
          </w:tcPr>
          <w:p w:rsidR="00943008" w:rsidRPr="002E092C" w:rsidRDefault="00943008" w:rsidP="00C60AEC">
            <w:pPr>
              <w:pStyle w:val="TableBodyText"/>
            </w:pPr>
            <w:r>
              <w:t>0.2</w:t>
            </w:r>
          </w:p>
        </w:tc>
        <w:tc>
          <w:tcPr>
            <w:tcW w:w="463" w:type="pct"/>
            <w:tcBorders>
              <w:top w:val="single" w:sz="6" w:space="0" w:color="auto"/>
              <w:left w:val="nil"/>
              <w:right w:val="nil"/>
            </w:tcBorders>
            <w:shd w:val="clear" w:color="auto" w:fill="auto"/>
            <w:vAlign w:val="bottom"/>
          </w:tcPr>
          <w:p w:rsidR="00943008" w:rsidRPr="002E092C" w:rsidRDefault="00943008" w:rsidP="00C60AEC">
            <w:pPr>
              <w:pStyle w:val="TableBodyText"/>
            </w:pPr>
            <w:r>
              <w:t>0.3</w:t>
            </w:r>
          </w:p>
        </w:tc>
        <w:tc>
          <w:tcPr>
            <w:tcW w:w="73" w:type="pct"/>
            <w:tcBorders>
              <w:top w:val="single" w:sz="6" w:space="0" w:color="auto"/>
              <w:left w:val="nil"/>
              <w:right w:val="nil"/>
            </w:tcBorders>
          </w:tcPr>
          <w:p w:rsidR="00943008" w:rsidRDefault="00943008" w:rsidP="00C60AEC">
            <w:pPr>
              <w:pStyle w:val="TableBodyText"/>
            </w:pPr>
          </w:p>
        </w:tc>
        <w:tc>
          <w:tcPr>
            <w:tcW w:w="448" w:type="pct"/>
            <w:tcBorders>
              <w:top w:val="single" w:sz="6" w:space="0" w:color="auto"/>
              <w:left w:val="nil"/>
              <w:right w:val="nil"/>
            </w:tcBorders>
            <w:shd w:val="clear" w:color="auto" w:fill="auto"/>
            <w:noWrap/>
            <w:vAlign w:val="bottom"/>
            <w:hideMark/>
          </w:tcPr>
          <w:p w:rsidR="00943008" w:rsidRPr="002E092C" w:rsidRDefault="00943008" w:rsidP="00C60AEC">
            <w:pPr>
              <w:pStyle w:val="TableBodyText"/>
            </w:pPr>
            <w:r>
              <w:t>-4.7</w:t>
            </w:r>
          </w:p>
        </w:tc>
        <w:tc>
          <w:tcPr>
            <w:tcW w:w="403" w:type="pct"/>
            <w:tcBorders>
              <w:top w:val="single" w:sz="6" w:space="0" w:color="auto"/>
              <w:left w:val="nil"/>
              <w:right w:val="nil"/>
            </w:tcBorders>
            <w:shd w:val="clear" w:color="auto" w:fill="auto"/>
            <w:vAlign w:val="bottom"/>
          </w:tcPr>
          <w:p w:rsidR="00943008" w:rsidRPr="002E092C" w:rsidRDefault="00943008" w:rsidP="00C60AEC">
            <w:pPr>
              <w:pStyle w:val="TableBodyText"/>
              <w:ind w:right="28"/>
            </w:pPr>
            <w:r>
              <w:t>-3.7</w:t>
            </w:r>
          </w:p>
        </w:tc>
      </w:tr>
      <w:tr w:rsidR="00776390" w:rsidRPr="002E092C" w:rsidTr="00776390">
        <w:trPr>
          <w:trHeight w:val="300"/>
        </w:trPr>
        <w:tc>
          <w:tcPr>
            <w:tcW w:w="692" w:type="pct"/>
            <w:tcBorders>
              <w:top w:val="nil"/>
              <w:left w:val="nil"/>
              <w:bottom w:val="single" w:sz="6" w:space="0" w:color="auto"/>
              <w:right w:val="nil"/>
            </w:tcBorders>
            <w:shd w:val="clear" w:color="auto" w:fill="auto"/>
            <w:noWrap/>
            <w:vAlign w:val="bottom"/>
            <w:hideMark/>
          </w:tcPr>
          <w:p w:rsidR="00943008" w:rsidRPr="002E092C" w:rsidRDefault="00943008" w:rsidP="00C60AEC">
            <w:pPr>
              <w:pStyle w:val="TableBodyText"/>
              <w:jc w:val="left"/>
            </w:pPr>
            <w:r w:rsidRPr="002E092C">
              <w:t>Non-mining</w:t>
            </w:r>
          </w:p>
        </w:tc>
        <w:tc>
          <w:tcPr>
            <w:tcW w:w="616" w:type="pct"/>
            <w:tcBorders>
              <w:left w:val="nil"/>
              <w:bottom w:val="single" w:sz="6" w:space="0" w:color="auto"/>
              <w:right w:val="nil"/>
            </w:tcBorders>
            <w:shd w:val="clear" w:color="auto" w:fill="auto"/>
            <w:noWrap/>
            <w:vAlign w:val="bottom"/>
            <w:hideMark/>
          </w:tcPr>
          <w:p w:rsidR="00943008" w:rsidRPr="002E092C" w:rsidRDefault="00943008" w:rsidP="00C60AEC">
            <w:pPr>
              <w:pStyle w:val="TableBodyText"/>
            </w:pPr>
            <w:r>
              <w:t>1.7</w:t>
            </w:r>
          </w:p>
        </w:tc>
        <w:tc>
          <w:tcPr>
            <w:tcW w:w="618" w:type="pct"/>
            <w:tcBorders>
              <w:left w:val="nil"/>
              <w:bottom w:val="single" w:sz="6" w:space="0" w:color="auto"/>
              <w:right w:val="nil"/>
            </w:tcBorders>
            <w:shd w:val="clear" w:color="auto" w:fill="auto"/>
            <w:vAlign w:val="bottom"/>
          </w:tcPr>
          <w:p w:rsidR="00943008" w:rsidRPr="002E092C" w:rsidRDefault="00943008" w:rsidP="00C60AEC">
            <w:pPr>
              <w:pStyle w:val="TableBodyText"/>
            </w:pPr>
            <w:r>
              <w:t>2.0</w:t>
            </w:r>
          </w:p>
        </w:tc>
        <w:tc>
          <w:tcPr>
            <w:tcW w:w="73" w:type="pct"/>
            <w:tcBorders>
              <w:left w:val="nil"/>
              <w:bottom w:val="single" w:sz="6" w:space="0" w:color="auto"/>
              <w:right w:val="nil"/>
            </w:tcBorders>
          </w:tcPr>
          <w:p w:rsidR="00943008" w:rsidRDefault="00943008" w:rsidP="00C60AEC">
            <w:pPr>
              <w:pStyle w:val="TableBodyText"/>
            </w:pPr>
          </w:p>
        </w:tc>
        <w:tc>
          <w:tcPr>
            <w:tcW w:w="540" w:type="pct"/>
            <w:tcBorders>
              <w:left w:val="nil"/>
              <w:bottom w:val="single" w:sz="6" w:space="0" w:color="auto"/>
              <w:right w:val="nil"/>
            </w:tcBorders>
            <w:shd w:val="clear" w:color="auto" w:fill="auto"/>
            <w:noWrap/>
            <w:vAlign w:val="bottom"/>
            <w:hideMark/>
          </w:tcPr>
          <w:p w:rsidR="00943008" w:rsidRPr="002E092C" w:rsidRDefault="00943008" w:rsidP="00C60AEC">
            <w:pPr>
              <w:pStyle w:val="TableBodyText"/>
            </w:pPr>
            <w:r>
              <w:t>0.5</w:t>
            </w:r>
          </w:p>
        </w:tc>
        <w:tc>
          <w:tcPr>
            <w:tcW w:w="463" w:type="pct"/>
            <w:tcBorders>
              <w:left w:val="nil"/>
              <w:bottom w:val="single" w:sz="6" w:space="0" w:color="auto"/>
              <w:right w:val="nil"/>
            </w:tcBorders>
            <w:shd w:val="clear" w:color="auto" w:fill="auto"/>
            <w:vAlign w:val="bottom"/>
          </w:tcPr>
          <w:p w:rsidR="00943008" w:rsidRPr="002E092C" w:rsidRDefault="00943008" w:rsidP="00C60AEC">
            <w:pPr>
              <w:pStyle w:val="TableBodyText"/>
            </w:pPr>
            <w:r>
              <w:t>-0.2</w:t>
            </w:r>
          </w:p>
        </w:tc>
        <w:tc>
          <w:tcPr>
            <w:tcW w:w="73" w:type="pct"/>
            <w:tcBorders>
              <w:left w:val="nil"/>
              <w:bottom w:val="single" w:sz="6" w:space="0" w:color="auto"/>
              <w:right w:val="nil"/>
            </w:tcBorders>
          </w:tcPr>
          <w:p w:rsidR="00943008" w:rsidRDefault="00943008" w:rsidP="00C60AEC">
            <w:pPr>
              <w:pStyle w:val="TableBodyText"/>
            </w:pPr>
          </w:p>
        </w:tc>
        <w:tc>
          <w:tcPr>
            <w:tcW w:w="539" w:type="pct"/>
            <w:tcBorders>
              <w:left w:val="nil"/>
              <w:bottom w:val="single" w:sz="6" w:space="0" w:color="auto"/>
              <w:right w:val="nil"/>
            </w:tcBorders>
            <w:shd w:val="clear" w:color="auto" w:fill="auto"/>
            <w:noWrap/>
            <w:vAlign w:val="bottom"/>
            <w:hideMark/>
          </w:tcPr>
          <w:p w:rsidR="00943008" w:rsidRPr="002E092C" w:rsidRDefault="00943008" w:rsidP="00C60AEC">
            <w:pPr>
              <w:pStyle w:val="TableBodyText"/>
            </w:pPr>
            <w:r>
              <w:t>0.1</w:t>
            </w:r>
          </w:p>
        </w:tc>
        <w:tc>
          <w:tcPr>
            <w:tcW w:w="463" w:type="pct"/>
            <w:tcBorders>
              <w:left w:val="nil"/>
              <w:bottom w:val="single" w:sz="6" w:space="0" w:color="auto"/>
              <w:right w:val="nil"/>
            </w:tcBorders>
            <w:shd w:val="clear" w:color="auto" w:fill="auto"/>
            <w:vAlign w:val="bottom"/>
          </w:tcPr>
          <w:p w:rsidR="00943008" w:rsidRPr="002E092C" w:rsidRDefault="00943008" w:rsidP="00C60AEC">
            <w:pPr>
              <w:pStyle w:val="TableBodyText"/>
            </w:pPr>
            <w:r>
              <w:t>-0.3</w:t>
            </w:r>
          </w:p>
        </w:tc>
        <w:tc>
          <w:tcPr>
            <w:tcW w:w="73" w:type="pct"/>
            <w:tcBorders>
              <w:left w:val="nil"/>
              <w:bottom w:val="single" w:sz="6" w:space="0" w:color="auto"/>
              <w:right w:val="nil"/>
            </w:tcBorders>
          </w:tcPr>
          <w:p w:rsidR="00943008" w:rsidRDefault="00943008" w:rsidP="00C60AEC">
            <w:pPr>
              <w:pStyle w:val="TableBodyText"/>
            </w:pPr>
          </w:p>
        </w:tc>
        <w:tc>
          <w:tcPr>
            <w:tcW w:w="448" w:type="pct"/>
            <w:tcBorders>
              <w:left w:val="nil"/>
              <w:bottom w:val="single" w:sz="6" w:space="0" w:color="auto"/>
              <w:right w:val="nil"/>
            </w:tcBorders>
            <w:shd w:val="clear" w:color="auto" w:fill="auto"/>
            <w:noWrap/>
            <w:vAlign w:val="bottom"/>
            <w:hideMark/>
          </w:tcPr>
          <w:p w:rsidR="00943008" w:rsidRPr="002E092C" w:rsidRDefault="00943008" w:rsidP="00C60AEC">
            <w:pPr>
              <w:pStyle w:val="TableBodyText"/>
            </w:pPr>
            <w:r>
              <w:t>-2.4</w:t>
            </w:r>
          </w:p>
        </w:tc>
        <w:tc>
          <w:tcPr>
            <w:tcW w:w="403" w:type="pct"/>
            <w:tcBorders>
              <w:left w:val="nil"/>
              <w:bottom w:val="single" w:sz="6" w:space="0" w:color="auto"/>
              <w:right w:val="nil"/>
            </w:tcBorders>
            <w:shd w:val="clear" w:color="auto" w:fill="auto"/>
            <w:vAlign w:val="bottom"/>
          </w:tcPr>
          <w:p w:rsidR="00943008" w:rsidRPr="002E092C" w:rsidRDefault="00943008" w:rsidP="00C60AEC">
            <w:pPr>
              <w:pStyle w:val="TableBodyText"/>
              <w:ind w:right="28"/>
            </w:pPr>
            <w:r>
              <w:t>-1.4</w:t>
            </w:r>
          </w:p>
        </w:tc>
      </w:tr>
    </w:tbl>
    <w:p w:rsidR="00A6340D" w:rsidRPr="00CE0129" w:rsidRDefault="003314B2" w:rsidP="00A6340D">
      <w:pPr>
        <w:pStyle w:val="Note"/>
      </w:pPr>
      <w:proofErr w:type="spellStart"/>
      <w:r>
        <w:rPr>
          <w:rStyle w:val="NoteLabel"/>
        </w:rPr>
        <w:t>a</w:t>
      </w:r>
      <w:proofErr w:type="spellEnd"/>
      <w:r w:rsidRPr="003314B2">
        <w:t xml:space="preserve"> </w:t>
      </w:r>
      <w:r w:rsidR="00A6340D">
        <w:t>ALMS — </w:t>
      </w:r>
      <w:r w:rsidR="00A6340D" w:rsidRPr="00CE0129">
        <w:rPr>
          <w:i/>
        </w:rPr>
        <w:t>Australian Labour Market Statistics</w:t>
      </w:r>
      <w:r w:rsidR="00A6340D">
        <w:t>; FOE — </w:t>
      </w:r>
      <w:r w:rsidR="00A6340D" w:rsidRPr="00CE0129">
        <w:rPr>
          <w:i/>
        </w:rPr>
        <w:t>Forms of Employment</w:t>
      </w:r>
      <w:r w:rsidR="00A6340D">
        <w:t xml:space="preserve"> </w:t>
      </w:r>
      <w:r w:rsidR="00A6340D" w:rsidRPr="00CE0129">
        <w:rPr>
          <w:i/>
        </w:rPr>
        <w:t>Survey</w:t>
      </w:r>
      <w:r w:rsidR="00A6340D">
        <w:t xml:space="preserve">.  </w:t>
      </w:r>
      <w:r w:rsidR="00A6340D" w:rsidRPr="00CE0129">
        <w:rPr>
          <w:rStyle w:val="NoteLabel"/>
        </w:rPr>
        <w:t>b</w:t>
      </w:r>
      <w:r w:rsidR="00A6340D" w:rsidRPr="00CE0129">
        <w:t xml:space="preserve"> </w:t>
      </w:r>
      <w:r w:rsidR="00A6340D">
        <w:t>ALMS estimates are for all workers. FOE estimates for workers aged 15 to 69</w:t>
      </w:r>
      <w:r w:rsidR="00642CC7">
        <w:t xml:space="preserve"> years</w:t>
      </w:r>
      <w:r w:rsidR="00A6340D">
        <w:t>.</w:t>
      </w:r>
    </w:p>
    <w:p w:rsidR="00A6340D" w:rsidRPr="008C3CDC" w:rsidRDefault="002D362D" w:rsidP="00A6340D">
      <w:pPr>
        <w:pStyle w:val="Source"/>
      </w:pPr>
      <w:r w:rsidRPr="002D362D">
        <w:rPr>
          <w:i/>
          <w:spacing w:val="-2"/>
        </w:rPr>
        <w:t>Source</w:t>
      </w:r>
      <w:r w:rsidR="00642CC7">
        <w:rPr>
          <w:i/>
          <w:spacing w:val="-2"/>
        </w:rPr>
        <w:t>s</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r>
        <w:rPr>
          <w:spacing w:val="-2"/>
        </w:rPr>
        <w:t xml:space="preserve"> and</w:t>
      </w:r>
      <w:r w:rsidR="00A6340D">
        <w:t xml:space="preserve"> unpublished data from ABS </w:t>
      </w:r>
      <w:r>
        <w:t>(</w:t>
      </w:r>
      <w:r w:rsidRPr="00150EE9">
        <w:rPr>
          <w:i/>
        </w:rPr>
        <w:t>Forms of Employment</w:t>
      </w:r>
      <w:r w:rsidRPr="002D362D">
        <w:t>,</w:t>
      </w:r>
      <w:r>
        <w:t xml:space="preserve"> Cat. no. 6359.0)</w:t>
      </w:r>
      <w:r w:rsidR="00A6340D">
        <w:t>.</w:t>
      </w:r>
    </w:p>
    <w:p w:rsidR="00A6340D" w:rsidRDefault="00A6340D" w:rsidP="00A6340D">
      <w:pPr>
        <w:pStyle w:val="BodyText"/>
      </w:pPr>
      <w:r>
        <w:t xml:space="preserve">In summary, changes in the distribution of economic activity across the country were not a factor in the increased prevalence of permanent employees or decreased prevalence of </w:t>
      </w:r>
      <w:proofErr w:type="spellStart"/>
      <w:r>
        <w:t>OMUEs</w:t>
      </w:r>
      <w:proofErr w:type="spellEnd"/>
      <w:r>
        <w:t>. An explanation for those prevalence changes must be sought in factors at work within states and, in particular, within the mining states.</w:t>
      </w:r>
    </w:p>
    <w:p w:rsidR="00A6340D" w:rsidRDefault="00A6340D" w:rsidP="00A6340D">
      <w:pPr>
        <w:pStyle w:val="Heading2"/>
      </w:pPr>
      <w:proofErr w:type="spellStart"/>
      <w:r>
        <w:t>E.</w:t>
      </w:r>
      <w:r>
        <w:rPr>
          <w:noProof/>
        </w:rPr>
        <w:t>3</w:t>
      </w:r>
      <w:proofErr w:type="spellEnd"/>
      <w:r>
        <w:tab/>
        <w:t xml:space="preserve">Patterns in </w:t>
      </w:r>
      <w:proofErr w:type="spellStart"/>
      <w:r w:rsidR="00EF5DEA">
        <w:t>FOW</w:t>
      </w:r>
      <w:proofErr w:type="spellEnd"/>
      <w:r>
        <w:t xml:space="preserve"> shift</w:t>
      </w:r>
      <w:r w:rsidR="00EF5DEA">
        <w:t xml:space="preserve"> effects</w:t>
      </w:r>
      <w:r>
        <w:t xml:space="preserve"> across the decade</w:t>
      </w:r>
    </w:p>
    <w:p w:rsidR="00A6340D" w:rsidRDefault="00A6340D" w:rsidP="00A6340D">
      <w:pPr>
        <w:pStyle w:val="BodyText"/>
      </w:pPr>
      <w:r>
        <w:t>The shift towards permanent employees did not occur smoothly over the decade, but was consistently dominated by changes in the mining states (figure </w:t>
      </w:r>
      <w:proofErr w:type="spellStart"/>
      <w:r>
        <w:t>E.1</w:t>
      </w:r>
      <w:proofErr w:type="spellEnd"/>
      <w:r>
        <w:t xml:space="preserve">). An increase in the shift effect from one year to the next indicates that permanent employee numbers grew more rapidly than employment overall within a state grouping between those years. Conversely, a decrease reflects the opposite relationship between the two growth rates. </w:t>
      </w:r>
    </w:p>
    <w:p w:rsidR="00A6340D" w:rsidRPr="00A5762E" w:rsidRDefault="00A6340D" w:rsidP="00A6340D">
      <w:pPr>
        <w:pStyle w:val="BodyText"/>
        <w:rPr>
          <w:spacing w:val="-2"/>
        </w:rPr>
      </w:pPr>
      <w:r w:rsidRPr="00A5762E">
        <w:rPr>
          <w:spacing w:val="-2"/>
        </w:rPr>
        <w:t>Much of the relatively rapid growth in mining states occurred between 2001 and 2008</w:t>
      </w:r>
      <w:r w:rsidR="00642CC7">
        <w:rPr>
          <w:spacing w:val="-2"/>
        </w:rPr>
        <w:t>. However</w:t>
      </w:r>
      <w:r w:rsidRPr="00A5762E">
        <w:rPr>
          <w:spacing w:val="-2"/>
        </w:rPr>
        <w:t xml:space="preserve">, after a dip in 2009, permanent employee numbers again expanded </w:t>
      </w:r>
      <w:r w:rsidRPr="00A5762E">
        <w:rPr>
          <w:spacing w:val="-2"/>
        </w:rPr>
        <w:lastRenderedPageBreak/>
        <w:t>more quickly than employment overall in those labour markets between 2009 and 2010. In contrast, there was not much difference between permanent employee and total employment growth in the non</w:t>
      </w:r>
      <w:r w:rsidRPr="00A5762E">
        <w:rPr>
          <w:spacing w:val="-2"/>
        </w:rPr>
        <w:noBreakHyphen/>
        <w:t xml:space="preserve">mining states after 2006, with the exception of </w:t>
      </w:r>
      <w:r w:rsidR="0009441D">
        <w:rPr>
          <w:spacing w:val="-2"/>
        </w:rPr>
        <w:t xml:space="preserve">growth between </w:t>
      </w:r>
      <w:r w:rsidRPr="00A5762E">
        <w:rPr>
          <w:spacing w:val="-2"/>
        </w:rPr>
        <w:t>2010 and 2011. It is unclear whether this change was an artefact of the data, or a change in non-mining state labour markets. More years of data would help determine whether this change marked the start of a trend.</w:t>
      </w:r>
      <w:r w:rsidRPr="00A5762E">
        <w:rPr>
          <w:rStyle w:val="FootnoteReference"/>
          <w:spacing w:val="-2"/>
        </w:rPr>
        <w:footnoteReference w:id="5"/>
      </w:r>
    </w:p>
    <w:p w:rsidR="00A6340D" w:rsidRDefault="00A6340D" w:rsidP="00A6340D">
      <w:pPr>
        <w:pStyle w:val="BodyText"/>
        <w:rPr>
          <w:spacing w:val="-2"/>
        </w:rPr>
      </w:pPr>
      <w:r>
        <w:t xml:space="preserve">The pattern of shift effects over the decade for casual employment </w:t>
      </w:r>
      <w:r>
        <w:rPr>
          <w:spacing w:val="-2"/>
        </w:rPr>
        <w:t>in the mining states reveals no trend (figure </w:t>
      </w:r>
      <w:proofErr w:type="spellStart"/>
      <w:r>
        <w:t>E.2</w:t>
      </w:r>
      <w:proofErr w:type="spellEnd"/>
      <w:r>
        <w:rPr>
          <w:spacing w:val="-2"/>
        </w:rPr>
        <w:t>). For the non</w:t>
      </w:r>
      <w:r>
        <w:rPr>
          <w:spacing w:val="-2"/>
        </w:rPr>
        <w:noBreakHyphen/>
        <w:t>mining states (dominated by New South Wales and Victoria), the shift effect peaked in 2009</w:t>
      </w:r>
      <w:r w:rsidR="00642CC7">
        <w:rPr>
          <w:spacing w:val="-2"/>
        </w:rPr>
        <w:t xml:space="preserve"> and</w:t>
      </w:r>
      <w:r>
        <w:rPr>
          <w:spacing w:val="-2"/>
        </w:rPr>
        <w:t xml:space="preserve"> then diminished. In other words, casual employment grew less rapidly than employment overall in those states post</w:t>
      </w:r>
      <w:r>
        <w:rPr>
          <w:spacing w:val="-2"/>
        </w:rPr>
        <w:noBreakHyphen/>
        <w:t>2009.</w:t>
      </w:r>
      <w:r>
        <w:rPr>
          <w:rStyle w:val="FootnoteReference"/>
          <w:spacing w:val="-2"/>
        </w:rPr>
        <w:footnoteReference w:id="6"/>
      </w:r>
    </w:p>
    <w:p w:rsidR="00A6340D" w:rsidRPr="00DA60F7" w:rsidRDefault="00A6340D" w:rsidP="00A6340D">
      <w:pPr>
        <w:pStyle w:val="BodyText"/>
        <w:rPr>
          <w:spacing w:val="-2"/>
        </w:rPr>
      </w:pPr>
      <w:r>
        <w:rPr>
          <w:spacing w:val="-2"/>
        </w:rPr>
        <w:t xml:space="preserve">Employment of </w:t>
      </w:r>
      <w:proofErr w:type="spellStart"/>
      <w:r>
        <w:rPr>
          <w:spacing w:val="-2"/>
        </w:rPr>
        <w:t>OMIEs</w:t>
      </w:r>
      <w:proofErr w:type="spellEnd"/>
      <w:r>
        <w:rPr>
          <w:spacing w:val="-2"/>
        </w:rPr>
        <w:t xml:space="preserve"> within each of the state groupings grew at a similar rate to employment overall (figure </w:t>
      </w:r>
      <w:proofErr w:type="spellStart"/>
      <w:r>
        <w:t>E.3</w:t>
      </w:r>
      <w:proofErr w:type="spellEnd"/>
      <w:r>
        <w:rPr>
          <w:spacing w:val="-2"/>
        </w:rPr>
        <w:t xml:space="preserve">). For </w:t>
      </w:r>
      <w:proofErr w:type="spellStart"/>
      <w:r>
        <w:rPr>
          <w:spacing w:val="-2"/>
        </w:rPr>
        <w:t>OMUEs</w:t>
      </w:r>
      <w:proofErr w:type="spellEnd"/>
      <w:r>
        <w:rPr>
          <w:spacing w:val="-2"/>
        </w:rPr>
        <w:t>, relatively slow growth occurred quite steadily across the decade (figure </w:t>
      </w:r>
      <w:proofErr w:type="spellStart"/>
      <w:r>
        <w:t>E.4</w:t>
      </w:r>
      <w:proofErr w:type="spellEnd"/>
      <w:r>
        <w:rPr>
          <w:spacing w:val="-2"/>
        </w:rPr>
        <w:t>).</w:t>
      </w:r>
    </w:p>
    <w:p w:rsidR="00A6340D" w:rsidRPr="00FC6A85" w:rsidRDefault="00A6340D" w:rsidP="00B8322C">
      <w:pPr>
        <w:pStyle w:val="FigureTitle"/>
      </w:pPr>
      <w:r>
        <w:rPr>
          <w:b w:val="0"/>
        </w:rPr>
        <w:t xml:space="preserve">Figure </w:t>
      </w:r>
      <w:bookmarkStart w:id="12" w:name="OLE_LINK8"/>
      <w:proofErr w:type="spellStart"/>
      <w:r>
        <w:rPr>
          <w:b w:val="0"/>
        </w:rPr>
        <w:t>E.</w:t>
      </w:r>
      <w:r>
        <w:rPr>
          <w:b w:val="0"/>
          <w:noProof/>
        </w:rPr>
        <w:t>1</w:t>
      </w:r>
      <w:bookmarkEnd w:id="12"/>
      <w:proofErr w:type="spellEnd"/>
      <w:r w:rsidR="00EF5DEA">
        <w:tab/>
        <w:t>Shift effects for</w:t>
      </w:r>
      <w:r>
        <w:t xml:space="preserve"> permanent employees over the decade to 2011</w:t>
      </w:r>
      <w:r w:rsidRPr="005B31EE">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6340D" w:rsidTr="00B8322C">
        <w:tc>
          <w:tcPr>
            <w:tcW w:w="8777" w:type="dxa"/>
          </w:tcPr>
          <w:p w:rsidR="00A6340D" w:rsidRDefault="00B8322C" w:rsidP="00C60AEC">
            <w:pPr>
              <w:pStyle w:val="Figure"/>
            </w:pPr>
            <w:r>
              <w:rPr>
                <w:noProof/>
              </w:rPr>
              <w:drawing>
                <wp:inline distT="0" distB="0" distL="0" distR="0" wp14:anchorId="242B5DD2" wp14:editId="2EBAFE82">
                  <wp:extent cx="5238750" cy="2743200"/>
                  <wp:effectExtent l="0" t="0" r="0" b="0"/>
                  <wp:docPr id="1" name="Chart 1" descr="Figure E.1 Shifts towards permanent employees over the decade to 2011. This figure depicts the size of shift effects for permanent employees (in thousands of employed persons) between 2001 and each year between 2005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6340D" w:rsidRPr="005B31EE" w:rsidRDefault="00A6340D" w:rsidP="00A6340D">
      <w:pPr>
        <w:pStyle w:val="Note"/>
        <w:rPr>
          <w:rStyle w:val="NoteLabel"/>
          <w:b w:val="0"/>
          <w:position w:val="0"/>
        </w:rPr>
      </w:pPr>
      <w:proofErr w:type="spellStart"/>
      <w:r w:rsidRPr="005B31EE">
        <w:rPr>
          <w:rStyle w:val="NoteLabel"/>
        </w:rPr>
        <w:t>a</w:t>
      </w:r>
      <w:proofErr w:type="spellEnd"/>
      <w:r>
        <w:rPr>
          <w:rStyle w:val="NoteLabel"/>
          <w:b w:val="0"/>
          <w:position w:val="0"/>
        </w:rPr>
        <w:t xml:space="preserve"> </w:t>
      </w:r>
      <w:r w:rsidR="002854F3">
        <w:rPr>
          <w:rStyle w:val="NoteLabel"/>
          <w:b w:val="0"/>
          <w:position w:val="0"/>
        </w:rPr>
        <w:t>The shift–</w:t>
      </w:r>
      <w:r w:rsidRPr="005B31EE">
        <w:rPr>
          <w:rStyle w:val="NoteLabel"/>
          <w:b w:val="0"/>
          <w:position w:val="0"/>
        </w:rPr>
        <w:t>share decompositions underlying this figure are available on request.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Pr="00FC6A85" w:rsidRDefault="00A6340D" w:rsidP="00B8322C">
      <w:pPr>
        <w:pStyle w:val="TableTitle"/>
      </w:pPr>
      <w:r w:rsidRPr="009C2A45">
        <w:rPr>
          <w:b w:val="0"/>
        </w:rPr>
        <w:lastRenderedPageBreak/>
        <w:t xml:space="preserve">Figure </w:t>
      </w:r>
      <w:bookmarkStart w:id="13" w:name="OLE_LINK10"/>
      <w:proofErr w:type="spellStart"/>
      <w:r>
        <w:rPr>
          <w:b w:val="0"/>
        </w:rPr>
        <w:t>E.</w:t>
      </w:r>
      <w:r>
        <w:rPr>
          <w:b w:val="0"/>
          <w:noProof/>
        </w:rPr>
        <w:t>2</w:t>
      </w:r>
      <w:bookmarkEnd w:id="13"/>
      <w:proofErr w:type="spellEnd"/>
      <w:r>
        <w:tab/>
        <w:t>Shift effects for casual employ</w:t>
      </w:r>
      <w:r w:rsidR="00872FF5">
        <w:t>ees</w:t>
      </w:r>
      <w:r>
        <w:t xml:space="preserve"> over the decade to 2011</w:t>
      </w:r>
      <w:r w:rsidRPr="005B31EE">
        <w:rPr>
          <w:rStyle w:val="NoteLabel"/>
          <w:b/>
        </w:rPr>
        <w:t>a</w:t>
      </w:r>
    </w:p>
    <w:tbl>
      <w:tblPr>
        <w:tblW w:w="0" w:type="auto"/>
        <w:tblInd w:w="119" w:type="dxa"/>
        <w:tblBorders>
          <w:top w:val="single" w:sz="6" w:space="0" w:color="auto"/>
          <w:bottom w:val="single" w:sz="6" w:space="0" w:color="auto"/>
        </w:tblBorders>
        <w:tblLayout w:type="fixed"/>
        <w:tblLook w:val="04A0" w:firstRow="1" w:lastRow="0" w:firstColumn="1" w:lastColumn="0" w:noHBand="0" w:noVBand="1"/>
      </w:tblPr>
      <w:tblGrid>
        <w:gridCol w:w="8777"/>
      </w:tblGrid>
      <w:tr w:rsidR="00A6340D" w:rsidTr="00B8322C">
        <w:tc>
          <w:tcPr>
            <w:tcW w:w="8777" w:type="dxa"/>
            <w:tcBorders>
              <w:top w:val="single" w:sz="6" w:space="0" w:color="auto"/>
              <w:left w:val="nil"/>
              <w:bottom w:val="single" w:sz="6" w:space="0" w:color="auto"/>
              <w:right w:val="nil"/>
            </w:tcBorders>
            <w:hideMark/>
          </w:tcPr>
          <w:p w:rsidR="00A6340D" w:rsidRDefault="00B8322C" w:rsidP="00C60AEC">
            <w:pPr>
              <w:pStyle w:val="Figure"/>
            </w:pPr>
            <w:r>
              <w:rPr>
                <w:noProof/>
              </w:rPr>
              <w:drawing>
                <wp:inline distT="0" distB="0" distL="0" distR="0" wp14:anchorId="50834CF6" wp14:editId="582C523B">
                  <wp:extent cx="5267325" cy="2743200"/>
                  <wp:effectExtent l="0" t="0" r="0" b="0"/>
                  <wp:docPr id="2" name="Chart 2" descr="Figure E.2 Shifts towards casual employees over the decade to 2011. This figure depicts the size of shift effects for permanent employees (in thousands of employed persons) between 2001 and each year between 2005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A6340D" w:rsidRPr="005B31EE" w:rsidRDefault="00A6340D" w:rsidP="00A6340D">
      <w:pPr>
        <w:pStyle w:val="Note"/>
        <w:rPr>
          <w:rStyle w:val="NoteLabel"/>
          <w:b w:val="0"/>
          <w:position w:val="0"/>
        </w:rPr>
      </w:pPr>
      <w:proofErr w:type="spellStart"/>
      <w:r w:rsidRPr="005B31EE">
        <w:rPr>
          <w:rStyle w:val="NoteLabel"/>
        </w:rPr>
        <w:t>a</w:t>
      </w:r>
      <w:proofErr w:type="spellEnd"/>
      <w:r>
        <w:rPr>
          <w:rStyle w:val="NoteLabel"/>
          <w:b w:val="0"/>
          <w:position w:val="0"/>
        </w:rPr>
        <w:t xml:space="preserve"> </w:t>
      </w:r>
      <w:r w:rsidR="002854F3">
        <w:rPr>
          <w:rStyle w:val="NoteLabel"/>
          <w:b w:val="0"/>
          <w:position w:val="0"/>
        </w:rPr>
        <w:t>The shift–</w:t>
      </w:r>
      <w:r w:rsidRPr="005B31EE">
        <w:rPr>
          <w:rStyle w:val="NoteLabel"/>
          <w:b w:val="0"/>
          <w:position w:val="0"/>
        </w:rPr>
        <w:t>share decompositions underlying this figure are available on request.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Default="00A6340D" w:rsidP="00B8322C">
      <w:pPr>
        <w:pStyle w:val="FigureTitle"/>
      </w:pPr>
      <w:r>
        <w:rPr>
          <w:b w:val="0"/>
        </w:rPr>
        <w:t xml:space="preserve">Figure </w:t>
      </w:r>
      <w:bookmarkStart w:id="14" w:name="OLE_LINK12"/>
      <w:proofErr w:type="spellStart"/>
      <w:r>
        <w:rPr>
          <w:b w:val="0"/>
        </w:rPr>
        <w:t>E.</w:t>
      </w:r>
      <w:r>
        <w:rPr>
          <w:b w:val="0"/>
          <w:noProof/>
        </w:rPr>
        <w:t>3</w:t>
      </w:r>
      <w:bookmarkEnd w:id="14"/>
      <w:proofErr w:type="spellEnd"/>
      <w:r>
        <w:tab/>
        <w:t xml:space="preserve">Shift effects for </w:t>
      </w:r>
      <w:proofErr w:type="spellStart"/>
      <w:r>
        <w:t>OMIEs</w:t>
      </w:r>
      <w:proofErr w:type="spellEnd"/>
      <w:r>
        <w:t xml:space="preserve"> over the decade to 2011</w:t>
      </w:r>
      <w:r w:rsidRPr="005B31EE">
        <w:rPr>
          <w:rStyle w:val="NoteLabel"/>
          <w:b/>
        </w:rPr>
        <w:t>a</w:t>
      </w:r>
    </w:p>
    <w:tbl>
      <w:tblPr>
        <w:tblW w:w="0" w:type="auto"/>
        <w:tblInd w:w="119" w:type="dxa"/>
        <w:tblBorders>
          <w:top w:val="single" w:sz="6" w:space="0" w:color="auto"/>
          <w:bottom w:val="single" w:sz="6" w:space="0" w:color="auto"/>
        </w:tblBorders>
        <w:tblLayout w:type="fixed"/>
        <w:tblLook w:val="0000" w:firstRow="0" w:lastRow="0" w:firstColumn="0" w:lastColumn="0" w:noHBand="0" w:noVBand="0"/>
      </w:tblPr>
      <w:tblGrid>
        <w:gridCol w:w="8777"/>
      </w:tblGrid>
      <w:tr w:rsidR="00A6340D" w:rsidTr="00B8322C">
        <w:tc>
          <w:tcPr>
            <w:tcW w:w="8777" w:type="dxa"/>
          </w:tcPr>
          <w:p w:rsidR="00A6340D" w:rsidRDefault="00B8322C" w:rsidP="00C60AEC">
            <w:pPr>
              <w:pStyle w:val="Figure"/>
            </w:pPr>
            <w:r>
              <w:rPr>
                <w:noProof/>
              </w:rPr>
              <w:drawing>
                <wp:inline distT="0" distB="0" distL="0" distR="0" wp14:anchorId="4E82CE70" wp14:editId="0B368EEF">
                  <wp:extent cx="5172075" cy="2743200"/>
                  <wp:effectExtent l="0" t="0" r="0" b="0"/>
                  <wp:docPr id="4" name="Chart 4" descr="Figure E.3 Shifts towards permanent employees over the decade to 2011. This figure depicts the size of shift effects for OMIEs (in thousands of employed persons) between 2001 and each year between 2005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A6340D" w:rsidRPr="005B31EE" w:rsidRDefault="00A6340D" w:rsidP="00A6340D">
      <w:pPr>
        <w:pStyle w:val="Note"/>
        <w:rPr>
          <w:rStyle w:val="NoteLabel"/>
          <w:b w:val="0"/>
          <w:position w:val="0"/>
        </w:rPr>
      </w:pPr>
      <w:proofErr w:type="spellStart"/>
      <w:r w:rsidRPr="005B31EE">
        <w:rPr>
          <w:rStyle w:val="NoteLabel"/>
        </w:rPr>
        <w:t>a</w:t>
      </w:r>
      <w:proofErr w:type="spellEnd"/>
      <w:r>
        <w:rPr>
          <w:rStyle w:val="NoteLabel"/>
          <w:b w:val="0"/>
          <w:position w:val="0"/>
        </w:rPr>
        <w:t xml:space="preserve"> </w:t>
      </w:r>
      <w:r w:rsidR="002854F3">
        <w:rPr>
          <w:rStyle w:val="NoteLabel"/>
          <w:b w:val="0"/>
          <w:position w:val="0"/>
        </w:rPr>
        <w:t>The shift–</w:t>
      </w:r>
      <w:r w:rsidRPr="005B31EE">
        <w:rPr>
          <w:rStyle w:val="NoteLabel"/>
          <w:b w:val="0"/>
          <w:position w:val="0"/>
        </w:rPr>
        <w:t>share decompositions underlying this figure are available on request.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A6340D" w:rsidRPr="00FC6A85" w:rsidRDefault="00A6340D" w:rsidP="00B8322C">
      <w:pPr>
        <w:pStyle w:val="FigureTitle"/>
      </w:pPr>
      <w:r>
        <w:rPr>
          <w:b w:val="0"/>
        </w:rPr>
        <w:lastRenderedPageBreak/>
        <w:t xml:space="preserve">Figure </w:t>
      </w:r>
      <w:bookmarkStart w:id="15" w:name="OLE_LINK9"/>
      <w:proofErr w:type="spellStart"/>
      <w:r>
        <w:rPr>
          <w:b w:val="0"/>
        </w:rPr>
        <w:t>E.</w:t>
      </w:r>
      <w:r>
        <w:rPr>
          <w:b w:val="0"/>
          <w:noProof/>
        </w:rPr>
        <w:t>4</w:t>
      </w:r>
      <w:bookmarkEnd w:id="15"/>
      <w:proofErr w:type="spellEnd"/>
      <w:r>
        <w:tab/>
        <w:t>Shift</w:t>
      </w:r>
      <w:r w:rsidR="00EF5DEA">
        <w:t xml:space="preserve"> effects for</w:t>
      </w:r>
      <w:bookmarkStart w:id="16" w:name="_GoBack"/>
      <w:bookmarkEnd w:id="16"/>
      <w:r>
        <w:t xml:space="preserve"> </w:t>
      </w:r>
      <w:proofErr w:type="spellStart"/>
      <w:r>
        <w:t>OMUEs</w:t>
      </w:r>
      <w:proofErr w:type="spellEnd"/>
      <w:r>
        <w:t xml:space="preserve"> over the decade to 2011</w:t>
      </w:r>
      <w:r w:rsidRPr="005B31EE">
        <w:rPr>
          <w:rStyle w:val="NoteLabel"/>
          <w:b/>
        </w:rPr>
        <w:t>a</w:t>
      </w:r>
    </w:p>
    <w:tbl>
      <w:tblPr>
        <w:tblW w:w="0" w:type="auto"/>
        <w:tblInd w:w="119" w:type="dxa"/>
        <w:tblBorders>
          <w:top w:val="single" w:sz="6" w:space="0" w:color="auto"/>
          <w:bottom w:val="single" w:sz="6" w:space="0" w:color="auto"/>
        </w:tblBorders>
        <w:tblLayout w:type="fixed"/>
        <w:tblLook w:val="04A0" w:firstRow="1" w:lastRow="0" w:firstColumn="1" w:lastColumn="0" w:noHBand="0" w:noVBand="1"/>
      </w:tblPr>
      <w:tblGrid>
        <w:gridCol w:w="8777"/>
      </w:tblGrid>
      <w:tr w:rsidR="00A6340D" w:rsidTr="00B8322C">
        <w:tc>
          <w:tcPr>
            <w:tcW w:w="8777" w:type="dxa"/>
            <w:tcBorders>
              <w:top w:val="single" w:sz="6" w:space="0" w:color="auto"/>
              <w:left w:val="nil"/>
              <w:bottom w:val="single" w:sz="6" w:space="0" w:color="auto"/>
              <w:right w:val="nil"/>
            </w:tcBorders>
            <w:hideMark/>
          </w:tcPr>
          <w:p w:rsidR="00A6340D" w:rsidRDefault="00B8322C" w:rsidP="00C60AEC">
            <w:pPr>
              <w:pStyle w:val="Figure"/>
            </w:pPr>
            <w:r>
              <w:rPr>
                <w:noProof/>
              </w:rPr>
              <w:drawing>
                <wp:inline distT="0" distB="0" distL="0" distR="0" wp14:anchorId="1E0D3FA5" wp14:editId="7D4F6F0F">
                  <wp:extent cx="5267325" cy="3028950"/>
                  <wp:effectExtent l="0" t="0" r="0" b="0"/>
                  <wp:docPr id="5" name="Chart 5" descr="Figure E.4 Shifts towards permanent employees over the decade to 2011. This figure depicts the size of shift effects for OMUEs (in thousands of employed persons) between 2001 and each year between 2005 and 20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6340D" w:rsidRPr="005B31EE" w:rsidRDefault="00A6340D" w:rsidP="00A6340D">
      <w:pPr>
        <w:pStyle w:val="Note"/>
        <w:rPr>
          <w:rStyle w:val="NoteLabel"/>
          <w:b w:val="0"/>
          <w:position w:val="0"/>
        </w:rPr>
      </w:pPr>
      <w:proofErr w:type="spellStart"/>
      <w:r w:rsidRPr="005B31EE">
        <w:rPr>
          <w:rStyle w:val="NoteLabel"/>
        </w:rPr>
        <w:t>a</w:t>
      </w:r>
      <w:proofErr w:type="spellEnd"/>
      <w:r>
        <w:rPr>
          <w:rStyle w:val="NoteLabel"/>
          <w:b w:val="0"/>
          <w:position w:val="0"/>
        </w:rPr>
        <w:t xml:space="preserve"> </w:t>
      </w:r>
      <w:r w:rsidRPr="005B31EE">
        <w:rPr>
          <w:rStyle w:val="NoteLabel"/>
          <w:b w:val="0"/>
          <w:position w:val="0"/>
        </w:rPr>
        <w:t>The shift</w:t>
      </w:r>
      <w:r w:rsidR="002854F3">
        <w:rPr>
          <w:rStyle w:val="NoteLabel"/>
          <w:b w:val="0"/>
          <w:position w:val="0"/>
        </w:rPr>
        <w:t>–</w:t>
      </w:r>
      <w:r w:rsidRPr="005B31EE">
        <w:rPr>
          <w:rStyle w:val="NoteLabel"/>
          <w:b w:val="0"/>
          <w:position w:val="0"/>
        </w:rPr>
        <w:t>share decompositions underlying this figure are available on request.</w:t>
      </w:r>
    </w:p>
    <w:p w:rsidR="002D362D" w:rsidRPr="002D362D" w:rsidRDefault="002D362D" w:rsidP="002D362D">
      <w:pPr>
        <w:pStyle w:val="Source"/>
        <w:rPr>
          <w:spacing w:val="-2"/>
        </w:rPr>
      </w:pPr>
      <w:r w:rsidRPr="002D362D">
        <w:rPr>
          <w:i/>
          <w:spacing w:val="-2"/>
        </w:rPr>
        <w:t>Source</w:t>
      </w:r>
      <w:r w:rsidRPr="002D362D">
        <w:rPr>
          <w:spacing w:val="-2"/>
        </w:rPr>
        <w:t xml:space="preserve">: </w:t>
      </w:r>
      <w:r w:rsidR="00277A6E">
        <w:rPr>
          <w:spacing w:val="-2"/>
        </w:rPr>
        <w:t>Authors’</w:t>
      </w:r>
      <w:r w:rsidRPr="002D362D">
        <w:rPr>
          <w:spacing w:val="-2"/>
        </w:rPr>
        <w:t xml:space="preserve"> estimates based on ABS (</w:t>
      </w:r>
      <w:r w:rsidRPr="002D362D">
        <w:rPr>
          <w:i/>
          <w:spacing w:val="-2"/>
        </w:rPr>
        <w:t>Australian Labour Market Statistics</w:t>
      </w:r>
      <w:r w:rsidRPr="002D362D">
        <w:rPr>
          <w:spacing w:val="-2"/>
        </w:rPr>
        <w:t>, Cat. no. 6105.0).</w:t>
      </w:r>
    </w:p>
    <w:p w:rsidR="00F056FC" w:rsidRDefault="00F056FC" w:rsidP="00120072">
      <w:pPr>
        <w:pStyle w:val="BodyText"/>
      </w:pPr>
    </w:p>
    <w:sectPr w:rsidR="00F056FC" w:rsidSect="004503EC">
      <w:headerReference w:type="even" r:id="rId21"/>
      <w:headerReference w:type="default" r:id="rId22"/>
      <w:footerReference w:type="even" r:id="rId23"/>
      <w:footerReference w:type="default" r:id="rId24"/>
      <w:footnotePr>
        <w:numStart w:val="48"/>
      </w:footnotePr>
      <w:pgSz w:w="11907" w:h="16840" w:code="9"/>
      <w:pgMar w:top="1985" w:right="1304" w:bottom="1418" w:left="1814" w:header="1701" w:footer="567" w:gutter="0"/>
      <w:pgNumType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C7" w:rsidRDefault="00642CC7">
      <w:r>
        <w:separator/>
      </w:r>
    </w:p>
  </w:endnote>
  <w:endnote w:type="continuationSeparator" w:id="0">
    <w:p w:rsidR="00642CC7" w:rsidRDefault="0064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642CC7">
      <w:trPr>
        <w:trHeight w:hRule="exact" w:val="740"/>
      </w:trPr>
      <w:tc>
        <w:tcPr>
          <w:tcW w:w="510" w:type="dxa"/>
          <w:tcBorders>
            <w:top w:val="single" w:sz="6" w:space="0" w:color="auto"/>
          </w:tcBorders>
        </w:tcPr>
        <w:p w:rsidR="00642CC7" w:rsidRDefault="00642CC7">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94</w:t>
          </w:r>
          <w:r>
            <w:rPr>
              <w:rStyle w:val="PageNumber"/>
            </w:rPr>
            <w:fldChar w:fldCharType="end"/>
          </w:r>
        </w:p>
      </w:tc>
      <w:tc>
        <w:tcPr>
          <w:tcW w:w="1644" w:type="dxa"/>
          <w:tcBorders>
            <w:top w:val="single" w:sz="6" w:space="0" w:color="auto"/>
          </w:tcBorders>
        </w:tcPr>
        <w:p w:rsidR="00642CC7" w:rsidRDefault="00EF5DEA">
          <w:pPr>
            <w:pStyle w:val="Footer"/>
          </w:pPr>
          <w:r>
            <w:fldChar w:fldCharType="begin"/>
          </w:r>
          <w:r>
            <w:instrText xml:space="preserve"> SUBJECT  \* MERGEFORMAT </w:instrText>
          </w:r>
          <w:r>
            <w:fldChar w:fldCharType="separate"/>
          </w:r>
          <w:r w:rsidR="00765DD9">
            <w:t>Forms of work</w:t>
          </w:r>
          <w:r>
            <w:fldChar w:fldCharType="end"/>
          </w:r>
        </w:p>
      </w:tc>
      <w:tc>
        <w:tcPr>
          <w:tcW w:w="6634" w:type="dxa"/>
        </w:tcPr>
        <w:p w:rsidR="00642CC7" w:rsidRDefault="00642CC7">
          <w:pPr>
            <w:pStyle w:val="Footer"/>
          </w:pPr>
        </w:p>
      </w:tc>
    </w:tr>
  </w:tbl>
  <w:p w:rsidR="00642CC7" w:rsidRDefault="00642CC7">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642CC7">
      <w:trPr>
        <w:trHeight w:hRule="exact" w:val="740"/>
      </w:trPr>
      <w:tc>
        <w:tcPr>
          <w:tcW w:w="6634" w:type="dxa"/>
        </w:tcPr>
        <w:p w:rsidR="00642CC7" w:rsidRDefault="00642CC7">
          <w:pPr>
            <w:pStyle w:val="Footer"/>
            <w:ind w:right="360" w:firstLine="360"/>
          </w:pPr>
        </w:p>
      </w:tc>
      <w:tc>
        <w:tcPr>
          <w:tcW w:w="1644" w:type="dxa"/>
          <w:tcBorders>
            <w:top w:val="single" w:sz="6" w:space="0" w:color="auto"/>
          </w:tcBorders>
        </w:tcPr>
        <w:p w:rsidR="00642CC7" w:rsidRDefault="00EF5DEA">
          <w:pPr>
            <w:pStyle w:val="Footer"/>
          </w:pPr>
          <w:r>
            <w:fldChar w:fldCharType="begin"/>
          </w:r>
          <w:r>
            <w:instrText xml:space="preserve"> TITLE  \* MERGEFORMAT </w:instrText>
          </w:r>
          <w:r>
            <w:fldChar w:fldCharType="separate"/>
          </w:r>
          <w:r w:rsidR="00765DD9">
            <w:t>Employment changes at a state level</w:t>
          </w:r>
          <w:r>
            <w:fldChar w:fldCharType="end"/>
          </w:r>
        </w:p>
      </w:tc>
      <w:tc>
        <w:tcPr>
          <w:tcW w:w="510" w:type="dxa"/>
          <w:tcBorders>
            <w:top w:val="single" w:sz="6" w:space="0" w:color="auto"/>
          </w:tcBorders>
        </w:tcPr>
        <w:p w:rsidR="00642CC7" w:rsidRDefault="00642CC7">
          <w:pPr>
            <w:pStyle w:val="Footer"/>
            <w:jc w:val="right"/>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93</w:t>
          </w:r>
          <w:r>
            <w:rPr>
              <w:rStyle w:val="PageNumber"/>
            </w:rPr>
            <w:fldChar w:fldCharType="end"/>
          </w:r>
        </w:p>
      </w:tc>
    </w:tr>
  </w:tbl>
  <w:p w:rsidR="00642CC7" w:rsidRDefault="00642CC7">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C7" w:rsidRDefault="00642CC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96</w:t>
    </w:r>
    <w:r>
      <w:rPr>
        <w:rStyle w:val="PageNumber"/>
      </w:rPr>
      <w:fldChar w:fldCharType="end"/>
    </w:r>
  </w:p>
  <w:p w:rsidR="00642CC7" w:rsidRDefault="00642CC7">
    <w:pPr>
      <w:pStyle w:val="FooterEnd"/>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C7" w:rsidRDefault="00642CC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95</w:t>
    </w:r>
    <w:r>
      <w:rPr>
        <w:rStyle w:val="PageNumber"/>
      </w:rPr>
      <w:fldChar w:fldCharType="end"/>
    </w:r>
  </w:p>
  <w:p w:rsidR="00642CC7" w:rsidRDefault="00642CC7">
    <w:pPr>
      <w:pStyle w:val="Footer"/>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642CC7">
      <w:trPr>
        <w:trHeight w:hRule="exact" w:val="740"/>
      </w:trPr>
      <w:tc>
        <w:tcPr>
          <w:tcW w:w="510" w:type="dxa"/>
          <w:tcBorders>
            <w:top w:val="single" w:sz="6" w:space="0" w:color="auto"/>
          </w:tcBorders>
        </w:tcPr>
        <w:p w:rsidR="00642CC7" w:rsidRDefault="00642CC7"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104</w:t>
          </w:r>
          <w:r>
            <w:rPr>
              <w:rStyle w:val="PageNumber"/>
            </w:rPr>
            <w:fldChar w:fldCharType="end"/>
          </w:r>
        </w:p>
      </w:tc>
      <w:tc>
        <w:tcPr>
          <w:tcW w:w="1644" w:type="dxa"/>
          <w:tcBorders>
            <w:top w:val="single" w:sz="6" w:space="0" w:color="auto"/>
          </w:tcBorders>
        </w:tcPr>
        <w:p w:rsidR="00642CC7" w:rsidRDefault="00EF5DEA" w:rsidP="0019293B">
          <w:pPr>
            <w:pStyle w:val="Footer"/>
          </w:pPr>
          <w:r>
            <w:fldChar w:fldCharType="begin"/>
          </w:r>
          <w:r>
            <w:instrText xml:space="preserve"> SUBJECT  \* MERGEFORMAT </w:instrText>
          </w:r>
          <w:r>
            <w:fldChar w:fldCharType="separate"/>
          </w:r>
          <w:r w:rsidR="00765DD9">
            <w:t>Forms of work</w:t>
          </w:r>
          <w:r>
            <w:fldChar w:fldCharType="end"/>
          </w:r>
        </w:p>
      </w:tc>
      <w:tc>
        <w:tcPr>
          <w:tcW w:w="6634" w:type="dxa"/>
        </w:tcPr>
        <w:p w:rsidR="00642CC7" w:rsidRDefault="00642CC7" w:rsidP="0019293B">
          <w:pPr>
            <w:pStyle w:val="Footer"/>
          </w:pPr>
        </w:p>
      </w:tc>
    </w:tr>
  </w:tbl>
  <w:p w:rsidR="00642CC7" w:rsidRDefault="00642CC7" w:rsidP="0019293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642CC7">
      <w:trPr>
        <w:trHeight w:hRule="exact" w:val="740"/>
      </w:trPr>
      <w:tc>
        <w:tcPr>
          <w:tcW w:w="6634" w:type="dxa"/>
        </w:tcPr>
        <w:p w:rsidR="00642CC7" w:rsidRDefault="00642CC7">
          <w:pPr>
            <w:pStyle w:val="Footer"/>
            <w:ind w:right="360" w:firstLine="360"/>
          </w:pPr>
        </w:p>
      </w:tc>
      <w:tc>
        <w:tcPr>
          <w:tcW w:w="1644" w:type="dxa"/>
          <w:tcBorders>
            <w:top w:val="single" w:sz="6" w:space="0" w:color="auto"/>
          </w:tcBorders>
        </w:tcPr>
        <w:p w:rsidR="00642CC7" w:rsidRDefault="00EF5DEA">
          <w:pPr>
            <w:pStyle w:val="Footer"/>
          </w:pPr>
          <w:r>
            <w:fldChar w:fldCharType="begin"/>
          </w:r>
          <w:r>
            <w:instrText xml:space="preserve"> TITLE  \* MERGEFORMAT </w:instrText>
          </w:r>
          <w:r>
            <w:fldChar w:fldCharType="separate"/>
          </w:r>
          <w:r w:rsidR="00765DD9">
            <w:t>Employment changes at a state level</w:t>
          </w:r>
          <w:r>
            <w:fldChar w:fldCharType="end"/>
          </w:r>
        </w:p>
      </w:tc>
      <w:tc>
        <w:tcPr>
          <w:tcW w:w="510" w:type="dxa"/>
          <w:tcBorders>
            <w:top w:val="single" w:sz="6" w:space="0" w:color="auto"/>
          </w:tcBorders>
        </w:tcPr>
        <w:p w:rsidR="00642CC7" w:rsidRDefault="00642CC7">
          <w:pPr>
            <w:pStyle w:val="Footer"/>
            <w:jc w:val="right"/>
          </w:pPr>
          <w:r>
            <w:rPr>
              <w:rStyle w:val="PageNumber"/>
            </w:rPr>
            <w:fldChar w:fldCharType="begin"/>
          </w:r>
          <w:r>
            <w:rPr>
              <w:rStyle w:val="PageNumber"/>
            </w:rPr>
            <w:instrText xml:space="preserve">PAGE  </w:instrText>
          </w:r>
          <w:r>
            <w:rPr>
              <w:rStyle w:val="PageNumber"/>
            </w:rPr>
            <w:fldChar w:fldCharType="separate"/>
          </w:r>
          <w:r w:rsidR="00EF5DEA">
            <w:rPr>
              <w:rStyle w:val="PageNumber"/>
              <w:noProof/>
            </w:rPr>
            <w:t>103</w:t>
          </w:r>
          <w:r>
            <w:rPr>
              <w:rStyle w:val="PageNumber"/>
            </w:rPr>
            <w:fldChar w:fldCharType="end"/>
          </w:r>
        </w:p>
      </w:tc>
    </w:tr>
  </w:tbl>
  <w:p w:rsidR="00642CC7" w:rsidRDefault="00642CC7">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C7" w:rsidRDefault="00642CC7">
      <w:r>
        <w:separator/>
      </w:r>
    </w:p>
  </w:footnote>
  <w:footnote w:type="continuationSeparator" w:id="0">
    <w:p w:rsidR="00642CC7" w:rsidRDefault="00642CC7">
      <w:r>
        <w:continuationSeparator/>
      </w:r>
    </w:p>
  </w:footnote>
  <w:footnote w:id="1">
    <w:p w:rsidR="00642CC7" w:rsidRDefault="00642CC7" w:rsidP="00581415">
      <w:pPr>
        <w:pStyle w:val="FootnoteText"/>
      </w:pPr>
      <w:r>
        <w:rPr>
          <w:rStyle w:val="FootnoteReference"/>
        </w:rPr>
        <w:footnoteRef/>
      </w:r>
      <w:r>
        <w:tab/>
        <w:t>The term ‘states’ is used throughout as shorthand for states and territories.</w:t>
      </w:r>
    </w:p>
  </w:footnote>
  <w:footnote w:id="2">
    <w:p w:rsidR="00642CC7" w:rsidRDefault="00642CC7" w:rsidP="005D112E">
      <w:pPr>
        <w:pStyle w:val="FootnoteText"/>
      </w:pPr>
      <w:r>
        <w:rPr>
          <w:rStyle w:val="FootnoteReference"/>
        </w:rPr>
        <w:footnoteRef/>
      </w:r>
      <w:r>
        <w:tab/>
      </w:r>
      <w:proofErr w:type="spellStart"/>
      <w:r>
        <w:t>OMUE</w:t>
      </w:r>
      <w:proofErr w:type="spellEnd"/>
      <w:r>
        <w:t xml:space="preserve"> employment increased by about 4 per cent (or 50 000) and the shift effect was about 275 000. The difference in figures presented arises because of a break in series in the source data and seasonality in </w:t>
      </w:r>
      <w:proofErr w:type="spellStart"/>
      <w:r>
        <w:t>OMUE</w:t>
      </w:r>
      <w:proofErr w:type="spellEnd"/>
      <w:r>
        <w:t xml:space="preserve"> employment. As discussed in appendix A, data for 2001 are for August, and 2011 data are for November. The break in series slightly overstates the extent to which </w:t>
      </w:r>
      <w:proofErr w:type="spellStart"/>
      <w:r>
        <w:t>OMUE</w:t>
      </w:r>
      <w:proofErr w:type="spellEnd"/>
      <w:r>
        <w:t xml:space="preserve"> employment grew more slowly than other </w:t>
      </w:r>
      <w:proofErr w:type="spellStart"/>
      <w:r>
        <w:t>FOWs</w:t>
      </w:r>
      <w:proofErr w:type="spellEnd"/>
      <w:r>
        <w:t xml:space="preserve">. Conversely, growth for the other </w:t>
      </w:r>
      <w:proofErr w:type="spellStart"/>
      <w:r>
        <w:t>FOWs</w:t>
      </w:r>
      <w:proofErr w:type="spellEnd"/>
      <w:r>
        <w:t xml:space="preserve"> is likely to be slightly overstated.</w:t>
      </w:r>
    </w:p>
  </w:footnote>
  <w:footnote w:id="3">
    <w:p w:rsidR="00642CC7" w:rsidRDefault="00642CC7" w:rsidP="005D112E">
      <w:pPr>
        <w:pStyle w:val="FootnoteText"/>
      </w:pPr>
      <w:r>
        <w:rPr>
          <w:rStyle w:val="FootnoteReference"/>
        </w:rPr>
        <w:footnoteRef/>
      </w:r>
      <w:r>
        <w:tab/>
        <w:t>Until 2011, the shift effect for Victoria for casuals was also positive.</w:t>
      </w:r>
    </w:p>
  </w:footnote>
  <w:footnote w:id="4">
    <w:p w:rsidR="00642CC7" w:rsidRDefault="00642CC7" w:rsidP="00A6340D">
      <w:pPr>
        <w:pStyle w:val="FootnoteText"/>
      </w:pPr>
      <w:r>
        <w:rPr>
          <w:rStyle w:val="FootnoteReference"/>
        </w:rPr>
        <w:footnoteRef/>
      </w:r>
      <w:r>
        <w:tab/>
        <w:t>It is unclear whether the small decline in the prevalence of casual employment in the non</w:t>
      </w:r>
      <w:r>
        <w:noBreakHyphen/>
        <w:t>mining states in the FOE survey estimates is due to: the fact that this survey only covers people aged 15 to 69 years; estimates from the FOE survey being too low (as discussed in the notes to table </w:t>
      </w:r>
      <w:proofErr w:type="spellStart"/>
      <w:r>
        <w:t>B.7</w:t>
      </w:r>
      <w:proofErr w:type="spellEnd"/>
      <w:r>
        <w:t>); or some other factor.</w:t>
      </w:r>
    </w:p>
  </w:footnote>
  <w:footnote w:id="5">
    <w:p w:rsidR="00642CC7" w:rsidRDefault="00642CC7" w:rsidP="00A6340D">
      <w:pPr>
        <w:pStyle w:val="FootnoteText"/>
      </w:pPr>
      <w:r>
        <w:rPr>
          <w:rStyle w:val="FootnoteReference"/>
        </w:rPr>
        <w:footnoteRef/>
      </w:r>
      <w:r>
        <w:tab/>
        <w:t>If the result for non</w:t>
      </w:r>
      <w:r>
        <w:noBreakHyphen/>
        <w:t>mining states was an artefact of the data, and assuming the shift to 2010 was a more accurate reflection of what happened around the country, the mining states’ contribution to the shift effect increases to 84 per cent.</w:t>
      </w:r>
    </w:p>
  </w:footnote>
  <w:footnote w:id="6">
    <w:p w:rsidR="00642CC7" w:rsidRDefault="00642CC7" w:rsidP="00A6340D">
      <w:pPr>
        <w:pStyle w:val="FootnoteText"/>
      </w:pPr>
      <w:r>
        <w:rPr>
          <w:rStyle w:val="FootnoteReference"/>
        </w:rPr>
        <w:footnoteRef/>
      </w:r>
      <w:r>
        <w:tab/>
        <w:t>Shift effects for casuals in Victoria were positive prior to 2011. In other words, the negative effect in 2011 reported in table </w:t>
      </w:r>
      <w:proofErr w:type="spellStart"/>
      <w:r>
        <w:t>E.6</w:t>
      </w:r>
      <w:proofErr w:type="spellEnd"/>
      <w:r>
        <w:t xml:space="preserve"> represents a change on the experience of previous years.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42CC7">
      <w:tc>
        <w:tcPr>
          <w:tcW w:w="2155" w:type="dxa"/>
          <w:tcBorders>
            <w:top w:val="single" w:sz="24" w:space="0" w:color="auto"/>
          </w:tcBorders>
        </w:tcPr>
        <w:p w:rsidR="00642CC7" w:rsidRDefault="00642CC7">
          <w:pPr>
            <w:pStyle w:val="HeaderEven"/>
          </w:pPr>
        </w:p>
      </w:tc>
      <w:tc>
        <w:tcPr>
          <w:tcW w:w="6634" w:type="dxa"/>
          <w:tcBorders>
            <w:top w:val="single" w:sz="6" w:space="0" w:color="auto"/>
          </w:tcBorders>
        </w:tcPr>
        <w:p w:rsidR="00642CC7" w:rsidRDefault="00642CC7">
          <w:pPr>
            <w:pStyle w:val="HeaderEven"/>
          </w:pPr>
        </w:p>
      </w:tc>
    </w:tr>
  </w:tbl>
  <w:p w:rsidR="00642CC7" w:rsidRDefault="00642CC7">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42CC7">
      <w:tc>
        <w:tcPr>
          <w:tcW w:w="6634" w:type="dxa"/>
          <w:tcBorders>
            <w:top w:val="single" w:sz="6" w:space="0" w:color="auto"/>
          </w:tcBorders>
        </w:tcPr>
        <w:p w:rsidR="00642CC7" w:rsidRDefault="00642CC7">
          <w:pPr>
            <w:pStyle w:val="HeaderOdd"/>
          </w:pPr>
        </w:p>
      </w:tc>
      <w:tc>
        <w:tcPr>
          <w:tcW w:w="2155" w:type="dxa"/>
          <w:tcBorders>
            <w:top w:val="single" w:sz="24" w:space="0" w:color="auto"/>
          </w:tcBorders>
        </w:tcPr>
        <w:p w:rsidR="00642CC7" w:rsidRDefault="00642CC7">
          <w:pPr>
            <w:pStyle w:val="HeaderOdd"/>
          </w:pPr>
        </w:p>
      </w:tc>
    </w:tr>
  </w:tbl>
  <w:p w:rsidR="00642CC7" w:rsidRDefault="00642CC7">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C7" w:rsidRDefault="00642CC7">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CC7" w:rsidRDefault="00642CC7">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42CC7">
      <w:tc>
        <w:tcPr>
          <w:tcW w:w="2155" w:type="dxa"/>
          <w:tcBorders>
            <w:top w:val="single" w:sz="24" w:space="0" w:color="auto"/>
          </w:tcBorders>
        </w:tcPr>
        <w:p w:rsidR="00642CC7" w:rsidRDefault="00642CC7" w:rsidP="0019293B">
          <w:pPr>
            <w:pStyle w:val="HeaderEven"/>
          </w:pPr>
        </w:p>
      </w:tc>
      <w:tc>
        <w:tcPr>
          <w:tcW w:w="6634" w:type="dxa"/>
          <w:tcBorders>
            <w:top w:val="single" w:sz="6" w:space="0" w:color="auto"/>
          </w:tcBorders>
        </w:tcPr>
        <w:p w:rsidR="00642CC7" w:rsidRDefault="00642CC7" w:rsidP="0019293B">
          <w:pPr>
            <w:pStyle w:val="HeaderEven"/>
          </w:pPr>
        </w:p>
      </w:tc>
    </w:tr>
  </w:tbl>
  <w:p w:rsidR="00642CC7" w:rsidRDefault="00642CC7" w:rsidP="0019293B">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42CC7">
      <w:tc>
        <w:tcPr>
          <w:tcW w:w="6634" w:type="dxa"/>
          <w:tcBorders>
            <w:top w:val="single" w:sz="6" w:space="0" w:color="auto"/>
          </w:tcBorders>
        </w:tcPr>
        <w:p w:rsidR="00642CC7" w:rsidRDefault="00642CC7" w:rsidP="00E669E2">
          <w:pPr>
            <w:pStyle w:val="HeaderOdd"/>
          </w:pPr>
        </w:p>
      </w:tc>
      <w:tc>
        <w:tcPr>
          <w:tcW w:w="2155" w:type="dxa"/>
          <w:tcBorders>
            <w:top w:val="single" w:sz="24" w:space="0" w:color="auto"/>
          </w:tcBorders>
        </w:tcPr>
        <w:p w:rsidR="00642CC7" w:rsidRDefault="00642CC7" w:rsidP="00E669E2">
          <w:pPr>
            <w:pStyle w:val="HeaderOdd"/>
          </w:pPr>
        </w:p>
      </w:tc>
    </w:tr>
  </w:tbl>
  <w:p w:rsidR="00642CC7" w:rsidRDefault="00642CC7"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9153"/>
  </w:hdrShapeDefaults>
  <w:footnotePr>
    <w:numStart w:val="48"/>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E"/>
    <w:docVar w:name="FindingOptions" w:val="1"/>
    <w:docVar w:name="RecOptions" w:val="111"/>
    <w:docVar w:name="ShortChapterTitle" w:val="Employment changes at a state level"/>
    <w:docVar w:name="ShortReportTitle" w:val="Forms of work"/>
  </w:docVars>
  <w:rsids>
    <w:rsidRoot w:val="00581415"/>
    <w:rsid w:val="000174B4"/>
    <w:rsid w:val="000200AA"/>
    <w:rsid w:val="000227D5"/>
    <w:rsid w:val="000245AA"/>
    <w:rsid w:val="0003664B"/>
    <w:rsid w:val="0004111F"/>
    <w:rsid w:val="000565B3"/>
    <w:rsid w:val="0007150B"/>
    <w:rsid w:val="000938F5"/>
    <w:rsid w:val="0009441D"/>
    <w:rsid w:val="00096E55"/>
    <w:rsid w:val="000A6427"/>
    <w:rsid w:val="000B601B"/>
    <w:rsid w:val="000C207E"/>
    <w:rsid w:val="000F0035"/>
    <w:rsid w:val="000F420B"/>
    <w:rsid w:val="00104B00"/>
    <w:rsid w:val="00110116"/>
    <w:rsid w:val="0011181F"/>
    <w:rsid w:val="00120072"/>
    <w:rsid w:val="00124A29"/>
    <w:rsid w:val="00126EB8"/>
    <w:rsid w:val="001274D4"/>
    <w:rsid w:val="00131269"/>
    <w:rsid w:val="001363AA"/>
    <w:rsid w:val="00150057"/>
    <w:rsid w:val="00162AEC"/>
    <w:rsid w:val="00183E82"/>
    <w:rsid w:val="001878BB"/>
    <w:rsid w:val="00191AE0"/>
    <w:rsid w:val="0019293B"/>
    <w:rsid w:val="001A2E65"/>
    <w:rsid w:val="001B4120"/>
    <w:rsid w:val="001C0865"/>
    <w:rsid w:val="001C3ABA"/>
    <w:rsid w:val="001E7BE8"/>
    <w:rsid w:val="001F0248"/>
    <w:rsid w:val="001F3EB3"/>
    <w:rsid w:val="001F4F86"/>
    <w:rsid w:val="00202C2C"/>
    <w:rsid w:val="002135AB"/>
    <w:rsid w:val="002144BE"/>
    <w:rsid w:val="00242279"/>
    <w:rsid w:val="00245C82"/>
    <w:rsid w:val="00247DAF"/>
    <w:rsid w:val="00277A6E"/>
    <w:rsid w:val="002854F3"/>
    <w:rsid w:val="00291B40"/>
    <w:rsid w:val="002B4008"/>
    <w:rsid w:val="002D0E8E"/>
    <w:rsid w:val="002D362D"/>
    <w:rsid w:val="002E5C6D"/>
    <w:rsid w:val="00301189"/>
    <w:rsid w:val="00323E09"/>
    <w:rsid w:val="003314B2"/>
    <w:rsid w:val="00333932"/>
    <w:rsid w:val="003374DE"/>
    <w:rsid w:val="003518AA"/>
    <w:rsid w:val="00352165"/>
    <w:rsid w:val="00353182"/>
    <w:rsid w:val="003565D9"/>
    <w:rsid w:val="003602E1"/>
    <w:rsid w:val="0037026F"/>
    <w:rsid w:val="00371240"/>
    <w:rsid w:val="003725FA"/>
    <w:rsid w:val="00374731"/>
    <w:rsid w:val="00376E59"/>
    <w:rsid w:val="003919F9"/>
    <w:rsid w:val="003B5CC9"/>
    <w:rsid w:val="003C38B5"/>
    <w:rsid w:val="003C5D99"/>
    <w:rsid w:val="003E2F59"/>
    <w:rsid w:val="003F0789"/>
    <w:rsid w:val="00401882"/>
    <w:rsid w:val="004100C8"/>
    <w:rsid w:val="00411DBD"/>
    <w:rsid w:val="00412ACE"/>
    <w:rsid w:val="0042104A"/>
    <w:rsid w:val="00431249"/>
    <w:rsid w:val="00434C19"/>
    <w:rsid w:val="0044437D"/>
    <w:rsid w:val="004503EC"/>
    <w:rsid w:val="0045043C"/>
    <w:rsid w:val="00450810"/>
    <w:rsid w:val="00450BE8"/>
    <w:rsid w:val="004537A1"/>
    <w:rsid w:val="00466710"/>
    <w:rsid w:val="00477144"/>
    <w:rsid w:val="004863C9"/>
    <w:rsid w:val="00491380"/>
    <w:rsid w:val="0049459F"/>
    <w:rsid w:val="00494C89"/>
    <w:rsid w:val="004A38DD"/>
    <w:rsid w:val="004B43AE"/>
    <w:rsid w:val="004C30ED"/>
    <w:rsid w:val="004C6E79"/>
    <w:rsid w:val="004D5675"/>
    <w:rsid w:val="00504570"/>
    <w:rsid w:val="00517D5A"/>
    <w:rsid w:val="00523639"/>
    <w:rsid w:val="00525473"/>
    <w:rsid w:val="00531FE5"/>
    <w:rsid w:val="005402FA"/>
    <w:rsid w:val="00581415"/>
    <w:rsid w:val="00583C39"/>
    <w:rsid w:val="00587F28"/>
    <w:rsid w:val="005909CF"/>
    <w:rsid w:val="00591E71"/>
    <w:rsid w:val="005A0D41"/>
    <w:rsid w:val="005C5CD4"/>
    <w:rsid w:val="005D112E"/>
    <w:rsid w:val="005F3C8B"/>
    <w:rsid w:val="00607BF1"/>
    <w:rsid w:val="00630D4D"/>
    <w:rsid w:val="00632A74"/>
    <w:rsid w:val="00642CC7"/>
    <w:rsid w:val="006467A1"/>
    <w:rsid w:val="00653085"/>
    <w:rsid w:val="006A4655"/>
    <w:rsid w:val="006B2B3C"/>
    <w:rsid w:val="006C1D81"/>
    <w:rsid w:val="006C24FC"/>
    <w:rsid w:val="006C7038"/>
    <w:rsid w:val="006D2453"/>
    <w:rsid w:val="006D5BCF"/>
    <w:rsid w:val="006D6055"/>
    <w:rsid w:val="006E73EF"/>
    <w:rsid w:val="00714D4D"/>
    <w:rsid w:val="007604BB"/>
    <w:rsid w:val="00763930"/>
    <w:rsid w:val="00765DD9"/>
    <w:rsid w:val="00775AD9"/>
    <w:rsid w:val="00776390"/>
    <w:rsid w:val="00785232"/>
    <w:rsid w:val="007A21EB"/>
    <w:rsid w:val="007B1A93"/>
    <w:rsid w:val="007C36C9"/>
    <w:rsid w:val="007D0BAA"/>
    <w:rsid w:val="007D6401"/>
    <w:rsid w:val="007E01E4"/>
    <w:rsid w:val="007F7107"/>
    <w:rsid w:val="00800D4C"/>
    <w:rsid w:val="0081030F"/>
    <w:rsid w:val="0082087D"/>
    <w:rsid w:val="00835771"/>
    <w:rsid w:val="00842933"/>
    <w:rsid w:val="0086082C"/>
    <w:rsid w:val="00864ADC"/>
    <w:rsid w:val="00872FF5"/>
    <w:rsid w:val="00880153"/>
    <w:rsid w:val="00880F97"/>
    <w:rsid w:val="0088133A"/>
    <w:rsid w:val="0089285E"/>
    <w:rsid w:val="0089436C"/>
    <w:rsid w:val="008C026B"/>
    <w:rsid w:val="008D365C"/>
    <w:rsid w:val="008E5AFC"/>
    <w:rsid w:val="009030BF"/>
    <w:rsid w:val="0091032F"/>
    <w:rsid w:val="00914368"/>
    <w:rsid w:val="00931076"/>
    <w:rsid w:val="009345D9"/>
    <w:rsid w:val="00934B15"/>
    <w:rsid w:val="00940C87"/>
    <w:rsid w:val="00942B62"/>
    <w:rsid w:val="00943008"/>
    <w:rsid w:val="00951590"/>
    <w:rsid w:val="0095323B"/>
    <w:rsid w:val="00956A0C"/>
    <w:rsid w:val="00956BD9"/>
    <w:rsid w:val="00962489"/>
    <w:rsid w:val="00971BAD"/>
    <w:rsid w:val="00990C2C"/>
    <w:rsid w:val="009D2EE4"/>
    <w:rsid w:val="009E1844"/>
    <w:rsid w:val="009E34EA"/>
    <w:rsid w:val="009F0D1B"/>
    <w:rsid w:val="009F696D"/>
    <w:rsid w:val="009F6BC6"/>
    <w:rsid w:val="00A17328"/>
    <w:rsid w:val="00A23A20"/>
    <w:rsid w:val="00A268B9"/>
    <w:rsid w:val="00A2703A"/>
    <w:rsid w:val="00A33DFF"/>
    <w:rsid w:val="00A35115"/>
    <w:rsid w:val="00A36541"/>
    <w:rsid w:val="00A36D9A"/>
    <w:rsid w:val="00A554AB"/>
    <w:rsid w:val="00A57062"/>
    <w:rsid w:val="00A6340D"/>
    <w:rsid w:val="00A92B53"/>
    <w:rsid w:val="00A94FA6"/>
    <w:rsid w:val="00AA49A0"/>
    <w:rsid w:val="00AA6710"/>
    <w:rsid w:val="00AB0681"/>
    <w:rsid w:val="00AD4827"/>
    <w:rsid w:val="00AD520B"/>
    <w:rsid w:val="00B425C3"/>
    <w:rsid w:val="00B440AD"/>
    <w:rsid w:val="00B479BB"/>
    <w:rsid w:val="00B53E7E"/>
    <w:rsid w:val="00B6342E"/>
    <w:rsid w:val="00B65FC2"/>
    <w:rsid w:val="00B7113F"/>
    <w:rsid w:val="00B8322C"/>
    <w:rsid w:val="00B940AE"/>
    <w:rsid w:val="00BA405F"/>
    <w:rsid w:val="00BA73B6"/>
    <w:rsid w:val="00BA7E27"/>
    <w:rsid w:val="00BB2603"/>
    <w:rsid w:val="00BB4FCD"/>
    <w:rsid w:val="00BC04E9"/>
    <w:rsid w:val="00BD13EA"/>
    <w:rsid w:val="00BE3808"/>
    <w:rsid w:val="00BE76D2"/>
    <w:rsid w:val="00BF4C7E"/>
    <w:rsid w:val="00C062E9"/>
    <w:rsid w:val="00C07B64"/>
    <w:rsid w:val="00C13721"/>
    <w:rsid w:val="00C14FE4"/>
    <w:rsid w:val="00C3066D"/>
    <w:rsid w:val="00C52416"/>
    <w:rsid w:val="00C543F4"/>
    <w:rsid w:val="00C60AEC"/>
    <w:rsid w:val="00C6291C"/>
    <w:rsid w:val="00C633CB"/>
    <w:rsid w:val="00C736B7"/>
    <w:rsid w:val="00C81D4A"/>
    <w:rsid w:val="00C8762C"/>
    <w:rsid w:val="00C943F0"/>
    <w:rsid w:val="00CA00F9"/>
    <w:rsid w:val="00CA2961"/>
    <w:rsid w:val="00CB50D7"/>
    <w:rsid w:val="00CB7177"/>
    <w:rsid w:val="00CC154F"/>
    <w:rsid w:val="00CC1998"/>
    <w:rsid w:val="00CC4946"/>
    <w:rsid w:val="00CF1AD6"/>
    <w:rsid w:val="00D116A1"/>
    <w:rsid w:val="00D270A4"/>
    <w:rsid w:val="00D31F0D"/>
    <w:rsid w:val="00D31FE9"/>
    <w:rsid w:val="00D34E1B"/>
    <w:rsid w:val="00D376BA"/>
    <w:rsid w:val="00D40CA0"/>
    <w:rsid w:val="00D45634"/>
    <w:rsid w:val="00D5568A"/>
    <w:rsid w:val="00D63D73"/>
    <w:rsid w:val="00D64452"/>
    <w:rsid w:val="00D66E1E"/>
    <w:rsid w:val="00D75722"/>
    <w:rsid w:val="00D80CF5"/>
    <w:rsid w:val="00DA5BBA"/>
    <w:rsid w:val="00DB26D2"/>
    <w:rsid w:val="00DB67C9"/>
    <w:rsid w:val="00DC0C95"/>
    <w:rsid w:val="00DD6580"/>
    <w:rsid w:val="00E05C0E"/>
    <w:rsid w:val="00E17C72"/>
    <w:rsid w:val="00E21FC6"/>
    <w:rsid w:val="00E431A9"/>
    <w:rsid w:val="00E669E2"/>
    <w:rsid w:val="00E66C00"/>
    <w:rsid w:val="00E76135"/>
    <w:rsid w:val="00E82F4F"/>
    <w:rsid w:val="00E9150A"/>
    <w:rsid w:val="00EC2844"/>
    <w:rsid w:val="00EC5500"/>
    <w:rsid w:val="00ED18F8"/>
    <w:rsid w:val="00EF5DEA"/>
    <w:rsid w:val="00EF6C6C"/>
    <w:rsid w:val="00F056FC"/>
    <w:rsid w:val="00F10476"/>
    <w:rsid w:val="00F135D8"/>
    <w:rsid w:val="00F31299"/>
    <w:rsid w:val="00F3534A"/>
    <w:rsid w:val="00F43B4D"/>
    <w:rsid w:val="00F51609"/>
    <w:rsid w:val="00F71C74"/>
    <w:rsid w:val="00F81006"/>
    <w:rsid w:val="00F8330D"/>
    <w:rsid w:val="00F85325"/>
    <w:rsid w:val="00FA5246"/>
    <w:rsid w:val="00FC57EE"/>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6340D"/>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rPr>
      <w:szCs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581415"/>
    <w:rPr>
      <w:sz w:val="26"/>
    </w:rPr>
  </w:style>
  <w:style w:type="character" w:customStyle="1" w:styleId="FootnoteTextChar">
    <w:name w:val="Footnote Text Char"/>
    <w:basedOn w:val="DefaultParagraphFont"/>
    <w:link w:val="FootnoteText"/>
    <w:rsid w:val="00581415"/>
    <w:rPr>
      <w:sz w:val="22"/>
    </w:rPr>
  </w:style>
  <w:style w:type="character" w:customStyle="1" w:styleId="FooterChar">
    <w:name w:val="Footer Char"/>
    <w:basedOn w:val="DefaultParagraphFont"/>
    <w:link w:val="Footer"/>
    <w:rsid w:val="00A6340D"/>
    <w:rPr>
      <w:caps/>
      <w:spacing w:val="-4"/>
      <w:sz w:val="16"/>
    </w:rPr>
  </w:style>
  <w:style w:type="paragraph" w:styleId="CommentSubject">
    <w:name w:val="annotation subject"/>
    <w:basedOn w:val="CommentText"/>
    <w:next w:val="CommentText"/>
    <w:link w:val="CommentSubjectChar"/>
    <w:rsid w:val="00A6340D"/>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A6340D"/>
    <w:rPr>
      <w:szCs w:val="24"/>
    </w:rPr>
  </w:style>
  <w:style w:type="character" w:customStyle="1" w:styleId="CommentSubjectChar">
    <w:name w:val="Comment Subject Char"/>
    <w:basedOn w:val="CommentTextChar"/>
    <w:link w:val="CommentSubject"/>
    <w:rsid w:val="00A6340D"/>
    <w:rPr>
      <w:b/>
      <w:bCs/>
      <w:szCs w:val="24"/>
    </w:rPr>
  </w:style>
  <w:style w:type="paragraph" w:styleId="Revision">
    <w:name w:val="Revision"/>
    <w:hidden/>
    <w:uiPriority w:val="99"/>
    <w:semiHidden/>
    <w:rsid w:val="00A6340D"/>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Subtitle"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A6340D"/>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rPr>
      <w:szCs w:val="20"/>
    </w:r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link w:val="FootnoteTextChar"/>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581415"/>
    <w:rPr>
      <w:sz w:val="26"/>
    </w:rPr>
  </w:style>
  <w:style w:type="character" w:customStyle="1" w:styleId="FootnoteTextChar">
    <w:name w:val="Footnote Text Char"/>
    <w:basedOn w:val="DefaultParagraphFont"/>
    <w:link w:val="FootnoteText"/>
    <w:rsid w:val="00581415"/>
    <w:rPr>
      <w:sz w:val="22"/>
    </w:rPr>
  </w:style>
  <w:style w:type="character" w:customStyle="1" w:styleId="FooterChar">
    <w:name w:val="Footer Char"/>
    <w:basedOn w:val="DefaultParagraphFont"/>
    <w:link w:val="Footer"/>
    <w:rsid w:val="00A6340D"/>
    <w:rPr>
      <w:caps/>
      <w:spacing w:val="-4"/>
      <w:sz w:val="16"/>
    </w:rPr>
  </w:style>
  <w:style w:type="paragraph" w:styleId="CommentSubject">
    <w:name w:val="annotation subject"/>
    <w:basedOn w:val="CommentText"/>
    <w:next w:val="CommentText"/>
    <w:link w:val="CommentSubjectChar"/>
    <w:rsid w:val="00A6340D"/>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A6340D"/>
    <w:rPr>
      <w:szCs w:val="24"/>
    </w:rPr>
  </w:style>
  <w:style w:type="character" w:customStyle="1" w:styleId="CommentSubjectChar">
    <w:name w:val="Comment Subject Char"/>
    <w:basedOn w:val="CommentTextChar"/>
    <w:link w:val="CommentSubject"/>
    <w:rsid w:val="00A6340D"/>
    <w:rPr>
      <w:b/>
      <w:bCs/>
      <w:szCs w:val="24"/>
    </w:rPr>
  </w:style>
  <w:style w:type="paragraph" w:styleId="Revision">
    <w:name w:val="Revision"/>
    <w:hidden/>
    <w:uiPriority w:val="99"/>
    <w:semiHidden/>
    <w:rsid w:val="00A6340D"/>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hart" Target="charts/chart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hift%20share%20analyses\ALMS%20state%20and%20territor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hift%20share%20analyses\ALMS%20state%20and%20territor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hift%20share%20analyses\ALMS%20state%20and%20territory.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MEL_1\groups\Elmrb\04_Current%20projects\Forms%20of%20work\02_Research\Data\ABS%20data\Shift%20share%20analyses\ALMS%20state%20and%20territo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A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061713194941542"/>
          <c:y val="3.2882035578885964E-2"/>
          <c:w val="0.84431381531853977"/>
          <c:h val="0.80484179060950711"/>
        </c:manualLayout>
      </c:layout>
      <c:barChart>
        <c:barDir val="col"/>
        <c:grouping val="clustered"/>
        <c:varyColors val="0"/>
        <c:ser>
          <c:idx val="0"/>
          <c:order val="0"/>
          <c:tx>
            <c:strRef>
              <c:f>'SS M summary 2'!$AA$7</c:f>
              <c:strCache>
                <c:ptCount val="1"/>
                <c:pt idx="0">
                  <c:v>Mining</c:v>
                </c:pt>
              </c:strCache>
            </c:strRef>
          </c:tx>
          <c:spPr>
            <a:solidFill>
              <a:schemeClr val="bg1">
                <a:lumMod val="6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2'!$AB$7:$AH$7</c:f>
              <c:numCache>
                <c:formatCode>0.0</c:formatCode>
                <c:ptCount val="7"/>
                <c:pt idx="0">
                  <c:v>99.252982519269096</c:v>
                </c:pt>
                <c:pt idx="1">
                  <c:v>101.70867166974247</c:v>
                </c:pt>
                <c:pt idx="2">
                  <c:v>142.64055371781532</c:v>
                </c:pt>
                <c:pt idx="3">
                  <c:v>196.21491372719817</c:v>
                </c:pt>
                <c:pt idx="4">
                  <c:v>180.86304889838129</c:v>
                </c:pt>
                <c:pt idx="5">
                  <c:v>218.53451351122982</c:v>
                </c:pt>
                <c:pt idx="6">
                  <c:v>221.4335402993357</c:v>
                </c:pt>
              </c:numCache>
            </c:numRef>
          </c:val>
        </c:ser>
        <c:ser>
          <c:idx val="1"/>
          <c:order val="1"/>
          <c:tx>
            <c:strRef>
              <c:f>'SS M summary 2'!$AA$8</c:f>
              <c:strCache>
                <c:ptCount val="1"/>
                <c:pt idx="0">
                  <c:v>Non-mining</c:v>
                </c:pt>
              </c:strCache>
            </c:strRef>
          </c:tx>
          <c:spPr>
            <a:solidFill>
              <a:schemeClr val="tx1">
                <a:lumMod val="65000"/>
                <a:lumOff val="3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2'!$AB$8:$AH$8</c:f>
              <c:numCache>
                <c:formatCode>0.0</c:formatCode>
                <c:ptCount val="7"/>
                <c:pt idx="0">
                  <c:v>1.5512803766916301</c:v>
                </c:pt>
                <c:pt idx="1">
                  <c:v>54.249698924785399</c:v>
                </c:pt>
                <c:pt idx="2">
                  <c:v>37.023635142808175</c:v>
                </c:pt>
                <c:pt idx="3">
                  <c:v>70.007353465931061</c:v>
                </c:pt>
                <c:pt idx="4">
                  <c:v>36.955183507602513</c:v>
                </c:pt>
                <c:pt idx="5">
                  <c:v>40.685848231966041</c:v>
                </c:pt>
                <c:pt idx="6">
                  <c:v>130.34789805488424</c:v>
                </c:pt>
              </c:numCache>
            </c:numRef>
          </c:val>
        </c:ser>
        <c:dLbls>
          <c:showLegendKey val="0"/>
          <c:showVal val="0"/>
          <c:showCatName val="0"/>
          <c:showSerName val="0"/>
          <c:showPercent val="0"/>
          <c:showBubbleSize val="0"/>
        </c:dLbls>
        <c:gapWidth val="150"/>
        <c:axId val="136813184"/>
        <c:axId val="144663296"/>
      </c:barChart>
      <c:catAx>
        <c:axId val="136813184"/>
        <c:scaling>
          <c:orientation val="minMax"/>
        </c:scaling>
        <c:delete val="0"/>
        <c:axPos val="b"/>
        <c:title>
          <c:tx>
            <c:rich>
              <a:bodyPr/>
              <a:lstStyle/>
              <a:p>
                <a:pPr>
                  <a:defRPr/>
                </a:pPr>
                <a:r>
                  <a:rPr lang="en-AU"/>
                  <a:t>Shift from 2001 to</a:t>
                </a:r>
              </a:p>
            </c:rich>
          </c:tx>
          <c:layout>
            <c:manualLayout>
              <c:xMode val="edge"/>
              <c:yMode val="edge"/>
              <c:x val="0.39874453193350834"/>
              <c:y val="0.91203703703703709"/>
            </c:manualLayout>
          </c:layout>
          <c:overlay val="0"/>
        </c:title>
        <c:numFmt formatCode="General" sourceLinked="1"/>
        <c:majorTickMark val="out"/>
        <c:minorTickMark val="none"/>
        <c:tickLblPos val="nextTo"/>
        <c:crossAx val="144663296"/>
        <c:crosses val="autoZero"/>
        <c:auto val="1"/>
        <c:lblAlgn val="ctr"/>
        <c:lblOffset val="100"/>
        <c:noMultiLvlLbl val="0"/>
      </c:catAx>
      <c:valAx>
        <c:axId val="144663296"/>
        <c:scaling>
          <c:orientation val="minMax"/>
        </c:scaling>
        <c:delete val="0"/>
        <c:axPos val="l"/>
        <c:majorGridlines/>
        <c:title>
          <c:tx>
            <c:rich>
              <a:bodyPr rot="-5400000" vert="horz"/>
              <a:lstStyle/>
              <a:p>
                <a:pPr>
                  <a:defRPr/>
                </a:pPr>
                <a:r>
                  <a:rPr lang="en-US"/>
                  <a:t>Thousands</a:t>
                </a:r>
              </a:p>
            </c:rich>
          </c:tx>
          <c:layout/>
          <c:overlay val="0"/>
        </c:title>
        <c:numFmt formatCode="0" sourceLinked="0"/>
        <c:majorTickMark val="out"/>
        <c:minorTickMark val="none"/>
        <c:tickLblPos val="nextTo"/>
        <c:crossAx val="136813184"/>
        <c:crosses val="autoZero"/>
        <c:crossBetween val="between"/>
      </c:valAx>
      <c:spPr>
        <a:ln>
          <a:solidFill>
            <a:schemeClr val="tx1"/>
          </a:solidFill>
        </a:ln>
      </c:spPr>
    </c:plotArea>
    <c:legend>
      <c:legendPos val="r"/>
      <c:layout>
        <c:manualLayout>
          <c:xMode val="edge"/>
          <c:yMode val="edge"/>
          <c:x val="0.10881999125109362"/>
          <c:y val="0.20331984543598716"/>
          <c:w val="0.18006889763779527"/>
          <c:h val="0.15354549431321085"/>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21608691318648"/>
          <c:y val="4.214129483814523E-2"/>
          <c:w val="0.84627054529576207"/>
          <c:h val="0.77682852143482062"/>
        </c:manualLayout>
      </c:layout>
      <c:barChart>
        <c:barDir val="col"/>
        <c:grouping val="clustered"/>
        <c:varyColors val="0"/>
        <c:ser>
          <c:idx val="0"/>
          <c:order val="0"/>
          <c:tx>
            <c:strRef>
              <c:f>'SS M summary 2'!$AA$10</c:f>
              <c:strCache>
                <c:ptCount val="1"/>
                <c:pt idx="0">
                  <c:v>Mining</c:v>
                </c:pt>
              </c:strCache>
            </c:strRef>
          </c:tx>
          <c:spPr>
            <a:solidFill>
              <a:schemeClr val="bg1">
                <a:lumMod val="6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2'!$AB$10:$AH$10</c:f>
              <c:numCache>
                <c:formatCode>0.0</c:formatCode>
                <c:ptCount val="7"/>
                <c:pt idx="0">
                  <c:v>-72.123596478319882</c:v>
                </c:pt>
                <c:pt idx="1">
                  <c:v>-21.110272276203471</c:v>
                </c:pt>
                <c:pt idx="2">
                  <c:v>-69.516951435509739</c:v>
                </c:pt>
                <c:pt idx="3">
                  <c:v>-78.97141173341943</c:v>
                </c:pt>
                <c:pt idx="4">
                  <c:v>-57.15289335343072</c:v>
                </c:pt>
                <c:pt idx="5">
                  <c:v>-91.152555830211909</c:v>
                </c:pt>
                <c:pt idx="6">
                  <c:v>-57.468464701284013</c:v>
                </c:pt>
              </c:numCache>
            </c:numRef>
          </c:val>
        </c:ser>
        <c:ser>
          <c:idx val="1"/>
          <c:order val="1"/>
          <c:tx>
            <c:strRef>
              <c:f>'SS M summary 2'!$AA$11</c:f>
              <c:strCache>
                <c:ptCount val="1"/>
                <c:pt idx="0">
                  <c:v>Non-mining</c:v>
                </c:pt>
              </c:strCache>
            </c:strRef>
          </c:tx>
          <c:spPr>
            <a:solidFill>
              <a:schemeClr val="tx1">
                <a:lumMod val="65000"/>
                <a:lumOff val="3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2'!$AB$11:$AH$11</c:f>
              <c:numCache>
                <c:formatCode>0.0</c:formatCode>
                <c:ptCount val="7"/>
                <c:pt idx="0">
                  <c:v>32.826260107899856</c:v>
                </c:pt>
                <c:pt idx="1">
                  <c:v>-7.0015782354127136</c:v>
                </c:pt>
                <c:pt idx="2">
                  <c:v>79.071537236444868</c:v>
                </c:pt>
                <c:pt idx="3">
                  <c:v>31.627780261082258</c:v>
                </c:pt>
                <c:pt idx="4">
                  <c:v>96.075896565338098</c:v>
                </c:pt>
                <c:pt idx="5">
                  <c:v>66.631911825959804</c:v>
                </c:pt>
                <c:pt idx="6">
                  <c:v>40.171297955230493</c:v>
                </c:pt>
              </c:numCache>
            </c:numRef>
          </c:val>
        </c:ser>
        <c:dLbls>
          <c:showLegendKey val="0"/>
          <c:showVal val="0"/>
          <c:showCatName val="0"/>
          <c:showSerName val="0"/>
          <c:showPercent val="0"/>
          <c:showBubbleSize val="0"/>
        </c:dLbls>
        <c:gapWidth val="150"/>
        <c:axId val="148884480"/>
        <c:axId val="149047936"/>
      </c:barChart>
      <c:catAx>
        <c:axId val="148884480"/>
        <c:scaling>
          <c:orientation val="minMax"/>
        </c:scaling>
        <c:delete val="0"/>
        <c:axPos val="b"/>
        <c:title>
          <c:tx>
            <c:rich>
              <a:bodyPr/>
              <a:lstStyle/>
              <a:p>
                <a:pPr>
                  <a:defRPr/>
                </a:pPr>
                <a:r>
                  <a:rPr lang="en-US"/>
                  <a:t>Shift from 2001 to</a:t>
                </a:r>
              </a:p>
            </c:rich>
          </c:tx>
          <c:layout/>
          <c:overlay val="0"/>
        </c:title>
        <c:numFmt formatCode="General" sourceLinked="1"/>
        <c:majorTickMark val="out"/>
        <c:minorTickMark val="none"/>
        <c:tickLblPos val="low"/>
        <c:crossAx val="149047936"/>
        <c:crossesAt val="0"/>
        <c:auto val="1"/>
        <c:lblAlgn val="ctr"/>
        <c:lblOffset val="100"/>
        <c:noMultiLvlLbl val="0"/>
      </c:catAx>
      <c:valAx>
        <c:axId val="149047936"/>
        <c:scaling>
          <c:orientation val="minMax"/>
          <c:max val="250"/>
          <c:min val="-250"/>
        </c:scaling>
        <c:delete val="0"/>
        <c:axPos val="l"/>
        <c:majorGridlines/>
        <c:title>
          <c:tx>
            <c:rich>
              <a:bodyPr rot="-5400000" vert="horz"/>
              <a:lstStyle/>
              <a:p>
                <a:pPr>
                  <a:defRPr/>
                </a:pPr>
                <a:r>
                  <a:rPr lang="en-US"/>
                  <a:t>Thousands</a:t>
                </a:r>
              </a:p>
            </c:rich>
          </c:tx>
          <c:layout/>
          <c:overlay val="0"/>
        </c:title>
        <c:numFmt formatCode="0" sourceLinked="0"/>
        <c:majorTickMark val="out"/>
        <c:minorTickMark val="none"/>
        <c:tickLblPos val="nextTo"/>
        <c:crossAx val="148884480"/>
        <c:crosses val="autoZero"/>
        <c:crossBetween val="between"/>
        <c:majorUnit val="50"/>
      </c:valAx>
      <c:spPr>
        <a:ln>
          <a:solidFill>
            <a:schemeClr val="tx1"/>
          </a:solidFill>
        </a:ln>
      </c:spPr>
    </c:plotArea>
    <c:legend>
      <c:legendPos val="r"/>
      <c:layout>
        <c:manualLayout>
          <c:xMode val="edge"/>
          <c:yMode val="edge"/>
          <c:x val="0.10604225104773296"/>
          <c:y val="0.21720873432487606"/>
          <c:w val="0.18006889763779527"/>
          <c:h val="0.12576771653543306"/>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A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0258783950348747"/>
          <c:y val="5.1400554097404488E-2"/>
          <c:w val="0.87567659014998811"/>
          <c:h val="0.75391586468358118"/>
        </c:manualLayout>
      </c:layout>
      <c:barChart>
        <c:barDir val="col"/>
        <c:grouping val="clustered"/>
        <c:varyColors val="0"/>
        <c:ser>
          <c:idx val="1"/>
          <c:order val="0"/>
          <c:tx>
            <c:strRef>
              <c:f>'SS M summary 2'!$AA$13</c:f>
              <c:strCache>
                <c:ptCount val="1"/>
                <c:pt idx="0">
                  <c:v>Mining</c:v>
                </c:pt>
              </c:strCache>
            </c:strRef>
          </c:tx>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2'!$AB$13:$AH$13</c:f>
              <c:numCache>
                <c:formatCode>0.0</c:formatCode>
                <c:ptCount val="7"/>
                <c:pt idx="0">
                  <c:v>-14.33798283223998</c:v>
                </c:pt>
                <c:pt idx="1">
                  <c:v>-13.269529390087474</c:v>
                </c:pt>
                <c:pt idx="2">
                  <c:v>-8.9552485641751201</c:v>
                </c:pt>
                <c:pt idx="3">
                  <c:v>20.517032508986279</c:v>
                </c:pt>
                <c:pt idx="4">
                  <c:v>-1.9757888031140314</c:v>
                </c:pt>
                <c:pt idx="5">
                  <c:v>-2.8255579173156429</c:v>
                </c:pt>
                <c:pt idx="6">
                  <c:v>7.5438625640970907</c:v>
                </c:pt>
              </c:numCache>
            </c:numRef>
          </c:val>
        </c:ser>
        <c:ser>
          <c:idx val="2"/>
          <c:order val="1"/>
          <c:tx>
            <c:strRef>
              <c:f>'SS M summary 2'!$AA$14</c:f>
              <c:strCache>
                <c:ptCount val="1"/>
                <c:pt idx="0">
                  <c:v>Non-mining</c:v>
                </c:pt>
              </c:strCache>
            </c:strRef>
          </c:tx>
          <c:spPr>
            <a:solidFill>
              <a:schemeClr val="tx1">
                <a:lumMod val="65000"/>
                <a:lumOff val="3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2'!$AB$14:$AH$14</c:f>
              <c:numCache>
                <c:formatCode>0.0</c:formatCode>
                <c:ptCount val="7"/>
                <c:pt idx="0">
                  <c:v>13.548142237958523</c:v>
                </c:pt>
                <c:pt idx="1">
                  <c:v>15.050287593998263</c:v>
                </c:pt>
                <c:pt idx="2">
                  <c:v>-33.97428341411149</c:v>
                </c:pt>
                <c:pt idx="3">
                  <c:v>10.879115242035111</c:v>
                </c:pt>
                <c:pt idx="4">
                  <c:v>-24.074732998187667</c:v>
                </c:pt>
                <c:pt idx="5">
                  <c:v>43.247341988332394</c:v>
                </c:pt>
                <c:pt idx="6">
                  <c:v>10.447235964389154</c:v>
                </c:pt>
              </c:numCache>
            </c:numRef>
          </c:val>
        </c:ser>
        <c:dLbls>
          <c:showLegendKey val="0"/>
          <c:showVal val="0"/>
          <c:showCatName val="0"/>
          <c:showSerName val="0"/>
          <c:showPercent val="0"/>
          <c:showBubbleSize val="0"/>
        </c:dLbls>
        <c:gapWidth val="150"/>
        <c:axId val="194231296"/>
        <c:axId val="194320256"/>
      </c:barChart>
      <c:catAx>
        <c:axId val="194231296"/>
        <c:scaling>
          <c:orientation val="minMax"/>
        </c:scaling>
        <c:delete val="0"/>
        <c:axPos val="b"/>
        <c:title>
          <c:tx>
            <c:rich>
              <a:bodyPr/>
              <a:lstStyle/>
              <a:p>
                <a:pPr>
                  <a:defRPr/>
                </a:pPr>
                <a:r>
                  <a:rPr lang="en-US"/>
                  <a:t>Shift from 2001 to</a:t>
                </a:r>
              </a:p>
            </c:rich>
          </c:tx>
          <c:layout>
            <c:manualLayout>
              <c:xMode val="edge"/>
              <c:yMode val="edge"/>
              <c:x val="0.41340332458442697"/>
              <c:y val="0.90583369787109946"/>
            </c:manualLayout>
          </c:layout>
          <c:overlay val="0"/>
        </c:title>
        <c:numFmt formatCode="General" sourceLinked="1"/>
        <c:majorTickMark val="out"/>
        <c:minorTickMark val="none"/>
        <c:tickLblPos val="low"/>
        <c:crossAx val="194320256"/>
        <c:crosses val="autoZero"/>
        <c:auto val="1"/>
        <c:lblAlgn val="ctr"/>
        <c:lblOffset val="100"/>
        <c:noMultiLvlLbl val="0"/>
      </c:catAx>
      <c:valAx>
        <c:axId val="194320256"/>
        <c:scaling>
          <c:orientation val="minMax"/>
          <c:max val="250"/>
          <c:min val="-250"/>
        </c:scaling>
        <c:delete val="0"/>
        <c:axPos val="l"/>
        <c:majorGridlines/>
        <c:title>
          <c:tx>
            <c:rich>
              <a:bodyPr rot="-5400000" vert="horz"/>
              <a:lstStyle/>
              <a:p>
                <a:pPr>
                  <a:defRPr/>
                </a:pPr>
                <a:r>
                  <a:rPr lang="en-US"/>
                  <a:t>Thousands</a:t>
                </a:r>
              </a:p>
            </c:rich>
          </c:tx>
          <c:layout/>
          <c:overlay val="0"/>
        </c:title>
        <c:numFmt formatCode="0" sourceLinked="0"/>
        <c:majorTickMark val="out"/>
        <c:minorTickMark val="none"/>
        <c:tickLblPos val="nextTo"/>
        <c:crossAx val="194231296"/>
        <c:crosses val="autoZero"/>
        <c:crossBetween val="between"/>
      </c:valAx>
      <c:spPr>
        <a:ln>
          <a:solidFill>
            <a:schemeClr val="tx1"/>
          </a:solidFill>
        </a:ln>
      </c:spPr>
    </c:plotArea>
    <c:legend>
      <c:legendPos val="r"/>
      <c:layout>
        <c:manualLayout>
          <c:xMode val="edge"/>
          <c:yMode val="edge"/>
          <c:x val="0.10881999125109366"/>
          <c:y val="0.11535688247302421"/>
          <c:w val="0.18006889763779527"/>
          <c:h val="0.16743438320209975"/>
        </c:manualLayout>
      </c:layout>
      <c:overlay val="0"/>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00486489821683"/>
          <c:y val="2.8252405949256341E-2"/>
          <c:w val="0.84659291006345727"/>
          <c:h val="0.78169364246135897"/>
        </c:manualLayout>
      </c:layout>
      <c:barChart>
        <c:barDir val="col"/>
        <c:grouping val="clustered"/>
        <c:varyColors val="0"/>
        <c:ser>
          <c:idx val="0"/>
          <c:order val="0"/>
          <c:tx>
            <c:strRef>
              <c:f>'SS M summary 2'!$AA$19</c:f>
              <c:strCache>
                <c:ptCount val="1"/>
                <c:pt idx="0">
                  <c:v>Mining</c:v>
                </c:pt>
              </c:strCache>
            </c:strRef>
          </c:tx>
          <c:spPr>
            <a:solidFill>
              <a:schemeClr val="bg1">
                <a:lumMod val="6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2'!$AB$16:$AH$16</c:f>
              <c:numCache>
                <c:formatCode>0.0</c:formatCode>
                <c:ptCount val="7"/>
                <c:pt idx="0">
                  <c:v>-12.791403208709266</c:v>
                </c:pt>
                <c:pt idx="1">
                  <c:v>-67.328870003452067</c:v>
                </c:pt>
                <c:pt idx="2">
                  <c:v>-64.168353718130646</c:v>
                </c:pt>
                <c:pt idx="3">
                  <c:v>-137.76053450276495</c:v>
                </c:pt>
                <c:pt idx="4">
                  <c:v>-121.73436674183654</c:v>
                </c:pt>
                <c:pt idx="5">
                  <c:v>-124.55639976370207</c:v>
                </c:pt>
                <c:pt idx="6">
                  <c:v>-171.50893816214898</c:v>
                </c:pt>
              </c:numCache>
            </c:numRef>
          </c:val>
        </c:ser>
        <c:ser>
          <c:idx val="1"/>
          <c:order val="1"/>
          <c:tx>
            <c:strRef>
              <c:f>'SS M summary 2'!$AA$20</c:f>
              <c:strCache>
                <c:ptCount val="1"/>
                <c:pt idx="0">
                  <c:v>Non-mining</c:v>
                </c:pt>
              </c:strCache>
            </c:strRef>
          </c:tx>
          <c:spPr>
            <a:solidFill>
              <a:schemeClr val="tx1">
                <a:lumMod val="65000"/>
                <a:lumOff val="35000"/>
              </a:schemeClr>
            </a:solidFill>
          </c:spPr>
          <c:invertIfNegative val="0"/>
          <c:cat>
            <c:numRef>
              <c:f>'SS M summary 2'!$AB$5:$AH$5</c:f>
              <c:numCache>
                <c:formatCode>General</c:formatCode>
                <c:ptCount val="7"/>
                <c:pt idx="0">
                  <c:v>2005</c:v>
                </c:pt>
                <c:pt idx="1">
                  <c:v>2006</c:v>
                </c:pt>
                <c:pt idx="2">
                  <c:v>2007</c:v>
                </c:pt>
                <c:pt idx="3">
                  <c:v>2008</c:v>
                </c:pt>
                <c:pt idx="4">
                  <c:v>2009</c:v>
                </c:pt>
                <c:pt idx="5">
                  <c:v>2010</c:v>
                </c:pt>
                <c:pt idx="6">
                  <c:v>2011</c:v>
                </c:pt>
              </c:numCache>
            </c:numRef>
          </c:cat>
          <c:val>
            <c:numRef>
              <c:f>'SS M summary 2'!$AB$17:$AH$17</c:f>
              <c:numCache>
                <c:formatCode>0.0</c:formatCode>
                <c:ptCount val="7"/>
                <c:pt idx="0">
                  <c:v>-47.925682722549567</c:v>
                </c:pt>
                <c:pt idx="1">
                  <c:v>-62.29840828336966</c:v>
                </c:pt>
                <c:pt idx="2">
                  <c:v>-82.120888965141916</c:v>
                </c:pt>
                <c:pt idx="3">
                  <c:v>-112.5142489690483</c:v>
                </c:pt>
                <c:pt idx="4">
                  <c:v>-108.95634707475368</c:v>
                </c:pt>
                <c:pt idx="5">
                  <c:v>-150.56510204625872</c:v>
                </c:pt>
                <c:pt idx="6">
                  <c:v>-180.96643197450479</c:v>
                </c:pt>
              </c:numCache>
            </c:numRef>
          </c:val>
        </c:ser>
        <c:dLbls>
          <c:showLegendKey val="0"/>
          <c:showVal val="0"/>
          <c:showCatName val="0"/>
          <c:showSerName val="0"/>
          <c:showPercent val="0"/>
          <c:showBubbleSize val="0"/>
        </c:dLbls>
        <c:gapWidth val="150"/>
        <c:axId val="199502848"/>
        <c:axId val="202756864"/>
      </c:barChart>
      <c:catAx>
        <c:axId val="199502848"/>
        <c:scaling>
          <c:orientation val="minMax"/>
        </c:scaling>
        <c:delete val="0"/>
        <c:axPos val="b"/>
        <c:title>
          <c:tx>
            <c:rich>
              <a:bodyPr/>
              <a:lstStyle/>
              <a:p>
                <a:pPr>
                  <a:defRPr/>
                </a:pPr>
                <a:r>
                  <a:rPr lang="en-US"/>
                  <a:t>Shift from 2001 to</a:t>
                </a:r>
              </a:p>
            </c:rich>
          </c:tx>
          <c:layout/>
          <c:overlay val="0"/>
        </c:title>
        <c:numFmt formatCode="General" sourceLinked="1"/>
        <c:majorTickMark val="out"/>
        <c:minorTickMark val="none"/>
        <c:tickLblPos val="low"/>
        <c:crossAx val="202756864"/>
        <c:crosses val="autoZero"/>
        <c:auto val="1"/>
        <c:lblAlgn val="ctr"/>
        <c:lblOffset val="100"/>
        <c:noMultiLvlLbl val="0"/>
      </c:catAx>
      <c:valAx>
        <c:axId val="202756864"/>
        <c:scaling>
          <c:orientation val="minMax"/>
          <c:min val="-250"/>
        </c:scaling>
        <c:delete val="0"/>
        <c:axPos val="l"/>
        <c:majorGridlines/>
        <c:title>
          <c:tx>
            <c:rich>
              <a:bodyPr rot="-5400000" vert="horz"/>
              <a:lstStyle/>
              <a:p>
                <a:pPr>
                  <a:defRPr/>
                </a:pPr>
                <a:r>
                  <a:rPr lang="en-US"/>
                  <a:t>Thousands</a:t>
                </a:r>
              </a:p>
            </c:rich>
          </c:tx>
          <c:layout/>
          <c:overlay val="0"/>
        </c:title>
        <c:numFmt formatCode="0" sourceLinked="0"/>
        <c:majorTickMark val="out"/>
        <c:minorTickMark val="none"/>
        <c:tickLblPos val="low"/>
        <c:crossAx val="199502848"/>
        <c:crosses val="autoZero"/>
        <c:crossBetween val="between"/>
        <c:majorUnit val="50"/>
      </c:valAx>
      <c:spPr>
        <a:ln>
          <a:solidFill>
            <a:schemeClr val="tx1"/>
          </a:solidFill>
        </a:ln>
      </c:spPr>
    </c:plotArea>
    <c:legend>
      <c:legendPos val="l"/>
      <c:layout>
        <c:manualLayout>
          <c:xMode val="edge"/>
          <c:yMode val="edge"/>
          <c:x val="0.10849909584086799"/>
          <c:y val="0.65059575100282274"/>
          <c:w val="0.15629850066210077"/>
          <c:h val="0.15163868667359975"/>
        </c:manualLayout>
      </c:layout>
      <c:overlay val="1"/>
    </c:legend>
    <c:plotVisOnly val="1"/>
    <c:dispBlanksAs val="gap"/>
    <c:showDLblsOverMax val="0"/>
  </c:chart>
  <c:spPr>
    <a:ln>
      <a:noFill/>
    </a:ln>
  </c:spPr>
  <c:txPr>
    <a:bodyPr/>
    <a:lstStyle/>
    <a:p>
      <a:pPr>
        <a:defRPr>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0AF47-1DA0-4274-BD19-32CDEDE01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165</TotalTime>
  <Pages>12</Pages>
  <Words>3050</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Employment changes at a state level</vt:lpstr>
    </vt:vector>
  </TitlesOfParts>
  <Company>Productivity Commission</Company>
  <LinksUpToDate>false</LinksUpToDate>
  <CharactersWithSpaces>18841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changes at a state level</dc:title>
  <dc:subject>Forms of work</dc:subject>
  <dc:creator>Productivity Commission</dc:creator>
  <cp:keywords/>
  <dc:description>E.</dc:description>
  <cp:lastModifiedBy>Will, Lou</cp:lastModifiedBy>
  <cp:revision>79</cp:revision>
  <cp:lastPrinted>2013-04-09T01:48:00Z</cp:lastPrinted>
  <dcterms:created xsi:type="dcterms:W3CDTF">2013-03-12T06:58:00Z</dcterms:created>
  <dcterms:modified xsi:type="dcterms:W3CDTF">2013-04-10T06:59:00Z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625953856</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