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256E3B" w:rsidP="00256E3B">
      <w:pPr>
        <w:pStyle w:val="Chapter"/>
        <w:ind w:left="907" w:hanging="907"/>
      </w:pPr>
      <w:bookmarkStart w:id="0" w:name="_AppendixNotByChapter"/>
      <w:bookmarkStart w:id="1" w:name="ChapterNumber"/>
      <w:bookmarkStart w:id="2" w:name="_GoBack"/>
      <w:bookmarkEnd w:id="0"/>
      <w:bookmarkEnd w:id="2"/>
      <w:r>
        <w:t>J</w:t>
      </w:r>
      <w:bookmarkEnd w:id="1"/>
      <w:r>
        <w:tab/>
      </w:r>
      <w:bookmarkStart w:id="3" w:name="ChapterTitle"/>
      <w:r>
        <w:t>Data used in constructing 30-year time series</w:t>
      </w:r>
      <w:bookmarkEnd w:id="3"/>
    </w:p>
    <w:p w:rsidR="0040435A" w:rsidRPr="0040435A" w:rsidRDefault="0040435A" w:rsidP="004E21DC">
      <w:pPr>
        <w:pStyle w:val="BodyText"/>
      </w:pPr>
      <w:r>
        <w:t>P</w:t>
      </w:r>
      <w:r w:rsidR="0070044E" w:rsidRPr="0040435A">
        <w:t xml:space="preserve">ublications based on two ABS sources, the </w:t>
      </w:r>
      <w:r w:rsidR="0070044E" w:rsidRPr="0040435A">
        <w:rPr>
          <w:i/>
        </w:rPr>
        <w:t>Employee Earnings, Benefits and Trade Union Membership</w:t>
      </w:r>
      <w:r w:rsidR="0070044E" w:rsidRPr="0040435A">
        <w:t xml:space="preserve"> (</w:t>
      </w:r>
      <w:proofErr w:type="spellStart"/>
      <w:r w:rsidR="0070044E" w:rsidRPr="0040435A">
        <w:t>EEBTUM</w:t>
      </w:r>
      <w:proofErr w:type="spellEnd"/>
      <w:r w:rsidR="0070044E" w:rsidRPr="0040435A">
        <w:t xml:space="preserve">) survey (and </w:t>
      </w:r>
      <w:r w:rsidR="00256E3B">
        <w:t xml:space="preserve">its </w:t>
      </w:r>
      <w:r w:rsidR="0070044E" w:rsidRPr="0040435A">
        <w:t xml:space="preserve">predecessor surveys) and the </w:t>
      </w:r>
      <w:r w:rsidR="0070044E" w:rsidRPr="0040435A">
        <w:rPr>
          <w:i/>
        </w:rPr>
        <w:t>Labour Force Survey</w:t>
      </w:r>
      <w:r w:rsidR="00C16A83">
        <w:t xml:space="preserve"> (</w:t>
      </w:r>
      <w:proofErr w:type="spellStart"/>
      <w:r w:rsidR="00C16A83">
        <w:t>LFS</w:t>
      </w:r>
      <w:proofErr w:type="spellEnd"/>
      <w:r w:rsidR="00C16A83">
        <w:t>)</w:t>
      </w:r>
      <w:r w:rsidR="0070044E" w:rsidRPr="0040435A">
        <w:t xml:space="preserve">, support the derivation of time series for broad work arrangements in Australia — but do not contain information about all of the </w:t>
      </w:r>
      <w:r>
        <w:t>forms of work (</w:t>
      </w:r>
      <w:proofErr w:type="spellStart"/>
      <w:r w:rsidR="0070044E" w:rsidRPr="0040435A">
        <w:t>FOWs</w:t>
      </w:r>
      <w:proofErr w:type="spellEnd"/>
      <w:r>
        <w:t>)</w:t>
      </w:r>
      <w:r w:rsidR="0070044E" w:rsidRPr="0040435A">
        <w:t xml:space="preserve"> of interest in this report.</w:t>
      </w:r>
    </w:p>
    <w:p w:rsidR="004E21DC" w:rsidRPr="0040435A" w:rsidRDefault="0040435A" w:rsidP="004E21DC">
      <w:pPr>
        <w:pStyle w:val="BodyText"/>
        <w:rPr>
          <w:spacing w:val="-2"/>
        </w:rPr>
      </w:pPr>
      <w:r w:rsidRPr="0040435A">
        <w:rPr>
          <w:spacing w:val="-2"/>
        </w:rPr>
        <w:t>Estimates of</w:t>
      </w:r>
      <w:r w:rsidR="004E21DC" w:rsidRPr="0040435A">
        <w:rPr>
          <w:spacing w:val="-2"/>
        </w:rPr>
        <w:t xml:space="preserve"> the prevalence of major </w:t>
      </w:r>
      <w:proofErr w:type="spellStart"/>
      <w:r w:rsidR="004E21DC" w:rsidRPr="0040435A">
        <w:rPr>
          <w:spacing w:val="-2"/>
        </w:rPr>
        <w:t>FOWs</w:t>
      </w:r>
      <w:proofErr w:type="spellEnd"/>
      <w:r w:rsidR="004E21DC" w:rsidRPr="0040435A">
        <w:rPr>
          <w:spacing w:val="-2"/>
        </w:rPr>
        <w:t xml:space="preserve"> over the past 30 years (presented in figure 3.1 and table </w:t>
      </w:r>
      <w:proofErr w:type="spellStart"/>
      <w:r w:rsidR="004E21DC" w:rsidRPr="0040435A">
        <w:rPr>
          <w:spacing w:val="-2"/>
        </w:rPr>
        <w:t>B.1</w:t>
      </w:r>
      <w:proofErr w:type="spellEnd"/>
      <w:r w:rsidR="004E21DC" w:rsidRPr="0040435A">
        <w:rPr>
          <w:spacing w:val="-2"/>
        </w:rPr>
        <w:t xml:space="preserve">) </w:t>
      </w:r>
      <w:r w:rsidR="00215BFD" w:rsidRPr="0040435A">
        <w:rPr>
          <w:spacing w:val="-2"/>
        </w:rPr>
        <w:t>were compiled from</w:t>
      </w:r>
      <w:r w:rsidR="004E21DC" w:rsidRPr="0040435A">
        <w:rPr>
          <w:spacing w:val="-2"/>
        </w:rPr>
        <w:t xml:space="preserve"> </w:t>
      </w:r>
      <w:r w:rsidRPr="0040435A">
        <w:rPr>
          <w:spacing w:val="-2"/>
        </w:rPr>
        <w:t>these publications.</w:t>
      </w:r>
      <w:r w:rsidR="00215BFD" w:rsidRPr="0040435A">
        <w:rPr>
          <w:spacing w:val="-2"/>
        </w:rPr>
        <w:t xml:space="preserve"> Use of these </w:t>
      </w:r>
      <w:r w:rsidRPr="0040435A">
        <w:rPr>
          <w:spacing w:val="-2"/>
        </w:rPr>
        <w:t>data</w:t>
      </w:r>
      <w:r w:rsidR="004E21DC" w:rsidRPr="0040435A">
        <w:rPr>
          <w:spacing w:val="-2"/>
        </w:rPr>
        <w:t xml:space="preserve"> </w:t>
      </w:r>
      <w:r w:rsidR="00215BFD" w:rsidRPr="0040435A">
        <w:rPr>
          <w:spacing w:val="-2"/>
        </w:rPr>
        <w:t xml:space="preserve">over such a long time frame </w:t>
      </w:r>
      <w:r w:rsidR="004E21DC" w:rsidRPr="0040435A">
        <w:rPr>
          <w:spacing w:val="-2"/>
        </w:rPr>
        <w:t>required a number of assumptions and raised a variety of issues — including the treatment of potential breaks in series. These are discussed in this appendix</w:t>
      </w:r>
      <w:r w:rsidR="00AD1699" w:rsidRPr="0040435A">
        <w:rPr>
          <w:spacing w:val="-2"/>
        </w:rPr>
        <w:t>.</w:t>
      </w:r>
      <w:r w:rsidR="004E21DC" w:rsidRPr="0040435A">
        <w:rPr>
          <w:spacing w:val="-2"/>
        </w:rPr>
        <w:t xml:space="preserve"> The data can be regarded as </w:t>
      </w:r>
      <w:r w:rsidR="00215BFD" w:rsidRPr="0040435A">
        <w:rPr>
          <w:spacing w:val="-2"/>
        </w:rPr>
        <w:t>indicative</w:t>
      </w:r>
      <w:r w:rsidR="004E21DC" w:rsidRPr="0040435A">
        <w:rPr>
          <w:spacing w:val="-2"/>
        </w:rPr>
        <w:t xml:space="preserve"> of some of the broad changes that have occurred in the Australian labour market over the 30 years to 2011.</w:t>
      </w:r>
    </w:p>
    <w:p w:rsidR="00774A67" w:rsidRDefault="00774A67" w:rsidP="004E21DC">
      <w:pPr>
        <w:pStyle w:val="BodyText"/>
      </w:pPr>
      <w:r>
        <w:t>Classifications of employment used by the ABS, and in deriving data, are described in section </w:t>
      </w:r>
      <w:proofErr w:type="spellStart"/>
      <w:r>
        <w:fldChar w:fldCharType="begin"/>
      </w:r>
      <w:r>
        <w:instrText xml:space="preserve"> LINK </w:instrText>
      </w:r>
      <w:r w:rsidR="00CC06A7">
        <w:instrText xml:space="preserve">Word.Document.12 "\\\\MEL_1\\groups\\Elmrb\\04_Current projects\\Forms of work\\04_Reports\\Report\\Final\\Electronic appendix.docx" OLE_LINK7 </w:instrText>
      </w:r>
      <w:r>
        <w:instrText xml:space="preserve">\a \t </w:instrText>
      </w:r>
      <w:r>
        <w:fldChar w:fldCharType="separate"/>
      </w:r>
      <w:r w:rsidR="00256E3B">
        <w:t>J.1</w:t>
      </w:r>
      <w:proofErr w:type="spellEnd"/>
      <w:r>
        <w:fldChar w:fldCharType="end"/>
      </w:r>
      <w:r w:rsidR="00693A60">
        <w:t>.</w:t>
      </w:r>
      <w:r>
        <w:t xml:space="preserve"> Sources for data coded to these classifications are described in section </w:t>
      </w:r>
      <w:proofErr w:type="spellStart"/>
      <w:r>
        <w:fldChar w:fldCharType="begin"/>
      </w:r>
      <w:r>
        <w:instrText xml:space="preserve"> LINK </w:instrText>
      </w:r>
      <w:r w:rsidR="00CC06A7">
        <w:instrText xml:space="preserve">Word.Document.12 "\\\\MEL_1\\groups\\Elmrb\\04_Current projects\\Forms of work\\04_Reports\\Report\\Final\\Electronic appendix.docx" OLE_LINK8 </w:instrText>
      </w:r>
      <w:r>
        <w:instrText xml:space="preserve">\a \t </w:instrText>
      </w:r>
      <w:r>
        <w:fldChar w:fldCharType="separate"/>
      </w:r>
      <w:r w:rsidR="00256E3B">
        <w:t>J.2</w:t>
      </w:r>
      <w:proofErr w:type="spellEnd"/>
      <w:r>
        <w:fldChar w:fldCharType="end"/>
      </w:r>
      <w:r>
        <w:t>. Assumptions made in response to changes in data collections over time are detailed in section </w:t>
      </w:r>
      <w:proofErr w:type="spellStart"/>
      <w:r>
        <w:fldChar w:fldCharType="begin"/>
      </w:r>
      <w:r>
        <w:instrText xml:space="preserve"> LINK </w:instrText>
      </w:r>
      <w:r w:rsidR="00CC06A7">
        <w:instrText xml:space="preserve">Word.Document.12 "\\\\MEL_1\\groups\\Elmrb\\04_Current projects\\Forms of work\\04_Reports\\Report\\Final\\Electronic appendix.docx" OLE_LINK6 </w:instrText>
      </w:r>
      <w:r>
        <w:instrText xml:space="preserve">\a \t </w:instrText>
      </w:r>
      <w:r>
        <w:fldChar w:fldCharType="separate"/>
      </w:r>
      <w:r w:rsidR="00256E3B">
        <w:t>J.3</w:t>
      </w:r>
      <w:proofErr w:type="spellEnd"/>
      <w:r>
        <w:fldChar w:fldCharType="end"/>
      </w:r>
      <w:r>
        <w:t>.</w:t>
      </w:r>
    </w:p>
    <w:bookmarkStart w:id="4" w:name="begin"/>
    <w:bookmarkStart w:id="5" w:name="OLE_LINK7"/>
    <w:bookmarkEnd w:id="4"/>
    <w:p w:rsidR="00F056FC" w:rsidRDefault="00D96577" w:rsidP="008E4EE9">
      <w:pPr>
        <w:pStyle w:val="Heading2"/>
      </w:pPr>
      <w:r>
        <w:fldChar w:fldCharType="begin"/>
      </w:r>
      <w:r>
        <w:instrText xml:space="preserve"> COMMENTS  \* MERGEFORMAT </w:instrText>
      </w:r>
      <w:r>
        <w:fldChar w:fldCharType="separate"/>
      </w:r>
      <w:proofErr w:type="spellStart"/>
      <w:r w:rsidR="00256E3B">
        <w:t>J.</w:t>
      </w:r>
      <w:r>
        <w:fldChar w:fldCharType="end"/>
      </w:r>
      <w:r w:rsidR="007E5666">
        <w:fldChar w:fldCharType="begin"/>
      </w:r>
      <w:r w:rsidR="007E5666">
        <w:instrText xml:space="preserve"> SEQ Heading2 </w:instrText>
      </w:r>
      <w:r w:rsidR="007E5666">
        <w:fldChar w:fldCharType="separate"/>
      </w:r>
      <w:r w:rsidR="00281E4C">
        <w:rPr>
          <w:noProof/>
        </w:rPr>
        <w:t>1</w:t>
      </w:r>
      <w:proofErr w:type="spellEnd"/>
      <w:r w:rsidR="007E5666">
        <w:rPr>
          <w:noProof/>
        </w:rPr>
        <w:fldChar w:fldCharType="end"/>
      </w:r>
      <w:r>
        <w:tab/>
      </w:r>
      <w:bookmarkEnd w:id="5"/>
      <w:r w:rsidR="004E21DC">
        <w:t>ABS classifications of employment</w:t>
      </w:r>
    </w:p>
    <w:p w:rsidR="00FA1465" w:rsidRPr="00130E00" w:rsidRDefault="00FA1465" w:rsidP="00FA1465">
      <w:pPr>
        <w:pStyle w:val="BodyText"/>
        <w:rPr>
          <w:spacing w:val="-2"/>
        </w:rPr>
      </w:pPr>
      <w:r w:rsidRPr="00130E00">
        <w:rPr>
          <w:spacing w:val="-2"/>
        </w:rPr>
        <w:t>A combination of data from two AB</w:t>
      </w:r>
      <w:r w:rsidR="004E21DC">
        <w:rPr>
          <w:spacing w:val="-2"/>
        </w:rPr>
        <w:t>S classifications of employment — </w:t>
      </w:r>
      <w:r w:rsidRPr="00130E00">
        <w:rPr>
          <w:spacing w:val="-2"/>
        </w:rPr>
        <w:t>status in employment and employment by type</w:t>
      </w:r>
      <w:r w:rsidR="004E21DC">
        <w:rPr>
          <w:spacing w:val="-2"/>
        </w:rPr>
        <w:t> </w:t>
      </w:r>
      <w:r w:rsidR="00215BFD">
        <w:rPr>
          <w:spacing w:val="-2"/>
        </w:rPr>
        <w:t>— were</w:t>
      </w:r>
      <w:r w:rsidRPr="00130E00">
        <w:rPr>
          <w:spacing w:val="-2"/>
        </w:rPr>
        <w:t xml:space="preserve"> used to derive time series for the foll</w:t>
      </w:r>
      <w:r w:rsidR="00DD61BA">
        <w:rPr>
          <w:spacing w:val="-2"/>
        </w:rPr>
        <w:t xml:space="preserve">owing </w:t>
      </w:r>
      <w:proofErr w:type="spellStart"/>
      <w:r w:rsidR="004E21DC">
        <w:rPr>
          <w:spacing w:val="-2"/>
        </w:rPr>
        <w:t>FOWs</w:t>
      </w:r>
      <w:proofErr w:type="spellEnd"/>
      <w:r w:rsidR="00DD61BA">
        <w:rPr>
          <w:spacing w:val="-2"/>
        </w:rPr>
        <w:t>:</w:t>
      </w:r>
    </w:p>
    <w:p w:rsidR="00FA1465" w:rsidRDefault="00FA1465" w:rsidP="00FA1465">
      <w:pPr>
        <w:pStyle w:val="ListBullet"/>
      </w:pPr>
      <w:r>
        <w:t xml:space="preserve">employees </w:t>
      </w:r>
      <w:r w:rsidR="00AD1699">
        <w:t>(</w:t>
      </w:r>
      <w:r>
        <w:t>excluding owner managers of incorporated enterprises (</w:t>
      </w:r>
      <w:proofErr w:type="spellStart"/>
      <w:r>
        <w:t>OMIEs</w:t>
      </w:r>
      <w:proofErr w:type="spellEnd"/>
      <w:r>
        <w:t>)</w:t>
      </w:r>
      <w:r w:rsidR="00AD1699">
        <w:t>)</w:t>
      </w:r>
    </w:p>
    <w:p w:rsidR="00FA1465" w:rsidRDefault="00FA1465" w:rsidP="00FA1465">
      <w:pPr>
        <w:pStyle w:val="ListBullet2"/>
      </w:pPr>
      <w:r>
        <w:t>with leave entitlements</w:t>
      </w:r>
    </w:p>
    <w:p w:rsidR="00FA1465" w:rsidRDefault="00FA1465" w:rsidP="00FA1465">
      <w:pPr>
        <w:pStyle w:val="ListBullet2"/>
      </w:pPr>
      <w:r>
        <w:t>without leave entitlements</w:t>
      </w:r>
    </w:p>
    <w:p w:rsidR="00FA1465" w:rsidRDefault="00CC06A7" w:rsidP="00FA1465">
      <w:pPr>
        <w:pStyle w:val="ListBullet"/>
      </w:pPr>
      <w:proofErr w:type="spellStart"/>
      <w:r>
        <w:t>OMIEs</w:t>
      </w:r>
      <w:proofErr w:type="spellEnd"/>
    </w:p>
    <w:p w:rsidR="00FA1465" w:rsidRDefault="00FA1465" w:rsidP="00FA1465">
      <w:pPr>
        <w:pStyle w:val="ListBullet"/>
      </w:pPr>
      <w:r>
        <w:t>owner managers of unincorporated enterprises (</w:t>
      </w:r>
      <w:proofErr w:type="spellStart"/>
      <w:r>
        <w:t>OMUEs</w:t>
      </w:r>
      <w:proofErr w:type="spellEnd"/>
      <w:r>
        <w:t>)</w:t>
      </w:r>
    </w:p>
    <w:p w:rsidR="00FA1465" w:rsidRDefault="00FA1465" w:rsidP="00FA1465">
      <w:pPr>
        <w:pStyle w:val="ListBullet2"/>
      </w:pPr>
      <w:r>
        <w:t>employers</w:t>
      </w:r>
    </w:p>
    <w:p w:rsidR="00FA1465" w:rsidRDefault="00FA1465" w:rsidP="00FA1465">
      <w:pPr>
        <w:pStyle w:val="ListBullet2"/>
      </w:pPr>
      <w:r>
        <w:t>own account workers</w:t>
      </w:r>
    </w:p>
    <w:p w:rsidR="00FA1465" w:rsidRDefault="00FA1465" w:rsidP="00FA1465">
      <w:pPr>
        <w:pStyle w:val="ListBullet"/>
      </w:pPr>
      <w:r>
        <w:lastRenderedPageBreak/>
        <w:t>contributing family workers.</w:t>
      </w:r>
    </w:p>
    <w:p w:rsidR="00BB017C" w:rsidRDefault="00BB017C" w:rsidP="00BB017C">
      <w:pPr>
        <w:pStyle w:val="BodyText"/>
      </w:pPr>
      <w:r>
        <w:t xml:space="preserve">As discussed in chapter 3, data on employees with and without leave entitlements are used as proxies for permanent and casual employees. The terms </w:t>
      </w:r>
      <w:r w:rsidR="0061749D">
        <w:t>‘</w:t>
      </w:r>
      <w:r>
        <w:t>permanent</w:t>
      </w:r>
      <w:r w:rsidR="0061749D">
        <w:t>’</w:t>
      </w:r>
      <w:r>
        <w:t xml:space="preserve"> and </w:t>
      </w:r>
      <w:r w:rsidR="0061749D">
        <w:t>‘</w:t>
      </w:r>
      <w:r>
        <w:t>casual</w:t>
      </w:r>
      <w:r w:rsidR="0061749D">
        <w:t>’</w:t>
      </w:r>
      <w:r>
        <w:t xml:space="preserve"> are us</w:t>
      </w:r>
      <w:r w:rsidR="00AD1699">
        <w:t>ed in the subsequent discussion when referring to employees with and without leave entitlements, respectively.</w:t>
      </w:r>
    </w:p>
    <w:bookmarkStart w:id="6" w:name="OLE_LINK8"/>
    <w:p w:rsidR="004E21DC" w:rsidRDefault="00D96577" w:rsidP="004E21DC">
      <w:pPr>
        <w:pStyle w:val="Heading2"/>
      </w:pPr>
      <w:r>
        <w:fldChar w:fldCharType="begin"/>
      </w:r>
      <w:r>
        <w:instrText xml:space="preserve"> COMMENTS  \* MERGEFORMAT </w:instrText>
      </w:r>
      <w:r>
        <w:fldChar w:fldCharType="separate"/>
      </w:r>
      <w:proofErr w:type="spellStart"/>
      <w:r w:rsidR="00256E3B">
        <w:t>J.</w:t>
      </w:r>
      <w:r>
        <w:fldChar w:fldCharType="end"/>
      </w:r>
      <w:r w:rsidR="007E5666">
        <w:fldChar w:fldCharType="begin"/>
      </w:r>
      <w:r w:rsidR="007E5666">
        <w:instrText xml:space="preserve"> SEQ Heading2 </w:instrText>
      </w:r>
      <w:r w:rsidR="007E5666">
        <w:fldChar w:fldCharType="separate"/>
      </w:r>
      <w:r w:rsidR="00281E4C">
        <w:rPr>
          <w:noProof/>
        </w:rPr>
        <w:t>2</w:t>
      </w:r>
      <w:proofErr w:type="spellEnd"/>
      <w:r w:rsidR="007E5666">
        <w:rPr>
          <w:noProof/>
        </w:rPr>
        <w:fldChar w:fldCharType="end"/>
      </w:r>
      <w:r>
        <w:tab/>
      </w:r>
      <w:bookmarkEnd w:id="6"/>
      <w:r w:rsidR="004E21DC">
        <w:t xml:space="preserve">Sources for </w:t>
      </w:r>
      <w:r w:rsidR="00AD1699">
        <w:t xml:space="preserve">the </w:t>
      </w:r>
      <w:r w:rsidR="00215BFD">
        <w:t>time series</w:t>
      </w:r>
      <w:r w:rsidR="00AD1699">
        <w:t xml:space="preserve"> for each </w:t>
      </w:r>
      <w:proofErr w:type="spellStart"/>
      <w:r w:rsidR="00AD1699">
        <w:t>FOW</w:t>
      </w:r>
      <w:proofErr w:type="spellEnd"/>
    </w:p>
    <w:p w:rsidR="00215BFD" w:rsidRDefault="00672EF2" w:rsidP="00215BFD">
      <w:pPr>
        <w:pStyle w:val="BodyText"/>
        <w:rPr>
          <w:spacing w:val="-2"/>
        </w:rPr>
      </w:pPr>
      <w:r w:rsidRPr="0040435A">
        <w:rPr>
          <w:spacing w:val="-2"/>
        </w:rPr>
        <w:t>The sources used for the series presented in figure 3.1 and table </w:t>
      </w:r>
      <w:proofErr w:type="spellStart"/>
      <w:r w:rsidRPr="0040435A">
        <w:rPr>
          <w:spacing w:val="-2"/>
        </w:rPr>
        <w:t>B.1</w:t>
      </w:r>
      <w:proofErr w:type="spellEnd"/>
      <w:r w:rsidRPr="0040435A">
        <w:rPr>
          <w:spacing w:val="-2"/>
        </w:rPr>
        <w:t xml:space="preserve"> are summarised in table </w:t>
      </w:r>
      <w:proofErr w:type="spellStart"/>
      <w:r w:rsidR="00D96577">
        <w:rPr>
          <w:spacing w:val="-2"/>
        </w:rPr>
        <w:fldChar w:fldCharType="begin"/>
      </w:r>
      <w:r w:rsidR="00D96577">
        <w:rPr>
          <w:spacing w:val="-2"/>
        </w:rPr>
        <w:instrText xml:space="preserve"> LINK Word.Document.12 "\\\\MEL_1\\groups\\Elmrb\\04_Current projects\\Forms of work\\04_Reports\\Report\\Final\\Electronic appendix.docx" "OLE_LINK2" \a \t </w:instrText>
      </w:r>
      <w:r w:rsidR="00D96577">
        <w:rPr>
          <w:spacing w:val="-2"/>
        </w:rPr>
        <w:fldChar w:fldCharType="separate"/>
      </w:r>
      <w:r w:rsidR="00256E3B">
        <w:t>J.1</w:t>
      </w:r>
      <w:proofErr w:type="spellEnd"/>
      <w:r w:rsidR="00D96577">
        <w:rPr>
          <w:spacing w:val="-2"/>
        </w:rPr>
        <w:fldChar w:fldCharType="end"/>
      </w:r>
      <w:r w:rsidRPr="0040435A">
        <w:rPr>
          <w:spacing w:val="-2"/>
        </w:rPr>
        <w:t>.</w:t>
      </w:r>
      <w:r w:rsidR="00683D5E" w:rsidRPr="0040435A">
        <w:rPr>
          <w:spacing w:val="-2"/>
        </w:rPr>
        <w:t xml:space="preserve"> For reasons detailed in section </w:t>
      </w:r>
      <w:proofErr w:type="spellStart"/>
      <w:r w:rsidR="00683D5E" w:rsidRPr="0040435A">
        <w:rPr>
          <w:spacing w:val="-2"/>
        </w:rPr>
        <w:fldChar w:fldCharType="begin"/>
      </w:r>
      <w:r w:rsidR="00683D5E" w:rsidRPr="0040435A">
        <w:rPr>
          <w:spacing w:val="-2"/>
        </w:rPr>
        <w:instrText xml:space="preserve"> LINK </w:instrText>
      </w:r>
      <w:r w:rsidR="00CC06A7">
        <w:rPr>
          <w:spacing w:val="-2"/>
        </w:rPr>
        <w:instrText xml:space="preserve">Word.Document.12 "\\\\MEL_1\\groups\\Elmrb\\04_Current projects\\Forms of work\\04_Reports\\Report\\Final\\Electronic appendix.docx" OLE_LINK6 </w:instrText>
      </w:r>
      <w:r w:rsidR="00683D5E" w:rsidRPr="0040435A">
        <w:rPr>
          <w:spacing w:val="-2"/>
        </w:rPr>
        <w:instrText xml:space="preserve">\a \t </w:instrText>
      </w:r>
      <w:r w:rsidR="0040435A">
        <w:rPr>
          <w:spacing w:val="-2"/>
        </w:rPr>
        <w:instrText xml:space="preserve"> \* MERGEFORMAT </w:instrText>
      </w:r>
      <w:r w:rsidR="00683D5E" w:rsidRPr="0040435A">
        <w:rPr>
          <w:spacing w:val="-2"/>
        </w:rPr>
        <w:fldChar w:fldCharType="separate"/>
      </w:r>
      <w:r w:rsidR="00256E3B" w:rsidRPr="00256E3B">
        <w:rPr>
          <w:spacing w:val="-2"/>
        </w:rPr>
        <w:t>J</w:t>
      </w:r>
      <w:r w:rsidR="00256E3B">
        <w:t>.3</w:t>
      </w:r>
      <w:proofErr w:type="spellEnd"/>
      <w:r w:rsidR="00683D5E" w:rsidRPr="0040435A">
        <w:rPr>
          <w:spacing w:val="-2"/>
        </w:rPr>
        <w:fldChar w:fldCharType="end"/>
      </w:r>
      <w:r w:rsidR="00683D5E" w:rsidRPr="0040435A">
        <w:rPr>
          <w:spacing w:val="-2"/>
        </w:rPr>
        <w:t>, data on contributing family workers were not included in this figure and table.</w:t>
      </w:r>
      <w:r w:rsidR="0040435A" w:rsidRPr="0040435A">
        <w:rPr>
          <w:spacing w:val="-2"/>
        </w:rPr>
        <w:t xml:space="preserve"> </w:t>
      </w:r>
      <w:r w:rsidR="00683D5E" w:rsidRPr="0040435A">
        <w:rPr>
          <w:spacing w:val="-2"/>
        </w:rPr>
        <w:t xml:space="preserve">Data on employees excluding </w:t>
      </w:r>
      <w:proofErr w:type="spellStart"/>
      <w:r w:rsidR="00683D5E" w:rsidRPr="0040435A">
        <w:rPr>
          <w:spacing w:val="-2"/>
        </w:rPr>
        <w:t>OMIEs</w:t>
      </w:r>
      <w:proofErr w:type="spellEnd"/>
      <w:r w:rsidR="00683D5E" w:rsidRPr="0040435A">
        <w:rPr>
          <w:spacing w:val="-2"/>
        </w:rPr>
        <w:t xml:space="preserve"> were not published prior to 1992. The method used to derive</w:t>
      </w:r>
      <w:r w:rsidRPr="0040435A">
        <w:rPr>
          <w:spacing w:val="-2"/>
        </w:rPr>
        <w:t xml:space="preserve"> series for permanent and casual employees excluding </w:t>
      </w:r>
      <w:proofErr w:type="spellStart"/>
      <w:r w:rsidRPr="0040435A">
        <w:rPr>
          <w:spacing w:val="-2"/>
        </w:rPr>
        <w:t>OMIEs</w:t>
      </w:r>
      <w:proofErr w:type="spellEnd"/>
      <w:r w:rsidRPr="0040435A">
        <w:rPr>
          <w:spacing w:val="-2"/>
        </w:rPr>
        <w:t xml:space="preserve"> between 1982 and 1991 is described in box </w:t>
      </w:r>
      <w:proofErr w:type="spellStart"/>
      <w:r w:rsidR="00D96577">
        <w:rPr>
          <w:spacing w:val="-2"/>
        </w:rPr>
        <w:fldChar w:fldCharType="begin"/>
      </w:r>
      <w:r w:rsidR="00D96577">
        <w:rPr>
          <w:spacing w:val="-2"/>
        </w:rPr>
        <w:instrText xml:space="preserve"> LINK Word.Document.12 "\\\\MEL_1\\groups\\Elmrb\\04_Current projects\\Forms of work\\04_Reports\\Report\\Final\\Electronic appendix.docx" "OLE_LINK1" \a \t </w:instrText>
      </w:r>
      <w:r w:rsidR="00D96577">
        <w:rPr>
          <w:spacing w:val="-2"/>
        </w:rPr>
        <w:fldChar w:fldCharType="separate"/>
      </w:r>
      <w:r w:rsidR="00256E3B">
        <w:t>J.1</w:t>
      </w:r>
      <w:proofErr w:type="spellEnd"/>
      <w:r w:rsidR="00D96577">
        <w:rPr>
          <w:spacing w:val="-2"/>
        </w:rPr>
        <w:fldChar w:fldCharType="end"/>
      </w:r>
      <w:r w:rsidRPr="0040435A">
        <w:rPr>
          <w:spacing w:val="-2"/>
        </w:rPr>
        <w:t>.</w:t>
      </w:r>
    </w:p>
    <w:p w:rsidR="00672EF2" w:rsidRDefault="00672EF2">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72EF2">
        <w:tc>
          <w:tcPr>
            <w:tcW w:w="8771" w:type="dxa"/>
            <w:tcBorders>
              <w:top w:val="single" w:sz="6" w:space="0" w:color="auto"/>
              <w:bottom w:val="nil"/>
            </w:tcBorders>
          </w:tcPr>
          <w:p w:rsidR="00672EF2" w:rsidRDefault="00672EF2" w:rsidP="00BB017C">
            <w:pPr>
              <w:pStyle w:val="BoxTitle"/>
            </w:pPr>
            <w:r>
              <w:rPr>
                <w:b w:val="0"/>
              </w:rPr>
              <w:t xml:space="preserve">Box </w:t>
            </w:r>
            <w:bookmarkStart w:id="7" w:name="OLE_LINK1"/>
            <w:r w:rsidR="00D96577">
              <w:rPr>
                <w:b w:val="0"/>
              </w:rPr>
              <w:fldChar w:fldCharType="begin"/>
            </w:r>
            <w:r w:rsidR="00D96577">
              <w:rPr>
                <w:b w:val="0"/>
              </w:rPr>
              <w:instrText xml:space="preserve"> COMMENTS  \* MERGEFORMAT </w:instrText>
            </w:r>
            <w:r w:rsidR="00D96577">
              <w:rPr>
                <w:b w:val="0"/>
              </w:rPr>
              <w:fldChar w:fldCharType="separate"/>
            </w:r>
            <w:proofErr w:type="spellStart"/>
            <w:r w:rsidR="00256E3B">
              <w:rPr>
                <w:b w:val="0"/>
              </w:rPr>
              <w:t>J.</w:t>
            </w:r>
            <w:r w:rsidR="00D96577">
              <w:rPr>
                <w:b w:val="0"/>
              </w:rPr>
              <w:fldChar w:fldCharType="end"/>
            </w:r>
            <w:r w:rsidR="00D96577">
              <w:rPr>
                <w:b w:val="0"/>
              </w:rPr>
              <w:fldChar w:fldCharType="begin"/>
            </w:r>
            <w:r w:rsidR="00D96577">
              <w:rPr>
                <w:b w:val="0"/>
              </w:rPr>
              <w:instrText xml:space="preserve"> SEQ Box \* ARABIC </w:instrText>
            </w:r>
            <w:r w:rsidR="00D96577">
              <w:rPr>
                <w:b w:val="0"/>
              </w:rPr>
              <w:fldChar w:fldCharType="separate"/>
            </w:r>
            <w:r w:rsidR="00281E4C">
              <w:rPr>
                <w:b w:val="0"/>
                <w:noProof/>
              </w:rPr>
              <w:t>1</w:t>
            </w:r>
            <w:proofErr w:type="spellEnd"/>
            <w:r w:rsidR="00D96577">
              <w:rPr>
                <w:b w:val="0"/>
              </w:rPr>
              <w:fldChar w:fldCharType="end"/>
            </w:r>
            <w:bookmarkEnd w:id="7"/>
            <w:r>
              <w:tab/>
              <w:t xml:space="preserve">Derivation of estimates of permanent and casual employees </w:t>
            </w:r>
            <w:r w:rsidR="00BB017C">
              <w:t xml:space="preserve">estimates </w:t>
            </w:r>
            <w:r>
              <w:t xml:space="preserve">excluding </w:t>
            </w:r>
            <w:proofErr w:type="spellStart"/>
            <w:r>
              <w:t>OMIEs</w:t>
            </w:r>
            <w:proofErr w:type="spellEnd"/>
            <w:r w:rsidR="00BB017C">
              <w:t xml:space="preserve"> for</w:t>
            </w:r>
            <w:r>
              <w:t xml:space="preserve"> 1982 to 1991</w:t>
            </w:r>
          </w:p>
        </w:tc>
      </w:tr>
      <w:tr w:rsidR="00672EF2">
        <w:trPr>
          <w:cantSplit/>
        </w:trPr>
        <w:tc>
          <w:tcPr>
            <w:tcW w:w="8771" w:type="dxa"/>
            <w:tcBorders>
              <w:top w:val="nil"/>
              <w:left w:val="single" w:sz="6" w:space="0" w:color="auto"/>
              <w:bottom w:val="nil"/>
              <w:right w:val="single" w:sz="6" w:space="0" w:color="auto"/>
            </w:tcBorders>
          </w:tcPr>
          <w:p w:rsidR="00C90014" w:rsidRPr="0040435A" w:rsidRDefault="00672EF2" w:rsidP="00CC06A7">
            <w:pPr>
              <w:pStyle w:val="Box"/>
              <w:rPr>
                <w:spacing w:val="-2"/>
              </w:rPr>
            </w:pPr>
            <w:r w:rsidRPr="0040435A">
              <w:rPr>
                <w:spacing w:val="-2"/>
              </w:rPr>
              <w:t xml:space="preserve">Between 1982 and 1991, data for permanent and casual employees </w:t>
            </w:r>
            <w:r w:rsidR="00BB017C" w:rsidRPr="0040435A">
              <w:rPr>
                <w:spacing w:val="-2"/>
              </w:rPr>
              <w:t xml:space="preserve">were only available </w:t>
            </w:r>
            <w:r w:rsidRPr="0040435A">
              <w:rPr>
                <w:i/>
                <w:spacing w:val="-2"/>
              </w:rPr>
              <w:t>including</w:t>
            </w:r>
            <w:r w:rsidRPr="0040435A">
              <w:rPr>
                <w:spacing w:val="-2"/>
              </w:rPr>
              <w:t xml:space="preserve"> </w:t>
            </w:r>
            <w:proofErr w:type="spellStart"/>
            <w:r w:rsidRPr="0040435A">
              <w:rPr>
                <w:spacing w:val="-2"/>
              </w:rPr>
              <w:t>OMIEs</w:t>
            </w:r>
            <w:proofErr w:type="spellEnd"/>
            <w:r w:rsidRPr="0040435A">
              <w:rPr>
                <w:spacing w:val="-2"/>
              </w:rPr>
              <w:t xml:space="preserve">. ABS (2004) contains the information that, in 2003, 45 per cent of </w:t>
            </w:r>
            <w:proofErr w:type="spellStart"/>
            <w:r w:rsidRPr="0040435A">
              <w:rPr>
                <w:spacing w:val="-2"/>
              </w:rPr>
              <w:t>OMIEs</w:t>
            </w:r>
            <w:proofErr w:type="spellEnd"/>
            <w:r w:rsidRPr="0040435A">
              <w:rPr>
                <w:spacing w:val="-2"/>
              </w:rPr>
              <w:t xml:space="preserve"> had paid leave entitlements. It is assumed that this percentage was constant across time. Estimates of </w:t>
            </w:r>
            <w:proofErr w:type="spellStart"/>
            <w:r w:rsidRPr="0040435A">
              <w:rPr>
                <w:spacing w:val="-2"/>
              </w:rPr>
              <w:t>OMIEs</w:t>
            </w:r>
            <w:proofErr w:type="spellEnd"/>
            <w:r w:rsidRPr="0040435A">
              <w:rPr>
                <w:spacing w:val="-2"/>
              </w:rPr>
              <w:t xml:space="preserve"> for the period 1982 to 1991 were apportioned to permanent and casual employees using this percentage. These estimates were then subtracted from total permanent and casual employee numbers to derive estimates excluding </w:t>
            </w:r>
            <w:proofErr w:type="spellStart"/>
            <w:r w:rsidRPr="0040435A">
              <w:rPr>
                <w:spacing w:val="-2"/>
              </w:rPr>
              <w:t>OMIEs</w:t>
            </w:r>
            <w:proofErr w:type="spellEnd"/>
            <w:r w:rsidRPr="0040435A">
              <w:rPr>
                <w:spacing w:val="-2"/>
              </w:rPr>
              <w:t>.</w:t>
            </w:r>
            <w:r w:rsidR="0040435A" w:rsidRPr="0040435A">
              <w:rPr>
                <w:spacing w:val="-2"/>
              </w:rPr>
              <w:t xml:space="preserve"> </w:t>
            </w:r>
            <w:r w:rsidR="00C90014" w:rsidRPr="0040435A">
              <w:rPr>
                <w:spacing w:val="-2"/>
              </w:rPr>
              <w:t xml:space="preserve">The sensitivity of the estimates to this assumption was tested. The estimates were not materially affected by setting the percentage of </w:t>
            </w:r>
            <w:proofErr w:type="spellStart"/>
            <w:r w:rsidR="00C90014" w:rsidRPr="0040435A">
              <w:rPr>
                <w:spacing w:val="-2"/>
              </w:rPr>
              <w:t>OMIEs</w:t>
            </w:r>
            <w:proofErr w:type="spellEnd"/>
            <w:r w:rsidR="00C90014" w:rsidRPr="0040435A">
              <w:rPr>
                <w:spacing w:val="-2"/>
              </w:rPr>
              <w:t xml:space="preserve"> with paid leave entitlements at 30 or 60 per cent.</w:t>
            </w:r>
          </w:p>
        </w:tc>
      </w:tr>
      <w:tr w:rsidR="00672EF2">
        <w:trPr>
          <w:cantSplit/>
        </w:trPr>
        <w:tc>
          <w:tcPr>
            <w:tcW w:w="8771" w:type="dxa"/>
            <w:tcBorders>
              <w:top w:val="nil"/>
              <w:left w:val="single" w:sz="6" w:space="0" w:color="auto"/>
              <w:bottom w:val="single" w:sz="6" w:space="0" w:color="auto"/>
              <w:right w:val="single" w:sz="6" w:space="0" w:color="auto"/>
            </w:tcBorders>
          </w:tcPr>
          <w:p w:rsidR="00672EF2" w:rsidRDefault="00672EF2">
            <w:pPr>
              <w:pStyle w:val="Box"/>
              <w:spacing w:before="0" w:line="120" w:lineRule="exact"/>
            </w:pPr>
          </w:p>
        </w:tc>
      </w:tr>
      <w:tr w:rsidR="00672EF2" w:rsidRPr="000863A5">
        <w:tc>
          <w:tcPr>
            <w:tcW w:w="8771" w:type="dxa"/>
            <w:tcBorders>
              <w:top w:val="nil"/>
              <w:left w:val="nil"/>
              <w:bottom w:val="nil"/>
              <w:right w:val="nil"/>
            </w:tcBorders>
          </w:tcPr>
          <w:p w:rsidR="00672EF2" w:rsidRPr="00626D32" w:rsidRDefault="00672EF2" w:rsidP="00185A54">
            <w:pPr>
              <w:pStyle w:val="BoxSpaceBelow"/>
            </w:pPr>
          </w:p>
        </w:tc>
      </w:tr>
    </w:tbl>
    <w:p w:rsidR="00215BFD" w:rsidRDefault="00D96577" w:rsidP="00B075C1">
      <w:pPr>
        <w:pStyle w:val="TableTitle"/>
      </w:pPr>
      <w:r>
        <w:rPr>
          <w:b w:val="0"/>
        </w:rPr>
        <w:lastRenderedPageBreak/>
        <w:t xml:space="preserve">Table </w:t>
      </w:r>
      <w:bookmarkStart w:id="8" w:name="OLE_LINK2"/>
      <w:r>
        <w:rPr>
          <w:b w:val="0"/>
        </w:rPr>
        <w:fldChar w:fldCharType="begin"/>
      </w:r>
      <w:r>
        <w:rPr>
          <w:b w:val="0"/>
        </w:rPr>
        <w:instrText xml:space="preserve"> COMMENTS  \* MERGEFORMAT </w:instrText>
      </w:r>
      <w:r>
        <w:rPr>
          <w:b w:val="0"/>
        </w:rPr>
        <w:fldChar w:fldCharType="separate"/>
      </w:r>
      <w:proofErr w:type="spellStart"/>
      <w:r w:rsidR="00256E3B">
        <w:rPr>
          <w:b w:val="0"/>
        </w:rPr>
        <w:t>J.</w:t>
      </w:r>
      <w:r>
        <w:rPr>
          <w:b w:val="0"/>
        </w:rPr>
        <w:fldChar w:fldCharType="end"/>
      </w:r>
      <w:r>
        <w:rPr>
          <w:b w:val="0"/>
        </w:rPr>
        <w:fldChar w:fldCharType="begin"/>
      </w:r>
      <w:r>
        <w:rPr>
          <w:b w:val="0"/>
        </w:rPr>
        <w:instrText xml:space="preserve"> SEQ Table \* ARABIC </w:instrText>
      </w:r>
      <w:r>
        <w:rPr>
          <w:b w:val="0"/>
        </w:rPr>
        <w:fldChar w:fldCharType="separate"/>
      </w:r>
      <w:r w:rsidR="00281E4C">
        <w:rPr>
          <w:b w:val="0"/>
          <w:noProof/>
        </w:rPr>
        <w:t>1</w:t>
      </w:r>
      <w:proofErr w:type="spellEnd"/>
      <w:r>
        <w:rPr>
          <w:b w:val="0"/>
        </w:rPr>
        <w:fldChar w:fldCharType="end"/>
      </w:r>
      <w:bookmarkEnd w:id="8"/>
      <w:r>
        <w:tab/>
      </w:r>
      <w:r w:rsidR="00B075C1">
        <w:t xml:space="preserve">Sources for data used in figure 3.1 and table </w:t>
      </w:r>
      <w:proofErr w:type="spellStart"/>
      <w:r w:rsidR="00B075C1">
        <w:t>B.1</w:t>
      </w:r>
      <w:proofErr w:type="spellEnd"/>
    </w:p>
    <w:tbl>
      <w:tblPr>
        <w:tblW w:w="5000" w:type="pct"/>
        <w:tblCellMar>
          <w:left w:w="0" w:type="dxa"/>
          <w:right w:w="0" w:type="dxa"/>
        </w:tblCellMar>
        <w:tblLook w:val="0000" w:firstRow="0" w:lastRow="0" w:firstColumn="0" w:lastColumn="0" w:noHBand="0" w:noVBand="0"/>
      </w:tblPr>
      <w:tblGrid>
        <w:gridCol w:w="4394"/>
        <w:gridCol w:w="4395"/>
      </w:tblGrid>
      <w:tr w:rsidR="00C91711" w:rsidTr="00E75006">
        <w:tc>
          <w:tcPr>
            <w:tcW w:w="2500" w:type="pct"/>
            <w:tcBorders>
              <w:top w:val="single" w:sz="6" w:space="0" w:color="auto"/>
              <w:bottom w:val="single" w:sz="6" w:space="0" w:color="auto"/>
            </w:tcBorders>
            <w:shd w:val="clear" w:color="auto" w:fill="auto"/>
          </w:tcPr>
          <w:p w:rsidR="00C91711" w:rsidRDefault="00C91711" w:rsidP="00215BFD">
            <w:pPr>
              <w:pStyle w:val="TableColumnHeading"/>
              <w:jc w:val="left"/>
            </w:pPr>
            <w:r>
              <w:t>Series and time period</w:t>
            </w:r>
          </w:p>
        </w:tc>
        <w:tc>
          <w:tcPr>
            <w:tcW w:w="2500" w:type="pct"/>
            <w:tcBorders>
              <w:top w:val="single" w:sz="6" w:space="0" w:color="auto"/>
              <w:bottom w:val="single" w:sz="6" w:space="0" w:color="auto"/>
            </w:tcBorders>
            <w:shd w:val="clear" w:color="auto" w:fill="auto"/>
          </w:tcPr>
          <w:p w:rsidR="00C91711" w:rsidRDefault="00C91711" w:rsidP="008251AC">
            <w:pPr>
              <w:pStyle w:val="TableColumnHeading"/>
              <w:ind w:right="28"/>
              <w:jc w:val="left"/>
            </w:pPr>
            <w:r>
              <w:t>Source</w:t>
            </w:r>
          </w:p>
        </w:tc>
      </w:tr>
      <w:tr w:rsidR="00EB487A" w:rsidRPr="004452E8" w:rsidTr="00EB487A">
        <w:tc>
          <w:tcPr>
            <w:tcW w:w="2500" w:type="pct"/>
          </w:tcPr>
          <w:p w:rsidR="00EB487A" w:rsidRPr="004452E8" w:rsidRDefault="00EB487A" w:rsidP="004452E8">
            <w:pPr>
              <w:pStyle w:val="TableBodyText"/>
              <w:spacing w:before="40"/>
              <w:jc w:val="left"/>
            </w:pPr>
            <w:r w:rsidRPr="004452E8">
              <w:t xml:space="preserve">Employees including </w:t>
            </w:r>
            <w:proofErr w:type="spellStart"/>
            <w:r w:rsidRPr="004452E8">
              <w:t>OMIEs</w:t>
            </w:r>
            <w:proofErr w:type="spellEnd"/>
            <w:r w:rsidRPr="004452E8">
              <w:br/>
              <w:t>(</w:t>
            </w:r>
            <w:r w:rsidR="00EF75DD" w:rsidRPr="004452E8">
              <w:t>permanent and casual employees</w:t>
            </w:r>
            <w:r w:rsidRPr="004452E8">
              <w:t>)</w:t>
            </w:r>
          </w:p>
        </w:tc>
        <w:tc>
          <w:tcPr>
            <w:tcW w:w="2500" w:type="pct"/>
          </w:tcPr>
          <w:p w:rsidR="00EB487A" w:rsidRPr="004452E8" w:rsidRDefault="00EB487A" w:rsidP="004452E8">
            <w:pPr>
              <w:pStyle w:val="TableBodyText"/>
              <w:spacing w:before="40"/>
              <w:jc w:val="left"/>
            </w:pPr>
          </w:p>
        </w:tc>
      </w:tr>
      <w:tr w:rsidR="00EB487A" w:rsidTr="00E75006">
        <w:tc>
          <w:tcPr>
            <w:tcW w:w="2500" w:type="pct"/>
          </w:tcPr>
          <w:p w:rsidR="00EB487A" w:rsidRDefault="00EB487A" w:rsidP="00EF75DD">
            <w:pPr>
              <w:pStyle w:val="TableBodyText"/>
              <w:jc w:val="left"/>
            </w:pPr>
            <w:r>
              <w:t>   1982</w:t>
            </w:r>
            <w:r w:rsidR="00EF75DD">
              <w:rPr>
                <w:rStyle w:val="NoteLabel"/>
              </w:rPr>
              <w:t>a</w:t>
            </w:r>
          </w:p>
        </w:tc>
        <w:tc>
          <w:tcPr>
            <w:tcW w:w="2500" w:type="pct"/>
          </w:tcPr>
          <w:p w:rsidR="00EB487A" w:rsidRDefault="00EB487A" w:rsidP="008251AC">
            <w:pPr>
              <w:pStyle w:val="TableBodyText"/>
              <w:ind w:right="28"/>
              <w:jc w:val="left"/>
            </w:pPr>
            <w:r>
              <w:t>ABS (</w:t>
            </w:r>
            <w:r w:rsidRPr="00EB487A">
              <w:rPr>
                <w:i/>
              </w:rPr>
              <w:t>Alternative Working Arrangements</w:t>
            </w:r>
            <w:r w:rsidRPr="00C852AF">
              <w:rPr>
                <w:i/>
              </w:rPr>
              <w:t>, March to May 1982</w:t>
            </w:r>
            <w:r>
              <w:t>, Cat. no. 6341.0)</w:t>
            </w:r>
          </w:p>
        </w:tc>
      </w:tr>
      <w:tr w:rsidR="00EB487A" w:rsidTr="00E75006">
        <w:tc>
          <w:tcPr>
            <w:tcW w:w="2500" w:type="pct"/>
          </w:tcPr>
          <w:p w:rsidR="00EB487A" w:rsidRDefault="00976FEF" w:rsidP="00C16C34">
            <w:pPr>
              <w:pStyle w:val="TableBodyText"/>
              <w:jc w:val="left"/>
            </w:pPr>
            <w:r>
              <w:t>   1984</w:t>
            </w:r>
            <w:r w:rsidR="00EB487A">
              <w:t>–1987</w:t>
            </w:r>
            <w:r w:rsidR="00EF75DD">
              <w:rPr>
                <w:rStyle w:val="NoteLabel"/>
              </w:rPr>
              <w:t>b</w:t>
            </w:r>
          </w:p>
        </w:tc>
        <w:tc>
          <w:tcPr>
            <w:tcW w:w="2500" w:type="pct"/>
          </w:tcPr>
          <w:p w:rsidR="00EB487A" w:rsidRDefault="00EB487A" w:rsidP="008251AC">
            <w:pPr>
              <w:pStyle w:val="TableBodyText"/>
              <w:ind w:right="28"/>
              <w:jc w:val="left"/>
            </w:pPr>
            <w:r>
              <w:t>ABS (</w:t>
            </w:r>
            <w:r w:rsidRPr="00EB487A">
              <w:rPr>
                <w:i/>
              </w:rPr>
              <w:t>Employment Benefits, Australia</w:t>
            </w:r>
            <w:r>
              <w:t xml:space="preserve">, </w:t>
            </w:r>
            <w:r>
              <w:br/>
              <w:t>Cat. no. 6334.0)</w:t>
            </w:r>
          </w:p>
        </w:tc>
      </w:tr>
      <w:tr w:rsidR="00EB487A" w:rsidTr="00E75006">
        <w:tc>
          <w:tcPr>
            <w:tcW w:w="2500" w:type="pct"/>
          </w:tcPr>
          <w:p w:rsidR="00EB487A" w:rsidRDefault="00C16C34" w:rsidP="00C16C34">
            <w:pPr>
              <w:pStyle w:val="TableBodyText"/>
              <w:jc w:val="left"/>
            </w:pPr>
            <w:r>
              <w:t>   1988</w:t>
            </w:r>
            <w:r w:rsidR="00EB487A">
              <w:t>–1991</w:t>
            </w:r>
            <w:r w:rsidR="00B075C1">
              <w:rPr>
                <w:rStyle w:val="NoteLabel"/>
              </w:rPr>
              <w:t>b</w:t>
            </w:r>
          </w:p>
        </w:tc>
        <w:tc>
          <w:tcPr>
            <w:tcW w:w="2500" w:type="pct"/>
          </w:tcPr>
          <w:p w:rsidR="00EB487A" w:rsidRDefault="00EB487A" w:rsidP="008251AC">
            <w:pPr>
              <w:pStyle w:val="TableBodyText"/>
              <w:ind w:right="28"/>
              <w:jc w:val="left"/>
            </w:pPr>
            <w:r>
              <w:t>ABS (</w:t>
            </w:r>
            <w:r w:rsidRPr="00EB487A">
              <w:rPr>
                <w:i/>
              </w:rPr>
              <w:t>Weekly Earnings of Employees</w:t>
            </w:r>
            <w:r>
              <w:t xml:space="preserve">, </w:t>
            </w:r>
            <w:r>
              <w:br/>
              <w:t>Cat. no. 6310.0)</w:t>
            </w:r>
          </w:p>
        </w:tc>
      </w:tr>
      <w:tr w:rsidR="00C91711" w:rsidTr="00E75006">
        <w:tc>
          <w:tcPr>
            <w:tcW w:w="2500" w:type="pct"/>
          </w:tcPr>
          <w:p w:rsidR="00C91711" w:rsidRDefault="00C91711" w:rsidP="00B075C1">
            <w:pPr>
              <w:pStyle w:val="TableBodyText"/>
              <w:jc w:val="left"/>
            </w:pPr>
            <w:r>
              <w:t xml:space="preserve">Employees </w:t>
            </w:r>
            <w:r w:rsidRPr="00EB487A">
              <w:rPr>
                <w:i/>
              </w:rPr>
              <w:t>excluding</w:t>
            </w:r>
            <w:r>
              <w:t xml:space="preserve"> </w:t>
            </w:r>
            <w:proofErr w:type="spellStart"/>
            <w:r>
              <w:t>OMIEs</w:t>
            </w:r>
            <w:proofErr w:type="spellEnd"/>
            <w:r w:rsidR="00EB487A">
              <w:br/>
            </w:r>
            <w:r w:rsidR="00BE437C">
              <w:t>(permanent and casual employees)</w:t>
            </w:r>
            <w:r w:rsidR="00B075C1">
              <w:rPr>
                <w:rStyle w:val="NoteLabel"/>
              </w:rPr>
              <w:t>c</w:t>
            </w:r>
          </w:p>
        </w:tc>
        <w:tc>
          <w:tcPr>
            <w:tcW w:w="2500" w:type="pct"/>
          </w:tcPr>
          <w:p w:rsidR="00C91711" w:rsidRDefault="00C91711" w:rsidP="008251AC">
            <w:pPr>
              <w:pStyle w:val="TableBodyText"/>
              <w:ind w:right="28"/>
              <w:jc w:val="left"/>
            </w:pPr>
          </w:p>
        </w:tc>
      </w:tr>
      <w:tr w:rsidR="00EB487A" w:rsidTr="00EB487A">
        <w:tc>
          <w:tcPr>
            <w:tcW w:w="2500" w:type="pct"/>
          </w:tcPr>
          <w:p w:rsidR="00EB487A" w:rsidRDefault="00C16C34" w:rsidP="00C16C34">
            <w:pPr>
              <w:pStyle w:val="TableBodyText"/>
              <w:ind w:right="28"/>
              <w:jc w:val="left"/>
            </w:pPr>
            <w:r>
              <w:t>   1982</w:t>
            </w:r>
            <w:r w:rsidR="00EB487A">
              <w:t>–1991</w:t>
            </w:r>
            <w:r w:rsidR="00B075C1" w:rsidRPr="00B075C1">
              <w:rPr>
                <w:rStyle w:val="NoteLabel"/>
              </w:rPr>
              <w:t>d</w:t>
            </w:r>
          </w:p>
        </w:tc>
        <w:tc>
          <w:tcPr>
            <w:tcW w:w="2500" w:type="pct"/>
          </w:tcPr>
          <w:p w:rsidR="00EB487A" w:rsidRDefault="00EB487A" w:rsidP="008251AC">
            <w:pPr>
              <w:pStyle w:val="TableBodyText"/>
              <w:ind w:right="28"/>
              <w:jc w:val="left"/>
            </w:pPr>
            <w:r>
              <w:t xml:space="preserve">Estimated from data on employees including </w:t>
            </w:r>
            <w:proofErr w:type="spellStart"/>
            <w:r>
              <w:t>OMIEs</w:t>
            </w:r>
            <w:proofErr w:type="spellEnd"/>
            <w:r>
              <w:t xml:space="preserve"> (above) and </w:t>
            </w:r>
            <w:proofErr w:type="spellStart"/>
            <w:r>
              <w:t>OMIEs</w:t>
            </w:r>
            <w:proofErr w:type="spellEnd"/>
            <w:r>
              <w:t xml:space="preserve"> (below)</w:t>
            </w:r>
            <w:r w:rsidR="00B075C1">
              <w:t xml:space="preserve">. </w:t>
            </w:r>
          </w:p>
        </w:tc>
      </w:tr>
      <w:tr w:rsidR="00EB487A" w:rsidTr="00EB487A">
        <w:tc>
          <w:tcPr>
            <w:tcW w:w="2500" w:type="pct"/>
          </w:tcPr>
          <w:p w:rsidR="00EB487A" w:rsidRDefault="008C54F8" w:rsidP="00C16C34">
            <w:pPr>
              <w:pStyle w:val="TableBodyText"/>
              <w:ind w:right="28"/>
              <w:jc w:val="left"/>
            </w:pPr>
            <w:r>
              <w:t>   1992–2007</w:t>
            </w:r>
          </w:p>
        </w:tc>
        <w:tc>
          <w:tcPr>
            <w:tcW w:w="2500" w:type="pct"/>
          </w:tcPr>
          <w:p w:rsidR="00EB487A" w:rsidRDefault="00EB487A" w:rsidP="008251AC">
            <w:pPr>
              <w:pStyle w:val="TableBodyText"/>
              <w:ind w:right="28"/>
              <w:jc w:val="left"/>
            </w:pPr>
            <w:r>
              <w:t>ABS (</w:t>
            </w:r>
            <w:r w:rsidRPr="00E84657">
              <w:rPr>
                <w:i/>
              </w:rPr>
              <w:t>Australian Labour Market Statistics</w:t>
            </w:r>
            <w:r w:rsidRPr="00EB487A">
              <w:t xml:space="preserve">, </w:t>
            </w:r>
            <w:r w:rsidRPr="00EB487A">
              <w:br/>
            </w:r>
            <w:r w:rsidR="008251AC">
              <w:t>Cat. no. 6105.0)</w:t>
            </w:r>
          </w:p>
        </w:tc>
      </w:tr>
      <w:tr w:rsidR="008C54F8" w:rsidTr="00E75006">
        <w:tc>
          <w:tcPr>
            <w:tcW w:w="2500" w:type="pct"/>
          </w:tcPr>
          <w:p w:rsidR="008C54F8" w:rsidRDefault="00C16C34" w:rsidP="00C16C34">
            <w:pPr>
              <w:pStyle w:val="TableBodyText"/>
              <w:ind w:right="28"/>
              <w:jc w:val="left"/>
            </w:pPr>
            <w:r>
              <w:t>   2008</w:t>
            </w:r>
            <w:r w:rsidR="008C54F8">
              <w:t>–2011</w:t>
            </w:r>
          </w:p>
        </w:tc>
        <w:tc>
          <w:tcPr>
            <w:tcW w:w="2500" w:type="pct"/>
          </w:tcPr>
          <w:p w:rsidR="008C54F8" w:rsidRDefault="008C54F8" w:rsidP="008251AC">
            <w:pPr>
              <w:pStyle w:val="TableBodyText"/>
              <w:ind w:right="28"/>
              <w:jc w:val="left"/>
            </w:pPr>
            <w:r>
              <w:t>ABS (</w:t>
            </w:r>
            <w:r w:rsidRPr="008C54F8">
              <w:rPr>
                <w:i/>
              </w:rPr>
              <w:t>Employee Earnings, Benefits and Trade Union Membership</w:t>
            </w:r>
            <w:r>
              <w:t>, Cat. no. 6310.0)</w:t>
            </w:r>
          </w:p>
        </w:tc>
      </w:tr>
      <w:tr w:rsidR="00C91711" w:rsidTr="00E75006">
        <w:tc>
          <w:tcPr>
            <w:tcW w:w="2500" w:type="pct"/>
          </w:tcPr>
          <w:p w:rsidR="00C91711" w:rsidRDefault="00C852AF" w:rsidP="00215BFD">
            <w:pPr>
              <w:pStyle w:val="TableBodyText"/>
              <w:ind w:right="28"/>
              <w:jc w:val="left"/>
            </w:pPr>
            <w:proofErr w:type="spellStart"/>
            <w:r>
              <w:t>OMIEs</w:t>
            </w:r>
            <w:proofErr w:type="spellEnd"/>
          </w:p>
        </w:tc>
        <w:tc>
          <w:tcPr>
            <w:tcW w:w="2500" w:type="pct"/>
          </w:tcPr>
          <w:p w:rsidR="00C91711" w:rsidRDefault="00C91711" w:rsidP="008251AC">
            <w:pPr>
              <w:pStyle w:val="TableBodyText"/>
              <w:ind w:right="28"/>
              <w:jc w:val="left"/>
            </w:pPr>
          </w:p>
        </w:tc>
      </w:tr>
      <w:tr w:rsidR="00600EE9" w:rsidTr="00E75006">
        <w:tc>
          <w:tcPr>
            <w:tcW w:w="2500" w:type="pct"/>
          </w:tcPr>
          <w:p w:rsidR="00600EE9" w:rsidRDefault="00C16C34" w:rsidP="00C16C34">
            <w:pPr>
              <w:pStyle w:val="TableBodyText"/>
              <w:ind w:right="28"/>
              <w:jc w:val="left"/>
            </w:pPr>
            <w:r>
              <w:t>   1978</w:t>
            </w:r>
            <w:r w:rsidR="00600EE9">
              <w:t>–199</w:t>
            </w:r>
            <w:r w:rsidR="000C2526">
              <w:t>1</w:t>
            </w:r>
            <w:r w:rsidR="00EF75DD">
              <w:rPr>
                <w:rStyle w:val="NoteLabel"/>
              </w:rPr>
              <w:t>e</w:t>
            </w:r>
          </w:p>
        </w:tc>
        <w:tc>
          <w:tcPr>
            <w:tcW w:w="2500" w:type="pct"/>
          </w:tcPr>
          <w:p w:rsidR="00600EE9" w:rsidRDefault="00600EE9" w:rsidP="008251AC">
            <w:pPr>
              <w:pStyle w:val="TableBodyText"/>
              <w:ind w:right="28"/>
              <w:jc w:val="left"/>
            </w:pPr>
            <w:r>
              <w:t xml:space="preserve">ABS </w:t>
            </w:r>
            <w:r w:rsidR="00E75006">
              <w:t>(</w:t>
            </w:r>
            <w:r w:rsidR="00E75006" w:rsidRPr="0002026B">
              <w:rPr>
                <w:i/>
              </w:rPr>
              <w:t>Labour Force, Australia</w:t>
            </w:r>
            <w:r w:rsidR="00EB487A" w:rsidRPr="00EB487A">
              <w:t>,</w:t>
            </w:r>
            <w:r w:rsidR="00EB487A">
              <w:rPr>
                <w:i/>
              </w:rPr>
              <w:t xml:space="preserve"> </w:t>
            </w:r>
            <w:r w:rsidR="00EB487A">
              <w:t>Cat. no. 6203.0</w:t>
            </w:r>
            <w:r w:rsidR="00E75006">
              <w:rPr>
                <w:i/>
              </w:rPr>
              <w:t>)</w:t>
            </w:r>
          </w:p>
        </w:tc>
      </w:tr>
      <w:tr w:rsidR="00EB487A" w:rsidTr="00E75006">
        <w:tc>
          <w:tcPr>
            <w:tcW w:w="2500" w:type="pct"/>
          </w:tcPr>
          <w:p w:rsidR="00EB487A" w:rsidRDefault="00C16C34" w:rsidP="00C16C34">
            <w:pPr>
              <w:pStyle w:val="TableBodyText"/>
              <w:ind w:right="28"/>
              <w:jc w:val="left"/>
            </w:pPr>
            <w:r>
              <w:t>   1992</w:t>
            </w:r>
            <w:r w:rsidR="00EB487A">
              <w:t>–2011</w:t>
            </w:r>
          </w:p>
        </w:tc>
        <w:tc>
          <w:tcPr>
            <w:tcW w:w="2500" w:type="pct"/>
          </w:tcPr>
          <w:p w:rsidR="00EB487A" w:rsidRDefault="00EB487A" w:rsidP="004452E8">
            <w:pPr>
              <w:pStyle w:val="TableBodyText"/>
              <w:ind w:right="28"/>
              <w:jc w:val="left"/>
            </w:pPr>
            <w:r>
              <w:t>ABS (</w:t>
            </w:r>
            <w:r w:rsidRPr="00E84657">
              <w:rPr>
                <w:i/>
              </w:rPr>
              <w:t>Australian Labour Market Statistics</w:t>
            </w:r>
            <w:r w:rsidRPr="00EB487A">
              <w:t>,</w:t>
            </w:r>
            <w:r>
              <w:rPr>
                <w:i/>
              </w:rPr>
              <w:t xml:space="preserve"> </w:t>
            </w:r>
            <w:r>
              <w:rPr>
                <w:i/>
              </w:rPr>
              <w:br/>
            </w:r>
            <w:r>
              <w:t>Cat. no. 6105.0)</w:t>
            </w:r>
          </w:p>
        </w:tc>
      </w:tr>
      <w:tr w:rsidR="008C54F8" w:rsidTr="0070044E">
        <w:tc>
          <w:tcPr>
            <w:tcW w:w="2500" w:type="pct"/>
          </w:tcPr>
          <w:p w:rsidR="008C54F8" w:rsidRDefault="00C16C34" w:rsidP="00C16C34">
            <w:pPr>
              <w:pStyle w:val="TableBodyText"/>
              <w:ind w:right="28"/>
              <w:jc w:val="left"/>
            </w:pPr>
            <w:r>
              <w:t>   2008</w:t>
            </w:r>
            <w:r w:rsidR="008C54F8">
              <w:t>–2011</w:t>
            </w:r>
          </w:p>
        </w:tc>
        <w:tc>
          <w:tcPr>
            <w:tcW w:w="2500" w:type="pct"/>
          </w:tcPr>
          <w:p w:rsidR="008C54F8" w:rsidRDefault="008C54F8" w:rsidP="0070044E">
            <w:pPr>
              <w:pStyle w:val="TableBodyText"/>
              <w:ind w:right="28"/>
              <w:jc w:val="left"/>
            </w:pPr>
            <w:r>
              <w:t>ABS (</w:t>
            </w:r>
            <w:r w:rsidRPr="008C54F8">
              <w:rPr>
                <w:i/>
              </w:rPr>
              <w:t>Employee Earnings, Benefits and Trade Union Membership</w:t>
            </w:r>
            <w:r>
              <w:t>, Cat. no. 6310.0)</w:t>
            </w:r>
          </w:p>
        </w:tc>
      </w:tr>
      <w:tr w:rsidR="00EB487A" w:rsidTr="00E75006">
        <w:tc>
          <w:tcPr>
            <w:tcW w:w="2500" w:type="pct"/>
          </w:tcPr>
          <w:p w:rsidR="00EB487A" w:rsidRDefault="00C852AF" w:rsidP="00215BFD">
            <w:pPr>
              <w:pStyle w:val="TableBodyText"/>
              <w:ind w:right="28"/>
              <w:jc w:val="left"/>
            </w:pPr>
            <w:proofErr w:type="spellStart"/>
            <w:r>
              <w:t>OMUEs</w:t>
            </w:r>
            <w:proofErr w:type="spellEnd"/>
            <w:r w:rsidR="00EB487A">
              <w:t xml:space="preserve"> (including employers and own account workers)</w:t>
            </w:r>
          </w:p>
        </w:tc>
        <w:tc>
          <w:tcPr>
            <w:tcW w:w="2500" w:type="pct"/>
          </w:tcPr>
          <w:p w:rsidR="00EB487A" w:rsidRDefault="00EB487A" w:rsidP="008251AC">
            <w:pPr>
              <w:pStyle w:val="TableBodyText"/>
              <w:ind w:right="28"/>
              <w:jc w:val="left"/>
            </w:pPr>
          </w:p>
        </w:tc>
      </w:tr>
      <w:tr w:rsidR="00EB487A" w:rsidTr="00E75006">
        <w:tc>
          <w:tcPr>
            <w:tcW w:w="2500" w:type="pct"/>
          </w:tcPr>
          <w:p w:rsidR="00EB487A" w:rsidRDefault="00C16C34" w:rsidP="00C16C34">
            <w:pPr>
              <w:pStyle w:val="TableBodyText"/>
              <w:jc w:val="left"/>
            </w:pPr>
            <w:r>
              <w:t>   1978</w:t>
            </w:r>
            <w:r w:rsidR="00EB487A">
              <w:t>–198</w:t>
            </w:r>
            <w:r w:rsidR="000C2526">
              <w:t>4</w:t>
            </w:r>
          </w:p>
        </w:tc>
        <w:tc>
          <w:tcPr>
            <w:tcW w:w="2500" w:type="pct"/>
          </w:tcPr>
          <w:p w:rsidR="00EB487A" w:rsidRDefault="00EB487A" w:rsidP="00C852AF">
            <w:pPr>
              <w:pStyle w:val="TableBodyText"/>
              <w:ind w:right="28"/>
              <w:jc w:val="left"/>
            </w:pPr>
            <w:r>
              <w:t>ABS (</w:t>
            </w:r>
            <w:r w:rsidRPr="00112A20">
              <w:rPr>
                <w:i/>
              </w:rPr>
              <w:t>The Labour Force, Australia 1978–95</w:t>
            </w:r>
            <w:r w:rsidR="00FC125C">
              <w:t xml:space="preserve">, </w:t>
            </w:r>
            <w:r w:rsidR="00FC125C" w:rsidRPr="00112A20">
              <w:t>Cat. no. 6204.0</w:t>
            </w:r>
            <w:r>
              <w:rPr>
                <w:i/>
              </w:rPr>
              <w:t>)</w:t>
            </w:r>
          </w:p>
        </w:tc>
      </w:tr>
      <w:tr w:rsidR="00EB487A" w:rsidTr="00E75006">
        <w:tc>
          <w:tcPr>
            <w:tcW w:w="2500" w:type="pct"/>
            <w:tcBorders>
              <w:bottom w:val="single" w:sz="6" w:space="0" w:color="auto"/>
            </w:tcBorders>
            <w:shd w:val="clear" w:color="auto" w:fill="auto"/>
          </w:tcPr>
          <w:p w:rsidR="00EB487A" w:rsidRDefault="00EB487A" w:rsidP="00C16C34">
            <w:pPr>
              <w:pStyle w:val="TableBodyText"/>
              <w:jc w:val="left"/>
            </w:pPr>
            <w:r>
              <w:t>   198</w:t>
            </w:r>
            <w:r w:rsidR="000C2526">
              <w:t>5</w:t>
            </w:r>
            <w:r>
              <w:t>–2011</w:t>
            </w:r>
          </w:p>
        </w:tc>
        <w:tc>
          <w:tcPr>
            <w:tcW w:w="2500" w:type="pct"/>
            <w:tcBorders>
              <w:bottom w:val="single" w:sz="6" w:space="0" w:color="auto"/>
            </w:tcBorders>
            <w:shd w:val="clear" w:color="auto" w:fill="auto"/>
          </w:tcPr>
          <w:p w:rsidR="00EB487A" w:rsidRDefault="00EB487A" w:rsidP="008251AC">
            <w:pPr>
              <w:pStyle w:val="TableBodyText"/>
              <w:ind w:right="28"/>
              <w:jc w:val="left"/>
            </w:pPr>
            <w:r>
              <w:t>Downloaded from DX table 6203</w:t>
            </w:r>
            <w:r>
              <w:noBreakHyphen/>
            </w:r>
            <w:proofErr w:type="spellStart"/>
            <w:r>
              <w:t>E.3</w:t>
            </w:r>
            <w:proofErr w:type="spellEnd"/>
          </w:p>
        </w:tc>
      </w:tr>
    </w:tbl>
    <w:p w:rsidR="00215BFD" w:rsidRDefault="00D4185B" w:rsidP="00215BFD">
      <w:pPr>
        <w:pStyle w:val="Note"/>
      </w:pPr>
      <w:r>
        <w:rPr>
          <w:rStyle w:val="NoteLabel"/>
        </w:rPr>
        <w:t>a</w:t>
      </w:r>
      <w:r w:rsidRPr="00D4185B">
        <w:t xml:space="preserve"> </w:t>
      </w:r>
      <w:r>
        <w:t>Following Dawkins and Norris (1990)</w:t>
      </w:r>
      <w:r w:rsidR="00EF75DD">
        <w:t xml:space="preserve">, in addition to people identified as casuals working more than 10 hours a week, all </w:t>
      </w:r>
      <w:r w:rsidR="00E14ECE">
        <w:t>people</w:t>
      </w:r>
      <w:r w:rsidR="00EF75DD">
        <w:t xml:space="preserve"> working less than 10 hours a week were classified as casuals. The figure for casuals for 1982 is, therefore, an upper bound estimate.</w:t>
      </w:r>
      <w:r>
        <w:t xml:space="preserve"> </w:t>
      </w:r>
      <w:r w:rsidRPr="00D4185B">
        <w:t xml:space="preserve"> </w:t>
      </w:r>
      <w:r w:rsidR="00EF75DD" w:rsidRPr="00EF75DD">
        <w:rPr>
          <w:rStyle w:val="NoteLabel"/>
        </w:rPr>
        <w:t>b</w:t>
      </w:r>
      <w:r w:rsidR="00B674ED">
        <w:t xml:space="preserve"> Casual employees</w:t>
      </w:r>
      <w:r w:rsidR="00B075C1">
        <w:t xml:space="preserve"> were</w:t>
      </w:r>
      <w:r w:rsidR="00EF75DD">
        <w:t xml:space="preserve"> </w:t>
      </w:r>
      <w:r w:rsidR="00B075C1">
        <w:t xml:space="preserve">defined as </w:t>
      </w:r>
      <w:r w:rsidR="00EF75DD">
        <w:t xml:space="preserve">people who did not receive paid </w:t>
      </w:r>
      <w:r w:rsidR="00B075C1">
        <w:t>holiday</w:t>
      </w:r>
      <w:r w:rsidR="00EF75DD">
        <w:t xml:space="preserve"> or sick leave. </w:t>
      </w:r>
      <w:r w:rsidR="00B075C1">
        <w:t>Permanent</w:t>
      </w:r>
      <w:r w:rsidR="00B674ED">
        <w:t xml:space="preserve"> employees</w:t>
      </w:r>
      <w:r w:rsidR="00B075C1">
        <w:t xml:space="preserve"> were defined as people who received paid holiday or sick leave</w:t>
      </w:r>
      <w:r w:rsidR="00B674ED">
        <w:t xml:space="preserve"> (or both)</w:t>
      </w:r>
      <w:r w:rsidR="00B075C1">
        <w:t xml:space="preserve">. </w:t>
      </w:r>
      <w:r w:rsidR="00EF75DD">
        <w:t xml:space="preserve"> </w:t>
      </w:r>
      <w:r w:rsidR="00B075C1">
        <w:rPr>
          <w:rStyle w:val="NoteLabel"/>
        </w:rPr>
        <w:t>c</w:t>
      </w:r>
      <w:r w:rsidR="00EF75DD" w:rsidRPr="00EF75DD">
        <w:t xml:space="preserve"> </w:t>
      </w:r>
      <w:r w:rsidR="00EF75DD">
        <w:t xml:space="preserve">As discussed in chapter 3, data on employees with and without leave entitlements </w:t>
      </w:r>
      <w:r w:rsidR="00B075C1">
        <w:t>we</w:t>
      </w:r>
      <w:r w:rsidR="00EF75DD">
        <w:t>re used as a proxy for permanent and casual employees, respectively.</w:t>
      </w:r>
      <w:r w:rsidR="00B075C1">
        <w:t xml:space="preserve">  </w:t>
      </w:r>
      <w:r w:rsidR="00B075C1" w:rsidRPr="00B075C1">
        <w:rPr>
          <w:rStyle w:val="NoteLabel"/>
        </w:rPr>
        <w:t>d</w:t>
      </w:r>
      <w:r w:rsidR="00EF75DD">
        <w:t xml:space="preserve"> </w:t>
      </w:r>
      <w:r w:rsidR="00B075C1">
        <w:t>Estimates were derived following the approach documented in box </w:t>
      </w:r>
      <w:proofErr w:type="spellStart"/>
      <w:r w:rsidR="00FC125C">
        <w:fldChar w:fldCharType="begin"/>
      </w:r>
      <w:r w:rsidR="00FC125C">
        <w:instrText xml:space="preserve"> LINK Word.Document.12 "\\\\MEL_1\\groups\\Elmrb\\04_Current projects\\Forms of work\\04_Reports\\Report\\Final\\Electronic appendix.docx" "OLE_LINK1" \a \t </w:instrText>
      </w:r>
      <w:r w:rsidR="00FC125C">
        <w:fldChar w:fldCharType="separate"/>
      </w:r>
      <w:r w:rsidR="00256E3B">
        <w:t>J.1</w:t>
      </w:r>
      <w:proofErr w:type="spellEnd"/>
      <w:r w:rsidR="00FC125C">
        <w:fldChar w:fldCharType="end"/>
      </w:r>
      <w:r w:rsidR="00B075C1">
        <w:t>.</w:t>
      </w:r>
      <w:r w:rsidR="00EF75DD">
        <w:t xml:space="preserve"> </w:t>
      </w:r>
      <w:r w:rsidR="00B075C1">
        <w:t xml:space="preserve"> </w:t>
      </w:r>
      <w:r w:rsidR="00EF75DD">
        <w:rPr>
          <w:rStyle w:val="NoteLabel"/>
        </w:rPr>
        <w:t>e</w:t>
      </w:r>
      <w:r w:rsidR="00215BFD">
        <w:t xml:space="preserve"> </w:t>
      </w:r>
      <w:r w:rsidR="00600EE9">
        <w:t xml:space="preserve">The July 1997 edition of the catalogue contained a feature article on </w:t>
      </w:r>
      <w:proofErr w:type="spellStart"/>
      <w:r w:rsidR="00600EE9">
        <w:t>OMIEs</w:t>
      </w:r>
      <w:proofErr w:type="spellEnd"/>
      <w:r w:rsidR="00F06EC9">
        <w:t xml:space="preserve"> (ABS 1997)</w:t>
      </w:r>
      <w:r w:rsidR="00BE437C">
        <w:t>.</w:t>
      </w:r>
      <w:r w:rsidR="00600EE9">
        <w:t xml:space="preserve"> Figure 2 </w:t>
      </w:r>
      <w:r w:rsidR="00FC125C">
        <w:t xml:space="preserve">of the catalogue </w:t>
      </w:r>
      <w:r w:rsidR="00600EE9">
        <w:t xml:space="preserve">presented an index of </w:t>
      </w:r>
      <w:proofErr w:type="spellStart"/>
      <w:r w:rsidR="00600EE9">
        <w:t>OMIE</w:t>
      </w:r>
      <w:proofErr w:type="spellEnd"/>
      <w:r w:rsidR="00600EE9">
        <w:t xml:space="preserve"> employment between 1978 and 1997. This was used to derive annual data for this series between 1978 and 1991.</w:t>
      </w:r>
    </w:p>
    <w:bookmarkStart w:id="9" w:name="OLE_LINK6"/>
    <w:p w:rsidR="008639D5" w:rsidRDefault="00D96577" w:rsidP="008639D5">
      <w:pPr>
        <w:pStyle w:val="Heading2"/>
      </w:pPr>
      <w:r>
        <w:fldChar w:fldCharType="begin"/>
      </w:r>
      <w:r>
        <w:instrText xml:space="preserve"> COMMENTS  \* MERGEFORMAT </w:instrText>
      </w:r>
      <w:r>
        <w:fldChar w:fldCharType="separate"/>
      </w:r>
      <w:proofErr w:type="spellStart"/>
      <w:r w:rsidR="00256E3B">
        <w:t>J.</w:t>
      </w:r>
      <w:r>
        <w:fldChar w:fldCharType="end"/>
      </w:r>
      <w:r w:rsidR="007E5666">
        <w:fldChar w:fldCharType="begin"/>
      </w:r>
      <w:r w:rsidR="007E5666">
        <w:instrText xml:space="preserve"> SEQ Heading2 </w:instrText>
      </w:r>
      <w:r w:rsidR="007E5666">
        <w:fldChar w:fldCharType="separate"/>
      </w:r>
      <w:r w:rsidR="00281E4C">
        <w:rPr>
          <w:noProof/>
        </w:rPr>
        <w:t>3</w:t>
      </w:r>
      <w:proofErr w:type="spellEnd"/>
      <w:r w:rsidR="007E5666">
        <w:rPr>
          <w:noProof/>
        </w:rPr>
        <w:fldChar w:fldCharType="end"/>
      </w:r>
      <w:r>
        <w:tab/>
      </w:r>
      <w:bookmarkEnd w:id="9"/>
      <w:r w:rsidR="008639D5">
        <w:t>Other assumptions adopted</w:t>
      </w:r>
    </w:p>
    <w:p w:rsidR="00FA1465" w:rsidRDefault="00BE437C" w:rsidP="00FA1465">
      <w:pPr>
        <w:pStyle w:val="BodyText"/>
      </w:pPr>
      <w:r>
        <w:t xml:space="preserve">Presentation of </w:t>
      </w:r>
      <w:r w:rsidR="00FA1465">
        <w:t xml:space="preserve">data </w:t>
      </w:r>
      <w:r>
        <w:t xml:space="preserve">collected </w:t>
      </w:r>
      <w:r w:rsidR="00FA1465">
        <w:t xml:space="preserve">on a consistent basis over three decades </w:t>
      </w:r>
      <w:r w:rsidR="004D3C76">
        <w:t>wa</w:t>
      </w:r>
      <w:r w:rsidR="00FA1465">
        <w:t xml:space="preserve">s complicated by changes in questionnaires and collection methods. </w:t>
      </w:r>
      <w:r w:rsidR="004D3C76">
        <w:t>K</w:t>
      </w:r>
      <w:r w:rsidR="00FA1465">
        <w:t>ey changes</w:t>
      </w:r>
      <w:r w:rsidR="004D3C76">
        <w:t xml:space="preserve">, and the </w:t>
      </w:r>
      <w:r w:rsidR="004452E8">
        <w:t>actions</w:t>
      </w:r>
      <w:r w:rsidR="004D3C76">
        <w:t xml:space="preserve"> taken to </w:t>
      </w:r>
      <w:r w:rsidR="00641769">
        <w:t xml:space="preserve">address </w:t>
      </w:r>
      <w:r w:rsidR="004D3C76">
        <w:t xml:space="preserve">them, </w:t>
      </w:r>
      <w:r w:rsidR="00410DCA">
        <w:t>are described below.</w:t>
      </w:r>
    </w:p>
    <w:p w:rsidR="00410DCA" w:rsidRDefault="00410DCA" w:rsidP="00BD6E5E">
      <w:pPr>
        <w:pStyle w:val="Heading3"/>
      </w:pPr>
      <w:r>
        <w:lastRenderedPageBreak/>
        <w:t>Status in employment</w:t>
      </w:r>
      <w:r w:rsidR="00BE437C">
        <w:t xml:space="preserve"> series</w:t>
      </w:r>
    </w:p>
    <w:p w:rsidR="00B34168" w:rsidRPr="00B34168" w:rsidRDefault="00B34168" w:rsidP="00B34168">
      <w:pPr>
        <w:pStyle w:val="BodyText"/>
      </w:pPr>
      <w:r>
        <w:t>Three key changes to data relating to the status in employment series are discussed in this section.</w:t>
      </w:r>
    </w:p>
    <w:p w:rsidR="00410DCA" w:rsidRPr="003A4376" w:rsidRDefault="00410DCA" w:rsidP="00410DCA">
      <w:pPr>
        <w:pStyle w:val="ListNumber"/>
      </w:pPr>
      <w:r w:rsidRPr="00A25992">
        <w:rPr>
          <w:spacing w:val="-2"/>
        </w:rPr>
        <w:t xml:space="preserve">Revisions were made to the </w:t>
      </w:r>
      <w:proofErr w:type="spellStart"/>
      <w:r w:rsidR="00E14ECE">
        <w:rPr>
          <w:spacing w:val="-2"/>
        </w:rPr>
        <w:t>LFS</w:t>
      </w:r>
      <w:proofErr w:type="spellEnd"/>
      <w:r w:rsidR="00D3538B">
        <w:rPr>
          <w:spacing w:val="-2"/>
        </w:rPr>
        <w:t xml:space="preserve"> </w:t>
      </w:r>
      <w:r w:rsidRPr="00A25992">
        <w:rPr>
          <w:spacing w:val="-2"/>
        </w:rPr>
        <w:t xml:space="preserve">questionnaire in April 1986 to include </w:t>
      </w:r>
      <w:r w:rsidR="00BD6E5E" w:rsidRPr="00A25992">
        <w:rPr>
          <w:spacing w:val="-2"/>
        </w:rPr>
        <w:t>in the def</w:t>
      </w:r>
      <w:r w:rsidR="00BD6E5E">
        <w:rPr>
          <w:spacing w:val="-2"/>
        </w:rPr>
        <w:t>inition of the employed</w:t>
      </w:r>
      <w:r w:rsidR="001D7F95">
        <w:rPr>
          <w:spacing w:val="-2"/>
        </w:rPr>
        <w:t xml:space="preserve">, </w:t>
      </w:r>
      <w:r w:rsidRPr="00A25992">
        <w:rPr>
          <w:spacing w:val="-2"/>
        </w:rPr>
        <w:t xml:space="preserve">people who worked 1 to 14 hours </w:t>
      </w:r>
      <w:r w:rsidR="00BD6E5E">
        <w:rPr>
          <w:spacing w:val="-2"/>
        </w:rPr>
        <w:t xml:space="preserve">per week </w:t>
      </w:r>
      <w:r w:rsidRPr="00A25992">
        <w:rPr>
          <w:spacing w:val="-2"/>
        </w:rPr>
        <w:t>as unpaid family helpers</w:t>
      </w:r>
      <w:r w:rsidR="00D3538B">
        <w:rPr>
          <w:spacing w:val="-2"/>
        </w:rPr>
        <w:t>. There is</w:t>
      </w:r>
      <w:r w:rsidRPr="00A25992">
        <w:rPr>
          <w:spacing w:val="-2"/>
        </w:rPr>
        <w:t xml:space="preserve"> a clear</w:t>
      </w:r>
      <w:r w:rsidR="00D3538B">
        <w:rPr>
          <w:spacing w:val="-2"/>
        </w:rPr>
        <w:t xml:space="preserve"> break in series in data</w:t>
      </w:r>
      <w:r w:rsidR="005D1318">
        <w:rPr>
          <w:spacing w:val="-2"/>
        </w:rPr>
        <w:t xml:space="preserve"> from </w:t>
      </w:r>
      <w:proofErr w:type="spellStart"/>
      <w:r w:rsidR="00D86377">
        <w:rPr>
          <w:spacing w:val="-2"/>
        </w:rPr>
        <w:t>d</w:t>
      </w:r>
      <w:r w:rsidR="005D1318">
        <w:rPr>
          <w:spacing w:val="-2"/>
        </w:rPr>
        <w:t>X</w:t>
      </w:r>
      <w:proofErr w:type="spellEnd"/>
      <w:r w:rsidR="00D86377">
        <w:rPr>
          <w:spacing w:val="-2"/>
        </w:rPr>
        <w:t>.</w:t>
      </w:r>
      <w:r w:rsidR="00D86377">
        <w:rPr>
          <w:rStyle w:val="FootnoteReference"/>
          <w:spacing w:val="-2"/>
        </w:rPr>
        <w:footnoteReference w:id="1"/>
      </w:r>
    </w:p>
    <w:p w:rsidR="00410DCA" w:rsidRPr="00AD174E" w:rsidRDefault="00410DCA" w:rsidP="00B31A9A">
      <w:pPr>
        <w:pStyle w:val="BodyText"/>
        <w:ind w:left="340"/>
      </w:pPr>
      <w:r w:rsidRPr="003A4376">
        <w:rPr>
          <w:i/>
        </w:rPr>
        <w:t>Action:</w:t>
      </w:r>
      <w:r w:rsidR="00D3538B">
        <w:t xml:space="preserve"> Because of the break in series</w:t>
      </w:r>
      <w:r w:rsidRPr="00AD174E">
        <w:t>, the effect detailed at point 3</w:t>
      </w:r>
      <w:r w:rsidR="00C245B0">
        <w:t xml:space="preserve"> (below)</w:t>
      </w:r>
      <w:r w:rsidRPr="00AD174E">
        <w:t xml:space="preserve">, and the small proportion of employment that this category represents, </w:t>
      </w:r>
      <w:r w:rsidR="00C245B0">
        <w:t>contributing family workers we</w:t>
      </w:r>
      <w:r>
        <w:t>re</w:t>
      </w:r>
      <w:r w:rsidRPr="00AD174E">
        <w:t xml:space="preserve"> excluded from the presentation of data.</w:t>
      </w:r>
    </w:p>
    <w:p w:rsidR="00410DCA" w:rsidRDefault="00410DCA" w:rsidP="00410DCA">
      <w:pPr>
        <w:pStyle w:val="ListNumber"/>
      </w:pPr>
      <w:r>
        <w:t>Until February 2000, the ABS cross</w:t>
      </w:r>
      <w:r>
        <w:noBreakHyphen/>
        <w:t xml:space="preserve">checked information provided for individuals to the </w:t>
      </w:r>
      <w:proofErr w:type="spellStart"/>
      <w:r w:rsidR="00B07B7E">
        <w:t>LFS</w:t>
      </w:r>
      <w:proofErr w:type="spellEnd"/>
      <w:r w:rsidR="00B07B7E">
        <w:t xml:space="preserve"> </w:t>
      </w:r>
      <w:r>
        <w:t xml:space="preserve">status in employment question with information on the </w:t>
      </w:r>
      <w:r w:rsidR="00144E71">
        <w:t xml:space="preserve">ABS </w:t>
      </w:r>
      <w:r>
        <w:t>business register.</w:t>
      </w:r>
      <w:r w:rsidR="00144E71">
        <w:rPr>
          <w:rStyle w:val="FootnoteReference"/>
        </w:rPr>
        <w:footnoteReference w:id="2"/>
      </w:r>
      <w:r>
        <w:t xml:space="preserve"> From February 2000, only information provided </w:t>
      </w:r>
      <w:r w:rsidR="005D1318">
        <w:t xml:space="preserve">by survey respondents </w:t>
      </w:r>
      <w:r>
        <w:t xml:space="preserve">was used. </w:t>
      </w:r>
      <w:r w:rsidR="00AA6987">
        <w:t>The effect of this change in approach can be seen in a comparison of data for the last two</w:t>
      </w:r>
      <w:r w:rsidR="00BD6E5E">
        <w:noBreakHyphen/>
      </w:r>
      <w:r w:rsidR="00AA6987">
        <w:t>quarters under the old regime (August and N</w:t>
      </w:r>
      <w:r w:rsidR="00BD6E5E">
        <w:t>ovember 1999) and the first two</w:t>
      </w:r>
      <w:r w:rsidR="00BD6E5E">
        <w:noBreakHyphen/>
      </w:r>
      <w:r w:rsidR="00AA6987">
        <w:t>quarters under the new regime (February and March 2000) (table </w:t>
      </w:r>
      <w:proofErr w:type="spellStart"/>
      <w:r w:rsidR="00D96577">
        <w:rPr>
          <w:b/>
        </w:rPr>
        <w:fldChar w:fldCharType="begin"/>
      </w:r>
      <w:r w:rsidR="00D96577">
        <w:rPr>
          <w:b/>
        </w:rPr>
        <w:instrText xml:space="preserve"> LINK Word.Document.12 "\\\\MEL_1\\groups\\Elmrb\\04_Current projects\\Forms of work\\04_Reports\\Report\\Final\\Electronic appendix.docx" "OLE_LINK3" \a \t </w:instrText>
      </w:r>
      <w:r w:rsidR="00D96577">
        <w:rPr>
          <w:b/>
        </w:rPr>
        <w:fldChar w:fldCharType="separate"/>
      </w:r>
      <w:r w:rsidR="00256E3B">
        <w:t>J.2</w:t>
      </w:r>
      <w:proofErr w:type="spellEnd"/>
      <w:r w:rsidR="00D96577">
        <w:rPr>
          <w:b/>
        </w:rPr>
        <w:fldChar w:fldCharType="end"/>
      </w:r>
      <w:r w:rsidR="00AA6987">
        <w:t xml:space="preserve">). </w:t>
      </w:r>
      <w:r>
        <w:t xml:space="preserve">The effect </w:t>
      </w:r>
      <w:r w:rsidR="00D60EC0">
        <w:t>of th</w:t>
      </w:r>
      <w:r w:rsidR="00AA6987">
        <w:t>e</w:t>
      </w:r>
      <w:r w:rsidR="00D60EC0">
        <w:t xml:space="preserve"> change </w:t>
      </w:r>
      <w:r>
        <w:t xml:space="preserve">was most pronounced for the category of employers. </w:t>
      </w:r>
      <w:r w:rsidRPr="00DD5E3B">
        <w:t>Estimates of employees were 0.6 per cent higher using the new method, and estimates for employers</w:t>
      </w:r>
      <w:r>
        <w:t xml:space="preserve"> </w:t>
      </w:r>
      <w:r w:rsidRPr="00DD5E3B">
        <w:t>and own account workers were 10 per cent and 0.8 per cent lower, respectively</w:t>
      </w:r>
      <w:r>
        <w:t xml:space="preserve"> (ABS 2000).</w:t>
      </w:r>
    </w:p>
    <w:p w:rsidR="00410DCA" w:rsidRDefault="00410DCA" w:rsidP="00B31A9A">
      <w:pPr>
        <w:pStyle w:val="ListNumber"/>
        <w:numPr>
          <w:ilvl w:val="0"/>
          <w:numId w:val="0"/>
        </w:numPr>
        <w:spacing w:before="240"/>
        <w:ind w:left="340"/>
      </w:pPr>
      <w:r w:rsidRPr="003A4376">
        <w:rPr>
          <w:i/>
        </w:rPr>
        <w:t>Action:</w:t>
      </w:r>
      <w:r w:rsidRPr="00AD174E">
        <w:t xml:space="preserve"> </w:t>
      </w:r>
      <w:r>
        <w:t xml:space="preserve">Estimates for </w:t>
      </w:r>
      <w:r w:rsidR="007B6838">
        <w:t>employers</w:t>
      </w:r>
      <w:r>
        <w:t xml:space="preserve"> pre</w:t>
      </w:r>
      <w:r w:rsidR="00BD6E5E">
        <w:noBreakHyphen/>
      </w:r>
      <w:r>
        <w:t xml:space="preserve">February 2000 </w:t>
      </w:r>
      <w:r w:rsidR="00B07B7E">
        <w:t>we</w:t>
      </w:r>
      <w:r>
        <w:t>re reduced by 10 per cent. Given the small ef</w:t>
      </w:r>
      <w:r w:rsidR="00B07B7E">
        <w:t>fect on the series</w:t>
      </w:r>
      <w:r w:rsidR="00BD6E5E">
        <w:t xml:space="preserve"> for employees and own account workers</w:t>
      </w:r>
      <w:r w:rsidR="00B07B7E">
        <w:t>, they we</w:t>
      </w:r>
      <w:r>
        <w:t>re not adjusted.</w:t>
      </w:r>
    </w:p>
    <w:p w:rsidR="00410DCA" w:rsidRDefault="00D96577" w:rsidP="00410DCA">
      <w:pPr>
        <w:pStyle w:val="TableTitle"/>
      </w:pPr>
      <w:r>
        <w:rPr>
          <w:b w:val="0"/>
        </w:rPr>
        <w:t xml:space="preserve">Table </w:t>
      </w:r>
      <w:bookmarkStart w:id="10" w:name="OLE_LINK3"/>
      <w:r>
        <w:rPr>
          <w:b w:val="0"/>
        </w:rPr>
        <w:fldChar w:fldCharType="begin"/>
      </w:r>
      <w:r>
        <w:rPr>
          <w:b w:val="0"/>
        </w:rPr>
        <w:instrText xml:space="preserve"> COMMENTS  \* MERGEFORMAT </w:instrText>
      </w:r>
      <w:r>
        <w:rPr>
          <w:b w:val="0"/>
        </w:rPr>
        <w:fldChar w:fldCharType="separate"/>
      </w:r>
      <w:proofErr w:type="spellStart"/>
      <w:r w:rsidR="00256E3B">
        <w:rPr>
          <w:b w:val="0"/>
        </w:rPr>
        <w:t>J.</w:t>
      </w:r>
      <w:r>
        <w:rPr>
          <w:b w:val="0"/>
        </w:rPr>
        <w:fldChar w:fldCharType="end"/>
      </w:r>
      <w:r>
        <w:rPr>
          <w:b w:val="0"/>
        </w:rPr>
        <w:fldChar w:fldCharType="begin"/>
      </w:r>
      <w:r>
        <w:rPr>
          <w:b w:val="0"/>
        </w:rPr>
        <w:instrText xml:space="preserve"> SEQ Table \* ARABIC </w:instrText>
      </w:r>
      <w:r>
        <w:rPr>
          <w:b w:val="0"/>
        </w:rPr>
        <w:fldChar w:fldCharType="separate"/>
      </w:r>
      <w:r w:rsidR="00281E4C">
        <w:rPr>
          <w:b w:val="0"/>
          <w:noProof/>
        </w:rPr>
        <w:t>2</w:t>
      </w:r>
      <w:proofErr w:type="spellEnd"/>
      <w:r>
        <w:rPr>
          <w:b w:val="0"/>
        </w:rPr>
        <w:fldChar w:fldCharType="end"/>
      </w:r>
      <w:bookmarkEnd w:id="10"/>
      <w:r>
        <w:tab/>
      </w:r>
      <w:r w:rsidR="00410DCA">
        <w:t>Effect of dropping reference to business register in February 2000 on status in employment variables</w:t>
      </w:r>
    </w:p>
    <w:p w:rsidR="00D71438" w:rsidRPr="00D71438" w:rsidRDefault="00D71438" w:rsidP="00D71438">
      <w:pPr>
        <w:pStyle w:val="Subtitle"/>
      </w:pPr>
      <w:r w:rsidRPr="00D71438">
        <w:t>Per cent</w:t>
      </w:r>
    </w:p>
    <w:tbl>
      <w:tblPr>
        <w:tblW w:w="5000" w:type="pct"/>
        <w:tblCellMar>
          <w:left w:w="0" w:type="dxa"/>
          <w:right w:w="0" w:type="dxa"/>
        </w:tblCellMar>
        <w:tblLook w:val="04A0" w:firstRow="1" w:lastRow="0" w:firstColumn="1" w:lastColumn="0" w:noHBand="0" w:noVBand="1"/>
      </w:tblPr>
      <w:tblGrid>
        <w:gridCol w:w="946"/>
        <w:gridCol w:w="1267"/>
        <w:gridCol w:w="1223"/>
        <w:gridCol w:w="2201"/>
        <w:gridCol w:w="2067"/>
        <w:gridCol w:w="1085"/>
      </w:tblGrid>
      <w:tr w:rsidR="00410DCA" w:rsidRPr="00384FD5" w:rsidTr="00823164">
        <w:trPr>
          <w:trHeight w:val="765"/>
        </w:trPr>
        <w:tc>
          <w:tcPr>
            <w:tcW w:w="538" w:type="pct"/>
            <w:tcBorders>
              <w:top w:val="single" w:sz="6" w:space="0" w:color="auto"/>
              <w:left w:val="nil"/>
              <w:bottom w:val="single" w:sz="6" w:space="0" w:color="auto"/>
              <w:right w:val="nil"/>
            </w:tcBorders>
            <w:shd w:val="clear" w:color="auto" w:fill="auto"/>
            <w:noWrap/>
            <w:vAlign w:val="bottom"/>
            <w:hideMark/>
          </w:tcPr>
          <w:p w:rsidR="00410DCA" w:rsidRPr="00384FD5" w:rsidRDefault="00410DCA" w:rsidP="007349DC">
            <w:pPr>
              <w:pStyle w:val="TableColumnHeading"/>
              <w:jc w:val="left"/>
            </w:pPr>
          </w:p>
        </w:tc>
        <w:tc>
          <w:tcPr>
            <w:tcW w:w="721" w:type="pct"/>
            <w:tcBorders>
              <w:top w:val="single" w:sz="6" w:space="0" w:color="auto"/>
              <w:left w:val="nil"/>
              <w:bottom w:val="single" w:sz="6" w:space="0" w:color="auto"/>
              <w:right w:val="nil"/>
            </w:tcBorders>
            <w:shd w:val="clear" w:color="auto" w:fill="auto"/>
            <w:vAlign w:val="bottom"/>
            <w:hideMark/>
          </w:tcPr>
          <w:p w:rsidR="00410DCA" w:rsidRPr="00384FD5" w:rsidRDefault="00410DCA" w:rsidP="007349DC">
            <w:pPr>
              <w:pStyle w:val="TableColumnHeading"/>
            </w:pPr>
            <w:r w:rsidRPr="00384FD5">
              <w:t>Employees</w:t>
            </w:r>
          </w:p>
        </w:tc>
        <w:tc>
          <w:tcPr>
            <w:tcW w:w="696" w:type="pct"/>
            <w:tcBorders>
              <w:top w:val="single" w:sz="6" w:space="0" w:color="auto"/>
              <w:left w:val="nil"/>
              <w:bottom w:val="single" w:sz="6" w:space="0" w:color="auto"/>
              <w:right w:val="nil"/>
            </w:tcBorders>
            <w:shd w:val="clear" w:color="auto" w:fill="auto"/>
            <w:vAlign w:val="bottom"/>
            <w:hideMark/>
          </w:tcPr>
          <w:p w:rsidR="00410DCA" w:rsidRPr="00384FD5" w:rsidRDefault="00410DCA" w:rsidP="007349DC">
            <w:pPr>
              <w:pStyle w:val="TableColumnHeading"/>
            </w:pPr>
            <w:r w:rsidRPr="00384FD5">
              <w:t>Employers</w:t>
            </w:r>
          </w:p>
        </w:tc>
        <w:tc>
          <w:tcPr>
            <w:tcW w:w="1252" w:type="pct"/>
            <w:tcBorders>
              <w:top w:val="single" w:sz="6" w:space="0" w:color="auto"/>
              <w:left w:val="nil"/>
              <w:bottom w:val="single" w:sz="6" w:space="0" w:color="auto"/>
              <w:right w:val="nil"/>
            </w:tcBorders>
            <w:shd w:val="clear" w:color="auto" w:fill="auto"/>
            <w:vAlign w:val="bottom"/>
            <w:hideMark/>
          </w:tcPr>
          <w:p w:rsidR="00410DCA" w:rsidRPr="00384FD5" w:rsidRDefault="00410DCA" w:rsidP="007349DC">
            <w:pPr>
              <w:pStyle w:val="TableColumnHeading"/>
            </w:pPr>
            <w:r w:rsidRPr="00384FD5">
              <w:t>Own account workers</w:t>
            </w:r>
          </w:p>
        </w:tc>
        <w:tc>
          <w:tcPr>
            <w:tcW w:w="1176" w:type="pct"/>
            <w:tcBorders>
              <w:top w:val="single" w:sz="6" w:space="0" w:color="auto"/>
              <w:left w:val="nil"/>
              <w:bottom w:val="single" w:sz="6" w:space="0" w:color="auto"/>
              <w:right w:val="nil"/>
            </w:tcBorders>
            <w:shd w:val="clear" w:color="auto" w:fill="auto"/>
            <w:vAlign w:val="bottom"/>
            <w:hideMark/>
          </w:tcPr>
          <w:p w:rsidR="00410DCA" w:rsidRPr="00384FD5" w:rsidRDefault="00410DCA" w:rsidP="007349DC">
            <w:pPr>
              <w:pStyle w:val="TableColumnHeading"/>
            </w:pPr>
            <w:r w:rsidRPr="00384FD5">
              <w:t>Contrib</w:t>
            </w:r>
            <w:r>
              <w:t>uting</w:t>
            </w:r>
            <w:r w:rsidRPr="00384FD5">
              <w:t xml:space="preserve"> fam</w:t>
            </w:r>
            <w:r>
              <w:t>ily</w:t>
            </w:r>
            <w:r w:rsidRPr="00384FD5">
              <w:t xml:space="preserve"> workers</w:t>
            </w:r>
          </w:p>
        </w:tc>
        <w:tc>
          <w:tcPr>
            <w:tcW w:w="617" w:type="pct"/>
            <w:tcBorders>
              <w:top w:val="single" w:sz="6" w:space="0" w:color="auto"/>
              <w:left w:val="nil"/>
              <w:bottom w:val="single" w:sz="6" w:space="0" w:color="auto"/>
              <w:right w:val="nil"/>
            </w:tcBorders>
            <w:shd w:val="clear" w:color="auto" w:fill="auto"/>
            <w:vAlign w:val="bottom"/>
            <w:hideMark/>
          </w:tcPr>
          <w:p w:rsidR="00410DCA" w:rsidRPr="00384FD5" w:rsidRDefault="00410DCA" w:rsidP="007349DC">
            <w:pPr>
              <w:pStyle w:val="TableColumnHeading"/>
              <w:ind w:right="28"/>
            </w:pPr>
            <w:r w:rsidRPr="00384FD5">
              <w:t>Total</w:t>
            </w:r>
          </w:p>
        </w:tc>
      </w:tr>
      <w:tr w:rsidR="00410DCA" w:rsidRPr="00384FD5" w:rsidTr="00823164">
        <w:trPr>
          <w:trHeight w:val="255"/>
        </w:trPr>
        <w:tc>
          <w:tcPr>
            <w:tcW w:w="538" w:type="pct"/>
            <w:tcBorders>
              <w:left w:val="nil"/>
              <w:bottom w:val="nil"/>
              <w:right w:val="nil"/>
            </w:tcBorders>
            <w:shd w:val="clear" w:color="auto" w:fill="auto"/>
            <w:noWrap/>
            <w:vAlign w:val="bottom"/>
            <w:hideMark/>
          </w:tcPr>
          <w:p w:rsidR="00410DCA" w:rsidRPr="00384FD5" w:rsidRDefault="00410DCA" w:rsidP="00D71438">
            <w:pPr>
              <w:pStyle w:val="TableBodyText"/>
              <w:spacing w:before="40"/>
              <w:jc w:val="left"/>
            </w:pPr>
            <w:r w:rsidRPr="00384FD5">
              <w:t>Aug-99</w:t>
            </w:r>
          </w:p>
        </w:tc>
        <w:tc>
          <w:tcPr>
            <w:tcW w:w="721" w:type="pct"/>
            <w:tcBorders>
              <w:left w:val="nil"/>
              <w:bottom w:val="nil"/>
              <w:right w:val="nil"/>
            </w:tcBorders>
            <w:shd w:val="clear" w:color="auto" w:fill="auto"/>
            <w:noWrap/>
            <w:vAlign w:val="bottom"/>
            <w:hideMark/>
          </w:tcPr>
          <w:p w:rsidR="00410DCA" w:rsidRPr="00384FD5" w:rsidRDefault="00410DCA" w:rsidP="00D71438">
            <w:pPr>
              <w:pStyle w:val="TableBodyText"/>
              <w:spacing w:before="40"/>
            </w:pPr>
            <w:r w:rsidRPr="00384FD5">
              <w:t>84.4</w:t>
            </w:r>
          </w:p>
        </w:tc>
        <w:tc>
          <w:tcPr>
            <w:tcW w:w="696" w:type="pct"/>
            <w:tcBorders>
              <w:left w:val="nil"/>
              <w:bottom w:val="nil"/>
              <w:right w:val="nil"/>
            </w:tcBorders>
            <w:shd w:val="clear" w:color="auto" w:fill="auto"/>
            <w:noWrap/>
            <w:vAlign w:val="bottom"/>
            <w:hideMark/>
          </w:tcPr>
          <w:p w:rsidR="00410DCA" w:rsidRPr="00384FD5" w:rsidRDefault="00410DCA" w:rsidP="00D71438">
            <w:pPr>
              <w:pStyle w:val="TableBodyText"/>
              <w:spacing w:before="40"/>
            </w:pPr>
            <w:r w:rsidRPr="00384FD5">
              <w:t>4.1</w:t>
            </w:r>
          </w:p>
        </w:tc>
        <w:tc>
          <w:tcPr>
            <w:tcW w:w="1252" w:type="pct"/>
            <w:tcBorders>
              <w:left w:val="nil"/>
              <w:bottom w:val="nil"/>
              <w:right w:val="nil"/>
            </w:tcBorders>
            <w:shd w:val="clear" w:color="auto" w:fill="auto"/>
            <w:noWrap/>
            <w:vAlign w:val="bottom"/>
            <w:hideMark/>
          </w:tcPr>
          <w:p w:rsidR="00410DCA" w:rsidRPr="00384FD5" w:rsidRDefault="00410DCA" w:rsidP="00D71438">
            <w:pPr>
              <w:pStyle w:val="TableBodyText"/>
              <w:spacing w:before="40"/>
            </w:pPr>
            <w:r w:rsidRPr="00384FD5">
              <w:t>10.5</w:t>
            </w:r>
          </w:p>
        </w:tc>
        <w:tc>
          <w:tcPr>
            <w:tcW w:w="1176" w:type="pct"/>
            <w:tcBorders>
              <w:left w:val="nil"/>
              <w:bottom w:val="nil"/>
              <w:right w:val="nil"/>
            </w:tcBorders>
            <w:shd w:val="clear" w:color="auto" w:fill="auto"/>
            <w:noWrap/>
            <w:vAlign w:val="bottom"/>
            <w:hideMark/>
          </w:tcPr>
          <w:p w:rsidR="00410DCA" w:rsidRPr="00384FD5" w:rsidRDefault="00410DCA" w:rsidP="00D71438">
            <w:pPr>
              <w:pStyle w:val="TableBodyText"/>
              <w:spacing w:before="40"/>
            </w:pPr>
            <w:r w:rsidRPr="00384FD5">
              <w:t>0.9</w:t>
            </w:r>
          </w:p>
        </w:tc>
        <w:tc>
          <w:tcPr>
            <w:tcW w:w="617" w:type="pct"/>
            <w:tcBorders>
              <w:left w:val="nil"/>
              <w:bottom w:val="nil"/>
              <w:right w:val="nil"/>
            </w:tcBorders>
            <w:shd w:val="clear" w:color="auto" w:fill="auto"/>
            <w:noWrap/>
            <w:vAlign w:val="bottom"/>
            <w:hideMark/>
          </w:tcPr>
          <w:p w:rsidR="00410DCA" w:rsidRPr="00384FD5" w:rsidRDefault="00410DCA" w:rsidP="00D71438">
            <w:pPr>
              <w:pStyle w:val="TableBodyText"/>
              <w:spacing w:before="40"/>
              <w:ind w:right="28"/>
            </w:pPr>
            <w:r w:rsidRPr="00384FD5">
              <w:t>100</w:t>
            </w:r>
          </w:p>
        </w:tc>
      </w:tr>
      <w:tr w:rsidR="00410DCA" w:rsidRPr="00384FD5" w:rsidTr="00823164">
        <w:trPr>
          <w:trHeight w:val="255"/>
        </w:trPr>
        <w:tc>
          <w:tcPr>
            <w:tcW w:w="538" w:type="pct"/>
            <w:tcBorders>
              <w:top w:val="nil"/>
              <w:left w:val="nil"/>
              <w:bottom w:val="nil"/>
              <w:right w:val="nil"/>
            </w:tcBorders>
            <w:shd w:val="clear" w:color="auto" w:fill="auto"/>
            <w:noWrap/>
            <w:vAlign w:val="bottom"/>
            <w:hideMark/>
          </w:tcPr>
          <w:p w:rsidR="00410DCA" w:rsidRPr="00384FD5" w:rsidRDefault="00410DCA" w:rsidP="007349DC">
            <w:pPr>
              <w:pStyle w:val="TableBodyText"/>
              <w:jc w:val="left"/>
            </w:pPr>
            <w:r w:rsidRPr="00384FD5">
              <w:t>Nov-99</w:t>
            </w:r>
          </w:p>
        </w:tc>
        <w:tc>
          <w:tcPr>
            <w:tcW w:w="721" w:type="pct"/>
            <w:tcBorders>
              <w:top w:val="nil"/>
              <w:left w:val="nil"/>
              <w:bottom w:val="nil"/>
              <w:right w:val="nil"/>
            </w:tcBorders>
            <w:shd w:val="clear" w:color="auto" w:fill="auto"/>
            <w:noWrap/>
            <w:vAlign w:val="bottom"/>
            <w:hideMark/>
          </w:tcPr>
          <w:p w:rsidR="00410DCA" w:rsidRPr="00384FD5" w:rsidRDefault="00410DCA" w:rsidP="007349DC">
            <w:pPr>
              <w:pStyle w:val="TableBodyText"/>
            </w:pPr>
            <w:r w:rsidRPr="00384FD5">
              <w:t>85.7</w:t>
            </w:r>
          </w:p>
        </w:tc>
        <w:tc>
          <w:tcPr>
            <w:tcW w:w="696" w:type="pct"/>
            <w:tcBorders>
              <w:top w:val="nil"/>
              <w:left w:val="nil"/>
              <w:bottom w:val="nil"/>
              <w:right w:val="nil"/>
            </w:tcBorders>
            <w:shd w:val="clear" w:color="auto" w:fill="auto"/>
            <w:noWrap/>
            <w:vAlign w:val="bottom"/>
            <w:hideMark/>
          </w:tcPr>
          <w:p w:rsidR="00410DCA" w:rsidRPr="00384FD5" w:rsidRDefault="00410DCA" w:rsidP="007349DC">
            <w:pPr>
              <w:pStyle w:val="TableBodyText"/>
            </w:pPr>
            <w:r w:rsidRPr="00384FD5">
              <w:t>4.0</w:t>
            </w:r>
          </w:p>
        </w:tc>
        <w:tc>
          <w:tcPr>
            <w:tcW w:w="1252" w:type="pct"/>
            <w:tcBorders>
              <w:top w:val="nil"/>
              <w:left w:val="nil"/>
              <w:bottom w:val="nil"/>
              <w:right w:val="nil"/>
            </w:tcBorders>
            <w:shd w:val="clear" w:color="auto" w:fill="auto"/>
            <w:noWrap/>
            <w:vAlign w:val="bottom"/>
            <w:hideMark/>
          </w:tcPr>
          <w:p w:rsidR="00410DCA" w:rsidRPr="00384FD5" w:rsidRDefault="00410DCA" w:rsidP="007349DC">
            <w:pPr>
              <w:pStyle w:val="TableBodyText"/>
            </w:pPr>
            <w:r w:rsidRPr="00384FD5">
              <w:t>9.5</w:t>
            </w:r>
          </w:p>
        </w:tc>
        <w:tc>
          <w:tcPr>
            <w:tcW w:w="1176" w:type="pct"/>
            <w:tcBorders>
              <w:top w:val="nil"/>
              <w:left w:val="nil"/>
              <w:bottom w:val="nil"/>
              <w:right w:val="nil"/>
            </w:tcBorders>
            <w:shd w:val="clear" w:color="auto" w:fill="auto"/>
            <w:noWrap/>
            <w:vAlign w:val="bottom"/>
            <w:hideMark/>
          </w:tcPr>
          <w:p w:rsidR="00410DCA" w:rsidRPr="00384FD5" w:rsidRDefault="00410DCA" w:rsidP="007349DC">
            <w:pPr>
              <w:pStyle w:val="TableBodyText"/>
            </w:pPr>
            <w:r w:rsidRPr="00384FD5">
              <w:t>0.8</w:t>
            </w:r>
          </w:p>
        </w:tc>
        <w:tc>
          <w:tcPr>
            <w:tcW w:w="617" w:type="pct"/>
            <w:tcBorders>
              <w:top w:val="nil"/>
              <w:left w:val="nil"/>
              <w:bottom w:val="nil"/>
              <w:right w:val="nil"/>
            </w:tcBorders>
            <w:shd w:val="clear" w:color="auto" w:fill="auto"/>
            <w:noWrap/>
            <w:vAlign w:val="bottom"/>
            <w:hideMark/>
          </w:tcPr>
          <w:p w:rsidR="00410DCA" w:rsidRPr="00384FD5" w:rsidRDefault="001D7F95" w:rsidP="007349DC">
            <w:pPr>
              <w:pStyle w:val="TableBodyText"/>
              <w:ind w:right="28"/>
            </w:pPr>
            <w:r>
              <w:t>100</w:t>
            </w:r>
          </w:p>
        </w:tc>
      </w:tr>
      <w:tr w:rsidR="00410DCA" w:rsidRPr="00384FD5" w:rsidTr="00823164">
        <w:trPr>
          <w:trHeight w:val="255"/>
        </w:trPr>
        <w:tc>
          <w:tcPr>
            <w:tcW w:w="538" w:type="pct"/>
            <w:tcBorders>
              <w:top w:val="nil"/>
              <w:left w:val="nil"/>
              <w:right w:val="nil"/>
            </w:tcBorders>
            <w:shd w:val="clear" w:color="auto" w:fill="auto"/>
            <w:noWrap/>
            <w:vAlign w:val="bottom"/>
            <w:hideMark/>
          </w:tcPr>
          <w:p w:rsidR="00410DCA" w:rsidRPr="00384FD5" w:rsidRDefault="00410DCA" w:rsidP="007349DC">
            <w:pPr>
              <w:pStyle w:val="TableBodyText"/>
              <w:jc w:val="left"/>
            </w:pPr>
            <w:r w:rsidRPr="00384FD5">
              <w:t>Feb-00</w:t>
            </w:r>
          </w:p>
        </w:tc>
        <w:tc>
          <w:tcPr>
            <w:tcW w:w="721" w:type="pct"/>
            <w:tcBorders>
              <w:top w:val="nil"/>
              <w:left w:val="nil"/>
              <w:right w:val="nil"/>
            </w:tcBorders>
            <w:shd w:val="clear" w:color="auto" w:fill="auto"/>
            <w:noWrap/>
            <w:vAlign w:val="bottom"/>
            <w:hideMark/>
          </w:tcPr>
          <w:p w:rsidR="00410DCA" w:rsidRPr="00384FD5" w:rsidRDefault="00410DCA" w:rsidP="007349DC">
            <w:pPr>
              <w:pStyle w:val="TableBodyText"/>
            </w:pPr>
            <w:r w:rsidRPr="00384FD5">
              <w:t>85.9</w:t>
            </w:r>
          </w:p>
        </w:tc>
        <w:tc>
          <w:tcPr>
            <w:tcW w:w="696" w:type="pct"/>
            <w:tcBorders>
              <w:top w:val="nil"/>
              <w:left w:val="nil"/>
              <w:right w:val="nil"/>
            </w:tcBorders>
            <w:shd w:val="clear" w:color="auto" w:fill="auto"/>
            <w:noWrap/>
            <w:vAlign w:val="bottom"/>
            <w:hideMark/>
          </w:tcPr>
          <w:p w:rsidR="00410DCA" w:rsidRPr="00384FD5" w:rsidRDefault="00410DCA" w:rsidP="007349DC">
            <w:pPr>
              <w:pStyle w:val="TableBodyText"/>
            </w:pPr>
            <w:r w:rsidRPr="00384FD5">
              <w:t>3.6</w:t>
            </w:r>
          </w:p>
        </w:tc>
        <w:tc>
          <w:tcPr>
            <w:tcW w:w="1252" w:type="pct"/>
            <w:tcBorders>
              <w:top w:val="nil"/>
              <w:left w:val="nil"/>
              <w:right w:val="nil"/>
            </w:tcBorders>
            <w:shd w:val="clear" w:color="auto" w:fill="auto"/>
            <w:noWrap/>
            <w:vAlign w:val="bottom"/>
            <w:hideMark/>
          </w:tcPr>
          <w:p w:rsidR="00410DCA" w:rsidRPr="00384FD5" w:rsidRDefault="00410DCA" w:rsidP="007349DC">
            <w:pPr>
              <w:pStyle w:val="TableBodyText"/>
            </w:pPr>
            <w:r w:rsidRPr="00384FD5">
              <w:t>9.6</w:t>
            </w:r>
          </w:p>
        </w:tc>
        <w:tc>
          <w:tcPr>
            <w:tcW w:w="1176" w:type="pct"/>
            <w:tcBorders>
              <w:top w:val="nil"/>
              <w:left w:val="nil"/>
              <w:right w:val="nil"/>
            </w:tcBorders>
            <w:shd w:val="clear" w:color="auto" w:fill="auto"/>
            <w:noWrap/>
            <w:vAlign w:val="bottom"/>
            <w:hideMark/>
          </w:tcPr>
          <w:p w:rsidR="00410DCA" w:rsidRPr="00384FD5" w:rsidRDefault="00410DCA" w:rsidP="007349DC">
            <w:pPr>
              <w:pStyle w:val="TableBodyText"/>
            </w:pPr>
            <w:r w:rsidRPr="00384FD5">
              <w:t>0.8</w:t>
            </w:r>
          </w:p>
        </w:tc>
        <w:tc>
          <w:tcPr>
            <w:tcW w:w="617" w:type="pct"/>
            <w:tcBorders>
              <w:top w:val="nil"/>
              <w:left w:val="nil"/>
              <w:right w:val="nil"/>
            </w:tcBorders>
            <w:shd w:val="clear" w:color="auto" w:fill="auto"/>
            <w:noWrap/>
            <w:vAlign w:val="bottom"/>
            <w:hideMark/>
          </w:tcPr>
          <w:p w:rsidR="00410DCA" w:rsidRPr="00384FD5" w:rsidRDefault="001D7F95" w:rsidP="007349DC">
            <w:pPr>
              <w:pStyle w:val="TableBodyText"/>
              <w:ind w:right="28"/>
            </w:pPr>
            <w:r>
              <w:t>100</w:t>
            </w:r>
          </w:p>
        </w:tc>
      </w:tr>
      <w:tr w:rsidR="00410DCA" w:rsidRPr="00384FD5" w:rsidTr="00823164">
        <w:trPr>
          <w:trHeight w:val="255"/>
        </w:trPr>
        <w:tc>
          <w:tcPr>
            <w:tcW w:w="538" w:type="pct"/>
            <w:tcBorders>
              <w:top w:val="nil"/>
              <w:left w:val="nil"/>
              <w:bottom w:val="single" w:sz="6" w:space="0" w:color="auto"/>
              <w:right w:val="nil"/>
            </w:tcBorders>
            <w:shd w:val="clear" w:color="auto" w:fill="auto"/>
            <w:noWrap/>
            <w:vAlign w:val="bottom"/>
            <w:hideMark/>
          </w:tcPr>
          <w:p w:rsidR="00410DCA" w:rsidRPr="00384FD5" w:rsidRDefault="00410DCA" w:rsidP="007349DC">
            <w:pPr>
              <w:pStyle w:val="TableBodyText"/>
              <w:jc w:val="left"/>
            </w:pPr>
            <w:r w:rsidRPr="00384FD5">
              <w:t>May-00</w:t>
            </w:r>
          </w:p>
        </w:tc>
        <w:tc>
          <w:tcPr>
            <w:tcW w:w="721" w:type="pct"/>
            <w:tcBorders>
              <w:top w:val="nil"/>
              <w:left w:val="nil"/>
              <w:bottom w:val="single" w:sz="6" w:space="0" w:color="auto"/>
              <w:right w:val="nil"/>
            </w:tcBorders>
            <w:shd w:val="clear" w:color="auto" w:fill="auto"/>
            <w:noWrap/>
            <w:vAlign w:val="bottom"/>
            <w:hideMark/>
          </w:tcPr>
          <w:p w:rsidR="00410DCA" w:rsidRPr="00384FD5" w:rsidRDefault="00410DCA" w:rsidP="007349DC">
            <w:pPr>
              <w:pStyle w:val="TableBodyText"/>
            </w:pPr>
            <w:r w:rsidRPr="00384FD5">
              <w:t>86.5</w:t>
            </w:r>
          </w:p>
        </w:tc>
        <w:tc>
          <w:tcPr>
            <w:tcW w:w="696" w:type="pct"/>
            <w:tcBorders>
              <w:top w:val="nil"/>
              <w:left w:val="nil"/>
              <w:bottom w:val="single" w:sz="6" w:space="0" w:color="auto"/>
              <w:right w:val="nil"/>
            </w:tcBorders>
            <w:shd w:val="clear" w:color="auto" w:fill="auto"/>
            <w:noWrap/>
            <w:vAlign w:val="bottom"/>
            <w:hideMark/>
          </w:tcPr>
          <w:p w:rsidR="00410DCA" w:rsidRPr="00384FD5" w:rsidRDefault="00410DCA" w:rsidP="007349DC">
            <w:pPr>
              <w:pStyle w:val="TableBodyText"/>
            </w:pPr>
            <w:r w:rsidRPr="00384FD5">
              <w:t>3.6</w:t>
            </w:r>
          </w:p>
        </w:tc>
        <w:tc>
          <w:tcPr>
            <w:tcW w:w="1252" w:type="pct"/>
            <w:tcBorders>
              <w:top w:val="nil"/>
              <w:left w:val="nil"/>
              <w:bottom w:val="single" w:sz="6" w:space="0" w:color="auto"/>
              <w:right w:val="nil"/>
            </w:tcBorders>
            <w:shd w:val="clear" w:color="auto" w:fill="auto"/>
            <w:noWrap/>
            <w:vAlign w:val="bottom"/>
            <w:hideMark/>
          </w:tcPr>
          <w:p w:rsidR="00410DCA" w:rsidRPr="00384FD5" w:rsidRDefault="00410DCA" w:rsidP="007349DC">
            <w:pPr>
              <w:pStyle w:val="TableBodyText"/>
            </w:pPr>
            <w:r w:rsidRPr="00384FD5">
              <w:t>9.2</w:t>
            </w:r>
          </w:p>
        </w:tc>
        <w:tc>
          <w:tcPr>
            <w:tcW w:w="1176" w:type="pct"/>
            <w:tcBorders>
              <w:top w:val="nil"/>
              <w:left w:val="nil"/>
              <w:bottom w:val="single" w:sz="6" w:space="0" w:color="auto"/>
              <w:right w:val="nil"/>
            </w:tcBorders>
            <w:shd w:val="clear" w:color="auto" w:fill="auto"/>
            <w:noWrap/>
            <w:vAlign w:val="bottom"/>
            <w:hideMark/>
          </w:tcPr>
          <w:p w:rsidR="00410DCA" w:rsidRPr="00384FD5" w:rsidRDefault="00410DCA" w:rsidP="007349DC">
            <w:pPr>
              <w:pStyle w:val="TableBodyText"/>
            </w:pPr>
            <w:r w:rsidRPr="00384FD5">
              <w:t>0.7</w:t>
            </w:r>
          </w:p>
        </w:tc>
        <w:tc>
          <w:tcPr>
            <w:tcW w:w="617" w:type="pct"/>
            <w:tcBorders>
              <w:top w:val="nil"/>
              <w:left w:val="nil"/>
              <w:bottom w:val="single" w:sz="6" w:space="0" w:color="auto"/>
              <w:right w:val="nil"/>
            </w:tcBorders>
            <w:shd w:val="clear" w:color="auto" w:fill="auto"/>
            <w:noWrap/>
            <w:vAlign w:val="bottom"/>
            <w:hideMark/>
          </w:tcPr>
          <w:p w:rsidR="00410DCA" w:rsidRPr="00384FD5" w:rsidRDefault="001D7F95" w:rsidP="007349DC">
            <w:pPr>
              <w:pStyle w:val="TableBodyText"/>
              <w:ind w:right="28"/>
            </w:pPr>
            <w:r>
              <w:t>100</w:t>
            </w:r>
          </w:p>
        </w:tc>
      </w:tr>
    </w:tbl>
    <w:p w:rsidR="00410DCA" w:rsidRPr="00087D48" w:rsidRDefault="00410DCA" w:rsidP="00410DCA">
      <w:pPr>
        <w:pStyle w:val="Source"/>
      </w:pPr>
      <w:r>
        <w:rPr>
          <w:i/>
        </w:rPr>
        <w:t>Source</w:t>
      </w:r>
      <w:r>
        <w:t xml:space="preserve">: </w:t>
      </w:r>
      <w:r w:rsidR="00AB04D8">
        <w:t>ABS</w:t>
      </w:r>
      <w:r w:rsidRPr="00087D48">
        <w:t xml:space="preserve"> </w:t>
      </w:r>
      <w:r w:rsidR="00AB04D8">
        <w:t>(</w:t>
      </w:r>
      <w:r w:rsidRPr="00087D48">
        <w:rPr>
          <w:i/>
        </w:rPr>
        <w:t>Labour Force, Australia</w:t>
      </w:r>
      <w:r w:rsidRPr="00087D48">
        <w:t>, Cat. no. 6203.0</w:t>
      </w:r>
      <w:r w:rsidR="00AB04D8">
        <w:t>)</w:t>
      </w:r>
      <w:r>
        <w:t>.</w:t>
      </w:r>
    </w:p>
    <w:p w:rsidR="008E4EE9" w:rsidRDefault="008E4EE9" w:rsidP="008E4EE9">
      <w:pPr>
        <w:pStyle w:val="ListNumber"/>
      </w:pPr>
      <w:r>
        <w:lastRenderedPageBreak/>
        <w:t xml:space="preserve">A new </w:t>
      </w:r>
      <w:proofErr w:type="spellStart"/>
      <w:r w:rsidR="00D60EC0">
        <w:t>LFS</w:t>
      </w:r>
      <w:proofErr w:type="spellEnd"/>
      <w:r w:rsidR="00D60EC0">
        <w:t xml:space="preserve"> </w:t>
      </w:r>
      <w:r>
        <w:t>questionnaire, with questions designed to more accurately collect status in employment information, was introduced in April 2001. It had little impact on the time series for employment status, with the exception of that for contributing family workers (table </w:t>
      </w:r>
      <w:proofErr w:type="spellStart"/>
      <w:r w:rsidR="00D96577">
        <w:fldChar w:fldCharType="begin"/>
      </w:r>
      <w:r w:rsidR="00D96577">
        <w:instrText xml:space="preserve"> LINK Word.Document.12 "\\\\MEL_1\\groups\\Elmrb\\04_Current projects\\Forms of work\\04_Reports\\Report\\Final\\Electronic appendix.docx" "OLE_LINK4" \a \t </w:instrText>
      </w:r>
      <w:r w:rsidR="00D96577">
        <w:fldChar w:fldCharType="separate"/>
      </w:r>
      <w:r w:rsidR="00256E3B">
        <w:t>J.3</w:t>
      </w:r>
      <w:proofErr w:type="spellEnd"/>
      <w:r w:rsidR="00D96577">
        <w:fldChar w:fldCharType="end"/>
      </w:r>
      <w:r>
        <w:t>).</w:t>
      </w:r>
    </w:p>
    <w:p w:rsidR="008E4EE9" w:rsidRDefault="00D96577" w:rsidP="008E4EE9">
      <w:pPr>
        <w:pStyle w:val="TableTitle"/>
      </w:pPr>
      <w:r>
        <w:rPr>
          <w:b w:val="0"/>
        </w:rPr>
        <w:t xml:space="preserve">Table </w:t>
      </w:r>
      <w:bookmarkStart w:id="11" w:name="OLE_LINK4"/>
      <w:r>
        <w:rPr>
          <w:b w:val="0"/>
        </w:rPr>
        <w:fldChar w:fldCharType="begin"/>
      </w:r>
      <w:r>
        <w:rPr>
          <w:b w:val="0"/>
        </w:rPr>
        <w:instrText xml:space="preserve"> COMMENTS  \* MERGEFORMAT </w:instrText>
      </w:r>
      <w:r>
        <w:rPr>
          <w:b w:val="0"/>
        </w:rPr>
        <w:fldChar w:fldCharType="separate"/>
      </w:r>
      <w:proofErr w:type="spellStart"/>
      <w:r w:rsidR="00256E3B">
        <w:rPr>
          <w:b w:val="0"/>
        </w:rPr>
        <w:t>J.</w:t>
      </w:r>
      <w:r>
        <w:rPr>
          <w:b w:val="0"/>
        </w:rPr>
        <w:fldChar w:fldCharType="end"/>
      </w:r>
      <w:r>
        <w:rPr>
          <w:b w:val="0"/>
        </w:rPr>
        <w:fldChar w:fldCharType="begin"/>
      </w:r>
      <w:r>
        <w:rPr>
          <w:b w:val="0"/>
        </w:rPr>
        <w:instrText xml:space="preserve"> SEQ Table \* ARABIC </w:instrText>
      </w:r>
      <w:r>
        <w:rPr>
          <w:b w:val="0"/>
        </w:rPr>
        <w:fldChar w:fldCharType="separate"/>
      </w:r>
      <w:r w:rsidR="00281E4C">
        <w:rPr>
          <w:b w:val="0"/>
          <w:noProof/>
        </w:rPr>
        <w:t>3</w:t>
      </w:r>
      <w:proofErr w:type="spellEnd"/>
      <w:r>
        <w:rPr>
          <w:b w:val="0"/>
        </w:rPr>
        <w:fldChar w:fldCharType="end"/>
      </w:r>
      <w:bookmarkEnd w:id="11"/>
      <w:r>
        <w:tab/>
      </w:r>
      <w:r w:rsidR="008E4EE9">
        <w:t xml:space="preserve">Effect of new </w:t>
      </w:r>
      <w:proofErr w:type="spellStart"/>
      <w:r w:rsidR="008E4EE9">
        <w:t>LFS</w:t>
      </w:r>
      <w:proofErr w:type="spellEnd"/>
      <w:r w:rsidR="008E4EE9">
        <w:t xml:space="preserve"> questionnaire in April 2001 on status in employment variable</w:t>
      </w:r>
    </w:p>
    <w:p w:rsidR="00D71438" w:rsidRPr="00D71438" w:rsidRDefault="00D71438" w:rsidP="00D71438">
      <w:pPr>
        <w:pStyle w:val="Subtitle"/>
      </w:pPr>
      <w:r w:rsidRPr="00D71438">
        <w:t>Per cent</w:t>
      </w:r>
    </w:p>
    <w:tbl>
      <w:tblPr>
        <w:tblW w:w="5000" w:type="pct"/>
        <w:tblCellMar>
          <w:left w:w="0" w:type="dxa"/>
          <w:right w:w="0" w:type="dxa"/>
        </w:tblCellMar>
        <w:tblLook w:val="04A0" w:firstRow="1" w:lastRow="0" w:firstColumn="1" w:lastColumn="0" w:noHBand="0" w:noVBand="1"/>
      </w:tblPr>
      <w:tblGrid>
        <w:gridCol w:w="974"/>
        <w:gridCol w:w="1311"/>
        <w:gridCol w:w="1264"/>
        <w:gridCol w:w="2290"/>
        <w:gridCol w:w="1816"/>
        <w:gridCol w:w="1134"/>
      </w:tblGrid>
      <w:tr w:rsidR="008E4EE9" w:rsidRPr="00087D48" w:rsidTr="00823164">
        <w:trPr>
          <w:trHeight w:val="765"/>
        </w:trPr>
        <w:tc>
          <w:tcPr>
            <w:tcW w:w="554" w:type="pct"/>
            <w:tcBorders>
              <w:top w:val="single" w:sz="6" w:space="0" w:color="auto"/>
              <w:left w:val="nil"/>
              <w:bottom w:val="single" w:sz="6" w:space="0" w:color="auto"/>
              <w:right w:val="nil"/>
            </w:tcBorders>
            <w:shd w:val="clear" w:color="auto" w:fill="auto"/>
            <w:noWrap/>
            <w:vAlign w:val="bottom"/>
            <w:hideMark/>
          </w:tcPr>
          <w:p w:rsidR="008E4EE9" w:rsidRPr="00087D48" w:rsidRDefault="008E4EE9" w:rsidP="007349DC">
            <w:pPr>
              <w:pStyle w:val="TableColumnHeading"/>
            </w:pPr>
          </w:p>
        </w:tc>
        <w:tc>
          <w:tcPr>
            <w:tcW w:w="746" w:type="pct"/>
            <w:tcBorders>
              <w:top w:val="single" w:sz="6" w:space="0" w:color="auto"/>
              <w:left w:val="nil"/>
              <w:bottom w:val="single" w:sz="6" w:space="0" w:color="auto"/>
              <w:right w:val="nil"/>
            </w:tcBorders>
            <w:shd w:val="clear" w:color="auto" w:fill="auto"/>
            <w:vAlign w:val="bottom"/>
            <w:hideMark/>
          </w:tcPr>
          <w:p w:rsidR="008E4EE9" w:rsidRPr="00087D48" w:rsidRDefault="008E4EE9" w:rsidP="007349DC">
            <w:pPr>
              <w:pStyle w:val="TableColumnHeading"/>
            </w:pPr>
            <w:r w:rsidRPr="00087D48">
              <w:t>Employees</w:t>
            </w:r>
          </w:p>
        </w:tc>
        <w:tc>
          <w:tcPr>
            <w:tcW w:w="719" w:type="pct"/>
            <w:tcBorders>
              <w:top w:val="single" w:sz="6" w:space="0" w:color="auto"/>
              <w:left w:val="nil"/>
              <w:bottom w:val="single" w:sz="6" w:space="0" w:color="auto"/>
              <w:right w:val="nil"/>
            </w:tcBorders>
            <w:shd w:val="clear" w:color="auto" w:fill="auto"/>
            <w:vAlign w:val="bottom"/>
            <w:hideMark/>
          </w:tcPr>
          <w:p w:rsidR="008E4EE9" w:rsidRPr="00087D48" w:rsidRDefault="008E4EE9" w:rsidP="007349DC">
            <w:pPr>
              <w:pStyle w:val="TableColumnHeading"/>
            </w:pPr>
            <w:r w:rsidRPr="00087D48">
              <w:t>Employers</w:t>
            </w:r>
          </w:p>
        </w:tc>
        <w:tc>
          <w:tcPr>
            <w:tcW w:w="1303" w:type="pct"/>
            <w:tcBorders>
              <w:top w:val="single" w:sz="6" w:space="0" w:color="auto"/>
              <w:left w:val="nil"/>
              <w:bottom w:val="single" w:sz="6" w:space="0" w:color="auto"/>
              <w:right w:val="nil"/>
            </w:tcBorders>
            <w:shd w:val="clear" w:color="auto" w:fill="auto"/>
            <w:vAlign w:val="bottom"/>
            <w:hideMark/>
          </w:tcPr>
          <w:p w:rsidR="008E4EE9" w:rsidRPr="00087D48" w:rsidRDefault="008E4EE9" w:rsidP="007349DC">
            <w:pPr>
              <w:pStyle w:val="TableColumnHeading"/>
            </w:pPr>
            <w:r w:rsidRPr="00087D48">
              <w:t>Own account workers</w:t>
            </w:r>
          </w:p>
        </w:tc>
        <w:tc>
          <w:tcPr>
            <w:tcW w:w="1033" w:type="pct"/>
            <w:tcBorders>
              <w:top w:val="single" w:sz="6" w:space="0" w:color="auto"/>
              <w:left w:val="nil"/>
              <w:bottom w:val="single" w:sz="6" w:space="0" w:color="auto"/>
              <w:right w:val="nil"/>
            </w:tcBorders>
            <w:shd w:val="clear" w:color="auto" w:fill="auto"/>
            <w:vAlign w:val="bottom"/>
            <w:hideMark/>
          </w:tcPr>
          <w:p w:rsidR="008E4EE9" w:rsidRPr="00087D48" w:rsidRDefault="008E4EE9" w:rsidP="007349DC">
            <w:pPr>
              <w:pStyle w:val="TableColumnHeading"/>
            </w:pPr>
            <w:r w:rsidRPr="00087D48">
              <w:t>Contributing family workers</w:t>
            </w:r>
          </w:p>
        </w:tc>
        <w:tc>
          <w:tcPr>
            <w:tcW w:w="645" w:type="pct"/>
            <w:tcBorders>
              <w:top w:val="single" w:sz="6" w:space="0" w:color="auto"/>
              <w:left w:val="nil"/>
              <w:bottom w:val="single" w:sz="6" w:space="0" w:color="auto"/>
              <w:right w:val="nil"/>
            </w:tcBorders>
            <w:shd w:val="clear" w:color="auto" w:fill="auto"/>
            <w:vAlign w:val="bottom"/>
            <w:hideMark/>
          </w:tcPr>
          <w:p w:rsidR="008E4EE9" w:rsidRPr="00087D48" w:rsidRDefault="008E4EE9" w:rsidP="00823164">
            <w:pPr>
              <w:pStyle w:val="TableColumnHeading"/>
              <w:ind w:right="28"/>
            </w:pPr>
            <w:r w:rsidRPr="00087D48">
              <w:t>Total</w:t>
            </w:r>
          </w:p>
        </w:tc>
      </w:tr>
      <w:tr w:rsidR="008E4EE9" w:rsidRPr="00087D48" w:rsidTr="00823164">
        <w:trPr>
          <w:trHeight w:val="255"/>
        </w:trPr>
        <w:tc>
          <w:tcPr>
            <w:tcW w:w="554" w:type="pct"/>
            <w:tcBorders>
              <w:left w:val="nil"/>
              <w:bottom w:val="nil"/>
              <w:right w:val="nil"/>
            </w:tcBorders>
            <w:shd w:val="clear" w:color="auto" w:fill="auto"/>
            <w:noWrap/>
            <w:vAlign w:val="bottom"/>
            <w:hideMark/>
          </w:tcPr>
          <w:p w:rsidR="008E4EE9" w:rsidRPr="00087D48" w:rsidRDefault="008E4EE9" w:rsidP="00D71438">
            <w:pPr>
              <w:pStyle w:val="TableBodyText"/>
              <w:spacing w:before="40"/>
              <w:jc w:val="left"/>
            </w:pPr>
            <w:r w:rsidRPr="00087D48">
              <w:t>Nov-00</w:t>
            </w:r>
          </w:p>
        </w:tc>
        <w:tc>
          <w:tcPr>
            <w:tcW w:w="746" w:type="pct"/>
            <w:tcBorders>
              <w:left w:val="nil"/>
              <w:bottom w:val="nil"/>
              <w:right w:val="nil"/>
            </w:tcBorders>
            <w:shd w:val="clear" w:color="auto" w:fill="auto"/>
            <w:noWrap/>
            <w:vAlign w:val="bottom"/>
            <w:hideMark/>
          </w:tcPr>
          <w:p w:rsidR="008E4EE9" w:rsidRPr="00087D48" w:rsidRDefault="008E4EE9" w:rsidP="00D71438">
            <w:pPr>
              <w:pStyle w:val="TableBodyText"/>
              <w:spacing w:before="40"/>
            </w:pPr>
            <w:r w:rsidRPr="00087D48">
              <w:t>85.7</w:t>
            </w:r>
          </w:p>
        </w:tc>
        <w:tc>
          <w:tcPr>
            <w:tcW w:w="719" w:type="pct"/>
            <w:tcBorders>
              <w:left w:val="nil"/>
              <w:bottom w:val="nil"/>
              <w:right w:val="nil"/>
            </w:tcBorders>
            <w:shd w:val="clear" w:color="auto" w:fill="auto"/>
            <w:noWrap/>
            <w:vAlign w:val="bottom"/>
            <w:hideMark/>
          </w:tcPr>
          <w:p w:rsidR="008E4EE9" w:rsidRPr="00087D48" w:rsidRDefault="008E4EE9" w:rsidP="00D71438">
            <w:pPr>
              <w:pStyle w:val="TableBodyText"/>
              <w:spacing w:before="40"/>
            </w:pPr>
            <w:r w:rsidRPr="00087D48">
              <w:t>3.7</w:t>
            </w:r>
          </w:p>
        </w:tc>
        <w:tc>
          <w:tcPr>
            <w:tcW w:w="1303" w:type="pct"/>
            <w:tcBorders>
              <w:left w:val="nil"/>
              <w:bottom w:val="nil"/>
              <w:right w:val="nil"/>
            </w:tcBorders>
            <w:shd w:val="clear" w:color="auto" w:fill="auto"/>
            <w:noWrap/>
            <w:vAlign w:val="bottom"/>
            <w:hideMark/>
          </w:tcPr>
          <w:p w:rsidR="008E4EE9" w:rsidRPr="00087D48" w:rsidRDefault="008E4EE9" w:rsidP="00D71438">
            <w:pPr>
              <w:pStyle w:val="TableBodyText"/>
              <w:spacing w:before="40"/>
            </w:pPr>
            <w:r w:rsidRPr="00087D48">
              <w:t>9.7</w:t>
            </w:r>
          </w:p>
        </w:tc>
        <w:tc>
          <w:tcPr>
            <w:tcW w:w="1033" w:type="pct"/>
            <w:tcBorders>
              <w:left w:val="nil"/>
              <w:bottom w:val="nil"/>
              <w:right w:val="nil"/>
            </w:tcBorders>
            <w:shd w:val="clear" w:color="auto" w:fill="auto"/>
            <w:noWrap/>
            <w:vAlign w:val="bottom"/>
            <w:hideMark/>
          </w:tcPr>
          <w:p w:rsidR="008E4EE9" w:rsidRPr="00087D48" w:rsidRDefault="008E4EE9" w:rsidP="00D71438">
            <w:pPr>
              <w:pStyle w:val="TableBodyText"/>
              <w:spacing w:before="40"/>
            </w:pPr>
            <w:r w:rsidRPr="00087D48">
              <w:t>0.8</w:t>
            </w:r>
          </w:p>
        </w:tc>
        <w:tc>
          <w:tcPr>
            <w:tcW w:w="645" w:type="pct"/>
            <w:tcBorders>
              <w:left w:val="nil"/>
              <w:bottom w:val="nil"/>
              <w:right w:val="nil"/>
            </w:tcBorders>
            <w:shd w:val="clear" w:color="auto" w:fill="auto"/>
            <w:noWrap/>
            <w:vAlign w:val="bottom"/>
            <w:hideMark/>
          </w:tcPr>
          <w:p w:rsidR="008E4EE9" w:rsidRPr="00087D48" w:rsidRDefault="008E4EE9" w:rsidP="00D71438">
            <w:pPr>
              <w:pStyle w:val="TableBodyText"/>
              <w:spacing w:before="40"/>
              <w:ind w:right="28"/>
            </w:pPr>
            <w:r w:rsidRPr="00087D48">
              <w:t>100</w:t>
            </w:r>
          </w:p>
        </w:tc>
      </w:tr>
      <w:tr w:rsidR="008E4EE9" w:rsidRPr="00087D48" w:rsidTr="00823164">
        <w:trPr>
          <w:trHeight w:val="255"/>
        </w:trPr>
        <w:tc>
          <w:tcPr>
            <w:tcW w:w="554" w:type="pct"/>
            <w:tcBorders>
              <w:top w:val="nil"/>
              <w:left w:val="nil"/>
              <w:bottom w:val="nil"/>
              <w:right w:val="nil"/>
            </w:tcBorders>
            <w:shd w:val="clear" w:color="auto" w:fill="auto"/>
            <w:noWrap/>
            <w:vAlign w:val="bottom"/>
            <w:hideMark/>
          </w:tcPr>
          <w:p w:rsidR="008E4EE9" w:rsidRPr="00087D48" w:rsidRDefault="008E4EE9" w:rsidP="007349DC">
            <w:pPr>
              <w:pStyle w:val="TableBodyText"/>
              <w:jc w:val="left"/>
            </w:pPr>
            <w:r w:rsidRPr="00087D48">
              <w:t>Feb-01</w:t>
            </w:r>
          </w:p>
        </w:tc>
        <w:tc>
          <w:tcPr>
            <w:tcW w:w="746" w:type="pct"/>
            <w:tcBorders>
              <w:top w:val="nil"/>
              <w:left w:val="nil"/>
              <w:bottom w:val="nil"/>
              <w:right w:val="nil"/>
            </w:tcBorders>
            <w:shd w:val="clear" w:color="auto" w:fill="auto"/>
            <w:noWrap/>
            <w:vAlign w:val="bottom"/>
            <w:hideMark/>
          </w:tcPr>
          <w:p w:rsidR="008E4EE9" w:rsidRPr="00087D48" w:rsidRDefault="008E4EE9" w:rsidP="007349DC">
            <w:pPr>
              <w:pStyle w:val="TableBodyText"/>
            </w:pPr>
            <w:r w:rsidRPr="00087D48">
              <w:t>86.3</w:t>
            </w:r>
          </w:p>
        </w:tc>
        <w:tc>
          <w:tcPr>
            <w:tcW w:w="719" w:type="pct"/>
            <w:tcBorders>
              <w:top w:val="nil"/>
              <w:left w:val="nil"/>
              <w:bottom w:val="nil"/>
              <w:right w:val="nil"/>
            </w:tcBorders>
            <w:shd w:val="clear" w:color="auto" w:fill="auto"/>
            <w:noWrap/>
            <w:vAlign w:val="bottom"/>
            <w:hideMark/>
          </w:tcPr>
          <w:p w:rsidR="008E4EE9" w:rsidRPr="00087D48" w:rsidRDefault="008E4EE9" w:rsidP="007349DC">
            <w:pPr>
              <w:pStyle w:val="TableBodyText"/>
            </w:pPr>
            <w:r w:rsidRPr="00087D48">
              <w:t>3.7</w:t>
            </w:r>
          </w:p>
        </w:tc>
        <w:tc>
          <w:tcPr>
            <w:tcW w:w="1303" w:type="pct"/>
            <w:tcBorders>
              <w:top w:val="nil"/>
              <w:left w:val="nil"/>
              <w:bottom w:val="nil"/>
              <w:right w:val="nil"/>
            </w:tcBorders>
            <w:shd w:val="clear" w:color="auto" w:fill="auto"/>
            <w:noWrap/>
            <w:vAlign w:val="bottom"/>
            <w:hideMark/>
          </w:tcPr>
          <w:p w:rsidR="008E4EE9" w:rsidRPr="00087D48" w:rsidRDefault="008E4EE9" w:rsidP="007349DC">
            <w:pPr>
              <w:pStyle w:val="TableBodyText"/>
            </w:pPr>
            <w:r w:rsidRPr="00087D48">
              <w:t>9.2</w:t>
            </w:r>
          </w:p>
        </w:tc>
        <w:tc>
          <w:tcPr>
            <w:tcW w:w="1033" w:type="pct"/>
            <w:tcBorders>
              <w:top w:val="nil"/>
              <w:left w:val="nil"/>
              <w:bottom w:val="nil"/>
              <w:right w:val="nil"/>
            </w:tcBorders>
            <w:shd w:val="clear" w:color="auto" w:fill="auto"/>
            <w:noWrap/>
            <w:vAlign w:val="bottom"/>
            <w:hideMark/>
          </w:tcPr>
          <w:p w:rsidR="008E4EE9" w:rsidRPr="00087D48" w:rsidRDefault="008E4EE9" w:rsidP="007349DC">
            <w:pPr>
              <w:pStyle w:val="TableBodyText"/>
            </w:pPr>
            <w:r w:rsidRPr="00087D48">
              <w:t>0.8</w:t>
            </w:r>
          </w:p>
        </w:tc>
        <w:tc>
          <w:tcPr>
            <w:tcW w:w="645" w:type="pct"/>
            <w:tcBorders>
              <w:top w:val="nil"/>
              <w:left w:val="nil"/>
              <w:bottom w:val="nil"/>
              <w:right w:val="nil"/>
            </w:tcBorders>
            <w:shd w:val="clear" w:color="auto" w:fill="auto"/>
            <w:noWrap/>
            <w:vAlign w:val="bottom"/>
            <w:hideMark/>
          </w:tcPr>
          <w:p w:rsidR="008E4EE9" w:rsidRPr="00087D48" w:rsidRDefault="00D71438" w:rsidP="007349DC">
            <w:pPr>
              <w:pStyle w:val="TableBodyText"/>
              <w:ind w:right="28"/>
            </w:pPr>
            <w:r>
              <w:t>100</w:t>
            </w:r>
          </w:p>
        </w:tc>
      </w:tr>
      <w:tr w:rsidR="008E4EE9" w:rsidRPr="00087D48" w:rsidTr="00823164">
        <w:trPr>
          <w:trHeight w:val="255"/>
        </w:trPr>
        <w:tc>
          <w:tcPr>
            <w:tcW w:w="554" w:type="pct"/>
            <w:tcBorders>
              <w:top w:val="nil"/>
              <w:left w:val="nil"/>
              <w:right w:val="nil"/>
            </w:tcBorders>
            <w:shd w:val="clear" w:color="auto" w:fill="auto"/>
            <w:noWrap/>
            <w:vAlign w:val="bottom"/>
            <w:hideMark/>
          </w:tcPr>
          <w:p w:rsidR="008E4EE9" w:rsidRPr="00087D48" w:rsidRDefault="008E4EE9" w:rsidP="007349DC">
            <w:pPr>
              <w:pStyle w:val="TableBodyText"/>
              <w:jc w:val="left"/>
            </w:pPr>
            <w:r w:rsidRPr="00087D48">
              <w:t>May-01</w:t>
            </w:r>
          </w:p>
        </w:tc>
        <w:tc>
          <w:tcPr>
            <w:tcW w:w="746" w:type="pct"/>
            <w:tcBorders>
              <w:top w:val="nil"/>
              <w:left w:val="nil"/>
              <w:right w:val="nil"/>
            </w:tcBorders>
            <w:shd w:val="clear" w:color="auto" w:fill="auto"/>
            <w:noWrap/>
            <w:vAlign w:val="bottom"/>
            <w:hideMark/>
          </w:tcPr>
          <w:p w:rsidR="008E4EE9" w:rsidRPr="00087D48" w:rsidRDefault="008E4EE9" w:rsidP="007349DC">
            <w:pPr>
              <w:pStyle w:val="TableBodyText"/>
            </w:pPr>
            <w:r w:rsidRPr="00087D48">
              <w:t>86.3</w:t>
            </w:r>
          </w:p>
        </w:tc>
        <w:tc>
          <w:tcPr>
            <w:tcW w:w="719" w:type="pct"/>
            <w:tcBorders>
              <w:top w:val="nil"/>
              <w:left w:val="nil"/>
              <w:right w:val="nil"/>
            </w:tcBorders>
            <w:shd w:val="clear" w:color="auto" w:fill="auto"/>
            <w:noWrap/>
            <w:vAlign w:val="bottom"/>
            <w:hideMark/>
          </w:tcPr>
          <w:p w:rsidR="008E4EE9" w:rsidRPr="00087D48" w:rsidRDefault="008E4EE9" w:rsidP="007349DC">
            <w:pPr>
              <w:pStyle w:val="TableBodyText"/>
            </w:pPr>
            <w:r w:rsidRPr="00087D48">
              <w:t>3.5</w:t>
            </w:r>
          </w:p>
        </w:tc>
        <w:tc>
          <w:tcPr>
            <w:tcW w:w="1303" w:type="pct"/>
            <w:tcBorders>
              <w:top w:val="nil"/>
              <w:left w:val="nil"/>
              <w:right w:val="nil"/>
            </w:tcBorders>
            <w:shd w:val="clear" w:color="auto" w:fill="auto"/>
            <w:noWrap/>
            <w:vAlign w:val="bottom"/>
            <w:hideMark/>
          </w:tcPr>
          <w:p w:rsidR="008E4EE9" w:rsidRPr="00087D48" w:rsidRDefault="008E4EE9" w:rsidP="007349DC">
            <w:pPr>
              <w:pStyle w:val="TableBodyText"/>
            </w:pPr>
            <w:r w:rsidRPr="00087D48">
              <w:t>9.7</w:t>
            </w:r>
          </w:p>
        </w:tc>
        <w:tc>
          <w:tcPr>
            <w:tcW w:w="1033" w:type="pct"/>
            <w:tcBorders>
              <w:top w:val="nil"/>
              <w:left w:val="nil"/>
              <w:right w:val="nil"/>
            </w:tcBorders>
            <w:shd w:val="clear" w:color="auto" w:fill="auto"/>
            <w:noWrap/>
            <w:vAlign w:val="bottom"/>
            <w:hideMark/>
          </w:tcPr>
          <w:p w:rsidR="008E4EE9" w:rsidRPr="00087D48" w:rsidRDefault="008E4EE9" w:rsidP="007349DC">
            <w:pPr>
              <w:pStyle w:val="TableBodyText"/>
            </w:pPr>
            <w:r w:rsidRPr="00087D48">
              <w:t>0.4</w:t>
            </w:r>
          </w:p>
        </w:tc>
        <w:tc>
          <w:tcPr>
            <w:tcW w:w="645" w:type="pct"/>
            <w:tcBorders>
              <w:top w:val="nil"/>
              <w:left w:val="nil"/>
              <w:right w:val="nil"/>
            </w:tcBorders>
            <w:shd w:val="clear" w:color="auto" w:fill="auto"/>
            <w:noWrap/>
            <w:vAlign w:val="bottom"/>
            <w:hideMark/>
          </w:tcPr>
          <w:p w:rsidR="008E4EE9" w:rsidRPr="00087D48" w:rsidRDefault="00D71438" w:rsidP="007349DC">
            <w:pPr>
              <w:pStyle w:val="TableBodyText"/>
              <w:ind w:right="28"/>
            </w:pPr>
            <w:r>
              <w:t>100</w:t>
            </w:r>
          </w:p>
        </w:tc>
      </w:tr>
      <w:tr w:rsidR="008E4EE9" w:rsidRPr="00087D48" w:rsidTr="00823164">
        <w:trPr>
          <w:trHeight w:val="255"/>
        </w:trPr>
        <w:tc>
          <w:tcPr>
            <w:tcW w:w="554" w:type="pct"/>
            <w:tcBorders>
              <w:top w:val="nil"/>
              <w:left w:val="nil"/>
              <w:bottom w:val="single" w:sz="6" w:space="0" w:color="auto"/>
              <w:right w:val="nil"/>
            </w:tcBorders>
            <w:shd w:val="clear" w:color="auto" w:fill="auto"/>
            <w:noWrap/>
            <w:vAlign w:val="bottom"/>
            <w:hideMark/>
          </w:tcPr>
          <w:p w:rsidR="008E4EE9" w:rsidRPr="00087D48" w:rsidRDefault="008E4EE9" w:rsidP="007349DC">
            <w:pPr>
              <w:pStyle w:val="TableBodyText"/>
              <w:jc w:val="left"/>
            </w:pPr>
            <w:r w:rsidRPr="00087D48">
              <w:t>Aug-01</w:t>
            </w:r>
          </w:p>
        </w:tc>
        <w:tc>
          <w:tcPr>
            <w:tcW w:w="746" w:type="pct"/>
            <w:tcBorders>
              <w:top w:val="nil"/>
              <w:left w:val="nil"/>
              <w:bottom w:val="single" w:sz="6" w:space="0" w:color="auto"/>
              <w:right w:val="nil"/>
            </w:tcBorders>
            <w:shd w:val="clear" w:color="auto" w:fill="auto"/>
            <w:noWrap/>
            <w:vAlign w:val="bottom"/>
            <w:hideMark/>
          </w:tcPr>
          <w:p w:rsidR="008E4EE9" w:rsidRPr="00087D48" w:rsidRDefault="008E4EE9" w:rsidP="007349DC">
            <w:pPr>
              <w:pStyle w:val="TableBodyText"/>
            </w:pPr>
            <w:r w:rsidRPr="00087D48">
              <w:t>85.9</w:t>
            </w:r>
          </w:p>
        </w:tc>
        <w:tc>
          <w:tcPr>
            <w:tcW w:w="719" w:type="pct"/>
            <w:tcBorders>
              <w:top w:val="nil"/>
              <w:left w:val="nil"/>
              <w:bottom w:val="single" w:sz="6" w:space="0" w:color="auto"/>
              <w:right w:val="nil"/>
            </w:tcBorders>
            <w:shd w:val="clear" w:color="auto" w:fill="auto"/>
            <w:noWrap/>
            <w:vAlign w:val="bottom"/>
            <w:hideMark/>
          </w:tcPr>
          <w:p w:rsidR="008E4EE9" w:rsidRPr="00087D48" w:rsidRDefault="008E4EE9" w:rsidP="007349DC">
            <w:pPr>
              <w:pStyle w:val="TableBodyText"/>
            </w:pPr>
            <w:r w:rsidRPr="00087D48">
              <w:t>3.6</w:t>
            </w:r>
          </w:p>
        </w:tc>
        <w:tc>
          <w:tcPr>
            <w:tcW w:w="1303" w:type="pct"/>
            <w:tcBorders>
              <w:top w:val="nil"/>
              <w:left w:val="nil"/>
              <w:bottom w:val="single" w:sz="6" w:space="0" w:color="auto"/>
              <w:right w:val="nil"/>
            </w:tcBorders>
            <w:shd w:val="clear" w:color="auto" w:fill="auto"/>
            <w:noWrap/>
            <w:vAlign w:val="bottom"/>
            <w:hideMark/>
          </w:tcPr>
          <w:p w:rsidR="008E4EE9" w:rsidRPr="00087D48" w:rsidRDefault="008E4EE9" w:rsidP="007349DC">
            <w:pPr>
              <w:pStyle w:val="TableBodyText"/>
            </w:pPr>
            <w:r w:rsidRPr="00087D48">
              <w:t>10.1</w:t>
            </w:r>
          </w:p>
        </w:tc>
        <w:tc>
          <w:tcPr>
            <w:tcW w:w="1033" w:type="pct"/>
            <w:tcBorders>
              <w:top w:val="nil"/>
              <w:left w:val="nil"/>
              <w:bottom w:val="single" w:sz="6" w:space="0" w:color="auto"/>
              <w:right w:val="nil"/>
            </w:tcBorders>
            <w:shd w:val="clear" w:color="auto" w:fill="auto"/>
            <w:noWrap/>
            <w:vAlign w:val="bottom"/>
            <w:hideMark/>
          </w:tcPr>
          <w:p w:rsidR="008E4EE9" w:rsidRPr="00087D48" w:rsidRDefault="008E4EE9" w:rsidP="007349DC">
            <w:pPr>
              <w:pStyle w:val="TableBodyText"/>
            </w:pPr>
            <w:r w:rsidRPr="00087D48">
              <w:t>0.4</w:t>
            </w:r>
          </w:p>
        </w:tc>
        <w:tc>
          <w:tcPr>
            <w:tcW w:w="645" w:type="pct"/>
            <w:tcBorders>
              <w:top w:val="nil"/>
              <w:left w:val="nil"/>
              <w:bottom w:val="single" w:sz="6" w:space="0" w:color="auto"/>
              <w:right w:val="nil"/>
            </w:tcBorders>
            <w:shd w:val="clear" w:color="auto" w:fill="auto"/>
            <w:noWrap/>
            <w:vAlign w:val="bottom"/>
            <w:hideMark/>
          </w:tcPr>
          <w:p w:rsidR="008E4EE9" w:rsidRPr="00087D48" w:rsidRDefault="00D71438" w:rsidP="007349DC">
            <w:pPr>
              <w:pStyle w:val="TableBodyText"/>
              <w:ind w:right="28"/>
            </w:pPr>
            <w:r>
              <w:t>100</w:t>
            </w:r>
          </w:p>
        </w:tc>
      </w:tr>
    </w:tbl>
    <w:p w:rsidR="008E4EE9" w:rsidRPr="00087D48" w:rsidRDefault="008E4EE9" w:rsidP="008E4EE9">
      <w:pPr>
        <w:pStyle w:val="Source"/>
      </w:pPr>
      <w:r>
        <w:rPr>
          <w:i/>
        </w:rPr>
        <w:t>Source</w:t>
      </w:r>
      <w:r>
        <w:t xml:space="preserve">: </w:t>
      </w:r>
      <w:r w:rsidRPr="00087D48">
        <w:t>ABS</w:t>
      </w:r>
      <w:r w:rsidR="00AB04D8">
        <w:t xml:space="preserve"> (</w:t>
      </w:r>
      <w:r w:rsidRPr="00087D48">
        <w:rPr>
          <w:i/>
        </w:rPr>
        <w:t>Labour Force, Australia</w:t>
      </w:r>
      <w:r w:rsidRPr="00087D48">
        <w:t>, Cat. no. 6203.0</w:t>
      </w:r>
      <w:r w:rsidR="00AB04D8">
        <w:t>)</w:t>
      </w:r>
      <w:r>
        <w:t>.</w:t>
      </w:r>
    </w:p>
    <w:p w:rsidR="008E4EE9" w:rsidRPr="00AD174E" w:rsidRDefault="008E4EE9" w:rsidP="008E4EE9">
      <w:pPr>
        <w:pStyle w:val="BodyText"/>
        <w:ind w:left="340"/>
      </w:pPr>
      <w:r w:rsidRPr="003A4376">
        <w:rPr>
          <w:i/>
        </w:rPr>
        <w:t>Action:</w:t>
      </w:r>
      <w:r w:rsidRPr="00AD174E">
        <w:t xml:space="preserve"> </w:t>
      </w:r>
      <w:r>
        <w:t>See point 1.</w:t>
      </w:r>
    </w:p>
    <w:p w:rsidR="008E4EE9" w:rsidRDefault="008E4EE9" w:rsidP="00D71438">
      <w:pPr>
        <w:pStyle w:val="Heading3"/>
      </w:pPr>
      <w:r>
        <w:t>Employment by type</w:t>
      </w:r>
      <w:r w:rsidR="00003281">
        <w:t xml:space="preserve"> data</w:t>
      </w:r>
    </w:p>
    <w:p w:rsidR="00B34168" w:rsidRPr="00B34168" w:rsidRDefault="00B34168" w:rsidP="00B34168">
      <w:pPr>
        <w:pStyle w:val="BodyText"/>
      </w:pPr>
      <w:r>
        <w:t>Three key changes to data relating to employment by type data are discussed in this section.</w:t>
      </w:r>
    </w:p>
    <w:p w:rsidR="008E4EE9" w:rsidRDefault="00AA6987" w:rsidP="008E4EE9">
      <w:pPr>
        <w:pStyle w:val="ListNumber"/>
      </w:pPr>
      <w:r>
        <w:t>To construct a</w:t>
      </w:r>
      <w:r w:rsidR="008E4EE9">
        <w:t xml:space="preserve"> time series on employment by type back to 1992</w:t>
      </w:r>
      <w:r w:rsidR="002D61CB">
        <w:t xml:space="preserve"> </w:t>
      </w:r>
      <w:r w:rsidR="007E3AD0">
        <w:t>(</w:t>
      </w:r>
      <w:r w:rsidR="002D61CB">
        <w:t xml:space="preserve">published in ABS </w:t>
      </w:r>
      <w:r w:rsidR="007E3AD0">
        <w:t>(</w:t>
      </w:r>
      <w:proofErr w:type="spellStart"/>
      <w:r w:rsidR="007E3AD0">
        <w:t>2012a</w:t>
      </w:r>
      <w:proofErr w:type="spellEnd"/>
      <w:r w:rsidR="007E3AD0">
        <w:t>))</w:t>
      </w:r>
      <w:r w:rsidR="008E4EE9">
        <w:t>, the ABS used only an individual’s self</w:t>
      </w:r>
      <w:r w:rsidR="008E4EE9">
        <w:noBreakHyphen/>
        <w:t xml:space="preserve">reported status in employment (ABS 2004). Counts of employees and </w:t>
      </w:r>
      <w:proofErr w:type="spellStart"/>
      <w:r w:rsidR="008E4EE9">
        <w:t>OMUEs</w:t>
      </w:r>
      <w:proofErr w:type="spellEnd"/>
      <w:r w:rsidR="008E4EE9">
        <w:t xml:space="preserve"> therefore differ</w:t>
      </w:r>
      <w:r w:rsidR="00B07B7E">
        <w:t>ed</w:t>
      </w:r>
      <w:r w:rsidR="008E4EE9">
        <w:t xml:space="preserve"> from the </w:t>
      </w:r>
      <w:proofErr w:type="spellStart"/>
      <w:r w:rsidR="008E4EE9">
        <w:t>LFS</w:t>
      </w:r>
      <w:proofErr w:type="spellEnd"/>
      <w:r w:rsidR="008E4EE9">
        <w:t xml:space="preserve"> status in employment counts prior to February 2000.</w:t>
      </w:r>
    </w:p>
    <w:p w:rsidR="008E4EE9" w:rsidRPr="0001439E" w:rsidRDefault="008E4EE9" w:rsidP="008E4EE9">
      <w:pPr>
        <w:pStyle w:val="BodyText"/>
        <w:ind w:left="340"/>
        <w:rPr>
          <w:i/>
        </w:rPr>
      </w:pPr>
      <w:r w:rsidRPr="003A4376">
        <w:rPr>
          <w:i/>
        </w:rPr>
        <w:t>Action:</w:t>
      </w:r>
      <w:r>
        <w:t xml:space="preserve"> None needed. As discussed at point 2, the change in methodology </w:t>
      </w:r>
      <w:r w:rsidR="007E3AD0">
        <w:t xml:space="preserve">when adopted for the </w:t>
      </w:r>
      <w:proofErr w:type="spellStart"/>
      <w:r w:rsidR="007E3AD0">
        <w:t>LFS</w:t>
      </w:r>
      <w:proofErr w:type="spellEnd"/>
      <w:r w:rsidR="007E3AD0">
        <w:t xml:space="preserve"> </w:t>
      </w:r>
      <w:r>
        <w:t xml:space="preserve">had only a very small effect on employees, and an adjustment was made for the employer component of </w:t>
      </w:r>
      <w:proofErr w:type="spellStart"/>
      <w:r>
        <w:t>OMUEs</w:t>
      </w:r>
      <w:proofErr w:type="spellEnd"/>
      <w:r>
        <w:t>.</w:t>
      </w:r>
    </w:p>
    <w:p w:rsidR="008E4EE9" w:rsidRPr="00112A20" w:rsidRDefault="008E4EE9" w:rsidP="00D71438">
      <w:pPr>
        <w:pStyle w:val="ListNumber"/>
      </w:pPr>
      <w:r>
        <w:t xml:space="preserve">The questions in the </w:t>
      </w:r>
      <w:proofErr w:type="spellStart"/>
      <w:r>
        <w:t>LFS</w:t>
      </w:r>
      <w:proofErr w:type="spellEnd"/>
      <w:r>
        <w:t xml:space="preserve"> were not explicitly designed to identify </w:t>
      </w:r>
      <w:proofErr w:type="spellStart"/>
      <w:r>
        <w:t>OMIEs</w:t>
      </w:r>
      <w:proofErr w:type="spellEnd"/>
      <w:r w:rsidR="00D71438">
        <w:t xml:space="preserve"> and ‘[t]</w:t>
      </w:r>
      <w:r>
        <w:t>he questions used prior to April 2001 were thought to identify around 90% of owner manag</w:t>
      </w:r>
      <w:r w:rsidR="00D71438">
        <w:t>ers of incorporated enterprises’</w:t>
      </w:r>
      <w:r>
        <w:t xml:space="preserve"> (ABS 2004, p. 1)</w:t>
      </w:r>
      <w:r w:rsidR="00D71438">
        <w:t>.</w:t>
      </w:r>
    </w:p>
    <w:p w:rsidR="008E4EE9" w:rsidRDefault="00D71438" w:rsidP="008E4EE9">
      <w:pPr>
        <w:pStyle w:val="BodyText"/>
        <w:ind w:left="340"/>
      </w:pPr>
      <w:r>
        <w:t xml:space="preserve">This leads to a concern over the reliability of data for </w:t>
      </w:r>
      <w:proofErr w:type="spellStart"/>
      <w:r>
        <w:t>OMIEs</w:t>
      </w:r>
      <w:proofErr w:type="spellEnd"/>
      <w:r>
        <w:t xml:space="preserve"> from this source. </w:t>
      </w:r>
      <w:r w:rsidR="008E4EE9">
        <w:t xml:space="preserve">With the introduction of the new </w:t>
      </w:r>
      <w:proofErr w:type="spellStart"/>
      <w:r w:rsidR="008E4EE9">
        <w:t>LFS</w:t>
      </w:r>
      <w:proofErr w:type="spellEnd"/>
      <w:r w:rsidR="008E4EE9">
        <w:t xml:space="preserve"> questionnaire in April 2001, the ABS thought it possible that 95 per cent of </w:t>
      </w:r>
      <w:proofErr w:type="spellStart"/>
      <w:r w:rsidR="008E4EE9">
        <w:t>OMIEs</w:t>
      </w:r>
      <w:proofErr w:type="spellEnd"/>
      <w:r w:rsidR="008E4EE9">
        <w:t xml:space="preserve"> were identified. Given the small effect of the introduction of the questionnaire on status in employment categories</w:t>
      </w:r>
      <w:r w:rsidR="000A688B">
        <w:t xml:space="preserve"> (table </w:t>
      </w:r>
      <w:proofErr w:type="spellStart"/>
      <w:r w:rsidR="00D96577">
        <w:fldChar w:fldCharType="begin"/>
      </w:r>
      <w:r w:rsidR="00D96577">
        <w:instrText xml:space="preserve"> LINK Word.Document.12 "\\\\MEL_1\\groups\\Elmrb\\04_Current projects\\Forms of work\\04_Reports\\Report\\Final\\Electronic appendix.docx" "OLE_LINK4" \a \t </w:instrText>
      </w:r>
      <w:r w:rsidR="00D96577">
        <w:fldChar w:fldCharType="separate"/>
      </w:r>
      <w:r w:rsidR="00256E3B">
        <w:t>J.3</w:t>
      </w:r>
      <w:proofErr w:type="spellEnd"/>
      <w:r w:rsidR="00D96577">
        <w:fldChar w:fldCharType="end"/>
      </w:r>
      <w:r w:rsidR="000A688B">
        <w:t>)</w:t>
      </w:r>
      <w:r w:rsidR="008E4EE9">
        <w:t xml:space="preserve">, it might be assumed that the effects on </w:t>
      </w:r>
      <w:proofErr w:type="spellStart"/>
      <w:r w:rsidR="008E4EE9">
        <w:t>OMIEs</w:t>
      </w:r>
      <w:proofErr w:type="spellEnd"/>
      <w:r w:rsidR="008E4EE9">
        <w:t xml:space="preserve"> were similarly small.</w:t>
      </w:r>
    </w:p>
    <w:p w:rsidR="008E4EE9" w:rsidRDefault="008E4EE9" w:rsidP="008E4EE9">
      <w:pPr>
        <w:pStyle w:val="BodyText"/>
        <w:ind w:left="340"/>
      </w:pPr>
      <w:r>
        <w:lastRenderedPageBreak/>
        <w:t>From 2004, the ABS anticipated that questions in</w:t>
      </w:r>
      <w:r w:rsidR="00AA6987">
        <w:t xml:space="preserve"> the</w:t>
      </w:r>
      <w:r>
        <w:t xml:space="preserve"> </w:t>
      </w:r>
      <w:r w:rsidR="00D71438" w:rsidRPr="00D71438">
        <w:rPr>
          <w:i/>
        </w:rPr>
        <w:t>Forms of Employment</w:t>
      </w:r>
      <w:r w:rsidR="00D71438">
        <w:t xml:space="preserve"> (FOE) </w:t>
      </w:r>
      <w:r w:rsidR="007B6838">
        <w:t>survey</w:t>
      </w:r>
      <w:r>
        <w:t xml:space="preserve"> would permit even more accurate id</w:t>
      </w:r>
      <w:r w:rsidR="00B07B7E">
        <w:t xml:space="preserve">entification of </w:t>
      </w:r>
      <w:proofErr w:type="spellStart"/>
      <w:r w:rsidR="00B07B7E">
        <w:t>OMIEs</w:t>
      </w:r>
      <w:proofErr w:type="spellEnd"/>
      <w:r w:rsidR="00B07B7E">
        <w:t xml:space="preserve"> (ABS 2004</w:t>
      </w:r>
      <w:r>
        <w:t xml:space="preserve">). A comparison of the estimates from the </w:t>
      </w:r>
      <w:proofErr w:type="spellStart"/>
      <w:r>
        <w:t>LFS</w:t>
      </w:r>
      <w:proofErr w:type="spellEnd"/>
      <w:r>
        <w:t>/</w:t>
      </w:r>
      <w:proofErr w:type="spellStart"/>
      <w:r>
        <w:t>EEBTUM</w:t>
      </w:r>
      <w:proofErr w:type="spellEnd"/>
      <w:r>
        <w:t xml:space="preserve"> approach and FOE</w:t>
      </w:r>
      <w:r w:rsidR="007B6838">
        <w:t xml:space="preserve"> survey</w:t>
      </w:r>
      <w:r>
        <w:t xml:space="preserve"> suggest</w:t>
      </w:r>
      <w:r w:rsidR="007B6838">
        <w:t>s</w:t>
      </w:r>
      <w:r>
        <w:t xml:space="preserve"> the former </w:t>
      </w:r>
      <w:r w:rsidR="00C57826">
        <w:t>were reasonably accurate</w:t>
      </w:r>
      <w:r>
        <w:t xml:space="preserve"> (point</w:t>
      </w:r>
      <w:r w:rsidR="00C57826">
        <w:t xml:space="preserve"> 6</w:t>
      </w:r>
      <w:r>
        <w:t>).</w:t>
      </w:r>
    </w:p>
    <w:p w:rsidR="008E4EE9" w:rsidRDefault="008E4EE9" w:rsidP="008E4EE9">
      <w:pPr>
        <w:pStyle w:val="BodyText"/>
        <w:ind w:left="340"/>
      </w:pPr>
      <w:r>
        <w:t>The implication of the possible 10 per cent underestimate prior to 2001 is to understate this category, and overstate both employee categories (because an</w:t>
      </w:r>
      <w:r w:rsidR="00B07B7E">
        <w:t xml:space="preserve"> estimated 5</w:t>
      </w:r>
      <w:r>
        <w:t xml:space="preserve">5 per cent of </w:t>
      </w:r>
      <w:proofErr w:type="spellStart"/>
      <w:r>
        <w:t>OMIEs</w:t>
      </w:r>
      <w:proofErr w:type="spellEnd"/>
      <w:r>
        <w:t xml:space="preserve"> do not have paid leave entitlements (ABS 2004</w:t>
      </w:r>
      <w:r w:rsidR="007B75AC">
        <w:t>)</w:t>
      </w:r>
      <w:r>
        <w:t xml:space="preserve">). If the </w:t>
      </w:r>
      <w:proofErr w:type="spellStart"/>
      <w:r>
        <w:t>OMIE</w:t>
      </w:r>
      <w:proofErr w:type="spellEnd"/>
      <w:r>
        <w:t xml:space="preserve"> estimates are adjusted up by 10 per cent, and the difference between the old and new </w:t>
      </w:r>
      <w:proofErr w:type="spellStart"/>
      <w:r>
        <w:t>OMIE</w:t>
      </w:r>
      <w:proofErr w:type="spellEnd"/>
      <w:r>
        <w:t xml:space="preserve"> estimates is deducted from figures for </w:t>
      </w:r>
      <w:r w:rsidR="006135C8">
        <w:t>permanent and casual employees</w:t>
      </w:r>
      <w:r>
        <w:t xml:space="preserve"> in the proportion </w:t>
      </w:r>
      <w:r w:rsidR="00B07B7E">
        <w:t>45</w:t>
      </w:r>
      <w:r>
        <w:t>/</w:t>
      </w:r>
      <w:r w:rsidR="00B07B7E">
        <w:t>5</w:t>
      </w:r>
      <w:r>
        <w:t>5 per cent respectively, estimate</w:t>
      </w:r>
      <w:r w:rsidR="006135C8">
        <w:t>s</w:t>
      </w:r>
      <w:r>
        <w:t xml:space="preserve"> for </w:t>
      </w:r>
      <w:r w:rsidR="006135C8">
        <w:t>permanent employees</w:t>
      </w:r>
      <w:r>
        <w:t xml:space="preserve"> fall by about 0.6 per cent and </w:t>
      </w:r>
      <w:r w:rsidR="006135C8">
        <w:t>for casuals</w:t>
      </w:r>
      <w:r>
        <w:t xml:space="preserve"> by 1.5 per cent.</w:t>
      </w:r>
    </w:p>
    <w:p w:rsidR="008E4EE9" w:rsidRDefault="008E4EE9" w:rsidP="008E4EE9">
      <w:pPr>
        <w:pStyle w:val="BodyText"/>
        <w:ind w:left="340"/>
      </w:pPr>
      <w:r w:rsidRPr="006B6740">
        <w:rPr>
          <w:i/>
        </w:rPr>
        <w:t>Action:</w:t>
      </w:r>
      <w:r>
        <w:rPr>
          <w:i/>
        </w:rPr>
        <w:t xml:space="preserve"> </w:t>
      </w:r>
      <w:r>
        <w:t xml:space="preserve">It could be assumed that </w:t>
      </w:r>
      <w:proofErr w:type="spellStart"/>
      <w:r>
        <w:t>OMIE</w:t>
      </w:r>
      <w:proofErr w:type="spellEnd"/>
      <w:r>
        <w:t xml:space="preserve"> estimates from 1978 to 2001 </w:t>
      </w:r>
      <w:r w:rsidR="00256E3B">
        <w:t>were understated by 10 per cent — </w:t>
      </w:r>
      <w:r>
        <w:t xml:space="preserve">and the series adjusted accordingly. However, </w:t>
      </w:r>
      <w:r w:rsidR="007B6838">
        <w:t xml:space="preserve">as the above quote illustrates, </w:t>
      </w:r>
      <w:r>
        <w:t xml:space="preserve">the ABS is uncertain about the extent of underestimation. It is assumed that the changes introduced with the new </w:t>
      </w:r>
      <w:proofErr w:type="spellStart"/>
      <w:r>
        <w:t>LFS</w:t>
      </w:r>
      <w:proofErr w:type="spellEnd"/>
      <w:r>
        <w:t xml:space="preserve"> questionnaire in April 2001 led to improved, and reasonably accurate, measurement of </w:t>
      </w:r>
      <w:proofErr w:type="spellStart"/>
      <w:r>
        <w:t>OMIEs</w:t>
      </w:r>
      <w:proofErr w:type="spellEnd"/>
      <w:r w:rsidR="00D60EC0">
        <w:t>,</w:t>
      </w:r>
      <w:r>
        <w:t xml:space="preserve"> </w:t>
      </w:r>
      <w:r w:rsidR="00D60EC0">
        <w:t>b</w:t>
      </w:r>
      <w:r>
        <w:t xml:space="preserve">ut it is unclear by how much. Given this lack of certainty, and the relatively small potential effect on estimates for </w:t>
      </w:r>
      <w:r w:rsidR="006135C8">
        <w:t>permanent and casual employees</w:t>
      </w:r>
      <w:r>
        <w:t xml:space="preserve">, no adjustments are made for possible underestimation of </w:t>
      </w:r>
      <w:proofErr w:type="spellStart"/>
      <w:r>
        <w:t>OMIEs</w:t>
      </w:r>
      <w:proofErr w:type="spellEnd"/>
      <w:r>
        <w:t>.</w:t>
      </w:r>
    </w:p>
    <w:p w:rsidR="00D3538B" w:rsidRDefault="00D3538B" w:rsidP="00D3538B">
      <w:pPr>
        <w:pStyle w:val="ListNumber"/>
      </w:pPr>
      <w:r>
        <w:t xml:space="preserve">The ABS changed the methodology used to </w:t>
      </w:r>
      <w:r w:rsidR="007B6838">
        <w:t>compile data on</w:t>
      </w:r>
      <w:r>
        <w:t xml:space="preserve"> employment type from 2008. Prior to that point, estimates were produced by combining data from the </w:t>
      </w:r>
      <w:proofErr w:type="spellStart"/>
      <w:r>
        <w:t>LFS</w:t>
      </w:r>
      <w:proofErr w:type="spellEnd"/>
      <w:r>
        <w:t xml:space="preserve"> and </w:t>
      </w:r>
      <w:proofErr w:type="spellStart"/>
      <w:r>
        <w:t>EEBTUM</w:t>
      </w:r>
      <w:proofErr w:type="spellEnd"/>
      <w:r w:rsidR="006135C8">
        <w:t xml:space="preserve"> </w:t>
      </w:r>
      <w:r w:rsidR="00D71438">
        <w:t xml:space="preserve">survey </w:t>
      </w:r>
      <w:r w:rsidR="006135C8">
        <w:t>(ABS </w:t>
      </w:r>
      <w:proofErr w:type="spellStart"/>
      <w:r w:rsidR="006135C8">
        <w:t>2012a</w:t>
      </w:r>
      <w:proofErr w:type="spellEnd"/>
      <w:r w:rsidR="006135C8">
        <w:t>)</w:t>
      </w:r>
      <w:r>
        <w:t>. From 2008 o</w:t>
      </w:r>
      <w:r w:rsidR="00D71438">
        <w:t>nwards, estimates come from the FOE survey. It is possible to compare the FOE survey</w:t>
      </w:r>
      <w:r>
        <w:t xml:space="preserve"> data for 2004, 2006, 2007 and 2008 (collected in November), with </w:t>
      </w:r>
      <w:proofErr w:type="spellStart"/>
      <w:r>
        <w:t>LFS</w:t>
      </w:r>
      <w:proofErr w:type="spellEnd"/>
      <w:r>
        <w:t>/</w:t>
      </w:r>
      <w:proofErr w:type="spellStart"/>
      <w:r>
        <w:t>EEBTUM</w:t>
      </w:r>
      <w:proofErr w:type="spellEnd"/>
      <w:r>
        <w:t xml:space="preserve"> estimates (collected in August) (table</w:t>
      </w:r>
      <w:r w:rsidR="00D60EC0">
        <w:t> </w:t>
      </w:r>
      <w:proofErr w:type="spellStart"/>
      <w:r w:rsidR="00D96577">
        <w:fldChar w:fldCharType="begin"/>
      </w:r>
      <w:r w:rsidR="00D96577">
        <w:instrText xml:space="preserve"> LINK Word.Document.12 "\\\\MEL_1\\groups\\Elmrb\\04_Current projects\\Forms of work\\04_Reports\\Report\\Final\\Electronic appendix.docx" "OLE_LINK5" \a \t </w:instrText>
      </w:r>
      <w:r w:rsidR="00D96577">
        <w:fldChar w:fldCharType="separate"/>
      </w:r>
      <w:r w:rsidR="00256E3B">
        <w:t>J.4</w:t>
      </w:r>
      <w:proofErr w:type="spellEnd"/>
      <w:r w:rsidR="00D96577">
        <w:fldChar w:fldCharType="end"/>
      </w:r>
      <w:r>
        <w:t>). As the ABS notes:</w:t>
      </w:r>
    </w:p>
    <w:p w:rsidR="00D3538B" w:rsidRDefault="00D3538B" w:rsidP="006135C8">
      <w:pPr>
        <w:pStyle w:val="Quote"/>
        <w:ind w:left="567"/>
      </w:pPr>
      <w:r w:rsidRPr="00E34ACA">
        <w:t>While this change in methodology has resulted in a break in series, the impact on the estimates is minimal.</w:t>
      </w:r>
      <w:r>
        <w:t xml:space="preserve"> (ABS </w:t>
      </w:r>
      <w:proofErr w:type="spellStart"/>
      <w:r>
        <w:t>2012</w:t>
      </w:r>
      <w:r w:rsidR="006135C8">
        <w:t>a</w:t>
      </w:r>
      <w:proofErr w:type="spellEnd"/>
      <w:r>
        <w:t>, p. 1)</w:t>
      </w:r>
    </w:p>
    <w:p w:rsidR="00D3538B" w:rsidRDefault="00D96577" w:rsidP="00D3538B">
      <w:pPr>
        <w:pStyle w:val="TableTitle"/>
      </w:pPr>
      <w:r>
        <w:rPr>
          <w:b w:val="0"/>
        </w:rPr>
        <w:lastRenderedPageBreak/>
        <w:t xml:space="preserve">Table </w:t>
      </w:r>
      <w:bookmarkStart w:id="12" w:name="OLE_LINK5"/>
      <w:r>
        <w:rPr>
          <w:b w:val="0"/>
        </w:rPr>
        <w:fldChar w:fldCharType="begin"/>
      </w:r>
      <w:r>
        <w:rPr>
          <w:b w:val="0"/>
        </w:rPr>
        <w:instrText xml:space="preserve"> COMMENTS  \* MERGEFORMAT </w:instrText>
      </w:r>
      <w:r>
        <w:rPr>
          <w:b w:val="0"/>
        </w:rPr>
        <w:fldChar w:fldCharType="separate"/>
      </w:r>
      <w:proofErr w:type="spellStart"/>
      <w:r w:rsidR="00256E3B">
        <w:rPr>
          <w:b w:val="0"/>
        </w:rPr>
        <w:t>J.</w:t>
      </w:r>
      <w:r>
        <w:rPr>
          <w:b w:val="0"/>
        </w:rPr>
        <w:fldChar w:fldCharType="end"/>
      </w:r>
      <w:r>
        <w:rPr>
          <w:b w:val="0"/>
        </w:rPr>
        <w:fldChar w:fldCharType="begin"/>
      </w:r>
      <w:r>
        <w:rPr>
          <w:b w:val="0"/>
        </w:rPr>
        <w:instrText xml:space="preserve"> SEQ Table \* ARABIC </w:instrText>
      </w:r>
      <w:r>
        <w:rPr>
          <w:b w:val="0"/>
        </w:rPr>
        <w:fldChar w:fldCharType="separate"/>
      </w:r>
      <w:r w:rsidR="00281E4C">
        <w:rPr>
          <w:b w:val="0"/>
          <w:noProof/>
        </w:rPr>
        <w:t>4</w:t>
      </w:r>
      <w:proofErr w:type="spellEnd"/>
      <w:r>
        <w:rPr>
          <w:b w:val="0"/>
        </w:rPr>
        <w:fldChar w:fldCharType="end"/>
      </w:r>
      <w:bookmarkEnd w:id="12"/>
      <w:r>
        <w:tab/>
      </w:r>
      <w:r w:rsidR="00D3538B">
        <w:t xml:space="preserve">Estimates </w:t>
      </w:r>
      <w:r w:rsidR="00256E3B">
        <w:t>of shares of employment by type — </w:t>
      </w:r>
      <w:r w:rsidR="00D71438">
        <w:t>the FOE survey</w:t>
      </w:r>
      <w:r w:rsidR="00D3538B">
        <w:t xml:space="preserve"> and </w:t>
      </w:r>
      <w:proofErr w:type="spellStart"/>
      <w:r w:rsidR="00D3538B">
        <w:t>LFS</w:t>
      </w:r>
      <w:proofErr w:type="spellEnd"/>
      <w:r w:rsidR="00D3538B">
        <w:t>/</w:t>
      </w:r>
      <w:proofErr w:type="spellStart"/>
      <w:r w:rsidR="00D3538B">
        <w:t>EEBTUM</w:t>
      </w:r>
      <w:proofErr w:type="spellEnd"/>
      <w:r w:rsidR="00D71438">
        <w:t xml:space="preserve"> survey</w:t>
      </w:r>
      <w:r w:rsidR="00D3538B">
        <w:t xml:space="preserve"> measurement approaches</w:t>
      </w:r>
    </w:p>
    <w:p w:rsidR="00D71438" w:rsidRPr="00D71438" w:rsidRDefault="00D71438" w:rsidP="00D71438">
      <w:pPr>
        <w:pStyle w:val="Subtitle"/>
      </w:pPr>
      <w:r w:rsidRPr="00D71438">
        <w:t>Per cent</w:t>
      </w:r>
    </w:p>
    <w:tbl>
      <w:tblPr>
        <w:tblW w:w="5000" w:type="pct"/>
        <w:tblCellMar>
          <w:left w:w="0" w:type="dxa"/>
          <w:right w:w="0" w:type="dxa"/>
        </w:tblCellMar>
        <w:tblLook w:val="04A0" w:firstRow="1" w:lastRow="0" w:firstColumn="1" w:lastColumn="0" w:noHBand="0" w:noVBand="1"/>
      </w:tblPr>
      <w:tblGrid>
        <w:gridCol w:w="2611"/>
        <w:gridCol w:w="1587"/>
        <w:gridCol w:w="1682"/>
        <w:gridCol w:w="1513"/>
        <w:gridCol w:w="1396"/>
      </w:tblGrid>
      <w:tr w:rsidR="00D3538B" w:rsidRPr="006B6740" w:rsidTr="00823164">
        <w:trPr>
          <w:trHeight w:val="255"/>
        </w:trPr>
        <w:tc>
          <w:tcPr>
            <w:tcW w:w="1485" w:type="pct"/>
            <w:tcBorders>
              <w:top w:val="single" w:sz="6" w:space="0" w:color="auto"/>
              <w:left w:val="nil"/>
              <w:bottom w:val="single" w:sz="6" w:space="0" w:color="auto"/>
              <w:right w:val="nil"/>
            </w:tcBorders>
            <w:shd w:val="clear" w:color="auto" w:fill="auto"/>
            <w:noWrap/>
            <w:vAlign w:val="bottom"/>
            <w:hideMark/>
          </w:tcPr>
          <w:p w:rsidR="00D3538B" w:rsidRPr="006B6740" w:rsidRDefault="00D3538B" w:rsidP="007349DC">
            <w:pPr>
              <w:pStyle w:val="TableColumnHeading"/>
              <w:jc w:val="left"/>
            </w:pPr>
          </w:p>
        </w:tc>
        <w:tc>
          <w:tcPr>
            <w:tcW w:w="903" w:type="pct"/>
            <w:tcBorders>
              <w:top w:val="single" w:sz="6" w:space="0" w:color="auto"/>
              <w:left w:val="nil"/>
              <w:bottom w:val="single" w:sz="6" w:space="0" w:color="auto"/>
              <w:right w:val="nil"/>
            </w:tcBorders>
            <w:shd w:val="clear" w:color="auto" w:fill="auto"/>
            <w:noWrap/>
            <w:vAlign w:val="bottom"/>
            <w:hideMark/>
          </w:tcPr>
          <w:p w:rsidR="00D3538B" w:rsidRPr="006B6740" w:rsidRDefault="00D3538B" w:rsidP="007349DC">
            <w:pPr>
              <w:pStyle w:val="TableColumnHeading"/>
            </w:pPr>
            <w:r w:rsidRPr="006B6740">
              <w:t>2004</w:t>
            </w:r>
          </w:p>
        </w:tc>
        <w:tc>
          <w:tcPr>
            <w:tcW w:w="957" w:type="pct"/>
            <w:tcBorders>
              <w:top w:val="single" w:sz="6" w:space="0" w:color="auto"/>
              <w:left w:val="nil"/>
              <w:bottom w:val="single" w:sz="6" w:space="0" w:color="auto"/>
              <w:right w:val="nil"/>
            </w:tcBorders>
            <w:shd w:val="clear" w:color="auto" w:fill="auto"/>
            <w:noWrap/>
            <w:vAlign w:val="bottom"/>
            <w:hideMark/>
          </w:tcPr>
          <w:p w:rsidR="00D3538B" w:rsidRPr="006B6740" w:rsidRDefault="00D3538B" w:rsidP="007349DC">
            <w:pPr>
              <w:pStyle w:val="TableColumnHeading"/>
            </w:pPr>
            <w:r w:rsidRPr="006B6740">
              <w:t>2006</w:t>
            </w:r>
          </w:p>
        </w:tc>
        <w:tc>
          <w:tcPr>
            <w:tcW w:w="861" w:type="pct"/>
            <w:tcBorders>
              <w:top w:val="single" w:sz="6" w:space="0" w:color="auto"/>
              <w:left w:val="nil"/>
              <w:bottom w:val="single" w:sz="6" w:space="0" w:color="auto"/>
              <w:right w:val="nil"/>
            </w:tcBorders>
            <w:shd w:val="clear" w:color="auto" w:fill="auto"/>
            <w:noWrap/>
            <w:vAlign w:val="bottom"/>
            <w:hideMark/>
          </w:tcPr>
          <w:p w:rsidR="00D3538B" w:rsidRPr="006B6740" w:rsidRDefault="00D3538B" w:rsidP="007349DC">
            <w:pPr>
              <w:pStyle w:val="TableColumnHeading"/>
            </w:pPr>
            <w:r w:rsidRPr="006B6740">
              <w:t>2007</w:t>
            </w:r>
          </w:p>
        </w:tc>
        <w:tc>
          <w:tcPr>
            <w:tcW w:w="794" w:type="pct"/>
            <w:tcBorders>
              <w:top w:val="single" w:sz="6" w:space="0" w:color="auto"/>
              <w:left w:val="nil"/>
              <w:bottom w:val="single" w:sz="6" w:space="0" w:color="auto"/>
              <w:right w:val="nil"/>
            </w:tcBorders>
            <w:shd w:val="clear" w:color="auto" w:fill="auto"/>
            <w:noWrap/>
            <w:vAlign w:val="bottom"/>
            <w:hideMark/>
          </w:tcPr>
          <w:p w:rsidR="00D3538B" w:rsidRPr="006B6740" w:rsidRDefault="00D3538B" w:rsidP="007349DC">
            <w:pPr>
              <w:pStyle w:val="TableColumnHeading"/>
              <w:ind w:right="28"/>
            </w:pPr>
            <w:r w:rsidRPr="006B6740">
              <w:t>2008</w:t>
            </w:r>
          </w:p>
        </w:tc>
      </w:tr>
      <w:tr w:rsidR="00D3538B" w:rsidRPr="006B6740" w:rsidTr="00823164">
        <w:trPr>
          <w:trHeight w:val="255"/>
        </w:trPr>
        <w:tc>
          <w:tcPr>
            <w:tcW w:w="1485" w:type="pct"/>
            <w:tcBorders>
              <w:top w:val="nil"/>
              <w:left w:val="nil"/>
              <w:bottom w:val="nil"/>
              <w:right w:val="nil"/>
            </w:tcBorders>
            <w:shd w:val="clear" w:color="auto" w:fill="auto"/>
            <w:noWrap/>
            <w:vAlign w:val="bottom"/>
          </w:tcPr>
          <w:p w:rsidR="00D3538B" w:rsidRPr="006B6740" w:rsidRDefault="00D3538B" w:rsidP="00D71438">
            <w:pPr>
              <w:pStyle w:val="TableBodyText"/>
              <w:spacing w:before="40"/>
              <w:jc w:val="left"/>
            </w:pPr>
            <w:r w:rsidRPr="006B6740">
              <w:rPr>
                <w:b/>
                <w:bCs/>
              </w:rPr>
              <w:t>FOE</w:t>
            </w:r>
            <w:r w:rsidR="00D71438">
              <w:rPr>
                <w:b/>
                <w:bCs/>
              </w:rPr>
              <w:t xml:space="preserve"> survey</w:t>
            </w:r>
            <w:r w:rsidRPr="006B6740">
              <w:rPr>
                <w:b/>
                <w:bCs/>
              </w:rPr>
              <w:t xml:space="preserve"> estimates</w:t>
            </w:r>
          </w:p>
        </w:tc>
        <w:tc>
          <w:tcPr>
            <w:tcW w:w="903" w:type="pct"/>
            <w:tcBorders>
              <w:top w:val="nil"/>
              <w:left w:val="nil"/>
              <w:bottom w:val="nil"/>
              <w:right w:val="nil"/>
            </w:tcBorders>
            <w:shd w:val="clear" w:color="auto" w:fill="auto"/>
            <w:noWrap/>
            <w:vAlign w:val="bottom"/>
          </w:tcPr>
          <w:p w:rsidR="00D3538B" w:rsidRPr="006B6740" w:rsidRDefault="00D3538B" w:rsidP="00D71438">
            <w:pPr>
              <w:pStyle w:val="TableBodyText"/>
              <w:spacing w:before="40"/>
            </w:pPr>
          </w:p>
        </w:tc>
        <w:tc>
          <w:tcPr>
            <w:tcW w:w="957" w:type="pct"/>
            <w:tcBorders>
              <w:top w:val="nil"/>
              <w:left w:val="nil"/>
              <w:bottom w:val="nil"/>
              <w:right w:val="nil"/>
            </w:tcBorders>
            <w:shd w:val="clear" w:color="auto" w:fill="auto"/>
            <w:noWrap/>
            <w:vAlign w:val="bottom"/>
          </w:tcPr>
          <w:p w:rsidR="00D3538B" w:rsidRPr="006B6740" w:rsidRDefault="00D3538B" w:rsidP="00D71438">
            <w:pPr>
              <w:pStyle w:val="TableBodyText"/>
              <w:spacing w:before="40"/>
            </w:pPr>
          </w:p>
        </w:tc>
        <w:tc>
          <w:tcPr>
            <w:tcW w:w="861" w:type="pct"/>
            <w:tcBorders>
              <w:top w:val="nil"/>
              <w:left w:val="nil"/>
              <w:bottom w:val="nil"/>
              <w:right w:val="nil"/>
            </w:tcBorders>
            <w:shd w:val="clear" w:color="auto" w:fill="auto"/>
            <w:noWrap/>
            <w:vAlign w:val="bottom"/>
          </w:tcPr>
          <w:p w:rsidR="00D3538B" w:rsidRPr="006B6740" w:rsidRDefault="00D3538B" w:rsidP="00D71438">
            <w:pPr>
              <w:pStyle w:val="TableBodyText"/>
              <w:spacing w:before="40"/>
            </w:pPr>
          </w:p>
        </w:tc>
        <w:tc>
          <w:tcPr>
            <w:tcW w:w="794" w:type="pct"/>
            <w:tcBorders>
              <w:top w:val="nil"/>
              <w:left w:val="nil"/>
              <w:bottom w:val="nil"/>
              <w:right w:val="nil"/>
            </w:tcBorders>
            <w:shd w:val="clear" w:color="auto" w:fill="auto"/>
            <w:noWrap/>
            <w:vAlign w:val="bottom"/>
          </w:tcPr>
          <w:p w:rsidR="00D3538B" w:rsidRPr="006B6740" w:rsidRDefault="00D3538B" w:rsidP="00D71438">
            <w:pPr>
              <w:pStyle w:val="TableBodyText"/>
              <w:spacing w:before="40"/>
              <w:ind w:right="28"/>
            </w:pPr>
          </w:p>
        </w:tc>
      </w:tr>
      <w:tr w:rsidR="00D3538B" w:rsidRPr="006B6740" w:rsidTr="00823164">
        <w:trPr>
          <w:trHeight w:val="255"/>
        </w:trPr>
        <w:tc>
          <w:tcPr>
            <w:tcW w:w="1485" w:type="pct"/>
            <w:tcBorders>
              <w:top w:val="nil"/>
              <w:left w:val="nil"/>
              <w:bottom w:val="nil"/>
              <w:right w:val="nil"/>
            </w:tcBorders>
            <w:shd w:val="clear" w:color="auto" w:fill="auto"/>
            <w:noWrap/>
            <w:vAlign w:val="bottom"/>
            <w:hideMark/>
          </w:tcPr>
          <w:p w:rsidR="00D3538B" w:rsidRPr="006B6740" w:rsidRDefault="006135C8" w:rsidP="007349DC">
            <w:pPr>
              <w:pStyle w:val="TableBodyText"/>
              <w:jc w:val="left"/>
            </w:pPr>
            <w:r>
              <w:t>Permanent employees</w:t>
            </w:r>
          </w:p>
        </w:tc>
        <w:tc>
          <w:tcPr>
            <w:tcW w:w="903"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59.6</w:t>
            </w:r>
          </w:p>
        </w:tc>
        <w:tc>
          <w:tcPr>
            <w:tcW w:w="957"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60.8</w:t>
            </w:r>
          </w:p>
        </w:tc>
        <w:tc>
          <w:tcPr>
            <w:tcW w:w="861"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60.9</w:t>
            </w:r>
          </w:p>
        </w:tc>
        <w:tc>
          <w:tcPr>
            <w:tcW w:w="794" w:type="pct"/>
            <w:tcBorders>
              <w:top w:val="nil"/>
              <w:left w:val="nil"/>
              <w:bottom w:val="nil"/>
              <w:right w:val="nil"/>
            </w:tcBorders>
            <w:shd w:val="clear" w:color="auto" w:fill="auto"/>
            <w:noWrap/>
            <w:vAlign w:val="bottom"/>
            <w:hideMark/>
          </w:tcPr>
          <w:p w:rsidR="00D3538B" w:rsidRPr="006B6740" w:rsidRDefault="00D3538B" w:rsidP="007349DC">
            <w:pPr>
              <w:pStyle w:val="TableBodyText"/>
              <w:ind w:right="28"/>
            </w:pPr>
            <w:r w:rsidRPr="006B6740">
              <w:t>61.8</w:t>
            </w:r>
          </w:p>
        </w:tc>
      </w:tr>
      <w:tr w:rsidR="00D3538B" w:rsidRPr="006B6740" w:rsidTr="00823164">
        <w:trPr>
          <w:trHeight w:val="255"/>
        </w:trPr>
        <w:tc>
          <w:tcPr>
            <w:tcW w:w="1485" w:type="pct"/>
            <w:tcBorders>
              <w:top w:val="nil"/>
              <w:left w:val="nil"/>
              <w:bottom w:val="nil"/>
              <w:right w:val="nil"/>
            </w:tcBorders>
            <w:shd w:val="clear" w:color="auto" w:fill="auto"/>
            <w:noWrap/>
            <w:vAlign w:val="bottom"/>
            <w:hideMark/>
          </w:tcPr>
          <w:p w:rsidR="00D3538B" w:rsidRPr="006B6740" w:rsidRDefault="006135C8" w:rsidP="007349DC">
            <w:pPr>
              <w:pStyle w:val="TableBodyText"/>
              <w:jc w:val="left"/>
            </w:pPr>
            <w:r>
              <w:t>Casual employees</w:t>
            </w:r>
          </w:p>
        </w:tc>
        <w:tc>
          <w:tcPr>
            <w:tcW w:w="903"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20.6</w:t>
            </w:r>
          </w:p>
        </w:tc>
        <w:tc>
          <w:tcPr>
            <w:tcW w:w="957"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20.4</w:t>
            </w:r>
          </w:p>
        </w:tc>
        <w:tc>
          <w:tcPr>
            <w:tcW w:w="861"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20.9</w:t>
            </w:r>
          </w:p>
        </w:tc>
        <w:tc>
          <w:tcPr>
            <w:tcW w:w="794" w:type="pct"/>
            <w:tcBorders>
              <w:top w:val="nil"/>
              <w:left w:val="nil"/>
              <w:bottom w:val="nil"/>
              <w:right w:val="nil"/>
            </w:tcBorders>
            <w:shd w:val="clear" w:color="auto" w:fill="auto"/>
            <w:noWrap/>
            <w:vAlign w:val="bottom"/>
            <w:hideMark/>
          </w:tcPr>
          <w:p w:rsidR="00D3538B" w:rsidRPr="006B6740" w:rsidRDefault="00D3538B" w:rsidP="007349DC">
            <w:pPr>
              <w:pStyle w:val="TableBodyText"/>
              <w:ind w:right="28"/>
            </w:pPr>
            <w:r w:rsidRPr="006B6740">
              <w:t>19.6</w:t>
            </w:r>
          </w:p>
        </w:tc>
      </w:tr>
      <w:tr w:rsidR="00D3538B" w:rsidRPr="006B6740" w:rsidTr="00823164">
        <w:trPr>
          <w:trHeight w:val="255"/>
        </w:trPr>
        <w:tc>
          <w:tcPr>
            <w:tcW w:w="1485" w:type="pct"/>
            <w:tcBorders>
              <w:top w:val="nil"/>
              <w:left w:val="nil"/>
              <w:bottom w:val="nil"/>
              <w:right w:val="nil"/>
            </w:tcBorders>
            <w:shd w:val="clear" w:color="auto" w:fill="auto"/>
            <w:noWrap/>
            <w:vAlign w:val="bottom"/>
            <w:hideMark/>
          </w:tcPr>
          <w:p w:rsidR="00D3538B" w:rsidRPr="006B6740" w:rsidRDefault="00D3538B" w:rsidP="007349DC">
            <w:pPr>
              <w:pStyle w:val="TableBodyText"/>
              <w:jc w:val="left"/>
            </w:pPr>
            <w:proofErr w:type="spellStart"/>
            <w:r w:rsidRPr="006B6740">
              <w:t>OMIEs</w:t>
            </w:r>
            <w:proofErr w:type="spellEnd"/>
          </w:p>
        </w:tc>
        <w:tc>
          <w:tcPr>
            <w:tcW w:w="903"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7.1</w:t>
            </w:r>
          </w:p>
        </w:tc>
        <w:tc>
          <w:tcPr>
            <w:tcW w:w="957"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6.6</w:t>
            </w:r>
          </w:p>
        </w:tc>
        <w:tc>
          <w:tcPr>
            <w:tcW w:w="861"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6.5</w:t>
            </w:r>
          </w:p>
        </w:tc>
        <w:tc>
          <w:tcPr>
            <w:tcW w:w="794" w:type="pct"/>
            <w:tcBorders>
              <w:top w:val="nil"/>
              <w:left w:val="nil"/>
              <w:bottom w:val="nil"/>
              <w:right w:val="nil"/>
            </w:tcBorders>
            <w:shd w:val="clear" w:color="auto" w:fill="auto"/>
            <w:noWrap/>
            <w:vAlign w:val="bottom"/>
            <w:hideMark/>
          </w:tcPr>
          <w:p w:rsidR="00D3538B" w:rsidRPr="006B6740" w:rsidRDefault="00D3538B" w:rsidP="007349DC">
            <w:pPr>
              <w:pStyle w:val="TableBodyText"/>
              <w:ind w:right="28"/>
            </w:pPr>
            <w:r w:rsidRPr="006B6740">
              <w:t>7.0</w:t>
            </w:r>
          </w:p>
        </w:tc>
      </w:tr>
      <w:tr w:rsidR="00D3538B" w:rsidRPr="006B6740" w:rsidTr="00823164">
        <w:trPr>
          <w:trHeight w:val="255"/>
        </w:trPr>
        <w:tc>
          <w:tcPr>
            <w:tcW w:w="1485" w:type="pct"/>
            <w:tcBorders>
              <w:top w:val="nil"/>
              <w:left w:val="nil"/>
              <w:bottom w:val="nil"/>
              <w:right w:val="nil"/>
            </w:tcBorders>
            <w:shd w:val="clear" w:color="auto" w:fill="auto"/>
            <w:noWrap/>
            <w:vAlign w:val="bottom"/>
            <w:hideMark/>
          </w:tcPr>
          <w:p w:rsidR="00D3538B" w:rsidRPr="006B6740" w:rsidRDefault="00D3538B" w:rsidP="007349DC">
            <w:pPr>
              <w:pStyle w:val="TableBodyText"/>
              <w:jc w:val="left"/>
            </w:pPr>
            <w:proofErr w:type="spellStart"/>
            <w:r w:rsidRPr="006B6740">
              <w:t>OMUEs</w:t>
            </w:r>
            <w:proofErr w:type="spellEnd"/>
          </w:p>
        </w:tc>
        <w:tc>
          <w:tcPr>
            <w:tcW w:w="903"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12.7</w:t>
            </w:r>
          </w:p>
        </w:tc>
        <w:tc>
          <w:tcPr>
            <w:tcW w:w="957"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12.1</w:t>
            </w:r>
          </w:p>
        </w:tc>
        <w:tc>
          <w:tcPr>
            <w:tcW w:w="861" w:type="pct"/>
            <w:tcBorders>
              <w:top w:val="nil"/>
              <w:left w:val="nil"/>
              <w:bottom w:val="nil"/>
              <w:right w:val="nil"/>
            </w:tcBorders>
            <w:shd w:val="clear" w:color="auto" w:fill="auto"/>
            <w:noWrap/>
            <w:vAlign w:val="bottom"/>
            <w:hideMark/>
          </w:tcPr>
          <w:p w:rsidR="00D3538B" w:rsidRPr="006B6740" w:rsidRDefault="00D3538B" w:rsidP="007349DC">
            <w:pPr>
              <w:pStyle w:val="TableBodyText"/>
            </w:pPr>
            <w:r w:rsidRPr="006B6740">
              <w:t>11.8</w:t>
            </w:r>
          </w:p>
        </w:tc>
        <w:tc>
          <w:tcPr>
            <w:tcW w:w="794" w:type="pct"/>
            <w:tcBorders>
              <w:top w:val="nil"/>
              <w:left w:val="nil"/>
              <w:bottom w:val="nil"/>
              <w:right w:val="nil"/>
            </w:tcBorders>
            <w:shd w:val="clear" w:color="auto" w:fill="auto"/>
            <w:noWrap/>
            <w:vAlign w:val="bottom"/>
            <w:hideMark/>
          </w:tcPr>
          <w:p w:rsidR="00D3538B" w:rsidRPr="006B6740" w:rsidRDefault="00D3538B" w:rsidP="007349DC">
            <w:pPr>
              <w:pStyle w:val="TableBodyText"/>
              <w:ind w:right="28"/>
            </w:pPr>
            <w:r w:rsidRPr="006B6740">
              <w:t>11.5</w:t>
            </w:r>
          </w:p>
        </w:tc>
      </w:tr>
      <w:tr w:rsidR="00D3538B" w:rsidRPr="006B6740" w:rsidTr="00823164">
        <w:trPr>
          <w:trHeight w:val="255"/>
        </w:trPr>
        <w:tc>
          <w:tcPr>
            <w:tcW w:w="1485" w:type="pct"/>
            <w:tcBorders>
              <w:top w:val="nil"/>
              <w:left w:val="nil"/>
              <w:bottom w:val="nil"/>
              <w:right w:val="nil"/>
            </w:tcBorders>
            <w:shd w:val="clear" w:color="auto" w:fill="auto"/>
            <w:noWrap/>
            <w:vAlign w:val="bottom"/>
          </w:tcPr>
          <w:p w:rsidR="00D3538B" w:rsidRPr="006B6740" w:rsidRDefault="007E1599" w:rsidP="00D71438">
            <w:pPr>
              <w:pStyle w:val="TableBodyText"/>
              <w:jc w:val="left"/>
            </w:pPr>
            <w:proofErr w:type="spellStart"/>
            <w:r>
              <w:rPr>
                <w:b/>
                <w:bCs/>
              </w:rPr>
              <w:t>LFS</w:t>
            </w:r>
            <w:proofErr w:type="spellEnd"/>
            <w:r>
              <w:rPr>
                <w:b/>
                <w:bCs/>
              </w:rPr>
              <w:t>/</w:t>
            </w:r>
            <w:proofErr w:type="spellStart"/>
            <w:r>
              <w:rPr>
                <w:b/>
                <w:bCs/>
              </w:rPr>
              <w:t>EEBTUM</w:t>
            </w:r>
            <w:proofErr w:type="spellEnd"/>
            <w:r>
              <w:rPr>
                <w:b/>
                <w:bCs/>
              </w:rPr>
              <w:t xml:space="preserve"> estimates</w:t>
            </w:r>
          </w:p>
        </w:tc>
        <w:tc>
          <w:tcPr>
            <w:tcW w:w="903" w:type="pct"/>
            <w:tcBorders>
              <w:top w:val="nil"/>
              <w:left w:val="nil"/>
              <w:bottom w:val="nil"/>
              <w:right w:val="nil"/>
            </w:tcBorders>
            <w:shd w:val="clear" w:color="auto" w:fill="auto"/>
            <w:noWrap/>
            <w:vAlign w:val="bottom"/>
          </w:tcPr>
          <w:p w:rsidR="00D3538B" w:rsidRPr="006B6740" w:rsidRDefault="00D3538B" w:rsidP="007349DC">
            <w:pPr>
              <w:pStyle w:val="TableBodyText"/>
            </w:pPr>
          </w:p>
        </w:tc>
        <w:tc>
          <w:tcPr>
            <w:tcW w:w="957" w:type="pct"/>
            <w:tcBorders>
              <w:top w:val="nil"/>
              <w:left w:val="nil"/>
              <w:bottom w:val="nil"/>
              <w:right w:val="nil"/>
            </w:tcBorders>
            <w:shd w:val="clear" w:color="auto" w:fill="auto"/>
            <w:noWrap/>
            <w:vAlign w:val="bottom"/>
          </w:tcPr>
          <w:p w:rsidR="00D3538B" w:rsidRPr="006B6740" w:rsidRDefault="00D3538B" w:rsidP="007349DC">
            <w:pPr>
              <w:pStyle w:val="TableBodyText"/>
            </w:pPr>
          </w:p>
        </w:tc>
        <w:tc>
          <w:tcPr>
            <w:tcW w:w="861" w:type="pct"/>
            <w:tcBorders>
              <w:top w:val="nil"/>
              <w:left w:val="nil"/>
              <w:bottom w:val="nil"/>
              <w:right w:val="nil"/>
            </w:tcBorders>
            <w:shd w:val="clear" w:color="auto" w:fill="auto"/>
            <w:noWrap/>
            <w:vAlign w:val="bottom"/>
          </w:tcPr>
          <w:p w:rsidR="00D3538B" w:rsidRPr="006B6740" w:rsidRDefault="00D3538B" w:rsidP="007349DC">
            <w:pPr>
              <w:pStyle w:val="TableBodyText"/>
            </w:pPr>
          </w:p>
        </w:tc>
        <w:tc>
          <w:tcPr>
            <w:tcW w:w="794" w:type="pct"/>
            <w:tcBorders>
              <w:top w:val="nil"/>
              <w:left w:val="nil"/>
              <w:bottom w:val="nil"/>
              <w:right w:val="nil"/>
            </w:tcBorders>
            <w:shd w:val="clear" w:color="auto" w:fill="auto"/>
            <w:noWrap/>
            <w:vAlign w:val="bottom"/>
          </w:tcPr>
          <w:p w:rsidR="00D3538B" w:rsidRPr="006B6740" w:rsidRDefault="00D3538B" w:rsidP="007349DC">
            <w:pPr>
              <w:pStyle w:val="TableBodyText"/>
              <w:ind w:right="28"/>
            </w:pPr>
          </w:p>
        </w:tc>
      </w:tr>
      <w:tr w:rsidR="006135C8" w:rsidRPr="006B6740" w:rsidTr="00823164">
        <w:trPr>
          <w:trHeight w:val="255"/>
        </w:trPr>
        <w:tc>
          <w:tcPr>
            <w:tcW w:w="1485" w:type="pct"/>
            <w:tcBorders>
              <w:top w:val="nil"/>
              <w:left w:val="nil"/>
              <w:bottom w:val="nil"/>
              <w:right w:val="nil"/>
            </w:tcBorders>
            <w:shd w:val="clear" w:color="auto" w:fill="auto"/>
            <w:noWrap/>
            <w:vAlign w:val="bottom"/>
            <w:hideMark/>
          </w:tcPr>
          <w:p w:rsidR="006135C8" w:rsidRPr="006B6740" w:rsidRDefault="006135C8" w:rsidP="00D71438">
            <w:pPr>
              <w:pStyle w:val="TableBodyText"/>
              <w:jc w:val="left"/>
            </w:pPr>
            <w:r>
              <w:t>Permanent employees</w:t>
            </w:r>
            <w:r w:rsidR="00D71438">
              <w:rPr>
                <w:rStyle w:val="NoteLabel"/>
              </w:rPr>
              <w:t>a</w:t>
            </w:r>
          </w:p>
        </w:tc>
        <w:tc>
          <w:tcPr>
            <w:tcW w:w="903"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59.4</w:t>
            </w:r>
          </w:p>
        </w:tc>
        <w:tc>
          <w:tcPr>
            <w:tcW w:w="957"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61.0</w:t>
            </w:r>
          </w:p>
        </w:tc>
        <w:tc>
          <w:tcPr>
            <w:tcW w:w="861"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61.1</w:t>
            </w:r>
          </w:p>
        </w:tc>
        <w:tc>
          <w:tcPr>
            <w:tcW w:w="794" w:type="pct"/>
            <w:tcBorders>
              <w:top w:val="nil"/>
              <w:left w:val="nil"/>
              <w:bottom w:val="nil"/>
              <w:right w:val="nil"/>
            </w:tcBorders>
            <w:shd w:val="clear" w:color="auto" w:fill="auto"/>
            <w:noWrap/>
            <w:vAlign w:val="bottom"/>
            <w:hideMark/>
          </w:tcPr>
          <w:p w:rsidR="006135C8" w:rsidRPr="006B6740" w:rsidRDefault="006135C8" w:rsidP="007349DC">
            <w:pPr>
              <w:pStyle w:val="TableBodyText"/>
              <w:ind w:right="28"/>
            </w:pPr>
            <w:r w:rsidRPr="006B6740">
              <w:t>63.3</w:t>
            </w:r>
          </w:p>
        </w:tc>
      </w:tr>
      <w:tr w:rsidR="006135C8" w:rsidRPr="006B6740" w:rsidTr="00823164">
        <w:trPr>
          <w:trHeight w:val="255"/>
        </w:trPr>
        <w:tc>
          <w:tcPr>
            <w:tcW w:w="1485" w:type="pct"/>
            <w:tcBorders>
              <w:top w:val="nil"/>
              <w:left w:val="nil"/>
              <w:bottom w:val="nil"/>
              <w:right w:val="nil"/>
            </w:tcBorders>
            <w:shd w:val="clear" w:color="auto" w:fill="auto"/>
            <w:noWrap/>
            <w:vAlign w:val="bottom"/>
            <w:hideMark/>
          </w:tcPr>
          <w:p w:rsidR="006135C8" w:rsidRPr="006B6740" w:rsidRDefault="006135C8" w:rsidP="00AA6987">
            <w:pPr>
              <w:pStyle w:val="TableBodyText"/>
              <w:jc w:val="left"/>
            </w:pPr>
            <w:r>
              <w:t>Casual employees</w:t>
            </w:r>
          </w:p>
        </w:tc>
        <w:tc>
          <w:tcPr>
            <w:tcW w:w="903"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20.6</w:t>
            </w:r>
          </w:p>
        </w:tc>
        <w:tc>
          <w:tcPr>
            <w:tcW w:w="957"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19.8</w:t>
            </w:r>
          </w:p>
        </w:tc>
        <w:tc>
          <w:tcPr>
            <w:tcW w:w="861" w:type="pct"/>
            <w:tcBorders>
              <w:top w:val="nil"/>
              <w:left w:val="nil"/>
              <w:bottom w:val="nil"/>
              <w:right w:val="nil"/>
            </w:tcBorders>
            <w:shd w:val="clear" w:color="auto" w:fill="auto"/>
            <w:noWrap/>
            <w:vAlign w:val="bottom"/>
            <w:hideMark/>
          </w:tcPr>
          <w:p w:rsidR="006135C8" w:rsidRPr="006B6740" w:rsidRDefault="006135C8" w:rsidP="007349DC">
            <w:pPr>
              <w:pStyle w:val="TableBodyText"/>
            </w:pPr>
            <w:r w:rsidRPr="006B6740">
              <w:t>20.1</w:t>
            </w:r>
          </w:p>
        </w:tc>
        <w:tc>
          <w:tcPr>
            <w:tcW w:w="794" w:type="pct"/>
            <w:tcBorders>
              <w:top w:val="nil"/>
              <w:left w:val="nil"/>
              <w:bottom w:val="nil"/>
              <w:right w:val="nil"/>
            </w:tcBorders>
            <w:shd w:val="clear" w:color="auto" w:fill="auto"/>
            <w:noWrap/>
            <w:vAlign w:val="bottom"/>
            <w:hideMark/>
          </w:tcPr>
          <w:p w:rsidR="006135C8" w:rsidRPr="006B6740" w:rsidRDefault="006135C8" w:rsidP="007349DC">
            <w:pPr>
              <w:pStyle w:val="TableBodyText"/>
              <w:ind w:right="28"/>
            </w:pPr>
            <w:r w:rsidRPr="006B6740">
              <w:t>20.1</w:t>
            </w:r>
          </w:p>
        </w:tc>
      </w:tr>
      <w:tr w:rsidR="00D3538B" w:rsidRPr="006B6740" w:rsidTr="00823164">
        <w:trPr>
          <w:trHeight w:val="255"/>
        </w:trPr>
        <w:tc>
          <w:tcPr>
            <w:tcW w:w="1485" w:type="pct"/>
            <w:tcBorders>
              <w:top w:val="nil"/>
              <w:left w:val="nil"/>
              <w:right w:val="nil"/>
            </w:tcBorders>
            <w:shd w:val="clear" w:color="auto" w:fill="auto"/>
            <w:noWrap/>
            <w:vAlign w:val="bottom"/>
            <w:hideMark/>
          </w:tcPr>
          <w:p w:rsidR="00D3538B" w:rsidRPr="006B6740" w:rsidRDefault="00D3538B" w:rsidP="007349DC">
            <w:pPr>
              <w:pStyle w:val="TableBodyText"/>
              <w:jc w:val="left"/>
            </w:pPr>
            <w:proofErr w:type="spellStart"/>
            <w:r w:rsidRPr="006B6740">
              <w:t>OMIEs</w:t>
            </w:r>
            <w:proofErr w:type="spellEnd"/>
          </w:p>
        </w:tc>
        <w:tc>
          <w:tcPr>
            <w:tcW w:w="903" w:type="pct"/>
            <w:tcBorders>
              <w:top w:val="nil"/>
              <w:left w:val="nil"/>
              <w:right w:val="nil"/>
            </w:tcBorders>
            <w:shd w:val="clear" w:color="auto" w:fill="auto"/>
            <w:noWrap/>
            <w:vAlign w:val="bottom"/>
            <w:hideMark/>
          </w:tcPr>
          <w:p w:rsidR="00D3538B" w:rsidRPr="006B6740" w:rsidRDefault="00D3538B" w:rsidP="007349DC">
            <w:pPr>
              <w:pStyle w:val="TableBodyText"/>
            </w:pPr>
            <w:r w:rsidRPr="006B6740">
              <w:t>6.4</w:t>
            </w:r>
          </w:p>
        </w:tc>
        <w:tc>
          <w:tcPr>
            <w:tcW w:w="957" w:type="pct"/>
            <w:tcBorders>
              <w:top w:val="nil"/>
              <w:left w:val="nil"/>
              <w:right w:val="nil"/>
            </w:tcBorders>
            <w:shd w:val="clear" w:color="auto" w:fill="auto"/>
            <w:noWrap/>
            <w:vAlign w:val="bottom"/>
            <w:hideMark/>
          </w:tcPr>
          <w:p w:rsidR="00D3538B" w:rsidRPr="006B6740" w:rsidRDefault="00D3538B" w:rsidP="007349DC">
            <w:pPr>
              <w:pStyle w:val="TableBodyText"/>
            </w:pPr>
            <w:r w:rsidRPr="006B6740">
              <w:t>6.8</w:t>
            </w:r>
          </w:p>
        </w:tc>
        <w:tc>
          <w:tcPr>
            <w:tcW w:w="861" w:type="pct"/>
            <w:tcBorders>
              <w:top w:val="nil"/>
              <w:left w:val="nil"/>
              <w:right w:val="nil"/>
            </w:tcBorders>
            <w:shd w:val="clear" w:color="auto" w:fill="auto"/>
            <w:noWrap/>
            <w:vAlign w:val="bottom"/>
            <w:hideMark/>
          </w:tcPr>
          <w:p w:rsidR="00D3538B" w:rsidRPr="006B6740" w:rsidRDefault="00D3538B" w:rsidP="007349DC">
            <w:pPr>
              <w:pStyle w:val="TableBodyText"/>
            </w:pPr>
            <w:r w:rsidRPr="006B6740">
              <w:t>6.3</w:t>
            </w:r>
          </w:p>
        </w:tc>
        <w:tc>
          <w:tcPr>
            <w:tcW w:w="794" w:type="pct"/>
            <w:tcBorders>
              <w:top w:val="nil"/>
              <w:left w:val="nil"/>
              <w:right w:val="nil"/>
            </w:tcBorders>
            <w:shd w:val="clear" w:color="auto" w:fill="auto"/>
            <w:noWrap/>
            <w:vAlign w:val="bottom"/>
            <w:hideMark/>
          </w:tcPr>
          <w:p w:rsidR="00D3538B" w:rsidRPr="006B6740" w:rsidRDefault="00D3538B" w:rsidP="007349DC">
            <w:pPr>
              <w:pStyle w:val="TableBodyText"/>
              <w:ind w:right="28"/>
            </w:pPr>
            <w:r w:rsidRPr="006B6740">
              <w:t>5.7</w:t>
            </w:r>
          </w:p>
        </w:tc>
      </w:tr>
      <w:tr w:rsidR="00D3538B" w:rsidRPr="006B6740" w:rsidTr="00823164">
        <w:trPr>
          <w:trHeight w:val="255"/>
        </w:trPr>
        <w:tc>
          <w:tcPr>
            <w:tcW w:w="1485" w:type="pct"/>
            <w:tcBorders>
              <w:top w:val="nil"/>
              <w:left w:val="nil"/>
              <w:bottom w:val="single" w:sz="6" w:space="0" w:color="auto"/>
              <w:right w:val="nil"/>
            </w:tcBorders>
            <w:shd w:val="clear" w:color="auto" w:fill="auto"/>
            <w:noWrap/>
            <w:vAlign w:val="bottom"/>
            <w:hideMark/>
          </w:tcPr>
          <w:p w:rsidR="00D3538B" w:rsidRPr="006B6740" w:rsidRDefault="00D3538B" w:rsidP="007349DC">
            <w:pPr>
              <w:pStyle w:val="TableBodyText"/>
              <w:jc w:val="left"/>
            </w:pPr>
            <w:proofErr w:type="spellStart"/>
            <w:r w:rsidRPr="006B6740">
              <w:t>OMUEs</w:t>
            </w:r>
            <w:proofErr w:type="spellEnd"/>
          </w:p>
        </w:tc>
        <w:tc>
          <w:tcPr>
            <w:tcW w:w="903" w:type="pct"/>
            <w:tcBorders>
              <w:top w:val="nil"/>
              <w:left w:val="nil"/>
              <w:bottom w:val="single" w:sz="6" w:space="0" w:color="auto"/>
              <w:right w:val="nil"/>
            </w:tcBorders>
            <w:shd w:val="clear" w:color="auto" w:fill="auto"/>
            <w:noWrap/>
            <w:vAlign w:val="bottom"/>
            <w:hideMark/>
          </w:tcPr>
          <w:p w:rsidR="00D3538B" w:rsidRPr="006B6740" w:rsidRDefault="00D3538B" w:rsidP="007349DC">
            <w:pPr>
              <w:pStyle w:val="TableBodyText"/>
            </w:pPr>
            <w:r w:rsidRPr="006B6740">
              <w:t>13.6</w:t>
            </w:r>
          </w:p>
        </w:tc>
        <w:tc>
          <w:tcPr>
            <w:tcW w:w="957" w:type="pct"/>
            <w:tcBorders>
              <w:top w:val="nil"/>
              <w:left w:val="nil"/>
              <w:bottom w:val="single" w:sz="6" w:space="0" w:color="auto"/>
              <w:right w:val="nil"/>
            </w:tcBorders>
            <w:shd w:val="clear" w:color="auto" w:fill="auto"/>
            <w:noWrap/>
            <w:vAlign w:val="bottom"/>
            <w:hideMark/>
          </w:tcPr>
          <w:p w:rsidR="00D3538B" w:rsidRPr="006B6740" w:rsidRDefault="00D3538B" w:rsidP="007349DC">
            <w:pPr>
              <w:pStyle w:val="TableBodyText"/>
            </w:pPr>
            <w:r w:rsidRPr="006B6740">
              <w:t>12.5</w:t>
            </w:r>
          </w:p>
        </w:tc>
        <w:tc>
          <w:tcPr>
            <w:tcW w:w="861" w:type="pct"/>
            <w:tcBorders>
              <w:top w:val="nil"/>
              <w:left w:val="nil"/>
              <w:bottom w:val="single" w:sz="6" w:space="0" w:color="auto"/>
              <w:right w:val="nil"/>
            </w:tcBorders>
            <w:shd w:val="clear" w:color="auto" w:fill="auto"/>
            <w:noWrap/>
            <w:vAlign w:val="bottom"/>
            <w:hideMark/>
          </w:tcPr>
          <w:p w:rsidR="00D3538B" w:rsidRPr="006B6740" w:rsidRDefault="00D3538B" w:rsidP="007349DC">
            <w:pPr>
              <w:pStyle w:val="TableBodyText"/>
            </w:pPr>
            <w:r w:rsidRPr="006B6740">
              <w:t>12.4</w:t>
            </w:r>
          </w:p>
        </w:tc>
        <w:tc>
          <w:tcPr>
            <w:tcW w:w="794" w:type="pct"/>
            <w:tcBorders>
              <w:top w:val="nil"/>
              <w:left w:val="nil"/>
              <w:bottom w:val="single" w:sz="6" w:space="0" w:color="auto"/>
              <w:right w:val="nil"/>
            </w:tcBorders>
            <w:shd w:val="clear" w:color="auto" w:fill="auto"/>
            <w:noWrap/>
            <w:vAlign w:val="bottom"/>
            <w:hideMark/>
          </w:tcPr>
          <w:p w:rsidR="00D3538B" w:rsidRPr="006B6740" w:rsidRDefault="00D3538B" w:rsidP="007349DC">
            <w:pPr>
              <w:pStyle w:val="TableBodyText"/>
              <w:ind w:right="28"/>
            </w:pPr>
            <w:r w:rsidRPr="006B6740">
              <w:t>10.9</w:t>
            </w:r>
          </w:p>
        </w:tc>
      </w:tr>
    </w:tbl>
    <w:p w:rsidR="007E1599" w:rsidRPr="007E1599" w:rsidRDefault="003C7DFC" w:rsidP="007E1599">
      <w:pPr>
        <w:pStyle w:val="Note"/>
      </w:pPr>
      <w:proofErr w:type="spellStart"/>
      <w:r>
        <w:rPr>
          <w:rStyle w:val="NoteLabel"/>
        </w:rPr>
        <w:t>a</w:t>
      </w:r>
      <w:proofErr w:type="spellEnd"/>
      <w:r w:rsidRPr="003C7DFC">
        <w:t xml:space="preserve"> </w:t>
      </w:r>
      <w:r w:rsidR="007E1599">
        <w:t xml:space="preserve">The relatively large increase in the prevalence of this </w:t>
      </w:r>
      <w:proofErr w:type="spellStart"/>
      <w:r w:rsidR="007E1599">
        <w:t>FOW</w:t>
      </w:r>
      <w:proofErr w:type="spellEnd"/>
      <w:r w:rsidR="007E1599">
        <w:t xml:space="preserve"> between 2007 and 2008 (and the fall of </w:t>
      </w:r>
      <w:proofErr w:type="spellStart"/>
      <w:r w:rsidR="007E1599">
        <w:t>OMIEs</w:t>
      </w:r>
      <w:proofErr w:type="spellEnd"/>
      <w:r w:rsidR="007E1599">
        <w:t xml:space="preserve">) is assumed to reflect </w:t>
      </w:r>
      <w:r w:rsidR="00944C17">
        <w:t>something odd</w:t>
      </w:r>
      <w:r w:rsidR="007E1599">
        <w:t xml:space="preserve"> in the source data.</w:t>
      </w:r>
    </w:p>
    <w:p w:rsidR="00D3538B" w:rsidRPr="006B6740" w:rsidRDefault="00D3538B" w:rsidP="00D3538B">
      <w:pPr>
        <w:pStyle w:val="Source"/>
      </w:pPr>
      <w:r>
        <w:rPr>
          <w:i/>
        </w:rPr>
        <w:t>Sources</w:t>
      </w:r>
      <w:r>
        <w:t xml:space="preserve">: </w:t>
      </w:r>
      <w:r w:rsidR="006135C8">
        <w:t>ABS (</w:t>
      </w:r>
      <w:r w:rsidR="006135C8" w:rsidRPr="007E1599">
        <w:rPr>
          <w:i/>
        </w:rPr>
        <w:t>Forms of Employment</w:t>
      </w:r>
      <w:r w:rsidR="007E1599">
        <w:t xml:space="preserve">, Cat. no. 6359.0; </w:t>
      </w:r>
      <w:r w:rsidR="007E1599" w:rsidRPr="007E1599">
        <w:rPr>
          <w:i/>
        </w:rPr>
        <w:t>Australian Labour Market Statistics</w:t>
      </w:r>
      <w:r w:rsidR="007E1599">
        <w:t>, Cat. no. 6105.0)</w:t>
      </w:r>
      <w:r w:rsidR="00823164">
        <w:t>.</w:t>
      </w:r>
    </w:p>
    <w:p w:rsidR="00D3538B" w:rsidRPr="00151C6E" w:rsidRDefault="00D3538B" w:rsidP="00AB04D8">
      <w:pPr>
        <w:pStyle w:val="BodyText"/>
      </w:pPr>
      <w:r w:rsidRPr="00E34ACA">
        <w:rPr>
          <w:i/>
        </w:rPr>
        <w:t xml:space="preserve">Action: </w:t>
      </w:r>
      <w:r>
        <w:t>No adjustments are made. The changes will have minimal impact on the time series.</w:t>
      </w:r>
    </w:p>
    <w:p w:rsidR="003B78FE" w:rsidRDefault="003B78FE" w:rsidP="00944C17">
      <w:pPr>
        <w:pStyle w:val="Heading3"/>
      </w:pPr>
      <w:r>
        <w:t>Which total?</w:t>
      </w:r>
    </w:p>
    <w:p w:rsidR="003B78FE" w:rsidRPr="00944C17" w:rsidRDefault="003B78FE" w:rsidP="003B78FE">
      <w:pPr>
        <w:pStyle w:val="BodyText"/>
        <w:rPr>
          <w:spacing w:val="-2"/>
        </w:rPr>
      </w:pPr>
      <w:r w:rsidRPr="00944C17">
        <w:rPr>
          <w:spacing w:val="-2"/>
        </w:rPr>
        <w:t xml:space="preserve">Weights used in the </w:t>
      </w:r>
      <w:proofErr w:type="spellStart"/>
      <w:r w:rsidR="00E05076" w:rsidRPr="00944C17">
        <w:rPr>
          <w:spacing w:val="-2"/>
        </w:rPr>
        <w:t>EEBTUM</w:t>
      </w:r>
      <w:proofErr w:type="spellEnd"/>
      <w:r w:rsidR="00E05076" w:rsidRPr="00944C17">
        <w:rPr>
          <w:spacing w:val="-2"/>
        </w:rPr>
        <w:t xml:space="preserve"> survey </w:t>
      </w:r>
      <w:r w:rsidR="003B122B" w:rsidRPr="00944C17">
        <w:rPr>
          <w:spacing w:val="-2"/>
        </w:rPr>
        <w:t>are not</w:t>
      </w:r>
      <w:r w:rsidRPr="00944C17">
        <w:rPr>
          <w:spacing w:val="-2"/>
        </w:rPr>
        <w:t xml:space="preserve"> adjusted for population </w:t>
      </w:r>
      <w:proofErr w:type="spellStart"/>
      <w:r w:rsidRPr="00944C17">
        <w:rPr>
          <w:spacing w:val="-2"/>
        </w:rPr>
        <w:t>rebenchmarking</w:t>
      </w:r>
      <w:proofErr w:type="spellEnd"/>
      <w:r w:rsidRPr="00944C17">
        <w:rPr>
          <w:spacing w:val="-2"/>
        </w:rPr>
        <w:t xml:space="preserve">, unlike the </w:t>
      </w:r>
      <w:proofErr w:type="spellStart"/>
      <w:r w:rsidRPr="00944C17">
        <w:rPr>
          <w:spacing w:val="-2"/>
        </w:rPr>
        <w:t>LFS</w:t>
      </w:r>
      <w:proofErr w:type="spellEnd"/>
      <w:r w:rsidR="003B122B" w:rsidRPr="00944C17">
        <w:rPr>
          <w:spacing w:val="-2"/>
        </w:rPr>
        <w:t xml:space="preserve"> (ABS 2004)</w:t>
      </w:r>
      <w:r w:rsidRPr="00944C17">
        <w:rPr>
          <w:spacing w:val="-2"/>
        </w:rPr>
        <w:t xml:space="preserve">. Estimates from the </w:t>
      </w:r>
      <w:proofErr w:type="spellStart"/>
      <w:r w:rsidRPr="00944C17">
        <w:rPr>
          <w:spacing w:val="-2"/>
        </w:rPr>
        <w:t>LFS</w:t>
      </w:r>
      <w:proofErr w:type="spellEnd"/>
      <w:r w:rsidRPr="00944C17">
        <w:rPr>
          <w:spacing w:val="-2"/>
        </w:rPr>
        <w:t xml:space="preserve"> are weighted to accord with the civilian population aged 15</w:t>
      </w:r>
      <w:r w:rsidR="00944C17" w:rsidRPr="00944C17">
        <w:rPr>
          <w:spacing w:val="-2"/>
        </w:rPr>
        <w:t xml:space="preserve"> years and over</w:t>
      </w:r>
      <w:r w:rsidRPr="00944C17">
        <w:rPr>
          <w:spacing w:val="-2"/>
        </w:rPr>
        <w:t xml:space="preserve">. These weights are adjusted every 5 years on the basis of Census data. The totals from the two surveys usually differ by </w:t>
      </w:r>
      <w:r w:rsidR="00010E6F" w:rsidRPr="00944C17">
        <w:rPr>
          <w:spacing w:val="-2"/>
        </w:rPr>
        <w:t>about</w:t>
      </w:r>
      <w:r w:rsidRPr="00944C17">
        <w:rPr>
          <w:spacing w:val="-2"/>
        </w:rPr>
        <w:t xml:space="preserve"> 1 per cent or less. (An exception to this conclusion arises in 2008 and 2009, where the differences are 2</w:t>
      </w:r>
      <w:r w:rsidR="00C57826" w:rsidRPr="00944C17">
        <w:rPr>
          <w:spacing w:val="-2"/>
        </w:rPr>
        <w:t>.0</w:t>
      </w:r>
      <w:r w:rsidRPr="00944C17">
        <w:rPr>
          <w:spacing w:val="-2"/>
        </w:rPr>
        <w:t xml:space="preserve"> and 2.7 per cent respectively.) Given data from both surveys are used in this analysis, the question of which total to use </w:t>
      </w:r>
      <w:r w:rsidR="007B6838" w:rsidRPr="00944C17">
        <w:rPr>
          <w:spacing w:val="-2"/>
        </w:rPr>
        <w:t>arises</w:t>
      </w:r>
      <w:r w:rsidRPr="00944C17">
        <w:rPr>
          <w:spacing w:val="-2"/>
        </w:rPr>
        <w:t>.</w:t>
      </w:r>
    </w:p>
    <w:p w:rsidR="00D3538B" w:rsidRPr="00730874" w:rsidRDefault="003B78FE" w:rsidP="003B78FE">
      <w:pPr>
        <w:pStyle w:val="BodyText"/>
      </w:pPr>
      <w:r w:rsidRPr="00552AA9">
        <w:rPr>
          <w:i/>
        </w:rPr>
        <w:t>Action:</w:t>
      </w:r>
      <w:r>
        <w:t xml:space="preserve"> </w:t>
      </w:r>
      <w:r w:rsidR="00944C17">
        <w:t xml:space="preserve">Because the </w:t>
      </w:r>
      <w:proofErr w:type="spellStart"/>
      <w:r w:rsidR="00944C17">
        <w:t>LFS</w:t>
      </w:r>
      <w:proofErr w:type="spellEnd"/>
      <w:r w:rsidR="00944C17">
        <w:t xml:space="preserve"> total is available consistently since 1978, it is used (excluding continuing family workers) in calculating the shares of each </w:t>
      </w:r>
      <w:proofErr w:type="spellStart"/>
      <w:r w:rsidR="00944C17">
        <w:t>FOW</w:t>
      </w:r>
      <w:proofErr w:type="spellEnd"/>
      <w:r w:rsidR="00944C17">
        <w:t xml:space="preserve"> in total employment.</w:t>
      </w:r>
    </w:p>
    <w:sectPr w:rsidR="00D3538B" w:rsidRPr="00730874" w:rsidSect="00D96577">
      <w:headerReference w:type="even" r:id="rId9"/>
      <w:headerReference w:type="default" r:id="rId10"/>
      <w:footerReference w:type="even" r:id="rId11"/>
      <w:footerReference w:type="default" r:id="rId12"/>
      <w:headerReference w:type="first" r:id="rId13"/>
      <w:footerReference w:type="first" r:id="rId14"/>
      <w:pgSz w:w="11907" w:h="16840" w:code="9"/>
      <w:pgMar w:top="1985" w:right="1304" w:bottom="1418" w:left="1814" w:header="1701" w:footer="567" w:gutter="0"/>
      <w:pgNumType w:start="1"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E3B" w:rsidRDefault="00256E3B">
      <w:r>
        <w:separator/>
      </w:r>
    </w:p>
  </w:endnote>
  <w:endnote w:type="continuationSeparator" w:id="0">
    <w:p w:rsidR="00256E3B" w:rsidRDefault="0025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256E3B">
      <w:trPr>
        <w:trHeight w:hRule="exact" w:val="740"/>
      </w:trPr>
      <w:tc>
        <w:tcPr>
          <w:tcW w:w="510" w:type="dxa"/>
          <w:tcBorders>
            <w:top w:val="single" w:sz="6" w:space="0" w:color="auto"/>
          </w:tcBorders>
        </w:tcPr>
        <w:p w:rsidR="00256E3B" w:rsidRDefault="007E5666" w:rsidP="0019293B">
          <w:pPr>
            <w:pStyle w:val="Footer"/>
            <w:tabs>
              <w:tab w:val="left" w:pos="0"/>
            </w:tabs>
            <w:ind w:right="0"/>
            <w:rPr>
              <w:rStyle w:val="PageNumber"/>
            </w:rPr>
          </w:pPr>
          <w:proofErr w:type="spellStart"/>
          <w:r>
            <w:rPr>
              <w:rStyle w:val="PageNumber"/>
            </w:rPr>
            <w:t>J.</w:t>
          </w:r>
          <w:proofErr w:type="spellEnd"/>
          <w:r w:rsidR="00256E3B">
            <w:rPr>
              <w:rStyle w:val="PageNumber"/>
            </w:rPr>
            <w:fldChar w:fldCharType="begin"/>
          </w:r>
          <w:r w:rsidR="00256E3B">
            <w:rPr>
              <w:rStyle w:val="PageNumber"/>
            </w:rPr>
            <w:instrText xml:space="preserve">PAGE  </w:instrText>
          </w:r>
          <w:r w:rsidR="00256E3B">
            <w:rPr>
              <w:rStyle w:val="PageNumber"/>
            </w:rPr>
            <w:fldChar w:fldCharType="separate"/>
          </w:r>
          <w:r w:rsidR="00281E4C">
            <w:rPr>
              <w:rStyle w:val="PageNumber"/>
              <w:noProof/>
            </w:rPr>
            <w:t>2</w:t>
          </w:r>
          <w:r w:rsidR="00256E3B">
            <w:rPr>
              <w:rStyle w:val="PageNumber"/>
            </w:rPr>
            <w:fldChar w:fldCharType="end"/>
          </w:r>
        </w:p>
      </w:tc>
      <w:tc>
        <w:tcPr>
          <w:tcW w:w="1644" w:type="dxa"/>
          <w:tcBorders>
            <w:top w:val="single" w:sz="6" w:space="0" w:color="auto"/>
          </w:tcBorders>
        </w:tcPr>
        <w:p w:rsidR="00256E3B" w:rsidRDefault="007B0721" w:rsidP="00345F0B">
          <w:pPr>
            <w:pStyle w:val="Footer"/>
          </w:pPr>
          <w:fldSimple w:instr=" SUBJECT  \* MERGEFORMAT ">
            <w:r w:rsidR="00281E4C">
              <w:t>Forms of Work</w:t>
            </w:r>
          </w:fldSimple>
        </w:p>
      </w:tc>
      <w:tc>
        <w:tcPr>
          <w:tcW w:w="6634" w:type="dxa"/>
        </w:tcPr>
        <w:p w:rsidR="00256E3B" w:rsidRDefault="00256E3B" w:rsidP="0019293B">
          <w:pPr>
            <w:pStyle w:val="Footer"/>
          </w:pPr>
        </w:p>
      </w:tc>
    </w:tr>
  </w:tbl>
  <w:p w:rsidR="00256E3B" w:rsidRDefault="00256E3B"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256E3B">
      <w:trPr>
        <w:trHeight w:hRule="exact" w:val="740"/>
      </w:trPr>
      <w:tc>
        <w:tcPr>
          <w:tcW w:w="6634" w:type="dxa"/>
        </w:tcPr>
        <w:p w:rsidR="00256E3B" w:rsidRDefault="00256E3B">
          <w:pPr>
            <w:pStyle w:val="Footer"/>
            <w:ind w:right="360" w:firstLine="360"/>
          </w:pPr>
        </w:p>
      </w:tc>
      <w:tc>
        <w:tcPr>
          <w:tcW w:w="1644" w:type="dxa"/>
          <w:tcBorders>
            <w:top w:val="single" w:sz="6" w:space="0" w:color="auto"/>
          </w:tcBorders>
        </w:tcPr>
        <w:p w:rsidR="00256E3B" w:rsidRDefault="007B0721">
          <w:pPr>
            <w:pStyle w:val="Footer"/>
          </w:pPr>
          <w:fldSimple w:instr=" TITLE  \* MERGEFORMAT ">
            <w:r w:rsidR="00281E4C">
              <w:t>Data used in constructing 30-year time series</w:t>
            </w:r>
          </w:fldSimple>
        </w:p>
      </w:tc>
      <w:tc>
        <w:tcPr>
          <w:tcW w:w="510" w:type="dxa"/>
          <w:tcBorders>
            <w:top w:val="single" w:sz="6" w:space="0" w:color="auto"/>
          </w:tcBorders>
        </w:tcPr>
        <w:p w:rsidR="00256E3B" w:rsidRDefault="007E5666">
          <w:pPr>
            <w:pStyle w:val="Footer"/>
            <w:jc w:val="right"/>
          </w:pPr>
          <w:proofErr w:type="spellStart"/>
          <w:r>
            <w:rPr>
              <w:rStyle w:val="PageNumber"/>
            </w:rPr>
            <w:t>J.</w:t>
          </w:r>
          <w:proofErr w:type="spellEnd"/>
          <w:r w:rsidR="00256E3B">
            <w:rPr>
              <w:rStyle w:val="PageNumber"/>
            </w:rPr>
            <w:fldChar w:fldCharType="begin"/>
          </w:r>
          <w:r w:rsidR="00256E3B">
            <w:rPr>
              <w:rStyle w:val="PageNumber"/>
            </w:rPr>
            <w:instrText xml:space="preserve">PAGE  </w:instrText>
          </w:r>
          <w:r w:rsidR="00256E3B">
            <w:rPr>
              <w:rStyle w:val="PageNumber"/>
            </w:rPr>
            <w:fldChar w:fldCharType="separate"/>
          </w:r>
          <w:r w:rsidR="00281E4C">
            <w:rPr>
              <w:rStyle w:val="PageNumber"/>
              <w:noProof/>
            </w:rPr>
            <w:t>7</w:t>
          </w:r>
          <w:r w:rsidR="00256E3B">
            <w:rPr>
              <w:rStyle w:val="PageNumber"/>
            </w:rPr>
            <w:fldChar w:fldCharType="end"/>
          </w:r>
        </w:p>
      </w:tc>
    </w:tr>
  </w:tbl>
  <w:p w:rsidR="00256E3B" w:rsidRDefault="00256E3B">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281" w:rsidRDefault="000032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E3B" w:rsidRDefault="00256E3B">
      <w:r>
        <w:separator/>
      </w:r>
    </w:p>
  </w:footnote>
  <w:footnote w:type="continuationSeparator" w:id="0">
    <w:p w:rsidR="00256E3B" w:rsidRDefault="00256E3B">
      <w:r>
        <w:continuationSeparator/>
      </w:r>
    </w:p>
  </w:footnote>
  <w:footnote w:id="1">
    <w:p w:rsidR="00256E3B" w:rsidRDefault="00256E3B">
      <w:pPr>
        <w:pStyle w:val="FootnoteText"/>
      </w:pPr>
      <w:r>
        <w:rPr>
          <w:rStyle w:val="FootnoteReference"/>
        </w:rPr>
        <w:footnoteRef/>
      </w:r>
      <w:r>
        <w:tab/>
      </w:r>
      <w:proofErr w:type="spellStart"/>
      <w:r>
        <w:t>dX</w:t>
      </w:r>
      <w:proofErr w:type="spellEnd"/>
      <w:r>
        <w:t xml:space="preserve"> is </w:t>
      </w:r>
      <w:r>
        <w:rPr>
          <w:spacing w:val="-2"/>
        </w:rPr>
        <w:t>a web application that supports the manipulation of time series data. It is regularly updated with ABS data series.</w:t>
      </w:r>
    </w:p>
  </w:footnote>
  <w:footnote w:id="2">
    <w:p w:rsidR="00256E3B" w:rsidRDefault="00256E3B" w:rsidP="0082666A">
      <w:pPr>
        <w:pStyle w:val="FootnoteText"/>
        <w:spacing w:before="0"/>
      </w:pPr>
      <w:r>
        <w:rPr>
          <w:rStyle w:val="FootnoteReference"/>
        </w:rPr>
        <w:footnoteRef/>
      </w:r>
      <w:r>
        <w:tab/>
        <w:t>The business register is a database maintained by the ABS of all Australian businesses with an active Australian Business Number. The main purpose of the register is to provide the list from which firms are selected into some ABS firm</w:t>
      </w:r>
      <w:r>
        <w:noBreakHyphen/>
        <w:t>level collections.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256E3B">
      <w:tc>
        <w:tcPr>
          <w:tcW w:w="2155" w:type="dxa"/>
          <w:tcBorders>
            <w:top w:val="single" w:sz="24" w:space="0" w:color="auto"/>
          </w:tcBorders>
        </w:tcPr>
        <w:p w:rsidR="00256E3B" w:rsidRDefault="00256E3B" w:rsidP="0019293B">
          <w:pPr>
            <w:pStyle w:val="HeaderEven"/>
          </w:pPr>
        </w:p>
      </w:tc>
      <w:tc>
        <w:tcPr>
          <w:tcW w:w="6634" w:type="dxa"/>
          <w:tcBorders>
            <w:top w:val="single" w:sz="6" w:space="0" w:color="auto"/>
          </w:tcBorders>
        </w:tcPr>
        <w:p w:rsidR="00256E3B" w:rsidRDefault="00256E3B" w:rsidP="0019293B">
          <w:pPr>
            <w:pStyle w:val="HeaderEven"/>
          </w:pPr>
        </w:p>
      </w:tc>
    </w:tr>
  </w:tbl>
  <w:p w:rsidR="00256E3B" w:rsidRDefault="00256E3B"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256E3B">
      <w:tc>
        <w:tcPr>
          <w:tcW w:w="6634" w:type="dxa"/>
          <w:tcBorders>
            <w:top w:val="single" w:sz="6" w:space="0" w:color="auto"/>
          </w:tcBorders>
        </w:tcPr>
        <w:p w:rsidR="00256E3B" w:rsidRDefault="00256E3B" w:rsidP="00E669E2">
          <w:pPr>
            <w:pStyle w:val="HeaderOdd"/>
          </w:pPr>
        </w:p>
      </w:tc>
      <w:tc>
        <w:tcPr>
          <w:tcW w:w="2155" w:type="dxa"/>
          <w:tcBorders>
            <w:top w:val="single" w:sz="24" w:space="0" w:color="auto"/>
          </w:tcBorders>
        </w:tcPr>
        <w:p w:rsidR="00256E3B" w:rsidRDefault="00256E3B" w:rsidP="00E669E2">
          <w:pPr>
            <w:pStyle w:val="HeaderOdd"/>
          </w:pPr>
        </w:p>
      </w:tc>
    </w:tr>
  </w:tbl>
  <w:p w:rsidR="00256E3B" w:rsidRDefault="00256E3B" w:rsidP="00E669E2">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281" w:rsidRDefault="000032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A096576"/>
    <w:multiLevelType w:val="singleLevel"/>
    <w:tmpl w:val="ED98921A"/>
    <w:lvl w:ilvl="0">
      <w:start w:val="1"/>
      <w:numFmt w:val="decimal"/>
      <w:lvlText w:val="%1."/>
      <w:legacy w:legacy="1" w:legacySpace="0" w:legacyIndent="340"/>
      <w:lvlJc w:val="left"/>
      <w:pPr>
        <w:ind w:left="340" w:hanging="340"/>
      </w:pPr>
    </w:lvl>
  </w:abstractNum>
  <w:abstractNum w:abstractNumId="31">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0055F7F"/>
    <w:multiLevelType w:val="singleLevel"/>
    <w:tmpl w:val="ED98921A"/>
    <w:lvl w:ilvl="0">
      <w:start w:val="1"/>
      <w:numFmt w:val="decimal"/>
      <w:lvlText w:val="%1."/>
      <w:legacy w:legacy="1" w:legacySpace="0" w:legacyIndent="340"/>
      <w:lvlJc w:val="left"/>
      <w:pPr>
        <w:ind w:left="340" w:hanging="340"/>
      </w:pPr>
    </w:lvl>
  </w:abstractNum>
  <w:abstractNum w:abstractNumId="33">
    <w:nsid w:val="608E741E"/>
    <w:multiLevelType w:val="singleLevel"/>
    <w:tmpl w:val="ED98921A"/>
    <w:lvl w:ilvl="0">
      <w:start w:val="1"/>
      <w:numFmt w:val="decimal"/>
      <w:lvlText w:val="%1."/>
      <w:legacy w:legacy="1" w:legacySpace="0" w:legacyIndent="340"/>
      <w:lvlJc w:val="left"/>
      <w:pPr>
        <w:ind w:left="340" w:hanging="340"/>
      </w:pPr>
    </w:lvl>
  </w:abstractNum>
  <w:abstractNum w:abstractNumId="34">
    <w:nsid w:val="61320C1E"/>
    <w:multiLevelType w:val="singleLevel"/>
    <w:tmpl w:val="C444122C"/>
    <w:lvl w:ilvl="0">
      <w:start w:val="1"/>
      <w:numFmt w:val="decimal"/>
      <w:lvlText w:val="%1."/>
      <w:legacy w:legacy="1" w:legacySpace="0" w:legacyIndent="284"/>
      <w:lvlJc w:val="left"/>
      <w:pPr>
        <w:ind w:left="284" w:hanging="284"/>
      </w:pPr>
    </w:lvl>
  </w:abstractNum>
  <w:abstractNum w:abstractNumId="35">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6">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7">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8">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9">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3">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1"/>
  </w:num>
  <w:num w:numId="4">
    <w:abstractNumId w:val="7"/>
  </w:num>
  <w:num w:numId="5">
    <w:abstractNumId w:val="5"/>
  </w:num>
  <w:num w:numId="6">
    <w:abstractNumId w:val="25"/>
  </w:num>
  <w:num w:numId="7">
    <w:abstractNumId w:val="3"/>
  </w:num>
  <w:num w:numId="8">
    <w:abstractNumId w:val="9"/>
  </w:num>
  <w:num w:numId="9">
    <w:abstractNumId w:val="2"/>
  </w:num>
  <w:num w:numId="10">
    <w:abstractNumId w:val="36"/>
  </w:num>
  <w:num w:numId="11">
    <w:abstractNumId w:val="4"/>
  </w:num>
  <w:num w:numId="12">
    <w:abstractNumId w:val="1"/>
  </w:num>
  <w:num w:numId="13">
    <w:abstractNumId w:val="0"/>
  </w:num>
  <w:num w:numId="14">
    <w:abstractNumId w:val="28"/>
  </w:num>
  <w:num w:numId="15">
    <w:abstractNumId w:val="42"/>
  </w:num>
  <w:num w:numId="16">
    <w:abstractNumId w:val="17"/>
  </w:num>
  <w:num w:numId="17">
    <w:abstractNumId w:val="16"/>
  </w:num>
  <w:num w:numId="18">
    <w:abstractNumId w:val="26"/>
  </w:num>
  <w:num w:numId="19">
    <w:abstractNumId w:val="12"/>
  </w:num>
  <w:num w:numId="20">
    <w:abstractNumId w:val="33"/>
  </w:num>
  <w:num w:numId="21">
    <w:abstractNumId w:val="35"/>
  </w:num>
  <w:num w:numId="22">
    <w:abstractNumId w:val="24"/>
  </w:num>
  <w:num w:numId="23">
    <w:abstractNumId w:val="27"/>
  </w:num>
  <w:num w:numId="24">
    <w:abstractNumId w:val="29"/>
  </w:num>
  <w:num w:numId="25">
    <w:abstractNumId w:val="40"/>
  </w:num>
  <w:num w:numId="26">
    <w:abstractNumId w:val="32"/>
  </w:num>
  <w:num w:numId="27">
    <w:abstractNumId w:val="37"/>
  </w:num>
  <w:num w:numId="28">
    <w:abstractNumId w:val="38"/>
  </w:num>
  <w:num w:numId="29">
    <w:abstractNumId w:val="30"/>
  </w:num>
  <w:num w:numId="30">
    <w:abstractNumId w:val="21"/>
  </w:num>
  <w:num w:numId="31">
    <w:abstractNumId w:val="43"/>
  </w:num>
  <w:num w:numId="32">
    <w:abstractNumId w:val="15"/>
  </w:num>
  <w:num w:numId="33">
    <w:abstractNumId w:val="8"/>
  </w:num>
  <w:num w:numId="34">
    <w:abstractNumId w:val="18"/>
  </w:num>
  <w:num w:numId="35">
    <w:abstractNumId w:val="39"/>
  </w:num>
  <w:num w:numId="36">
    <w:abstractNumId w:val="31"/>
  </w:num>
  <w:num w:numId="37">
    <w:abstractNumId w:val="13"/>
  </w:num>
  <w:num w:numId="38">
    <w:abstractNumId w:val="34"/>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J"/>
    <w:docVar w:name="FindingOptions" w:val="1"/>
    <w:docVar w:name="RecOptions" w:val="111"/>
    <w:docVar w:name="ShortChapterTitle" w:val="Data used in constructing 30-year time series"/>
    <w:docVar w:name="ShortReportTitle" w:val="Forms of Work"/>
  </w:docVars>
  <w:rsids>
    <w:rsidRoot w:val="00CE3832"/>
    <w:rsid w:val="00003281"/>
    <w:rsid w:val="00010E6F"/>
    <w:rsid w:val="00011C9E"/>
    <w:rsid w:val="000245AA"/>
    <w:rsid w:val="0003664B"/>
    <w:rsid w:val="0004111F"/>
    <w:rsid w:val="00053DA2"/>
    <w:rsid w:val="000565B3"/>
    <w:rsid w:val="0007150B"/>
    <w:rsid w:val="000938F5"/>
    <w:rsid w:val="000A688B"/>
    <w:rsid w:val="000B1577"/>
    <w:rsid w:val="000B601B"/>
    <w:rsid w:val="000C207E"/>
    <w:rsid w:val="000C2526"/>
    <w:rsid w:val="000F420B"/>
    <w:rsid w:val="000F4908"/>
    <w:rsid w:val="00110116"/>
    <w:rsid w:val="00114449"/>
    <w:rsid w:val="00120072"/>
    <w:rsid w:val="00124503"/>
    <w:rsid w:val="00125BE4"/>
    <w:rsid w:val="00126EB8"/>
    <w:rsid w:val="001274D4"/>
    <w:rsid w:val="00132088"/>
    <w:rsid w:val="001363AA"/>
    <w:rsid w:val="00144E71"/>
    <w:rsid w:val="00146C97"/>
    <w:rsid w:val="0017153C"/>
    <w:rsid w:val="00183E82"/>
    <w:rsid w:val="00185A54"/>
    <w:rsid w:val="001878BB"/>
    <w:rsid w:val="00191AE0"/>
    <w:rsid w:val="0019293B"/>
    <w:rsid w:val="001B03CF"/>
    <w:rsid w:val="001C0865"/>
    <w:rsid w:val="001C2D3A"/>
    <w:rsid w:val="001C3ABA"/>
    <w:rsid w:val="001D7F95"/>
    <w:rsid w:val="001E7BE8"/>
    <w:rsid w:val="001F0248"/>
    <w:rsid w:val="001F12F1"/>
    <w:rsid w:val="001F3EB3"/>
    <w:rsid w:val="00202C2C"/>
    <w:rsid w:val="00215BFD"/>
    <w:rsid w:val="00242279"/>
    <w:rsid w:val="002439B7"/>
    <w:rsid w:val="00245C82"/>
    <w:rsid w:val="00253F24"/>
    <w:rsid w:val="00256E3B"/>
    <w:rsid w:val="00272360"/>
    <w:rsid w:val="002819A9"/>
    <w:rsid w:val="00281E4C"/>
    <w:rsid w:val="00286ABE"/>
    <w:rsid w:val="00291B40"/>
    <w:rsid w:val="002A0A70"/>
    <w:rsid w:val="002B4008"/>
    <w:rsid w:val="002C22B9"/>
    <w:rsid w:val="002D0E8E"/>
    <w:rsid w:val="002D61CB"/>
    <w:rsid w:val="002E3E2C"/>
    <w:rsid w:val="002F3CC1"/>
    <w:rsid w:val="00301189"/>
    <w:rsid w:val="0030272D"/>
    <w:rsid w:val="00307F0B"/>
    <w:rsid w:val="00323E09"/>
    <w:rsid w:val="00333932"/>
    <w:rsid w:val="00345F0B"/>
    <w:rsid w:val="003518AA"/>
    <w:rsid w:val="00352165"/>
    <w:rsid w:val="00353182"/>
    <w:rsid w:val="003565D9"/>
    <w:rsid w:val="003602E1"/>
    <w:rsid w:val="00361780"/>
    <w:rsid w:val="0037026F"/>
    <w:rsid w:val="00371240"/>
    <w:rsid w:val="00374731"/>
    <w:rsid w:val="003919F9"/>
    <w:rsid w:val="00392121"/>
    <w:rsid w:val="00397018"/>
    <w:rsid w:val="003B122B"/>
    <w:rsid w:val="003B6A28"/>
    <w:rsid w:val="003B78FE"/>
    <w:rsid w:val="003C38B5"/>
    <w:rsid w:val="003C5D99"/>
    <w:rsid w:val="003C7DFC"/>
    <w:rsid w:val="003E2F59"/>
    <w:rsid w:val="003F0789"/>
    <w:rsid w:val="00400A6E"/>
    <w:rsid w:val="00401882"/>
    <w:rsid w:val="00401EC1"/>
    <w:rsid w:val="0040435A"/>
    <w:rsid w:val="004100C8"/>
    <w:rsid w:val="00410DCA"/>
    <w:rsid w:val="00411DBD"/>
    <w:rsid w:val="00412ACE"/>
    <w:rsid w:val="00431249"/>
    <w:rsid w:val="00434C19"/>
    <w:rsid w:val="00434D5F"/>
    <w:rsid w:val="00436320"/>
    <w:rsid w:val="00440E79"/>
    <w:rsid w:val="004452E8"/>
    <w:rsid w:val="00450810"/>
    <w:rsid w:val="00477144"/>
    <w:rsid w:val="00490769"/>
    <w:rsid w:val="00490F66"/>
    <w:rsid w:val="00491844"/>
    <w:rsid w:val="0049459F"/>
    <w:rsid w:val="00497F7E"/>
    <w:rsid w:val="004A38DD"/>
    <w:rsid w:val="004B43AE"/>
    <w:rsid w:val="004C30ED"/>
    <w:rsid w:val="004C5294"/>
    <w:rsid w:val="004D3C76"/>
    <w:rsid w:val="004D5675"/>
    <w:rsid w:val="004E21DC"/>
    <w:rsid w:val="00500E81"/>
    <w:rsid w:val="00516EA5"/>
    <w:rsid w:val="00523639"/>
    <w:rsid w:val="00531FE5"/>
    <w:rsid w:val="00583494"/>
    <w:rsid w:val="00583C39"/>
    <w:rsid w:val="005909CF"/>
    <w:rsid w:val="00591B41"/>
    <w:rsid w:val="00591E71"/>
    <w:rsid w:val="005A0D41"/>
    <w:rsid w:val="005B024A"/>
    <w:rsid w:val="005B480D"/>
    <w:rsid w:val="005D1318"/>
    <w:rsid w:val="00600EE9"/>
    <w:rsid w:val="0060431F"/>
    <w:rsid w:val="00607BF1"/>
    <w:rsid w:val="0061252B"/>
    <w:rsid w:val="00612FF0"/>
    <w:rsid w:val="006135C8"/>
    <w:rsid w:val="0061749D"/>
    <w:rsid w:val="00630D4D"/>
    <w:rsid w:val="00632A74"/>
    <w:rsid w:val="00641769"/>
    <w:rsid w:val="00646CDB"/>
    <w:rsid w:val="00672EF2"/>
    <w:rsid w:val="00683D5E"/>
    <w:rsid w:val="00693A60"/>
    <w:rsid w:val="006A4655"/>
    <w:rsid w:val="006B2B3C"/>
    <w:rsid w:val="006C1D81"/>
    <w:rsid w:val="006C31E1"/>
    <w:rsid w:val="006C7038"/>
    <w:rsid w:val="006E73EF"/>
    <w:rsid w:val="0070044E"/>
    <w:rsid w:val="00707CE1"/>
    <w:rsid w:val="00714D4D"/>
    <w:rsid w:val="00716797"/>
    <w:rsid w:val="00717FD2"/>
    <w:rsid w:val="007349DC"/>
    <w:rsid w:val="007604BB"/>
    <w:rsid w:val="00774A67"/>
    <w:rsid w:val="00785232"/>
    <w:rsid w:val="007923C7"/>
    <w:rsid w:val="007A21EB"/>
    <w:rsid w:val="007B0721"/>
    <w:rsid w:val="007B1A93"/>
    <w:rsid w:val="007B6838"/>
    <w:rsid w:val="007B75AC"/>
    <w:rsid w:val="007C0817"/>
    <w:rsid w:val="007C36C9"/>
    <w:rsid w:val="007D6401"/>
    <w:rsid w:val="007E01E4"/>
    <w:rsid w:val="007E1599"/>
    <w:rsid w:val="007E3AD0"/>
    <w:rsid w:val="007E5666"/>
    <w:rsid w:val="007F2831"/>
    <w:rsid w:val="007F7107"/>
    <w:rsid w:val="0081030F"/>
    <w:rsid w:val="0082087D"/>
    <w:rsid w:val="00823164"/>
    <w:rsid w:val="008251AC"/>
    <w:rsid w:val="0082666A"/>
    <w:rsid w:val="00842933"/>
    <w:rsid w:val="0086082C"/>
    <w:rsid w:val="008639D5"/>
    <w:rsid w:val="00864ADC"/>
    <w:rsid w:val="00880153"/>
    <w:rsid w:val="00880F97"/>
    <w:rsid w:val="0088133A"/>
    <w:rsid w:val="00882A46"/>
    <w:rsid w:val="00882FEB"/>
    <w:rsid w:val="0089285E"/>
    <w:rsid w:val="00893873"/>
    <w:rsid w:val="0089436C"/>
    <w:rsid w:val="008A3E26"/>
    <w:rsid w:val="008C3C22"/>
    <w:rsid w:val="008C54F8"/>
    <w:rsid w:val="008D343E"/>
    <w:rsid w:val="008D365C"/>
    <w:rsid w:val="008E4EE9"/>
    <w:rsid w:val="008E7C17"/>
    <w:rsid w:val="009030BF"/>
    <w:rsid w:val="0091032F"/>
    <w:rsid w:val="00914368"/>
    <w:rsid w:val="00931076"/>
    <w:rsid w:val="009345D9"/>
    <w:rsid w:val="00934B15"/>
    <w:rsid w:val="00942B62"/>
    <w:rsid w:val="00944C17"/>
    <w:rsid w:val="00956A0C"/>
    <w:rsid w:val="00956BD9"/>
    <w:rsid w:val="00962489"/>
    <w:rsid w:val="00976FEF"/>
    <w:rsid w:val="00990C2C"/>
    <w:rsid w:val="009D7EBB"/>
    <w:rsid w:val="009F696D"/>
    <w:rsid w:val="009F6BC6"/>
    <w:rsid w:val="00A17328"/>
    <w:rsid w:val="00A23A20"/>
    <w:rsid w:val="00A246F0"/>
    <w:rsid w:val="00A268B9"/>
    <w:rsid w:val="00A2703A"/>
    <w:rsid w:val="00A33DFF"/>
    <w:rsid w:val="00A35115"/>
    <w:rsid w:val="00A36D9A"/>
    <w:rsid w:val="00A36FAA"/>
    <w:rsid w:val="00A43E18"/>
    <w:rsid w:val="00A554AB"/>
    <w:rsid w:val="00A710C9"/>
    <w:rsid w:val="00A92B53"/>
    <w:rsid w:val="00A94FA6"/>
    <w:rsid w:val="00AA49A0"/>
    <w:rsid w:val="00AA6710"/>
    <w:rsid w:val="00AA6987"/>
    <w:rsid w:val="00AB04D8"/>
    <w:rsid w:val="00AB0681"/>
    <w:rsid w:val="00AB3FFC"/>
    <w:rsid w:val="00AC42AA"/>
    <w:rsid w:val="00AC4CBF"/>
    <w:rsid w:val="00AD1699"/>
    <w:rsid w:val="00AD520B"/>
    <w:rsid w:val="00B075C1"/>
    <w:rsid w:val="00B07B7E"/>
    <w:rsid w:val="00B15468"/>
    <w:rsid w:val="00B15EF0"/>
    <w:rsid w:val="00B31A9A"/>
    <w:rsid w:val="00B34168"/>
    <w:rsid w:val="00B369A1"/>
    <w:rsid w:val="00B440AD"/>
    <w:rsid w:val="00B537CA"/>
    <w:rsid w:val="00B53E7E"/>
    <w:rsid w:val="00B55B4B"/>
    <w:rsid w:val="00B6342E"/>
    <w:rsid w:val="00B674ED"/>
    <w:rsid w:val="00B7113F"/>
    <w:rsid w:val="00BA5BE8"/>
    <w:rsid w:val="00BA73B6"/>
    <w:rsid w:val="00BA7E27"/>
    <w:rsid w:val="00BB017C"/>
    <w:rsid w:val="00BB2603"/>
    <w:rsid w:val="00BB2CF8"/>
    <w:rsid w:val="00BB4FCD"/>
    <w:rsid w:val="00BD13EA"/>
    <w:rsid w:val="00BD5B88"/>
    <w:rsid w:val="00BD6E5E"/>
    <w:rsid w:val="00BE3808"/>
    <w:rsid w:val="00BE437C"/>
    <w:rsid w:val="00BE75FA"/>
    <w:rsid w:val="00C0281D"/>
    <w:rsid w:val="00C02B13"/>
    <w:rsid w:val="00C062E9"/>
    <w:rsid w:val="00C07B64"/>
    <w:rsid w:val="00C13721"/>
    <w:rsid w:val="00C16A83"/>
    <w:rsid w:val="00C16C34"/>
    <w:rsid w:val="00C245B0"/>
    <w:rsid w:val="00C3066D"/>
    <w:rsid w:val="00C34216"/>
    <w:rsid w:val="00C543F4"/>
    <w:rsid w:val="00C57826"/>
    <w:rsid w:val="00C6291C"/>
    <w:rsid w:val="00C633CB"/>
    <w:rsid w:val="00C80E2A"/>
    <w:rsid w:val="00C81D4A"/>
    <w:rsid w:val="00C84210"/>
    <w:rsid w:val="00C852AF"/>
    <w:rsid w:val="00C8762C"/>
    <w:rsid w:val="00C90014"/>
    <w:rsid w:val="00C91711"/>
    <w:rsid w:val="00CA00F9"/>
    <w:rsid w:val="00CA2961"/>
    <w:rsid w:val="00CA298F"/>
    <w:rsid w:val="00CB50D7"/>
    <w:rsid w:val="00CB7177"/>
    <w:rsid w:val="00CC06A7"/>
    <w:rsid w:val="00CC1998"/>
    <w:rsid w:val="00CC4946"/>
    <w:rsid w:val="00CE0343"/>
    <w:rsid w:val="00CE3832"/>
    <w:rsid w:val="00D12FC6"/>
    <w:rsid w:val="00D270A4"/>
    <w:rsid w:val="00D31FE9"/>
    <w:rsid w:val="00D32B2D"/>
    <w:rsid w:val="00D34E1B"/>
    <w:rsid w:val="00D3538B"/>
    <w:rsid w:val="00D376BA"/>
    <w:rsid w:val="00D4185B"/>
    <w:rsid w:val="00D5568A"/>
    <w:rsid w:val="00D60EC0"/>
    <w:rsid w:val="00D63D73"/>
    <w:rsid w:val="00D64452"/>
    <w:rsid w:val="00D66E1E"/>
    <w:rsid w:val="00D71438"/>
    <w:rsid w:val="00D736F7"/>
    <w:rsid w:val="00D73F3B"/>
    <w:rsid w:val="00D75722"/>
    <w:rsid w:val="00D80CF5"/>
    <w:rsid w:val="00D86377"/>
    <w:rsid w:val="00D96577"/>
    <w:rsid w:val="00DA5BBA"/>
    <w:rsid w:val="00DB67C9"/>
    <w:rsid w:val="00DC0C95"/>
    <w:rsid w:val="00DD564A"/>
    <w:rsid w:val="00DD61BA"/>
    <w:rsid w:val="00DD6580"/>
    <w:rsid w:val="00DE7E20"/>
    <w:rsid w:val="00E05076"/>
    <w:rsid w:val="00E14ECE"/>
    <w:rsid w:val="00E17C72"/>
    <w:rsid w:val="00E21FC6"/>
    <w:rsid w:val="00E431A9"/>
    <w:rsid w:val="00E65138"/>
    <w:rsid w:val="00E669E2"/>
    <w:rsid w:val="00E75006"/>
    <w:rsid w:val="00E76135"/>
    <w:rsid w:val="00E82F4F"/>
    <w:rsid w:val="00EB487A"/>
    <w:rsid w:val="00EB5C2B"/>
    <w:rsid w:val="00EC2844"/>
    <w:rsid w:val="00EF6C6C"/>
    <w:rsid w:val="00EF75DD"/>
    <w:rsid w:val="00F056FC"/>
    <w:rsid w:val="00F05E5E"/>
    <w:rsid w:val="00F06EC9"/>
    <w:rsid w:val="00F10476"/>
    <w:rsid w:val="00F135D8"/>
    <w:rsid w:val="00F31299"/>
    <w:rsid w:val="00F3534A"/>
    <w:rsid w:val="00F665FE"/>
    <w:rsid w:val="00F85325"/>
    <w:rsid w:val="00FA1465"/>
    <w:rsid w:val="00FB788F"/>
    <w:rsid w:val="00FC0730"/>
    <w:rsid w:val="00FC125C"/>
    <w:rsid w:val="00FC3FEE"/>
    <w:rsid w:val="00FD22B1"/>
    <w:rsid w:val="00FF61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43E1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rPr>
      <w:szCs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link w:val="BodyText"/>
    <w:locked/>
    <w:rsid w:val="00440E79"/>
    <w:rPr>
      <w:sz w:val="26"/>
    </w:rPr>
  </w:style>
  <w:style w:type="paragraph" w:customStyle="1" w:styleId="BoxSpaceAbove">
    <w:name w:val="Box Space Above"/>
    <w:basedOn w:val="BodyText"/>
    <w:rsid w:val="00672EF2"/>
    <w:pPr>
      <w:keepNext/>
      <w:spacing w:before="360" w:line="80" w:lineRule="exact"/>
      <w:jc w:val="left"/>
    </w:pPr>
  </w:style>
  <w:style w:type="paragraph" w:customStyle="1" w:styleId="BoxSpaceBelow">
    <w:name w:val="Box Space Below"/>
    <w:basedOn w:val="Box"/>
    <w:rsid w:val="00672EF2"/>
    <w:pPr>
      <w:keepNext w:val="0"/>
      <w:spacing w:before="60" w:after="60" w:line="80" w:lineRule="exact"/>
    </w:pPr>
    <w:rPr>
      <w:sz w:val="14"/>
    </w:rPr>
  </w:style>
  <w:style w:type="character" w:styleId="Hyperlink">
    <w:name w:val="Hyperlink"/>
    <w:basedOn w:val="DefaultParagraphFont"/>
    <w:uiPriority w:val="99"/>
    <w:unhideWhenUsed/>
    <w:rsid w:val="00185A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43E1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rPr>
      <w:szCs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link w:val="BodyText"/>
    <w:locked/>
    <w:rsid w:val="00440E79"/>
    <w:rPr>
      <w:sz w:val="26"/>
    </w:rPr>
  </w:style>
  <w:style w:type="paragraph" w:customStyle="1" w:styleId="BoxSpaceAbove">
    <w:name w:val="Box Space Above"/>
    <w:basedOn w:val="BodyText"/>
    <w:rsid w:val="00672EF2"/>
    <w:pPr>
      <w:keepNext/>
      <w:spacing w:before="360" w:line="80" w:lineRule="exact"/>
      <w:jc w:val="left"/>
    </w:pPr>
  </w:style>
  <w:style w:type="paragraph" w:customStyle="1" w:styleId="BoxSpaceBelow">
    <w:name w:val="Box Space Below"/>
    <w:basedOn w:val="Box"/>
    <w:rsid w:val="00672EF2"/>
    <w:pPr>
      <w:keepNext w:val="0"/>
      <w:spacing w:before="60" w:after="60" w:line="80" w:lineRule="exact"/>
    </w:pPr>
    <w:rPr>
      <w:sz w:val="14"/>
    </w:rPr>
  </w:style>
  <w:style w:type="character" w:styleId="Hyperlink">
    <w:name w:val="Hyperlink"/>
    <w:basedOn w:val="DefaultParagraphFont"/>
    <w:uiPriority w:val="99"/>
    <w:unhideWhenUsed/>
    <w:rsid w:val="00185A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94228">
      <w:bodyDiv w:val="1"/>
      <w:marLeft w:val="0"/>
      <w:marRight w:val="0"/>
      <w:marTop w:val="0"/>
      <w:marBottom w:val="0"/>
      <w:divBdr>
        <w:top w:val="none" w:sz="0" w:space="0" w:color="auto"/>
        <w:left w:val="none" w:sz="0" w:space="0" w:color="auto"/>
        <w:bottom w:val="none" w:sz="0" w:space="0" w:color="auto"/>
        <w:right w:val="none" w:sz="0" w:space="0" w:color="auto"/>
      </w:divBdr>
    </w:div>
    <w:div w:id="602154012">
      <w:bodyDiv w:val="1"/>
      <w:marLeft w:val="0"/>
      <w:marRight w:val="0"/>
      <w:marTop w:val="0"/>
      <w:marBottom w:val="0"/>
      <w:divBdr>
        <w:top w:val="none" w:sz="0" w:space="0" w:color="auto"/>
        <w:left w:val="none" w:sz="0" w:space="0" w:color="auto"/>
        <w:bottom w:val="none" w:sz="0" w:space="0" w:color="auto"/>
        <w:right w:val="none" w:sz="0" w:space="0" w:color="auto"/>
      </w:divBdr>
    </w:div>
    <w:div w:id="755976411">
      <w:bodyDiv w:val="1"/>
      <w:marLeft w:val="0"/>
      <w:marRight w:val="0"/>
      <w:marTop w:val="0"/>
      <w:marBottom w:val="0"/>
      <w:divBdr>
        <w:top w:val="none" w:sz="0" w:space="0" w:color="auto"/>
        <w:left w:val="none" w:sz="0" w:space="0" w:color="auto"/>
        <w:bottom w:val="none" w:sz="0" w:space="0" w:color="auto"/>
        <w:right w:val="none" w:sz="0" w:space="0" w:color="auto"/>
      </w:divBdr>
    </w:div>
    <w:div w:id="854684654">
      <w:bodyDiv w:val="1"/>
      <w:marLeft w:val="0"/>
      <w:marRight w:val="0"/>
      <w:marTop w:val="0"/>
      <w:marBottom w:val="0"/>
      <w:divBdr>
        <w:top w:val="none" w:sz="0" w:space="0" w:color="auto"/>
        <w:left w:val="none" w:sz="0" w:space="0" w:color="auto"/>
        <w:bottom w:val="none" w:sz="0" w:space="0" w:color="auto"/>
        <w:right w:val="none" w:sz="0" w:space="0" w:color="auto"/>
      </w:divBdr>
    </w:div>
    <w:div w:id="889153167">
      <w:bodyDiv w:val="1"/>
      <w:marLeft w:val="0"/>
      <w:marRight w:val="0"/>
      <w:marTop w:val="0"/>
      <w:marBottom w:val="0"/>
      <w:divBdr>
        <w:top w:val="none" w:sz="0" w:space="0" w:color="auto"/>
        <w:left w:val="none" w:sz="0" w:space="0" w:color="auto"/>
        <w:bottom w:val="none" w:sz="0" w:space="0" w:color="auto"/>
        <w:right w:val="none" w:sz="0" w:space="0" w:color="auto"/>
      </w:divBdr>
    </w:div>
    <w:div w:id="894782773">
      <w:bodyDiv w:val="1"/>
      <w:marLeft w:val="0"/>
      <w:marRight w:val="0"/>
      <w:marTop w:val="0"/>
      <w:marBottom w:val="0"/>
      <w:divBdr>
        <w:top w:val="none" w:sz="0" w:space="0" w:color="auto"/>
        <w:left w:val="none" w:sz="0" w:space="0" w:color="auto"/>
        <w:bottom w:val="none" w:sz="0" w:space="0" w:color="auto"/>
        <w:right w:val="none" w:sz="0" w:space="0" w:color="auto"/>
      </w:divBdr>
    </w:div>
    <w:div w:id="1168449269">
      <w:bodyDiv w:val="1"/>
      <w:marLeft w:val="0"/>
      <w:marRight w:val="0"/>
      <w:marTop w:val="0"/>
      <w:marBottom w:val="0"/>
      <w:divBdr>
        <w:top w:val="none" w:sz="0" w:space="0" w:color="auto"/>
        <w:left w:val="none" w:sz="0" w:space="0" w:color="auto"/>
        <w:bottom w:val="none" w:sz="0" w:space="0" w:color="auto"/>
        <w:right w:val="none" w:sz="0" w:space="0" w:color="auto"/>
      </w:divBdr>
    </w:div>
    <w:div w:id="1471554745">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05068994">
      <w:bodyDiv w:val="1"/>
      <w:marLeft w:val="0"/>
      <w:marRight w:val="0"/>
      <w:marTop w:val="0"/>
      <w:marBottom w:val="0"/>
      <w:divBdr>
        <w:top w:val="none" w:sz="0" w:space="0" w:color="auto"/>
        <w:left w:val="none" w:sz="0" w:space="0" w:color="auto"/>
        <w:bottom w:val="none" w:sz="0" w:space="0" w:color="auto"/>
        <w:right w:val="none" w:sz="0" w:space="0" w:color="auto"/>
      </w:divBdr>
    </w:div>
    <w:div w:id="19250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299FE-44D0-4183-A820-87563007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626</TotalTime>
  <Pages>7</Pages>
  <Words>2063</Words>
  <Characters>12872</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Data used in constructing 30-year time series</vt:lpstr>
    </vt:vector>
  </TitlesOfParts>
  <Company>Productivity Commission</Company>
  <LinksUpToDate>false</LinksUpToDate>
  <CharactersWithSpaces>14906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used in constructing 30-year time series</dc:title>
  <dc:subject>Forms of Work</dc:subject>
  <dc:creator>Productivity Commission</dc:creator>
  <cp:keywords/>
  <dc:description>J.</dc:description>
  <cp:lastModifiedBy>Louise Jordan</cp:lastModifiedBy>
  <cp:revision>78</cp:revision>
  <cp:lastPrinted>2013-04-11T01:46:00Z</cp:lastPrinted>
  <dcterms:created xsi:type="dcterms:W3CDTF">2013-03-08T02:54:00Z</dcterms:created>
  <dcterms:modified xsi:type="dcterms:W3CDTF">2013-04-11T01:50:00Z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-709832688</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