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DFF" w:rsidRDefault="00E306CD" w:rsidP="00E306CD">
      <w:pPr>
        <w:pStyle w:val="Heading1"/>
        <w:spacing w:before="0" w:after="480"/>
      </w:pPr>
      <w:bookmarkStart w:id="0" w:name="ChapterTitle"/>
      <w:r>
        <w:t>Productivity Commission Submission</w:t>
      </w:r>
      <w:bookmarkEnd w:id="0"/>
    </w:p>
    <w:p w:rsidR="00E306CD" w:rsidRPr="00E306CD" w:rsidRDefault="005F0661" w:rsidP="00E306CD">
      <w:pPr>
        <w:pStyle w:val="Heading1nochapterno"/>
        <w:rPr>
          <w:i/>
          <w:sz w:val="32"/>
          <w:szCs w:val="32"/>
        </w:rPr>
      </w:pPr>
      <w:r>
        <w:rPr>
          <w:i/>
          <w:sz w:val="32"/>
          <w:szCs w:val="32"/>
        </w:rPr>
        <w:t>September 2019</w:t>
      </w:r>
      <w:r>
        <w:rPr>
          <w:i/>
          <w:sz w:val="32"/>
          <w:szCs w:val="32"/>
        </w:rPr>
        <w:br/>
      </w:r>
      <w:r w:rsidR="00E306CD" w:rsidRPr="00E306CD">
        <w:rPr>
          <w:i/>
          <w:sz w:val="32"/>
          <w:szCs w:val="32"/>
        </w:rPr>
        <w:t>Senate Select Committee on Jobs for the Future in Regional Areas</w:t>
      </w:r>
    </w:p>
    <w:p w:rsidR="00E306CD" w:rsidRDefault="00E306CD" w:rsidP="00E306CD">
      <w:pPr>
        <w:pStyle w:val="Heading2"/>
      </w:pPr>
      <w:bookmarkStart w:id="1" w:name="begin"/>
      <w:bookmarkEnd w:id="1"/>
      <w:r>
        <w:t>Introduction</w:t>
      </w:r>
    </w:p>
    <w:p w:rsidR="00E306CD" w:rsidRDefault="00E306CD" w:rsidP="00E306CD">
      <w:pPr>
        <w:pStyle w:val="BodyText"/>
      </w:pPr>
      <w:r>
        <w:t>The Productivity Commission (Commission) is pleased to make this submission to the Senate Select Committee on Jobs for the Future in Regional Areas.</w:t>
      </w:r>
    </w:p>
    <w:p w:rsidR="00E306CD" w:rsidRDefault="00E306CD" w:rsidP="00E306CD">
      <w:pPr>
        <w:pStyle w:val="BodyText"/>
      </w:pPr>
      <w:r>
        <w:t>The Commission is the Australian Government</w:t>
      </w:r>
      <w:r w:rsidR="0088368B">
        <w:t>’</w:t>
      </w:r>
      <w:r>
        <w:t>s independent research and advisory body on a range of economic, social and environmental issues affecting the welfare of Australians. We contribute by providing quality, independent advice and information to governments, and on the communication of ideas and analysis.</w:t>
      </w:r>
    </w:p>
    <w:p w:rsidR="00E306CD" w:rsidRDefault="00E306CD" w:rsidP="00E306CD">
      <w:pPr>
        <w:pStyle w:val="BodyText"/>
      </w:pPr>
      <w:r>
        <w:t>The core function of the Commission is to conduct public inquiries at the request of the Australian Government on key policy or regulatory issues bearing on Australia</w:t>
      </w:r>
      <w:r w:rsidR="0088368B">
        <w:t>’</w:t>
      </w:r>
      <w:r>
        <w:t>s economic performance and community wellbeing. In addition, we undertake a variety of research at the request of the Government and to support its annual reporting, performance monitoring and other responsibilities.</w:t>
      </w:r>
    </w:p>
    <w:p w:rsidR="00E306CD" w:rsidRDefault="00E306CD" w:rsidP="00E306CD">
      <w:pPr>
        <w:pStyle w:val="BodyText"/>
      </w:pPr>
      <w:r>
        <w:t>This submission briefly addresses a number of the matters in the Committee’s terms of reference, drawing on existing work undertaken by the Commission. The submission is organised around the broad themes of the future of work, structural adjustment and change in regional areas and regional development policy.</w:t>
      </w:r>
    </w:p>
    <w:p w:rsidR="00E306CD" w:rsidRDefault="00E306CD" w:rsidP="00E306CD">
      <w:pPr>
        <w:pStyle w:val="Heading2"/>
      </w:pPr>
      <w:r>
        <w:t>The future of work</w:t>
      </w:r>
    </w:p>
    <w:p w:rsidR="00E306CD" w:rsidRDefault="00E306CD" w:rsidP="00E306CD">
      <w:pPr>
        <w:pStyle w:val="BodyText"/>
      </w:pPr>
      <w:r>
        <w:t>The current Australian economy bears little resemblance to the economy of the early twentieth century. There has been substantial transformation in the nature of businesses and jobs over the past few decades. Technological change and globalisation have driven long</w:t>
      </w:r>
      <w:r w:rsidR="00552A2D">
        <w:noBreakHyphen/>
        <w:t>run</w:t>
      </w:r>
      <w:r>
        <w:t xml:space="preserve"> multifactor productivity growth</w:t>
      </w:r>
      <w:r w:rsidR="00552A2D">
        <w:t>,</w:t>
      </w:r>
      <w:r>
        <w:t xml:space="preserve"> while higher incomes have driven demand for services (figure</w:t>
      </w:r>
      <w:r w:rsidR="0088368B">
        <w:t> </w:t>
      </w:r>
      <w:r>
        <w:t>1).</w:t>
      </w:r>
    </w:p>
    <w:p w:rsidR="00E306CD" w:rsidRDefault="00E306CD" w:rsidP="00E306CD">
      <w:pPr>
        <w:pStyle w:val="BodyText"/>
      </w:pPr>
      <w:r>
        <w:t xml:space="preserve">The Commission has explored the future of work by looking back at how Australia has adopted to the above forces, while also considering circumstances where today may be different. </w:t>
      </w:r>
    </w:p>
    <w:p w:rsidR="00E306CD" w:rsidRDefault="00E306CD" w:rsidP="00E306C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306CD" w:rsidTr="00A811C5">
        <w:trPr>
          <w:tblHeader/>
        </w:trPr>
        <w:tc>
          <w:tcPr>
            <w:tcW w:w="5000" w:type="pct"/>
            <w:tcBorders>
              <w:top w:val="single" w:sz="6" w:space="0" w:color="78A22F"/>
              <w:left w:val="nil"/>
              <w:bottom w:val="nil"/>
              <w:right w:val="nil"/>
            </w:tcBorders>
            <w:shd w:val="clear" w:color="auto" w:fill="auto"/>
          </w:tcPr>
          <w:p w:rsidR="00E306CD" w:rsidRPr="00176D3F" w:rsidRDefault="00E306CD" w:rsidP="00B225C2">
            <w:pPr>
              <w:pStyle w:val="FigureTitle"/>
            </w:pPr>
            <w:r w:rsidRPr="00784A05">
              <w:rPr>
                <w:b w:val="0"/>
              </w:rPr>
              <w:t xml:space="preserve">Figure </w:t>
            </w:r>
            <w:r>
              <w:rPr>
                <w:b w:val="0"/>
              </w:rPr>
              <w:t>1</w:t>
            </w:r>
            <w:r>
              <w:tab/>
              <w:t>National trends in employment and value added by industry</w:t>
            </w:r>
            <w:r w:rsidRPr="00B25DA3">
              <w:rPr>
                <w:rStyle w:val="NoteLabel"/>
              </w:rPr>
              <w:t>a</w:t>
            </w:r>
          </w:p>
        </w:tc>
      </w:tr>
      <w:tr w:rsidR="00E306CD" w:rsidTr="00A811C5">
        <w:tc>
          <w:tcPr>
            <w:tcW w:w="5000" w:type="pct"/>
            <w:tcBorders>
              <w:top w:val="nil"/>
              <w:left w:val="nil"/>
              <w:bottom w:val="nil"/>
              <w:right w:val="nil"/>
            </w:tcBorders>
            <w:shd w:val="clear" w:color="auto" w:fill="auto"/>
            <w:tcMar>
              <w:top w:w="28" w:type="dxa"/>
              <w:bottom w:w="28" w:type="dxa"/>
            </w:tcMar>
          </w:tcPr>
          <w:tbl>
            <w:tblPr>
              <w:tblW w:w="8505"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4229"/>
              <w:gridCol w:w="4276"/>
            </w:tblGrid>
            <w:tr w:rsidR="00E306CD" w:rsidRPr="00B1465D" w:rsidTr="00A811C5">
              <w:trPr>
                <w:trHeight w:val="180"/>
                <w:tblHeader/>
                <w:jc w:val="center"/>
              </w:trPr>
              <w:tc>
                <w:tcPr>
                  <w:tcW w:w="2491" w:type="pct"/>
                  <w:tcBorders>
                    <w:top w:val="nil"/>
                    <w:bottom w:val="nil"/>
                  </w:tcBorders>
                </w:tcPr>
                <w:p w:rsidR="00E306CD" w:rsidRPr="008C044A" w:rsidRDefault="00E306CD" w:rsidP="00A811C5">
                  <w:pPr>
                    <w:pStyle w:val="Figure"/>
                    <w:spacing w:before="60" w:after="60"/>
                    <w:rPr>
                      <w:rFonts w:ascii="Arial" w:hAnsi="Arial" w:cs="Arial"/>
                      <w:b/>
                      <w:sz w:val="18"/>
                      <w:szCs w:val="18"/>
                    </w:rPr>
                  </w:pPr>
                  <w:r>
                    <w:rPr>
                      <w:rFonts w:ascii="Arial" w:hAnsi="Arial" w:cs="Arial"/>
                      <w:b/>
                      <w:sz w:val="18"/>
                      <w:szCs w:val="18"/>
                    </w:rPr>
                    <w:t>Mining</w:t>
                  </w:r>
                </w:p>
              </w:tc>
              <w:tc>
                <w:tcPr>
                  <w:tcW w:w="2509" w:type="pct"/>
                  <w:tcBorders>
                    <w:top w:val="nil"/>
                  </w:tcBorders>
                </w:tcPr>
                <w:p w:rsidR="00E306CD" w:rsidRPr="008C044A" w:rsidRDefault="00E306CD" w:rsidP="00A811C5">
                  <w:pPr>
                    <w:pStyle w:val="Figure"/>
                    <w:spacing w:before="60" w:after="60"/>
                    <w:rPr>
                      <w:rFonts w:ascii="Arial" w:hAnsi="Arial" w:cs="Arial"/>
                      <w:b/>
                      <w:sz w:val="18"/>
                      <w:szCs w:val="18"/>
                    </w:rPr>
                  </w:pPr>
                  <w:r w:rsidRPr="008C044A">
                    <w:rPr>
                      <w:rFonts w:ascii="Arial" w:hAnsi="Arial" w:cs="Arial"/>
                      <w:b/>
                      <w:sz w:val="18"/>
                      <w:szCs w:val="18"/>
                    </w:rPr>
                    <w:t>Agriculture</w:t>
                  </w:r>
                </w:p>
              </w:tc>
            </w:tr>
            <w:tr w:rsidR="00E306CD" w:rsidRPr="00B1465D" w:rsidTr="00A811C5">
              <w:tblPrEx>
                <w:tblCellMar>
                  <w:left w:w="108" w:type="dxa"/>
                  <w:right w:w="108" w:type="dxa"/>
                </w:tblCellMar>
              </w:tblPrEx>
              <w:trPr>
                <w:trHeight w:val="180"/>
                <w:tblHeader/>
                <w:jc w:val="center"/>
              </w:trPr>
              <w:tc>
                <w:tcPr>
                  <w:tcW w:w="2491" w:type="pct"/>
                  <w:tcBorders>
                    <w:top w:val="nil"/>
                    <w:bottom w:val="nil"/>
                  </w:tcBorders>
                </w:tcPr>
                <w:p w:rsidR="00E306CD" w:rsidRPr="008C044A" w:rsidRDefault="00E306CD" w:rsidP="00A811C5">
                  <w:pPr>
                    <w:pStyle w:val="Figure"/>
                    <w:spacing w:before="60" w:after="60"/>
                    <w:rPr>
                      <w:rFonts w:ascii="Arial" w:hAnsi="Arial" w:cs="Arial"/>
                      <w:b/>
                      <w:sz w:val="18"/>
                      <w:szCs w:val="18"/>
                    </w:rPr>
                  </w:pPr>
                  <w:r>
                    <w:rPr>
                      <w:noProof/>
                    </w:rPr>
                    <w:drawing>
                      <wp:inline distT="0" distB="0" distL="0" distR="0" wp14:anchorId="161497E4" wp14:editId="2F13D3C1">
                        <wp:extent cx="2552700" cy="2171700"/>
                        <wp:effectExtent l="0" t="0" r="0" b="0"/>
                        <wp:docPr id="3" name="Chart 3" descr="This figure shows employment and value add in the mining industry since 1985. It shows there has been strong growth in employment and value add, particularly since about 2008." title="Mining"/>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2509" w:type="pct"/>
                  <w:tcBorders>
                    <w:bottom w:val="nil"/>
                  </w:tcBorders>
                </w:tcPr>
                <w:p w:rsidR="00E306CD" w:rsidRPr="008C044A" w:rsidRDefault="00E306CD" w:rsidP="00A811C5">
                  <w:pPr>
                    <w:pStyle w:val="Figure"/>
                    <w:spacing w:before="60" w:after="60"/>
                    <w:rPr>
                      <w:rFonts w:ascii="Arial" w:hAnsi="Arial" w:cs="Arial"/>
                      <w:b/>
                      <w:sz w:val="18"/>
                      <w:szCs w:val="18"/>
                    </w:rPr>
                  </w:pPr>
                  <w:r>
                    <w:rPr>
                      <w:noProof/>
                    </w:rPr>
                    <w:drawing>
                      <wp:inline distT="0" distB="0" distL="0" distR="0" wp14:anchorId="26AF695C" wp14:editId="3269A485">
                        <wp:extent cx="2560320" cy="2186940"/>
                        <wp:effectExtent l="0" t="0" r="0" b="3810"/>
                        <wp:docPr id="17" name="Chart 17" descr="This figure shows employment and value add in the agriculture industry since 1985. Employment in agriculture has been steadily declining, but value add has been increasing over time.&#10;" title="Agricultur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E306CD" w:rsidRPr="00B1465D" w:rsidTr="00A811C5">
              <w:trPr>
                <w:trHeight w:val="180"/>
                <w:tblHeader/>
                <w:jc w:val="center"/>
              </w:trPr>
              <w:tc>
                <w:tcPr>
                  <w:tcW w:w="2491" w:type="pct"/>
                  <w:tcBorders>
                    <w:top w:val="nil"/>
                    <w:bottom w:val="nil"/>
                  </w:tcBorders>
                </w:tcPr>
                <w:p w:rsidR="00E306CD" w:rsidRPr="008C044A" w:rsidRDefault="00E306CD" w:rsidP="00A811C5">
                  <w:pPr>
                    <w:pStyle w:val="Figure"/>
                    <w:spacing w:before="60" w:after="60"/>
                    <w:rPr>
                      <w:rFonts w:ascii="Arial" w:hAnsi="Arial" w:cs="Arial"/>
                      <w:b/>
                      <w:sz w:val="18"/>
                      <w:szCs w:val="18"/>
                    </w:rPr>
                  </w:pPr>
                  <w:r w:rsidRPr="008C044A">
                    <w:rPr>
                      <w:rFonts w:ascii="Arial" w:hAnsi="Arial" w:cs="Arial"/>
                      <w:b/>
                      <w:sz w:val="18"/>
                      <w:szCs w:val="18"/>
                    </w:rPr>
                    <w:t>Manufacturing</w:t>
                  </w:r>
                </w:p>
              </w:tc>
              <w:tc>
                <w:tcPr>
                  <w:tcW w:w="2509" w:type="pct"/>
                  <w:tcBorders>
                    <w:top w:val="nil"/>
                  </w:tcBorders>
                </w:tcPr>
                <w:p w:rsidR="00E306CD" w:rsidRPr="008C044A" w:rsidRDefault="00E306CD" w:rsidP="00A811C5">
                  <w:pPr>
                    <w:pStyle w:val="Figure"/>
                    <w:spacing w:before="60" w:after="60"/>
                    <w:rPr>
                      <w:rFonts w:ascii="Arial" w:hAnsi="Arial" w:cs="Arial"/>
                      <w:b/>
                      <w:sz w:val="18"/>
                      <w:szCs w:val="18"/>
                    </w:rPr>
                  </w:pPr>
                  <w:r w:rsidRPr="008C044A">
                    <w:rPr>
                      <w:rFonts w:ascii="Arial" w:hAnsi="Arial" w:cs="Arial"/>
                      <w:b/>
                      <w:sz w:val="18"/>
                      <w:szCs w:val="18"/>
                    </w:rPr>
                    <w:t>Services</w:t>
                  </w:r>
                </w:p>
              </w:tc>
            </w:tr>
            <w:tr w:rsidR="00E306CD" w:rsidRPr="00B1465D" w:rsidTr="00A811C5">
              <w:tblPrEx>
                <w:tblCellMar>
                  <w:left w:w="108" w:type="dxa"/>
                  <w:right w:w="108" w:type="dxa"/>
                </w:tblCellMar>
              </w:tblPrEx>
              <w:trPr>
                <w:trHeight w:val="180"/>
                <w:tblHeader/>
                <w:jc w:val="center"/>
              </w:trPr>
              <w:tc>
                <w:tcPr>
                  <w:tcW w:w="2491" w:type="pct"/>
                  <w:tcBorders>
                    <w:top w:val="nil"/>
                    <w:bottom w:val="nil"/>
                  </w:tcBorders>
                </w:tcPr>
                <w:p w:rsidR="00E306CD" w:rsidRPr="008C044A" w:rsidRDefault="00E306CD" w:rsidP="00A811C5">
                  <w:pPr>
                    <w:pStyle w:val="Figure"/>
                    <w:spacing w:before="60" w:after="60"/>
                    <w:rPr>
                      <w:rFonts w:ascii="Arial" w:hAnsi="Arial" w:cs="Arial"/>
                      <w:b/>
                      <w:sz w:val="18"/>
                      <w:szCs w:val="18"/>
                    </w:rPr>
                  </w:pPr>
                  <w:r>
                    <w:rPr>
                      <w:noProof/>
                    </w:rPr>
                    <w:drawing>
                      <wp:inline distT="0" distB="0" distL="0" distR="0" wp14:anchorId="19D961B4" wp14:editId="4385F2A2">
                        <wp:extent cx="2598420" cy="2232660"/>
                        <wp:effectExtent l="0" t="0" r="0" b="0"/>
                        <wp:docPr id="15" name="Chart 15" descr="This figure shows employment and value add in the manufacturing industry since 1985. Manufacturing employment has been steadily declining, but employment has only recently begun to fall (since about 2008)." title="Manufacturing"/>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2509" w:type="pct"/>
                </w:tcPr>
                <w:p w:rsidR="00E306CD" w:rsidRPr="008C044A" w:rsidRDefault="00E306CD" w:rsidP="00A811C5">
                  <w:pPr>
                    <w:pStyle w:val="Figure"/>
                    <w:spacing w:before="60" w:after="60"/>
                    <w:rPr>
                      <w:rFonts w:ascii="Arial" w:hAnsi="Arial" w:cs="Arial"/>
                      <w:b/>
                      <w:sz w:val="18"/>
                      <w:szCs w:val="18"/>
                    </w:rPr>
                  </w:pPr>
                  <w:r>
                    <w:rPr>
                      <w:noProof/>
                    </w:rPr>
                    <w:drawing>
                      <wp:inline distT="0" distB="0" distL="0" distR="0" wp14:anchorId="04BA0C31" wp14:editId="70727762">
                        <wp:extent cx="2628900" cy="2263140"/>
                        <wp:effectExtent l="0" t="0" r="0" b="3810"/>
                        <wp:docPr id="16" name="Chart 16" descr="This figure shows employment and value add in the services industry since 1985. It shows that both employment and value add in services have grown rapidly over the period." title="Servic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E306CD" w:rsidRPr="00B1465D" w:rsidTr="00A811C5">
              <w:tblPrEx>
                <w:tblCellMar>
                  <w:left w:w="108" w:type="dxa"/>
                  <w:right w:w="108" w:type="dxa"/>
                </w:tblCellMar>
              </w:tblPrEx>
              <w:trPr>
                <w:trHeight w:val="180"/>
                <w:tblHeader/>
                <w:jc w:val="center"/>
              </w:trPr>
              <w:tc>
                <w:tcPr>
                  <w:tcW w:w="5000" w:type="pct"/>
                  <w:gridSpan w:val="2"/>
                  <w:tcBorders>
                    <w:top w:val="nil"/>
                    <w:bottom w:val="nil"/>
                  </w:tcBorders>
                </w:tcPr>
                <w:p w:rsidR="00E306CD" w:rsidRDefault="00E306CD" w:rsidP="00A811C5">
                  <w:pPr>
                    <w:pStyle w:val="Figure"/>
                    <w:spacing w:before="60" w:after="60"/>
                    <w:rPr>
                      <w:noProof/>
                    </w:rPr>
                  </w:pPr>
                  <w:r w:rsidRPr="009A5AF4">
                    <w:rPr>
                      <w:noProof/>
                    </w:rPr>
                    <w:drawing>
                      <wp:inline distT="0" distB="0" distL="0" distR="0" wp14:anchorId="725AE4A8" wp14:editId="2402FD31">
                        <wp:extent cx="2598227" cy="317946"/>
                        <wp:effectExtent l="0" t="0" r="0" b="635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rotWithShape="1">
                                <a:blip r:embed="rId12"/>
                                <a:srcRect t="86319"/>
                                <a:stretch/>
                              </pic:blipFill>
                              <pic:spPr>
                                <a:xfrm>
                                  <a:off x="0" y="0"/>
                                  <a:ext cx="2598227" cy="317946"/>
                                </a:xfrm>
                                <a:prstGeom prst="rect">
                                  <a:avLst/>
                                </a:prstGeom>
                              </pic:spPr>
                            </pic:pic>
                          </a:graphicData>
                        </a:graphic>
                      </wp:inline>
                    </w:drawing>
                  </w:r>
                </w:p>
              </w:tc>
            </w:tr>
          </w:tbl>
          <w:p w:rsidR="00E306CD" w:rsidRDefault="00E306CD" w:rsidP="00A811C5">
            <w:pPr>
              <w:pStyle w:val="Figure"/>
            </w:pPr>
          </w:p>
        </w:tc>
      </w:tr>
      <w:tr w:rsidR="00E306CD" w:rsidRPr="00176D3F" w:rsidTr="00A811C5">
        <w:tc>
          <w:tcPr>
            <w:tcW w:w="5000" w:type="pct"/>
            <w:tcBorders>
              <w:top w:val="nil"/>
              <w:left w:val="nil"/>
              <w:bottom w:val="nil"/>
              <w:right w:val="nil"/>
            </w:tcBorders>
            <w:shd w:val="clear" w:color="auto" w:fill="auto"/>
          </w:tcPr>
          <w:p w:rsidR="00E306CD" w:rsidRPr="00176D3F" w:rsidRDefault="00E306CD" w:rsidP="00A811C5">
            <w:pPr>
              <w:pStyle w:val="Note"/>
            </w:pPr>
            <w:r>
              <w:rPr>
                <w:rStyle w:val="NoteLabel"/>
              </w:rPr>
              <w:t>a</w:t>
            </w:r>
            <w:r>
              <w:t xml:space="preserve"> Value added data are up to March quarter 2019.</w:t>
            </w:r>
          </w:p>
        </w:tc>
      </w:tr>
      <w:tr w:rsidR="00E306CD" w:rsidRPr="00176D3F" w:rsidTr="00A811C5">
        <w:tc>
          <w:tcPr>
            <w:tcW w:w="5000" w:type="pct"/>
            <w:tcBorders>
              <w:top w:val="nil"/>
              <w:left w:val="nil"/>
              <w:bottom w:val="nil"/>
              <w:right w:val="nil"/>
            </w:tcBorders>
            <w:shd w:val="clear" w:color="auto" w:fill="auto"/>
          </w:tcPr>
          <w:p w:rsidR="00E306CD" w:rsidRPr="00176D3F" w:rsidRDefault="00E306CD" w:rsidP="00A811C5">
            <w:pPr>
              <w:pStyle w:val="Source"/>
            </w:pPr>
            <w:r>
              <w:rPr>
                <w:i/>
              </w:rPr>
              <w:t>S</w:t>
            </w:r>
            <w:r w:rsidRPr="00784A05">
              <w:rPr>
                <w:i/>
              </w:rPr>
              <w:t>ource</w:t>
            </w:r>
            <w:r>
              <w:rPr>
                <w:i/>
              </w:rPr>
              <w:t>s</w:t>
            </w:r>
            <w:r w:rsidRPr="00176D3F">
              <w:t xml:space="preserve">: </w:t>
            </w:r>
            <w:r>
              <w:t>ABS (</w:t>
            </w:r>
            <w:r w:rsidRPr="00402437">
              <w:rPr>
                <w:i/>
              </w:rPr>
              <w:t>Labour Force, Australia, Detailed, Quarterly</w:t>
            </w:r>
            <w:r w:rsidRPr="00412F6A">
              <w:rPr>
                <w:i/>
              </w:rPr>
              <w:t xml:space="preserve">, </w:t>
            </w:r>
            <w:r>
              <w:rPr>
                <w:i/>
              </w:rPr>
              <w:t>May 2019</w:t>
            </w:r>
            <w:r>
              <w:t>, Cat. no. 6291.0.55.003); ABS (</w:t>
            </w:r>
            <w:r w:rsidRPr="0017512B">
              <w:rPr>
                <w:i/>
              </w:rPr>
              <w:t xml:space="preserve">Australian National Accounts: National Income, Expenditure and Product, </w:t>
            </w:r>
            <w:r>
              <w:rPr>
                <w:i/>
              </w:rPr>
              <w:t>Mar 2019</w:t>
            </w:r>
            <w:r>
              <w:t>, Cat. no. 5206.0).</w:t>
            </w:r>
          </w:p>
        </w:tc>
      </w:tr>
      <w:tr w:rsidR="00E306CD" w:rsidTr="00A811C5">
        <w:tc>
          <w:tcPr>
            <w:tcW w:w="5000" w:type="pct"/>
            <w:tcBorders>
              <w:top w:val="nil"/>
              <w:left w:val="nil"/>
              <w:bottom w:val="single" w:sz="6" w:space="0" w:color="78A22F"/>
              <w:right w:val="nil"/>
            </w:tcBorders>
            <w:shd w:val="clear" w:color="auto" w:fill="auto"/>
          </w:tcPr>
          <w:p w:rsidR="00E306CD" w:rsidRDefault="00E306CD" w:rsidP="00A811C5">
            <w:pPr>
              <w:pStyle w:val="Figurespace"/>
            </w:pPr>
          </w:p>
        </w:tc>
      </w:tr>
      <w:tr w:rsidR="00E306CD" w:rsidRPr="000863A5" w:rsidTr="00A811C5">
        <w:tc>
          <w:tcPr>
            <w:tcW w:w="5000" w:type="pct"/>
            <w:tcBorders>
              <w:top w:val="single" w:sz="6" w:space="0" w:color="78A22F"/>
              <w:left w:val="nil"/>
              <w:bottom w:val="nil"/>
              <w:right w:val="nil"/>
            </w:tcBorders>
          </w:tcPr>
          <w:p w:rsidR="00E306CD" w:rsidRPr="00626D32" w:rsidRDefault="00E306CD" w:rsidP="00A811C5">
            <w:pPr>
              <w:pStyle w:val="BoxSpaceBelow"/>
            </w:pPr>
          </w:p>
        </w:tc>
      </w:tr>
    </w:tbl>
    <w:p w:rsidR="00E306CD" w:rsidRDefault="00E306CD" w:rsidP="00E306CD">
      <w:pPr>
        <w:pStyle w:val="BodyText"/>
      </w:pPr>
      <w:r>
        <w:t>Labour markets have been reasonably resistant to the large shocks posed by new technologies. Overall employment has grown, and while unemployment rates have fluctuated over the long run, they have not trended up over the long run, as would be expected if new jobs and occupations did not emerge to replace obsolete jobs. Technology can also facilitate workforce participation by making job search easier, and by expanding the scope of work than can be done (remote work, part-time work, freelance work).</w:t>
      </w:r>
    </w:p>
    <w:p w:rsidR="00E306CD" w:rsidRDefault="00E306CD" w:rsidP="00E306CD">
      <w:pPr>
        <w:pStyle w:val="BodyText"/>
      </w:pPr>
      <w:r>
        <w:lastRenderedPageBreak/>
        <w:t>Speculation about the effects of technologies often suffer from extreme optimism or pessimism. And some popular impressions about the modern labour market need myth busting. For example, the relative prevalence of casual work and self-employment has not increased significantly, nor has job tenure declined (PC 2015). In reality, change is slow.</w:t>
      </w:r>
    </w:p>
    <w:p w:rsidR="00E306CD" w:rsidRDefault="00E306CD" w:rsidP="00E306CD">
      <w:pPr>
        <w:pStyle w:val="BodyText"/>
      </w:pPr>
      <w:r>
        <w:t>The gig economy is still in its infancy, but this may change in the future. A challenge for policy is, on the one hand</w:t>
      </w:r>
      <w:r w:rsidR="00552A2D">
        <w:t>,</w:t>
      </w:r>
      <w:r>
        <w:t xml:space="preserve"> to ensure protections for workers while, on the other, not destroying the opportunities for economic growth that rely on new forms of employment. The workplace relations framework will need to consider whether the traditional demarcation between an employee (lots of protections) and a contractor (few protections) is apt for the future (PC 2016).</w:t>
      </w:r>
    </w:p>
    <w:p w:rsidR="00666E02" w:rsidRDefault="00E306CD" w:rsidP="00E306CD">
      <w:pPr>
        <w:pStyle w:val="BodyText"/>
      </w:pPr>
      <w:r>
        <w:t xml:space="preserve">Automation and machine learning will lead to the creation of new occupations and jobs, while threatening a range of other jobs. It is likely to be </w:t>
      </w:r>
      <w:r w:rsidRPr="00B225C2">
        <w:rPr>
          <w:i/>
        </w:rPr>
        <w:t>tasks</w:t>
      </w:r>
      <w:r>
        <w:t xml:space="preserve"> rather than </w:t>
      </w:r>
      <w:r w:rsidRPr="00B225C2">
        <w:rPr>
          <w:i/>
        </w:rPr>
        <w:t>jobs</w:t>
      </w:r>
      <w:r>
        <w:t xml:space="preserve"> per se that will be automated (see box</w:t>
      </w:r>
      <w:r w:rsidR="0088368B">
        <w:t> </w:t>
      </w:r>
      <w:r>
        <w:t>1). And just because a job can be automated doesn’t mean that it will be. To date, most risk of automation has been experienced by ‘moderately skilled’ jobs. Jobs that require creativity and human empathy are less likely to be automatable. Jobs growth is likely to be strong in areas like disability and aged care.</w:t>
      </w:r>
    </w:p>
    <w:p w:rsidR="007A1C9A" w:rsidRDefault="007A1C9A" w:rsidP="007A1C9A">
      <w:pPr>
        <w:pStyle w:val="BodyText"/>
      </w:pPr>
      <w:r>
        <w:t>Some workers will struggle to adjust to changes in demand for their skills and new, more flexible but less reliable, work options. The most vulnerable groups in this regard are likely to be: young people with little experience and low skills; and older people in industries subject to major structural change, and who are unable to acquire new skills readily.</w:t>
      </w:r>
    </w:p>
    <w:p w:rsidR="007A1C9A" w:rsidRDefault="007A1C9A" w:rsidP="007A1C9A">
      <w:pPr>
        <w:pStyle w:val="BodyText"/>
      </w:pPr>
      <w:r>
        <w:t>Australia’s social safety net will remain important in mitigating risks for workers. Other policy responses should similarly focus on these at</w:t>
      </w:r>
      <w:r w:rsidR="0088368B">
        <w:noBreakHyphen/>
      </w:r>
      <w:r>
        <w:t xml:space="preserve">risk workers who have least prospect of picking up a new job. This includes having access to a high quality education system geared to the needs of students. The Commission’s most recent prognosis is that the school, VET and university systems are not delivering the best student outcomes (PC </w:t>
      </w:r>
      <w:proofErr w:type="spellStart"/>
      <w:r>
        <w:t>2017a</w:t>
      </w:r>
      <w:proofErr w:type="spellEnd"/>
      <w:r>
        <w:t>). Our education system also needs to shift its emphasis from front</w:t>
      </w:r>
      <w:r w:rsidR="0088368B">
        <w:noBreakHyphen/>
      </w:r>
      <w:r>
        <w:t>ended study to providing life</w:t>
      </w:r>
      <w:r w:rsidR="00552A2D">
        <w:noBreakHyphen/>
      </w:r>
      <w:r>
        <w:t xml:space="preserve">long learning, thereby facilitating the inevitable transitions from job to job and occupation to occupation that will occur over people’s lifetimes. </w:t>
      </w:r>
    </w:p>
    <w:p w:rsidR="00E306CD" w:rsidRDefault="007A1C9A" w:rsidP="007A1C9A">
      <w:pPr>
        <w:pStyle w:val="BodyText"/>
      </w:pPr>
      <w:r>
        <w:t>While governments have been encouraging students into STEM degrees, such graduates have faced underemployment and underutilisation of their skills. Rather than trying to pick winners, governments can support students and workers by improving information on the employment outcomes for students across skill sets and educational institutions to better inform student choice (PC 2016).</w:t>
      </w:r>
    </w:p>
    <w:p w:rsidR="005B38DB" w:rsidRDefault="005B38DB" w:rsidP="007A1C9A">
      <w:pPr>
        <w:pStyle w:val="BodyText"/>
      </w:pPr>
    </w:p>
    <w:p w:rsidR="005B38DB" w:rsidRDefault="005B38D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5B38DB" w:rsidTr="00750BE2">
        <w:trPr>
          <w:tblHeader/>
        </w:trPr>
        <w:tc>
          <w:tcPr>
            <w:tcW w:w="5000" w:type="pct"/>
            <w:tcBorders>
              <w:top w:val="single" w:sz="6" w:space="0" w:color="78A22F"/>
              <w:left w:val="nil"/>
              <w:bottom w:val="nil"/>
              <w:right w:val="nil"/>
            </w:tcBorders>
            <w:shd w:val="clear" w:color="auto" w:fill="F2F2F2"/>
          </w:tcPr>
          <w:p w:rsidR="005B38DB" w:rsidRDefault="005B38DB" w:rsidP="005B38DB">
            <w:pPr>
              <w:pStyle w:val="BoxTitle"/>
            </w:pPr>
            <w:r>
              <w:rPr>
                <w:b w:val="0"/>
              </w:rPr>
              <w:t>Box 1</w:t>
            </w:r>
            <w:r>
              <w:tab/>
              <w:t>Suitability for Machine Learning</w:t>
            </w:r>
          </w:p>
        </w:tc>
      </w:tr>
      <w:tr w:rsidR="005B38DB" w:rsidTr="00CF4D72">
        <w:tc>
          <w:tcPr>
            <w:tcW w:w="5000" w:type="pct"/>
            <w:tcBorders>
              <w:top w:val="nil"/>
              <w:left w:val="nil"/>
              <w:bottom w:val="nil"/>
              <w:right w:val="nil"/>
            </w:tcBorders>
            <w:shd w:val="clear" w:color="auto" w:fill="F2F2F2"/>
          </w:tcPr>
          <w:p w:rsidR="005B38DB" w:rsidRPr="005B38DB" w:rsidRDefault="005B38DB" w:rsidP="005B38DB">
            <w:pPr>
              <w:pStyle w:val="Box"/>
              <w:rPr>
                <w:sz w:val="18"/>
                <w:szCs w:val="18"/>
              </w:rPr>
            </w:pPr>
            <w:r w:rsidRPr="005B38DB">
              <w:rPr>
                <w:sz w:val="18"/>
                <w:szCs w:val="18"/>
              </w:rPr>
              <w:t xml:space="preserve">Machine learning does not replace jobs; it replaces tasks within jobs, enabling workers to focus on areas unsuitable for computers. </w:t>
            </w:r>
            <w:proofErr w:type="spellStart"/>
            <w:r w:rsidRPr="005B38DB">
              <w:rPr>
                <w:sz w:val="18"/>
                <w:szCs w:val="18"/>
              </w:rPr>
              <w:t>Brynjolfsson</w:t>
            </w:r>
            <w:proofErr w:type="spellEnd"/>
            <w:r w:rsidRPr="005B38DB">
              <w:rPr>
                <w:sz w:val="18"/>
                <w:szCs w:val="18"/>
              </w:rPr>
              <w:t xml:space="preserve"> and Mitchell (2017) established a methodology evalua</w:t>
            </w:r>
            <w:r w:rsidR="00552A2D">
              <w:rPr>
                <w:sz w:val="18"/>
                <w:szCs w:val="18"/>
              </w:rPr>
              <w:t>ting the suitability of machine</w:t>
            </w:r>
            <w:r w:rsidR="0088368B">
              <w:rPr>
                <w:sz w:val="18"/>
                <w:szCs w:val="18"/>
              </w:rPr>
              <w:noBreakHyphen/>
            </w:r>
            <w:r w:rsidRPr="005B38DB">
              <w:rPr>
                <w:sz w:val="18"/>
                <w:szCs w:val="18"/>
              </w:rPr>
              <w:t>learning tools to undertake a range of tasks, and connected those tasks to occupations to create occupation</w:t>
            </w:r>
            <w:r w:rsidR="0088368B">
              <w:rPr>
                <w:sz w:val="18"/>
                <w:szCs w:val="18"/>
              </w:rPr>
              <w:noBreakHyphen/>
            </w:r>
            <w:r w:rsidRPr="005B38DB">
              <w:rPr>
                <w:sz w:val="18"/>
                <w:szCs w:val="18"/>
              </w:rPr>
              <w:t>specific Suitability for Machine Learning (</w:t>
            </w:r>
            <w:proofErr w:type="spellStart"/>
            <w:r w:rsidRPr="005B38DB">
              <w:rPr>
                <w:sz w:val="18"/>
                <w:szCs w:val="18"/>
              </w:rPr>
              <w:t>SML</w:t>
            </w:r>
            <w:proofErr w:type="spellEnd"/>
            <w:r w:rsidRPr="005B38DB">
              <w:rPr>
                <w:sz w:val="18"/>
                <w:szCs w:val="18"/>
              </w:rPr>
              <w:t xml:space="preserve">) scores. The Commission linked the latest US results and Australian data to create relative </w:t>
            </w:r>
            <w:proofErr w:type="spellStart"/>
            <w:r w:rsidRPr="005B38DB">
              <w:rPr>
                <w:sz w:val="18"/>
                <w:szCs w:val="18"/>
              </w:rPr>
              <w:t>SML</w:t>
            </w:r>
            <w:proofErr w:type="spellEnd"/>
            <w:r w:rsidRPr="005B38DB">
              <w:rPr>
                <w:sz w:val="18"/>
                <w:szCs w:val="18"/>
              </w:rPr>
              <w:t xml:space="preserve"> scores for over 2000 local regions in order to gain insights into the geographic and occupational opportunities faced here.</w:t>
            </w:r>
          </w:p>
          <w:p w:rsidR="005B38DB" w:rsidRPr="005B38DB" w:rsidRDefault="005B38DB" w:rsidP="005B38DB">
            <w:pPr>
              <w:pStyle w:val="Box"/>
              <w:rPr>
                <w:sz w:val="18"/>
                <w:szCs w:val="18"/>
              </w:rPr>
            </w:pPr>
            <w:r w:rsidRPr="005B38DB">
              <w:rPr>
                <w:sz w:val="18"/>
                <w:szCs w:val="18"/>
              </w:rPr>
              <w:t>These data suggest that remote and regional areas are potentially less exposed to the next wave of automation than city and urban areas. This reflects the differences in occupational mixes between regional and urban Australia, and the history of automation in the past. For example, many routine and manual functions in the agricultural, manufacturing and trade occupations have already been automated. Whereas sales and managerial occupations — often concentrated in cities and urban areas — have greater suitability for machine learning and relatively low levels of historical automation.</w:t>
            </w:r>
          </w:p>
          <w:p w:rsidR="005B38DB" w:rsidRPr="005B38DB" w:rsidRDefault="005B38DB" w:rsidP="005B38DB">
            <w:pPr>
              <w:pStyle w:val="Box"/>
              <w:rPr>
                <w:sz w:val="18"/>
                <w:szCs w:val="18"/>
              </w:rPr>
            </w:pPr>
            <w:r w:rsidRPr="005B38DB">
              <w:rPr>
                <w:sz w:val="18"/>
                <w:szCs w:val="18"/>
              </w:rPr>
              <w:t>The flipside of this is that technology</w:t>
            </w:r>
            <w:r w:rsidR="0088368B">
              <w:rPr>
                <w:sz w:val="18"/>
                <w:szCs w:val="18"/>
              </w:rPr>
              <w:noBreakHyphen/>
            </w:r>
            <w:r w:rsidRPr="005B38DB">
              <w:rPr>
                <w:sz w:val="18"/>
                <w:szCs w:val="18"/>
              </w:rPr>
              <w:t>driven opportunities are more limited in regional Australia. The application of automation and machine learning would be accompanied by increased demand for ICT business and systems analysts and software and application developers, occupations highly concentrated in cities.</w:t>
            </w:r>
          </w:p>
          <w:p w:rsidR="005B38DB" w:rsidRDefault="005B38DB" w:rsidP="005B38DB">
            <w:pPr>
              <w:pStyle w:val="Box"/>
              <w:jc w:val="center"/>
            </w:pPr>
            <w:bookmarkStart w:id="2" w:name="_GoBack"/>
            <w:r>
              <w:rPr>
                <w:noProof/>
              </w:rPr>
              <w:drawing>
                <wp:inline distT="0" distB="0" distL="0" distR="0" wp14:anchorId="641C14A3" wp14:editId="2450A37C">
                  <wp:extent cx="4735129" cy="3600000"/>
                  <wp:effectExtent l="0" t="0" r="0" b="635"/>
                  <wp:docPr id="1" name="Picture 1" descr="This figure shows a map of Australia, indicating the regions where there are more people employed in jobs featuring tasks that are exposed to machine learning automation. It shows that greater capital city areas tend to have greater concentrations of work suitable for machine learning automation, while more remove areas have lesser concentrations." title="Suitability for Machine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8659" b="3630"/>
                          <a:stretch/>
                        </pic:blipFill>
                        <pic:spPr bwMode="auto">
                          <a:xfrm>
                            <a:off x="0" y="0"/>
                            <a:ext cx="4735129" cy="3600000"/>
                          </a:xfrm>
                          <a:prstGeom prst="rect">
                            <a:avLst/>
                          </a:prstGeom>
                          <a:noFill/>
                          <a:ln>
                            <a:noFill/>
                          </a:ln>
                          <a:extLst>
                            <a:ext uri="{53640926-AAD7-44D8-BBD7-CCE9431645EC}">
                              <a14:shadowObscured xmlns:a14="http://schemas.microsoft.com/office/drawing/2010/main"/>
                            </a:ext>
                          </a:extLst>
                        </pic:spPr>
                      </pic:pic>
                    </a:graphicData>
                  </a:graphic>
                </wp:inline>
              </w:drawing>
            </w:r>
            <w:bookmarkEnd w:id="2"/>
          </w:p>
          <w:p w:rsidR="005B38DB" w:rsidRDefault="005B38DB" w:rsidP="005B38DB">
            <w:pPr>
              <w:pStyle w:val="Box"/>
            </w:pPr>
            <w:r>
              <w:rPr>
                <w:rStyle w:val="NoteLabel"/>
              </w:rPr>
              <w:t>a</w:t>
            </w:r>
            <w:r>
              <w:t xml:space="preserve"> </w:t>
            </w:r>
            <w:r w:rsidRPr="006D55B8">
              <w:rPr>
                <w:sz w:val="16"/>
                <w:szCs w:val="16"/>
              </w:rPr>
              <w:t>Results are presented for Statistical Area Level 2s (2310 regions), as defined under the Australian Stati</w:t>
            </w:r>
            <w:r>
              <w:rPr>
                <w:sz w:val="16"/>
                <w:szCs w:val="16"/>
              </w:rPr>
              <w:t>stical Geography Standard</w:t>
            </w:r>
            <w:r w:rsidRPr="006D55B8">
              <w:rPr>
                <w:sz w:val="16"/>
                <w:szCs w:val="16"/>
              </w:rPr>
              <w:t xml:space="preserve">. Grey areas had insufficient data for scoring. </w:t>
            </w:r>
            <w:r w:rsidRPr="006D55B8">
              <w:rPr>
                <w:rStyle w:val="NoteLabel"/>
                <w:sz w:val="16"/>
                <w:szCs w:val="16"/>
              </w:rPr>
              <w:t>b</w:t>
            </w:r>
            <w:r w:rsidRPr="006D55B8">
              <w:rPr>
                <w:sz w:val="16"/>
                <w:szCs w:val="16"/>
              </w:rPr>
              <w:t xml:space="preserve"> For each region, a relative </w:t>
            </w:r>
            <w:proofErr w:type="spellStart"/>
            <w:r w:rsidRPr="006D55B8">
              <w:rPr>
                <w:sz w:val="16"/>
                <w:szCs w:val="16"/>
              </w:rPr>
              <w:t>SML</w:t>
            </w:r>
            <w:proofErr w:type="spellEnd"/>
            <w:r w:rsidRPr="006D55B8">
              <w:rPr>
                <w:sz w:val="16"/>
                <w:szCs w:val="16"/>
              </w:rPr>
              <w:t xml:space="preserve"> score was created by linking the </w:t>
            </w:r>
            <w:proofErr w:type="spellStart"/>
            <w:r w:rsidRPr="006D55B8">
              <w:rPr>
                <w:sz w:val="16"/>
                <w:szCs w:val="16"/>
              </w:rPr>
              <w:t>Brynjolfsson</w:t>
            </w:r>
            <w:proofErr w:type="spellEnd"/>
            <w:r w:rsidRPr="006D55B8">
              <w:rPr>
                <w:sz w:val="16"/>
                <w:szCs w:val="16"/>
              </w:rPr>
              <w:t>, Mitchell and Rock (2018) task</w:t>
            </w:r>
            <w:r w:rsidR="0088368B">
              <w:rPr>
                <w:sz w:val="16"/>
                <w:szCs w:val="16"/>
              </w:rPr>
              <w:noBreakHyphen/>
            </w:r>
            <w:r w:rsidRPr="006D55B8">
              <w:rPr>
                <w:sz w:val="16"/>
                <w:szCs w:val="16"/>
              </w:rPr>
              <w:t>to</w:t>
            </w:r>
            <w:r w:rsidR="0088368B">
              <w:rPr>
                <w:sz w:val="16"/>
                <w:szCs w:val="16"/>
              </w:rPr>
              <w:noBreakHyphen/>
            </w:r>
            <w:r w:rsidRPr="006D55B8">
              <w:rPr>
                <w:sz w:val="16"/>
                <w:szCs w:val="16"/>
              </w:rPr>
              <w:t xml:space="preserve">occupation </w:t>
            </w:r>
            <w:proofErr w:type="spellStart"/>
            <w:r w:rsidRPr="006D55B8">
              <w:rPr>
                <w:sz w:val="16"/>
                <w:szCs w:val="16"/>
              </w:rPr>
              <w:t>SML</w:t>
            </w:r>
            <w:proofErr w:type="spellEnd"/>
            <w:r w:rsidRPr="006D55B8">
              <w:rPr>
                <w:sz w:val="16"/>
                <w:szCs w:val="16"/>
              </w:rPr>
              <w:t xml:space="preserve"> scores (18 156 tasks, linked to the 964 O*NET</w:t>
            </w:r>
            <w:r w:rsidR="0088368B">
              <w:rPr>
                <w:sz w:val="16"/>
                <w:szCs w:val="16"/>
              </w:rPr>
              <w:noBreakHyphen/>
            </w:r>
            <w:proofErr w:type="spellStart"/>
            <w:r w:rsidRPr="006D55B8">
              <w:rPr>
                <w:sz w:val="16"/>
                <w:szCs w:val="16"/>
              </w:rPr>
              <w:t>SOC</w:t>
            </w:r>
            <w:proofErr w:type="spellEnd"/>
            <w:r w:rsidRPr="006D55B8">
              <w:rPr>
                <w:sz w:val="16"/>
                <w:szCs w:val="16"/>
              </w:rPr>
              <w:t xml:space="preserve"> occupations), mapped to the 358 </w:t>
            </w:r>
            <w:proofErr w:type="spellStart"/>
            <w:r w:rsidRPr="006D55B8">
              <w:rPr>
                <w:sz w:val="16"/>
                <w:szCs w:val="16"/>
              </w:rPr>
              <w:t>ANZSCO</w:t>
            </w:r>
            <w:proofErr w:type="spellEnd"/>
            <w:r w:rsidRPr="006D55B8">
              <w:rPr>
                <w:sz w:val="16"/>
                <w:szCs w:val="16"/>
              </w:rPr>
              <w:t xml:space="preserve"> occupations in Australia, and then doing a weighted sum based on the share of residents in each occupation.</w:t>
            </w:r>
          </w:p>
        </w:tc>
      </w:tr>
      <w:tr w:rsidR="005B38DB" w:rsidTr="00CF4D72">
        <w:tc>
          <w:tcPr>
            <w:tcW w:w="5000" w:type="pct"/>
            <w:tcBorders>
              <w:top w:val="nil"/>
              <w:left w:val="nil"/>
              <w:bottom w:val="nil"/>
              <w:right w:val="nil"/>
            </w:tcBorders>
            <w:shd w:val="clear" w:color="auto" w:fill="F2F2F2"/>
          </w:tcPr>
          <w:p w:rsidR="005B38DB" w:rsidRDefault="0088368B" w:rsidP="0088368B">
            <w:pPr>
              <w:pStyle w:val="BoxSource"/>
            </w:pPr>
            <w:r>
              <w:rPr>
                <w:i/>
                <w:sz w:val="16"/>
                <w:szCs w:val="16"/>
              </w:rPr>
              <w:t>Sources</w:t>
            </w:r>
            <w:r w:rsidR="005B38DB" w:rsidRPr="00596349">
              <w:rPr>
                <w:sz w:val="16"/>
                <w:szCs w:val="16"/>
              </w:rPr>
              <w:t xml:space="preserve">: </w:t>
            </w:r>
            <w:proofErr w:type="spellStart"/>
            <w:r w:rsidR="005B38DB" w:rsidRPr="00596349">
              <w:rPr>
                <w:sz w:val="16"/>
                <w:szCs w:val="16"/>
              </w:rPr>
              <w:t>Brynjolfsson</w:t>
            </w:r>
            <w:proofErr w:type="spellEnd"/>
            <w:r w:rsidR="005B38DB" w:rsidRPr="00596349">
              <w:rPr>
                <w:sz w:val="16"/>
                <w:szCs w:val="16"/>
              </w:rPr>
              <w:t xml:space="preserve"> E. and Mitchell T. 2017 </w:t>
            </w:r>
            <w:r w:rsidR="00B225C2">
              <w:rPr>
                <w:sz w:val="16"/>
                <w:szCs w:val="16"/>
              </w:rPr>
              <w:t>‘</w:t>
            </w:r>
            <w:r w:rsidR="005B38DB" w:rsidRPr="00596349">
              <w:rPr>
                <w:sz w:val="16"/>
                <w:szCs w:val="16"/>
              </w:rPr>
              <w:t>What Can Machine Learning Do? Workforce Implications.</w:t>
            </w:r>
            <w:r w:rsidR="00B225C2">
              <w:rPr>
                <w:sz w:val="16"/>
                <w:szCs w:val="16"/>
              </w:rPr>
              <w:t>’</w:t>
            </w:r>
            <w:r w:rsidR="005B38DB" w:rsidRPr="00596349">
              <w:rPr>
                <w:sz w:val="16"/>
                <w:szCs w:val="16"/>
              </w:rPr>
              <w:t xml:space="preserve"> Science 358 (6370): pp.</w:t>
            </w:r>
            <w:r>
              <w:rPr>
                <w:sz w:val="16"/>
                <w:szCs w:val="16"/>
              </w:rPr>
              <w:t> </w:t>
            </w:r>
            <w:r w:rsidR="005B38DB" w:rsidRPr="00596349">
              <w:rPr>
                <w:sz w:val="16"/>
                <w:szCs w:val="16"/>
              </w:rPr>
              <w:t xml:space="preserve">1530–34. </w:t>
            </w:r>
            <w:proofErr w:type="spellStart"/>
            <w:r w:rsidR="005B38DB" w:rsidRPr="00596349">
              <w:rPr>
                <w:sz w:val="16"/>
                <w:szCs w:val="16"/>
              </w:rPr>
              <w:t>Brynjolfsson</w:t>
            </w:r>
            <w:proofErr w:type="spellEnd"/>
            <w:r w:rsidR="005B38DB" w:rsidRPr="00596349">
              <w:rPr>
                <w:sz w:val="16"/>
                <w:szCs w:val="16"/>
              </w:rPr>
              <w:t xml:space="preserve"> E., Mitchell T. and Rock D. 2018 ‘What Can Machines Learn and What Does It Mean for Occupations and the Economy’, </w:t>
            </w:r>
            <w:proofErr w:type="spellStart"/>
            <w:r w:rsidR="005B38DB" w:rsidRPr="00596349">
              <w:rPr>
                <w:sz w:val="16"/>
                <w:szCs w:val="16"/>
              </w:rPr>
              <w:t>AEA</w:t>
            </w:r>
            <w:proofErr w:type="spellEnd"/>
            <w:r w:rsidR="005B38DB" w:rsidRPr="00596349">
              <w:rPr>
                <w:sz w:val="16"/>
                <w:szCs w:val="16"/>
              </w:rPr>
              <w:t xml:space="preserve"> Papers and Proceedings 2018, 108: pp.</w:t>
            </w:r>
            <w:r>
              <w:rPr>
                <w:sz w:val="16"/>
                <w:szCs w:val="16"/>
              </w:rPr>
              <w:t> </w:t>
            </w:r>
            <w:r w:rsidR="005B38DB" w:rsidRPr="00596349">
              <w:rPr>
                <w:sz w:val="16"/>
                <w:szCs w:val="16"/>
              </w:rPr>
              <w:t>43–47, May.</w:t>
            </w:r>
          </w:p>
        </w:tc>
      </w:tr>
      <w:tr w:rsidR="005B38DB" w:rsidTr="00CF4D72">
        <w:tc>
          <w:tcPr>
            <w:tcW w:w="5000" w:type="pct"/>
            <w:tcBorders>
              <w:top w:val="nil"/>
              <w:left w:val="nil"/>
              <w:bottom w:val="single" w:sz="6" w:space="0" w:color="78A22F"/>
              <w:right w:val="nil"/>
            </w:tcBorders>
            <w:shd w:val="clear" w:color="auto" w:fill="F2F2F2"/>
          </w:tcPr>
          <w:p w:rsidR="005B38DB" w:rsidRDefault="005B38DB">
            <w:pPr>
              <w:pStyle w:val="Box"/>
              <w:spacing w:before="0" w:line="120" w:lineRule="exact"/>
            </w:pPr>
          </w:p>
        </w:tc>
      </w:tr>
      <w:tr w:rsidR="005B38DB" w:rsidRPr="000863A5" w:rsidTr="00CF4D72">
        <w:tc>
          <w:tcPr>
            <w:tcW w:w="5000" w:type="pct"/>
            <w:tcBorders>
              <w:top w:val="single" w:sz="6" w:space="0" w:color="78A22F"/>
              <w:left w:val="nil"/>
              <w:bottom w:val="nil"/>
              <w:right w:val="nil"/>
            </w:tcBorders>
          </w:tcPr>
          <w:p w:rsidR="005B38DB" w:rsidRPr="00626D32" w:rsidRDefault="005B38DB" w:rsidP="00537BB4">
            <w:pPr>
              <w:pStyle w:val="BoxSpaceBelow"/>
            </w:pPr>
          </w:p>
        </w:tc>
      </w:tr>
    </w:tbl>
    <w:p w:rsidR="007A1C9A" w:rsidRDefault="007A1C9A" w:rsidP="007A1C9A">
      <w:pPr>
        <w:pStyle w:val="Heading2"/>
      </w:pPr>
      <w:r>
        <w:lastRenderedPageBreak/>
        <w:t>Growth and structural change in regional areas</w:t>
      </w:r>
    </w:p>
    <w:p w:rsidR="007A1C9A" w:rsidRDefault="007A1C9A" w:rsidP="007A1C9A">
      <w:pPr>
        <w:pStyle w:val="BodyText"/>
      </w:pPr>
      <w:r>
        <w:t>A range of economic forces have affected the economic and social development of Australia’s regions, including the mining resources boom, productivity in the agriculture industry and structural adjustment in the manufacturing industry. This is in addition to broader developments such as globalisation, population ageing, technological advancements and climate change.</w:t>
      </w:r>
    </w:p>
    <w:p w:rsidR="007A1C9A" w:rsidRDefault="007A1C9A" w:rsidP="007A1C9A">
      <w:pPr>
        <w:pStyle w:val="BodyText"/>
      </w:pPr>
      <w:r>
        <w:t>The Commission explored how the regions were adjusting to the resources boom through the lens of geographic labour mobility in 2013</w:t>
      </w:r>
      <w:r w:rsidR="0088368B">
        <w:noBreakHyphen/>
      </w:r>
      <w:r>
        <w:t>14 (PC 2014) and</w:t>
      </w:r>
      <w:r w:rsidR="00552A2D">
        <w:t>,</w:t>
      </w:r>
      <w:r>
        <w:t xml:space="preserve"> more recently</w:t>
      </w:r>
      <w:r w:rsidR="00552A2D">
        <w:t>,</w:t>
      </w:r>
      <w:r>
        <w:t xml:space="preserve"> how regions were transition from the resources investment boom to a more sustainable economic base (PC </w:t>
      </w:r>
      <w:proofErr w:type="spellStart"/>
      <w:r>
        <w:t>2017b</w:t>
      </w:r>
      <w:proofErr w:type="spellEnd"/>
      <w:r>
        <w:t>).</w:t>
      </w:r>
    </w:p>
    <w:p w:rsidR="007A1C9A" w:rsidRDefault="007A1C9A" w:rsidP="007A1C9A">
      <w:pPr>
        <w:pStyle w:val="BodyText"/>
      </w:pPr>
      <w:r>
        <w:t xml:space="preserve">The Commission found that the mining boom has made Australians substantially better off in the short term and over the long term. Adjustment from the mining boom is generally not a source of significant disadvantage and does not justify special intervention from governments (PC </w:t>
      </w:r>
      <w:proofErr w:type="spellStart"/>
      <w:r>
        <w:t>2017b</w:t>
      </w:r>
      <w:proofErr w:type="spellEnd"/>
      <w:r>
        <w:t>). But not all regional communities have experienced the same resilience (see also box</w:t>
      </w:r>
      <w:r w:rsidR="0088368B">
        <w:t> </w:t>
      </w:r>
      <w:r>
        <w:t>2 on regional adaptive capacity).</w:t>
      </w:r>
    </w:p>
    <w:p w:rsidR="007A1C9A" w:rsidRDefault="007A1C9A" w:rsidP="007A1C9A">
      <w:pPr>
        <w:pStyle w:val="BodyText"/>
      </w:pPr>
      <w:r>
        <w:t xml:space="preserve">In (PC 2014), the Commission conducted quantitative work on regional migration patterns in order to provide insight into the factors that influence </w:t>
      </w:r>
      <w:r w:rsidRPr="00B225C2">
        <w:rPr>
          <w:i/>
        </w:rPr>
        <w:t>aggregate</w:t>
      </w:r>
      <w:r>
        <w:t xml:space="preserve"> people movements, and on the factors that influence the decision to move at an </w:t>
      </w:r>
      <w:r w:rsidRPr="00B225C2">
        <w:rPr>
          <w:i/>
        </w:rPr>
        <w:t>individual</w:t>
      </w:r>
      <w:r>
        <w:t xml:space="preserve"> level.</w:t>
      </w:r>
    </w:p>
    <w:p w:rsidR="007A1C9A" w:rsidRDefault="007A1C9A" w:rsidP="007A1C9A">
      <w:pPr>
        <w:pStyle w:val="ListBullet"/>
      </w:pPr>
      <w:r>
        <w:t>Gravity (a region’s size), distance and economic opportunities are the main determinants of whether a region attracts people at an aggregate level. And labour appears to be moving to areas with better job and income opportunities; that is, workers seem to be responding to market signals.</w:t>
      </w:r>
    </w:p>
    <w:p w:rsidR="007A1C9A" w:rsidRDefault="007A1C9A" w:rsidP="007A1C9A">
      <w:pPr>
        <w:pStyle w:val="ListBullet"/>
      </w:pPr>
      <w:r>
        <w:t>Young people, single people, recent overseas migrants, unemployed people and more highly educated and skilled people all move between labour markets more than other groups. Life events and family circumstances appear to be the most important factors in decisions to move, but factors related to housing, employment and local infrastructure also play a prominent role.</w:t>
      </w:r>
    </w:p>
    <w:p w:rsidR="00E306CD" w:rsidRDefault="007A1C9A" w:rsidP="007A1C9A">
      <w:pPr>
        <w:pStyle w:val="ListBullet"/>
      </w:pPr>
      <w:r>
        <w:t>Fast growing regions can experience skills shortages alongside high unemployment rates due to skills mismatches. Overseas migration and fly</w:t>
      </w:r>
      <w:r w:rsidR="0088368B">
        <w:noBreakHyphen/>
      </w:r>
      <w:r>
        <w:t>in</w:t>
      </w:r>
      <w:r w:rsidR="0088368B">
        <w:noBreakHyphen/>
      </w:r>
      <w:r>
        <w:t>and</w:t>
      </w:r>
      <w:r w:rsidR="0088368B">
        <w:noBreakHyphen/>
      </w:r>
      <w:r>
        <w:t>fly</w:t>
      </w:r>
      <w:r w:rsidR="0088368B">
        <w:noBreakHyphen/>
      </w:r>
      <w:r>
        <w:t>out (FIFO) have assisted in addressing skills shortages in hard</w:t>
      </w:r>
      <w:r w:rsidR="0088368B">
        <w:noBreakHyphen/>
      </w:r>
      <w:r w:rsidR="00B225C2">
        <w:t>to</w:t>
      </w:r>
      <w:r w:rsidR="0088368B">
        <w:noBreakHyphen/>
      </w:r>
      <w:r>
        <w:t>fill regions and occupations.</w:t>
      </w:r>
    </w:p>
    <w:p w:rsidR="007A1C9A" w:rsidRDefault="007A1C9A" w:rsidP="007A1C9A">
      <w:pPr>
        <w:pStyle w:val="BodyText"/>
      </w:pPr>
      <w:r>
        <w:t>Structural adjustment and geographic labour mobility can lead to small regional communities contracting in size and losing key services. In many cases, those who remain in these communities are the most disadvantaged. Governments have attempted to support these communities by putting in place various decentralisation policies and offering incentives for people to work in regional and remote areas. These have had</w:t>
      </w:r>
      <w:r w:rsidR="00552A2D">
        <w:t>,</w:t>
      </w:r>
      <w:r>
        <w:t xml:space="preserve"> at best</w:t>
      </w:r>
      <w:r w:rsidR="00552A2D">
        <w:t>,</w:t>
      </w:r>
      <w:r>
        <w:t xml:space="preserve"> mixed results (see below).</w:t>
      </w:r>
    </w:p>
    <w:p w:rsidR="005B38DB" w:rsidRDefault="005B38DB" w:rsidP="007A1C9A">
      <w:pPr>
        <w:pStyle w:val="BodyText"/>
      </w:pPr>
    </w:p>
    <w:p w:rsidR="005B38DB" w:rsidRDefault="005B38D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5B38DB" w:rsidTr="00750BE2">
        <w:trPr>
          <w:tblHeader/>
        </w:trPr>
        <w:tc>
          <w:tcPr>
            <w:tcW w:w="5000" w:type="pct"/>
            <w:tcBorders>
              <w:top w:val="single" w:sz="6" w:space="0" w:color="78A22F"/>
              <w:left w:val="nil"/>
              <w:bottom w:val="nil"/>
              <w:right w:val="nil"/>
            </w:tcBorders>
            <w:shd w:val="clear" w:color="auto" w:fill="F2F2F2"/>
          </w:tcPr>
          <w:p w:rsidR="005B38DB" w:rsidRDefault="005B38DB" w:rsidP="005B38DB">
            <w:pPr>
              <w:pStyle w:val="BoxTitle"/>
            </w:pPr>
            <w:r>
              <w:rPr>
                <w:b w:val="0"/>
              </w:rPr>
              <w:t>Box 2</w:t>
            </w:r>
            <w:r>
              <w:tab/>
            </w:r>
            <w:r w:rsidRPr="005B38DB">
              <w:t xml:space="preserve">A measure of regional adaptive capacity (PC </w:t>
            </w:r>
            <w:proofErr w:type="spellStart"/>
            <w:r w:rsidRPr="005B38DB">
              <w:t>2017b</w:t>
            </w:r>
            <w:proofErr w:type="spellEnd"/>
            <w:r w:rsidRPr="005B38DB">
              <w:t>)</w:t>
            </w:r>
          </w:p>
        </w:tc>
      </w:tr>
      <w:tr w:rsidR="005B38DB" w:rsidTr="00CF4D72">
        <w:tc>
          <w:tcPr>
            <w:tcW w:w="5000" w:type="pct"/>
            <w:tcBorders>
              <w:top w:val="nil"/>
              <w:left w:val="nil"/>
              <w:bottom w:val="nil"/>
              <w:right w:val="nil"/>
            </w:tcBorders>
            <w:shd w:val="clear" w:color="auto" w:fill="F2F2F2"/>
          </w:tcPr>
          <w:p w:rsidR="005B38DB" w:rsidRDefault="005B38DB" w:rsidP="00784A05">
            <w:pPr>
              <w:pStyle w:val="Box"/>
            </w:pPr>
            <w:r w:rsidRPr="005B38DB">
              <w:t>The Commission developed a single metric of regional adaptive capacity. The metric can be used as a litmus test to identify regions which may find it difficult to adjust to significant economic disruptions.</w:t>
            </w:r>
          </w:p>
          <w:p w:rsidR="005B38DB" w:rsidRDefault="005B38DB" w:rsidP="005B38DB">
            <w:pPr>
              <w:pStyle w:val="Box"/>
              <w:jc w:val="center"/>
            </w:pPr>
            <w:r w:rsidRPr="008C2BCD">
              <w:rPr>
                <w:noProof/>
              </w:rPr>
              <w:drawing>
                <wp:inline distT="0" distB="0" distL="0" distR="0" wp14:anchorId="40AD118F" wp14:editId="4A876D12">
                  <wp:extent cx="5384121" cy="5056909"/>
                  <wp:effectExtent l="0" t="0" r="7620" b="0"/>
                  <wp:docPr id="41" name="Picture 41" descr="This figure shows the adaptive capacity of Australia’s regions, as per the Commission’s index using the single PCA approach. Regions are coloured according to their adaptive capacity category. Further information can be found in the text surrounding the figure." title="Box 2 A measure of regional adaptive capacity (PC 201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87892" cy="5060451"/>
                          </a:xfrm>
                          <a:prstGeom prst="rect">
                            <a:avLst/>
                          </a:prstGeom>
                          <a:noFill/>
                          <a:ln>
                            <a:noFill/>
                          </a:ln>
                        </pic:spPr>
                      </pic:pic>
                    </a:graphicData>
                  </a:graphic>
                </wp:inline>
              </w:drawing>
            </w:r>
          </w:p>
          <w:p w:rsidR="005B38DB" w:rsidRDefault="00552A2D" w:rsidP="005B38DB">
            <w:pPr>
              <w:pStyle w:val="Box"/>
            </w:pPr>
            <w:r>
              <w:t>People</w:t>
            </w:r>
            <w:r w:rsidR="0088368B">
              <w:noBreakHyphen/>
            </w:r>
            <w:r w:rsidR="005B38DB">
              <w:t>related factors (including education, skills, employment, income and community cohesion) strongly shape adaptive capacity, particularly for communities in urban areas. For communities in remote areas, these and other factors associated with remoteness, such as accessibility to services and infrastructure, have the strongest influence on results.</w:t>
            </w:r>
          </w:p>
          <w:p w:rsidR="005B38DB" w:rsidRDefault="005B38DB" w:rsidP="00784A05">
            <w:pPr>
              <w:pStyle w:val="Box"/>
            </w:pPr>
            <w:r>
              <w:t>However, caution is required in interpreting the metric and using it as a basis for policy making. A single metric of relative adaptive capacity cannot fully capture the unique attributes of each regional community. Further, the metric does not predict the likely outcome of a region to a shock, which is based not only on the region’s adaptive capacity but also the nature of shocks it faces, the options available to people affected, and the decisions that they make.</w:t>
            </w:r>
          </w:p>
        </w:tc>
      </w:tr>
      <w:tr w:rsidR="005B38DB" w:rsidTr="00CF4D72">
        <w:tc>
          <w:tcPr>
            <w:tcW w:w="5000" w:type="pct"/>
            <w:tcBorders>
              <w:top w:val="nil"/>
              <w:left w:val="nil"/>
              <w:bottom w:val="nil"/>
              <w:right w:val="nil"/>
            </w:tcBorders>
            <w:shd w:val="clear" w:color="auto" w:fill="F2F2F2"/>
          </w:tcPr>
          <w:p w:rsidR="005B38DB" w:rsidRDefault="005B38DB" w:rsidP="005B38DB">
            <w:pPr>
              <w:pStyle w:val="BoxSource"/>
            </w:pPr>
            <w:r>
              <w:rPr>
                <w:i/>
              </w:rPr>
              <w:t>Source</w:t>
            </w:r>
            <w:r w:rsidRPr="00167F06">
              <w:t xml:space="preserve">: </w:t>
            </w:r>
            <w:r>
              <w:t xml:space="preserve">PC </w:t>
            </w:r>
            <w:proofErr w:type="spellStart"/>
            <w:r>
              <w:t>2017b</w:t>
            </w:r>
            <w:proofErr w:type="spellEnd"/>
            <w:r>
              <w:t>.</w:t>
            </w:r>
          </w:p>
        </w:tc>
      </w:tr>
      <w:tr w:rsidR="005B38DB" w:rsidTr="00CF4D72">
        <w:tc>
          <w:tcPr>
            <w:tcW w:w="5000" w:type="pct"/>
            <w:tcBorders>
              <w:top w:val="nil"/>
              <w:left w:val="nil"/>
              <w:bottom w:val="single" w:sz="6" w:space="0" w:color="78A22F"/>
              <w:right w:val="nil"/>
            </w:tcBorders>
            <w:shd w:val="clear" w:color="auto" w:fill="F2F2F2"/>
          </w:tcPr>
          <w:p w:rsidR="005B38DB" w:rsidRDefault="005B38DB">
            <w:pPr>
              <w:pStyle w:val="Box"/>
              <w:spacing w:before="0" w:line="120" w:lineRule="exact"/>
            </w:pPr>
          </w:p>
        </w:tc>
      </w:tr>
      <w:tr w:rsidR="005B38DB" w:rsidRPr="000863A5" w:rsidTr="00CF4D72">
        <w:tc>
          <w:tcPr>
            <w:tcW w:w="5000" w:type="pct"/>
            <w:tcBorders>
              <w:top w:val="single" w:sz="6" w:space="0" w:color="78A22F"/>
              <w:left w:val="nil"/>
              <w:bottom w:val="nil"/>
              <w:right w:val="nil"/>
            </w:tcBorders>
          </w:tcPr>
          <w:p w:rsidR="005B38DB" w:rsidRPr="00626D32" w:rsidRDefault="005B38DB" w:rsidP="00537BB4">
            <w:pPr>
              <w:pStyle w:val="BoxSpaceBelow"/>
            </w:pPr>
          </w:p>
        </w:tc>
      </w:tr>
    </w:tbl>
    <w:p w:rsidR="005B38DB" w:rsidRDefault="005B38DB" w:rsidP="007A1C9A">
      <w:pPr>
        <w:pStyle w:val="BodyText"/>
      </w:pPr>
    </w:p>
    <w:p w:rsidR="007A1C9A" w:rsidRDefault="007A1C9A" w:rsidP="007A1C9A">
      <w:pPr>
        <w:pStyle w:val="BodyText"/>
      </w:pPr>
      <w:r>
        <w:lastRenderedPageBreak/>
        <w:t xml:space="preserve">Structural change in regions can be exacerbated by poor planning for population growth and inadequate infrastructure. The Commission heard examples of local governments not being consulted on major developments within their area (PC 2014 and </w:t>
      </w:r>
      <w:proofErr w:type="spellStart"/>
      <w:r>
        <w:t>2017c</w:t>
      </w:r>
      <w:proofErr w:type="spellEnd"/>
      <w:r>
        <w:t>). And local governments themselves may not have the capacity (skills or funding) to carry out their responsibilities effectively. The Commission noted the importance of early local consultation as part of planning and approval processes for major projects and land release and use.</w:t>
      </w:r>
    </w:p>
    <w:p w:rsidR="007A1C9A" w:rsidRDefault="007A1C9A" w:rsidP="007A1C9A">
      <w:pPr>
        <w:pStyle w:val="Heading2"/>
      </w:pPr>
      <w:r>
        <w:t>Regional development policy</w:t>
      </w:r>
    </w:p>
    <w:p w:rsidR="007A1C9A" w:rsidRDefault="007A1C9A" w:rsidP="007A1C9A">
      <w:pPr>
        <w:pStyle w:val="BodyText"/>
      </w:pPr>
      <w:r>
        <w:t>All levels of government support people living in regions through the provision of services such as health, education, and community services, as well as infrastructure services (including transport and the National Broadband Network). An education and training system that is of high quality, flexible and responsive to the changing needs of individuals is a major enabler of individual and regional opportunity and prosperity.</w:t>
      </w:r>
    </w:p>
    <w:p w:rsidR="007A1C9A" w:rsidRDefault="007A1C9A" w:rsidP="007A1C9A">
      <w:pPr>
        <w:pStyle w:val="BodyText"/>
      </w:pPr>
      <w:r>
        <w:t xml:space="preserve">Australia also has a long history of regional development policies (sometimes intertwined with industry policy and structural adjustment policy) that aim to influence the location of economic activity. </w:t>
      </w:r>
    </w:p>
    <w:p w:rsidR="007A1C9A" w:rsidRDefault="007A1C9A" w:rsidP="007A1C9A">
      <w:pPr>
        <w:pStyle w:val="BodyText"/>
      </w:pPr>
      <w:r>
        <w:t>There are no simple levers to affect regional development. Time and again, policies aiming to influence where people live and work, and where businesses operate, have not delivered measurable benefits. In addition, government support always comes at a cost to people in Australia, as taxpayers must find the money.</w:t>
      </w:r>
    </w:p>
    <w:p w:rsidR="007A1C9A" w:rsidRDefault="007A1C9A" w:rsidP="007A1C9A">
      <w:pPr>
        <w:pStyle w:val="BodyText"/>
      </w:pPr>
      <w:r>
        <w:t xml:space="preserve">In its </w:t>
      </w:r>
      <w:r w:rsidRPr="00B225C2">
        <w:rPr>
          <w:i/>
        </w:rPr>
        <w:t>Transitioning Regional Economies</w:t>
      </w:r>
      <w:r>
        <w:t xml:space="preserve"> report (PC </w:t>
      </w:r>
      <w:proofErr w:type="spellStart"/>
      <w:r>
        <w:t>2017b</w:t>
      </w:r>
      <w:proofErr w:type="spellEnd"/>
      <w:r>
        <w:t>), the Commission proposed some principles for assessing the scope for economic and social development in regions. These involve:</w:t>
      </w:r>
    </w:p>
    <w:p w:rsidR="007A1C9A" w:rsidRDefault="007A1C9A" w:rsidP="007A1C9A">
      <w:pPr>
        <w:pStyle w:val="ListBullet"/>
      </w:pPr>
      <w:r>
        <w:t>incorporating the views and knowledge of regional communities</w:t>
      </w:r>
    </w:p>
    <w:p w:rsidR="007A1C9A" w:rsidRDefault="007A1C9A" w:rsidP="007A1C9A">
      <w:pPr>
        <w:pStyle w:val="ListBullet"/>
      </w:pPr>
      <w:r>
        <w:t>identifying and supporting a region’s relative strengths (comparative advantage)</w:t>
      </w:r>
    </w:p>
    <w:p w:rsidR="007A1C9A" w:rsidRDefault="007A1C9A" w:rsidP="007A1C9A">
      <w:pPr>
        <w:pStyle w:val="ListBullet"/>
      </w:pPr>
      <w:r>
        <w:t>identifying any unnecessary regulatory impediments to people or businesses taking up economic opportunities, or relocating (either within, or to other regions)</w:t>
      </w:r>
    </w:p>
    <w:p w:rsidR="007A1C9A" w:rsidRDefault="007A1C9A" w:rsidP="007A1C9A">
      <w:pPr>
        <w:pStyle w:val="ListBullet"/>
      </w:pPr>
      <w:r>
        <w:t>considering the capabilities of people in regional communities and the region’s connections with other regions and markets</w:t>
      </w:r>
    </w:p>
    <w:p w:rsidR="007A1C9A" w:rsidRDefault="007A1C9A" w:rsidP="007A1C9A">
      <w:pPr>
        <w:pStyle w:val="ListBullet"/>
      </w:pPr>
      <w:r>
        <w:t>evaluating whether existing programs and strategies aimed at regional development (or adjustment) are effective and provide value for money</w:t>
      </w:r>
    </w:p>
    <w:p w:rsidR="007A1C9A" w:rsidRDefault="007A1C9A" w:rsidP="007A1C9A">
      <w:pPr>
        <w:pStyle w:val="ListBullet"/>
      </w:pPr>
      <w:r>
        <w:t>embedding robust evaluation and transparent processes for policy/project proposals, which include clear objectives, identification and assessment of options, and monitoring and evaluation of outcomes</w:t>
      </w:r>
    </w:p>
    <w:p w:rsidR="007A1C9A" w:rsidRDefault="007A1C9A" w:rsidP="007A1C9A">
      <w:pPr>
        <w:pStyle w:val="ListBullet"/>
      </w:pPr>
      <w:r>
        <w:lastRenderedPageBreak/>
        <w:t>considering the scope for private economic activity that is not dependent on ongoing government financial support (other than payments made under general taxation, social security and welfare policies).</w:t>
      </w:r>
    </w:p>
    <w:p w:rsidR="007A1C9A" w:rsidRDefault="007A1C9A" w:rsidP="007A1C9A">
      <w:pPr>
        <w:pStyle w:val="BodyText"/>
      </w:pPr>
      <w:r>
        <w:t>Specific adjustment assistance to individual regions should be reserved for extreme events that are likely to result in high levels of permanent disadvantage in a community, and where the general safety net arrangements are demonstrably inadequate. Assistance should focus on securing employ</w:t>
      </w:r>
      <w:r w:rsidR="00552A2D">
        <w:t>ment (such as targeted and time</w:t>
      </w:r>
      <w:r w:rsidR="0088368B">
        <w:noBreakHyphen/>
      </w:r>
      <w:r>
        <w:t>limited training assistance and provision of information on industry needs and employment opportunities).</w:t>
      </w:r>
    </w:p>
    <w:p w:rsidR="007A1C9A" w:rsidRDefault="007A1C9A" w:rsidP="007A1C9A">
      <w:pPr>
        <w:pStyle w:val="Heading2"/>
      </w:pPr>
      <w:r>
        <w:t>References and further information</w:t>
      </w:r>
    </w:p>
    <w:p w:rsidR="007A1C9A" w:rsidRDefault="007A1C9A" w:rsidP="007A1C9A">
      <w:pPr>
        <w:pStyle w:val="BodyText"/>
      </w:pPr>
      <w:r>
        <w:t xml:space="preserve">Further information is available on the Commission’s website at </w:t>
      </w:r>
      <w:proofErr w:type="spellStart"/>
      <w:r>
        <w:t>www.pc.gov.au</w:t>
      </w:r>
      <w:proofErr w:type="spellEnd"/>
    </w:p>
    <w:p w:rsidR="007A1C9A" w:rsidRDefault="007A1C9A" w:rsidP="007A1C9A">
      <w:pPr>
        <w:pStyle w:val="BodyText"/>
      </w:pPr>
      <w:r>
        <w:t xml:space="preserve">(PC 2014) </w:t>
      </w:r>
      <w:hyperlink r:id="rId15" w:history="1">
        <w:r w:rsidRPr="00DA3C70">
          <w:rPr>
            <w:rStyle w:val="Hyperlink"/>
          </w:rPr>
          <w:t>Geographic labour mobility: research report</w:t>
        </w:r>
      </w:hyperlink>
    </w:p>
    <w:p w:rsidR="007A1C9A" w:rsidRDefault="007A1C9A" w:rsidP="007A1C9A">
      <w:pPr>
        <w:pStyle w:val="BodyText"/>
      </w:pPr>
      <w:r>
        <w:t xml:space="preserve">(PC 2015) </w:t>
      </w:r>
      <w:hyperlink r:id="rId16" w:history="1">
        <w:r w:rsidRPr="00DA3C70">
          <w:rPr>
            <w:rStyle w:val="Hyperlink"/>
          </w:rPr>
          <w:t>Workplace relations framework: inquiry report</w:t>
        </w:r>
      </w:hyperlink>
      <w:r>
        <w:t xml:space="preserve"> </w:t>
      </w:r>
      <w:r w:rsidRPr="00B225C2">
        <w:rPr>
          <w:i/>
        </w:rPr>
        <w:t>(chapter</w:t>
      </w:r>
      <w:r w:rsidR="0088368B">
        <w:rPr>
          <w:i/>
        </w:rPr>
        <w:t> </w:t>
      </w:r>
      <w:r w:rsidRPr="00B225C2">
        <w:rPr>
          <w:i/>
        </w:rPr>
        <w:t>2)</w:t>
      </w:r>
    </w:p>
    <w:p w:rsidR="007A1C9A" w:rsidRDefault="007A1C9A" w:rsidP="007A1C9A">
      <w:pPr>
        <w:pStyle w:val="BodyText"/>
      </w:pPr>
      <w:r>
        <w:t xml:space="preserve">(PC 2016) </w:t>
      </w:r>
      <w:hyperlink r:id="rId17" w:history="1">
        <w:r w:rsidRPr="00DA3C70">
          <w:rPr>
            <w:rStyle w:val="Hyperlink"/>
          </w:rPr>
          <w:t>Digital disruption: What do governments need to do?</w:t>
        </w:r>
      </w:hyperlink>
    </w:p>
    <w:p w:rsidR="007A1C9A" w:rsidRDefault="007A1C9A" w:rsidP="007A1C9A">
      <w:pPr>
        <w:pStyle w:val="BodyText"/>
      </w:pPr>
      <w:r>
        <w:t xml:space="preserve">(PC </w:t>
      </w:r>
      <w:proofErr w:type="spellStart"/>
      <w:r>
        <w:t>2017a</w:t>
      </w:r>
      <w:proofErr w:type="spellEnd"/>
      <w:r>
        <w:t xml:space="preserve">) </w:t>
      </w:r>
      <w:hyperlink r:id="rId18" w:history="1">
        <w:r w:rsidRPr="00DA3C70">
          <w:rPr>
            <w:rStyle w:val="Hyperlink"/>
          </w:rPr>
          <w:t>Shifting the Dial: 5 year productivity review</w:t>
        </w:r>
      </w:hyperlink>
      <w:r>
        <w:t xml:space="preserve"> </w:t>
      </w:r>
      <w:r w:rsidRPr="00B225C2">
        <w:rPr>
          <w:i/>
        </w:rPr>
        <w:t>(chapter</w:t>
      </w:r>
      <w:r w:rsidR="0088368B">
        <w:rPr>
          <w:i/>
        </w:rPr>
        <w:t> </w:t>
      </w:r>
      <w:r w:rsidRPr="00B225C2">
        <w:rPr>
          <w:i/>
        </w:rPr>
        <w:t xml:space="preserve">3 and supporting paper 8) </w:t>
      </w:r>
    </w:p>
    <w:p w:rsidR="007A1C9A" w:rsidRDefault="007A1C9A" w:rsidP="007A1C9A">
      <w:pPr>
        <w:pStyle w:val="BodyText"/>
      </w:pPr>
      <w:r>
        <w:t xml:space="preserve">(PC </w:t>
      </w:r>
      <w:proofErr w:type="spellStart"/>
      <w:r>
        <w:t>2017b</w:t>
      </w:r>
      <w:proofErr w:type="spellEnd"/>
      <w:r>
        <w:t xml:space="preserve">) </w:t>
      </w:r>
      <w:hyperlink r:id="rId19" w:history="1">
        <w:r w:rsidRPr="00DA3C70">
          <w:rPr>
            <w:rStyle w:val="Hyperlink"/>
          </w:rPr>
          <w:t>Transitioning regional economies: research report</w:t>
        </w:r>
      </w:hyperlink>
    </w:p>
    <w:p w:rsidR="007A1C9A" w:rsidRDefault="007A1C9A" w:rsidP="00120072">
      <w:pPr>
        <w:pStyle w:val="BodyText"/>
      </w:pPr>
    </w:p>
    <w:p w:rsidR="007A1C9A" w:rsidRDefault="007A1C9A" w:rsidP="00120072">
      <w:pPr>
        <w:pStyle w:val="BodyText"/>
      </w:pPr>
    </w:p>
    <w:p w:rsidR="00666E02" w:rsidRDefault="00666E02" w:rsidP="00120072">
      <w:pPr>
        <w:pStyle w:val="BodyText"/>
      </w:pPr>
    </w:p>
    <w:p w:rsidR="00D434A0" w:rsidRDefault="00D434A0" w:rsidP="00120072">
      <w:pPr>
        <w:pStyle w:val="BodyText"/>
      </w:pPr>
    </w:p>
    <w:sectPr w:rsidR="00D434A0" w:rsidSect="008A57F3">
      <w:headerReference w:type="even" r:id="rId20"/>
      <w:headerReference w:type="default" r:id="rId21"/>
      <w:footerReference w:type="even" r:id="rId22"/>
      <w:footerReference w:type="default" r:id="rId23"/>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6CD" w:rsidRDefault="00E306CD">
      <w:r>
        <w:separator/>
      </w:r>
    </w:p>
  </w:endnote>
  <w:endnote w:type="continuationSeparator" w:id="0">
    <w:p w:rsidR="00E306CD" w:rsidRDefault="00E30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rsidTr="005F48ED">
      <w:trPr>
        <w:trHeight w:hRule="exact" w:val="567"/>
      </w:trPr>
      <w:tc>
        <w:tcPr>
          <w:tcW w:w="510" w:type="dxa"/>
        </w:tcPr>
        <w:p w:rsidR="00772909" w:rsidRPr="00A24443" w:rsidRDefault="00772909"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B76CE9">
            <w:rPr>
              <w:rStyle w:val="PageNumber"/>
              <w:caps w:val="0"/>
              <w:noProof/>
            </w:rPr>
            <w:t>8</w:t>
          </w:r>
          <w:r w:rsidRPr="00A24443">
            <w:rPr>
              <w:rStyle w:val="PageNumber"/>
              <w:caps w:val="0"/>
            </w:rPr>
            <w:fldChar w:fldCharType="end"/>
          </w:r>
        </w:p>
      </w:tc>
      <w:tc>
        <w:tcPr>
          <w:tcW w:w="7767" w:type="dxa"/>
        </w:tcPr>
        <w:p w:rsidR="00772909" w:rsidRPr="0013739A" w:rsidRDefault="00772909" w:rsidP="0013739A">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sidR="00AD45F1">
            <w:rPr>
              <w:rFonts w:cs="Arial"/>
            </w:rPr>
            <w:t>Senate Select Committee on Jobs for the Future in Regional Areas</w:t>
          </w:r>
          <w:r w:rsidRPr="00BA5B14">
            <w:rPr>
              <w:rFonts w:cs="Arial"/>
            </w:rPr>
            <w:fldChar w:fldCharType="end"/>
          </w:r>
          <w:bookmarkStart w:id="3" w:name="DraftReportEven"/>
          <w:bookmarkEnd w:id="3"/>
        </w:p>
      </w:tc>
      <w:tc>
        <w:tcPr>
          <w:tcW w:w="510" w:type="dxa"/>
        </w:tcPr>
        <w:p w:rsidR="00772909" w:rsidRDefault="00772909" w:rsidP="0019293B">
          <w:pPr>
            <w:pStyle w:val="Footer"/>
          </w:pPr>
        </w:p>
      </w:tc>
    </w:tr>
  </w:tbl>
  <w:p w:rsidR="00772909" w:rsidRDefault="00772909"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rsidTr="005F48ED">
      <w:trPr>
        <w:trHeight w:hRule="exact" w:val="567"/>
      </w:trPr>
      <w:tc>
        <w:tcPr>
          <w:tcW w:w="510" w:type="dxa"/>
        </w:tcPr>
        <w:p w:rsidR="00772909" w:rsidRDefault="00772909">
          <w:pPr>
            <w:pStyle w:val="Footer"/>
            <w:ind w:right="360" w:firstLine="360"/>
          </w:pPr>
        </w:p>
      </w:tc>
      <w:tc>
        <w:tcPr>
          <w:tcW w:w="7767" w:type="dxa"/>
        </w:tcPr>
        <w:p w:rsidR="00772909" w:rsidRPr="00BA5B14" w:rsidRDefault="00772909"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AD45F1">
            <w:rPr>
              <w:rFonts w:cs="Arial"/>
            </w:rPr>
            <w:t>Productivity Commission Submission</w:t>
          </w:r>
          <w:r w:rsidRPr="00BA5B14">
            <w:rPr>
              <w:rFonts w:cs="Arial"/>
            </w:rPr>
            <w:fldChar w:fldCharType="end"/>
          </w:r>
          <w:bookmarkStart w:id="4" w:name="DraftReportOdd"/>
          <w:bookmarkEnd w:id="4"/>
        </w:p>
      </w:tc>
      <w:tc>
        <w:tcPr>
          <w:tcW w:w="510" w:type="dxa"/>
        </w:tcPr>
        <w:p w:rsidR="00772909" w:rsidRPr="00A24443" w:rsidRDefault="0077290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B76CE9">
            <w:rPr>
              <w:rStyle w:val="PageNumber"/>
              <w:caps w:val="0"/>
              <w:noProof/>
            </w:rPr>
            <w:t>7</w:t>
          </w:r>
          <w:r w:rsidRPr="00A24443">
            <w:rPr>
              <w:rStyle w:val="PageNumber"/>
              <w:caps w:val="0"/>
            </w:rPr>
            <w:fldChar w:fldCharType="end"/>
          </w:r>
        </w:p>
      </w:tc>
    </w:tr>
  </w:tbl>
  <w:p w:rsidR="00772909" w:rsidRDefault="00772909">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6CD" w:rsidRDefault="00E306CD">
      <w:r>
        <w:separator/>
      </w:r>
    </w:p>
  </w:footnote>
  <w:footnote w:type="continuationSeparator" w:id="0">
    <w:p w:rsidR="00E306CD" w:rsidRDefault="00E30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772909">
      <w:tc>
        <w:tcPr>
          <w:tcW w:w="2155" w:type="dxa"/>
          <w:tcBorders>
            <w:top w:val="single" w:sz="24" w:space="0" w:color="auto"/>
          </w:tcBorders>
        </w:tcPr>
        <w:p w:rsidR="00772909" w:rsidRDefault="00772909" w:rsidP="0019293B">
          <w:pPr>
            <w:pStyle w:val="HeaderEven"/>
          </w:pPr>
        </w:p>
      </w:tc>
      <w:tc>
        <w:tcPr>
          <w:tcW w:w="6634" w:type="dxa"/>
          <w:tcBorders>
            <w:top w:val="single" w:sz="6" w:space="0" w:color="auto"/>
          </w:tcBorders>
        </w:tcPr>
        <w:p w:rsidR="00772909" w:rsidRDefault="00772909" w:rsidP="0019293B">
          <w:pPr>
            <w:pStyle w:val="HeaderEven"/>
          </w:pPr>
        </w:p>
      </w:tc>
    </w:tr>
  </w:tbl>
  <w:p w:rsidR="00772909" w:rsidRDefault="00772909"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72909">
      <w:tc>
        <w:tcPr>
          <w:tcW w:w="6634" w:type="dxa"/>
          <w:tcBorders>
            <w:top w:val="single" w:sz="6" w:space="0" w:color="auto"/>
          </w:tcBorders>
        </w:tcPr>
        <w:p w:rsidR="00772909" w:rsidRDefault="00772909" w:rsidP="00E669E2">
          <w:pPr>
            <w:pStyle w:val="HeaderOdd"/>
          </w:pPr>
        </w:p>
      </w:tc>
      <w:tc>
        <w:tcPr>
          <w:tcW w:w="2155" w:type="dxa"/>
          <w:tcBorders>
            <w:top w:val="single" w:sz="24" w:space="0" w:color="auto"/>
          </w:tcBorders>
        </w:tcPr>
        <w:p w:rsidR="00772909" w:rsidRDefault="00772909" w:rsidP="00E669E2">
          <w:pPr>
            <w:pStyle w:val="HeaderOdd"/>
          </w:pPr>
        </w:p>
      </w:tc>
    </w:tr>
  </w:tbl>
  <w:p w:rsidR="00772909" w:rsidRDefault="00772909"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10DAF9DE"/>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5BCCF6CC"/>
    <w:lvl w:ilvl="0">
      <w:start w:val="1"/>
      <w:numFmt w:val="bullet"/>
      <w:lvlText w:val="o"/>
      <w:lvlJc w:val="left"/>
      <w:pPr>
        <w:ind w:left="926" w:hanging="360"/>
      </w:pPr>
      <w:rPr>
        <w:rFonts w:ascii="Courier New" w:hAnsi="Courier New" w:cs="Courier New" w:hint="default"/>
      </w:rPr>
    </w:lvl>
  </w:abstractNum>
  <w:abstractNum w:abstractNumId="2"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6"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7"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0"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2"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4"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6"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7"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8"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1"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2"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3"/>
  </w:num>
  <w:num w:numId="2">
    <w:abstractNumId w:val="4"/>
  </w:num>
  <w:num w:numId="3">
    <w:abstractNumId w:val="15"/>
  </w:num>
  <w:num w:numId="4">
    <w:abstractNumId w:val="5"/>
  </w:num>
  <w:num w:numId="5">
    <w:abstractNumId w:val="20"/>
  </w:num>
  <w:num w:numId="6">
    <w:abstractNumId w:val="17"/>
  </w:num>
  <w:num w:numId="7">
    <w:abstractNumId w:val="9"/>
  </w:num>
  <w:num w:numId="8">
    <w:abstractNumId w:val="16"/>
  </w:num>
  <w:num w:numId="9">
    <w:abstractNumId w:val="8"/>
  </w:num>
  <w:num w:numId="10">
    <w:abstractNumId w:val="7"/>
  </w:num>
  <w:num w:numId="11">
    <w:abstractNumId w:val="11"/>
  </w:num>
  <w:num w:numId="12">
    <w:abstractNumId w:val="12"/>
  </w:num>
  <w:num w:numId="13">
    <w:abstractNumId w:val="6"/>
  </w:num>
  <w:num w:numId="14">
    <w:abstractNumId w:val="18"/>
  </w:num>
  <w:num w:numId="15">
    <w:abstractNumId w:val="21"/>
  </w:num>
  <w:num w:numId="16">
    <w:abstractNumId w:val="14"/>
  </w:num>
  <w:num w:numId="17">
    <w:abstractNumId w:val="22"/>
  </w:num>
  <w:num w:numId="18">
    <w:abstractNumId w:val="2"/>
  </w:num>
  <w:num w:numId="19">
    <w:abstractNumId w:val="3"/>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9"/>
  </w:num>
  <w:num w:numId="21">
    <w:abstractNumId w:val="10"/>
  </w:num>
  <w:num w:numId="22">
    <w:abstractNumId w:val="1"/>
  </w:num>
  <w:num w:numId="23">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Productivity Commission Submission"/>
    <w:docVar w:name="ShortReportTitle" w:val="Senate Select Committee on Jobs for the Future in Regional Areas"/>
  </w:docVars>
  <w:rsids>
    <w:rsidRoot w:val="00E306CD"/>
    <w:rsid w:val="000227D5"/>
    <w:rsid w:val="000245AA"/>
    <w:rsid w:val="0003664B"/>
    <w:rsid w:val="0004111F"/>
    <w:rsid w:val="00055077"/>
    <w:rsid w:val="000565B3"/>
    <w:rsid w:val="0007150B"/>
    <w:rsid w:val="000938F5"/>
    <w:rsid w:val="00095663"/>
    <w:rsid w:val="00096E55"/>
    <w:rsid w:val="0009783E"/>
    <w:rsid w:val="000B1022"/>
    <w:rsid w:val="000B601B"/>
    <w:rsid w:val="000C207E"/>
    <w:rsid w:val="000D41E9"/>
    <w:rsid w:val="000F0035"/>
    <w:rsid w:val="000F04E7"/>
    <w:rsid w:val="000F060A"/>
    <w:rsid w:val="000F420B"/>
    <w:rsid w:val="000F539C"/>
    <w:rsid w:val="00110116"/>
    <w:rsid w:val="00120072"/>
    <w:rsid w:val="00126EB8"/>
    <w:rsid w:val="001274D4"/>
    <w:rsid w:val="001363AA"/>
    <w:rsid w:val="0013739A"/>
    <w:rsid w:val="00142165"/>
    <w:rsid w:val="00162434"/>
    <w:rsid w:val="00183E82"/>
    <w:rsid w:val="001878BB"/>
    <w:rsid w:val="00191AE0"/>
    <w:rsid w:val="0019293B"/>
    <w:rsid w:val="0019426B"/>
    <w:rsid w:val="001A6A4B"/>
    <w:rsid w:val="001C0865"/>
    <w:rsid w:val="001C0AED"/>
    <w:rsid w:val="001C3ABA"/>
    <w:rsid w:val="001C5111"/>
    <w:rsid w:val="001E7BE8"/>
    <w:rsid w:val="001F0248"/>
    <w:rsid w:val="001F3EB3"/>
    <w:rsid w:val="001F4F86"/>
    <w:rsid w:val="00202C2C"/>
    <w:rsid w:val="00203050"/>
    <w:rsid w:val="002135AB"/>
    <w:rsid w:val="002144BE"/>
    <w:rsid w:val="002320B8"/>
    <w:rsid w:val="00242279"/>
    <w:rsid w:val="00243997"/>
    <w:rsid w:val="0024516C"/>
    <w:rsid w:val="00245C82"/>
    <w:rsid w:val="002724BA"/>
    <w:rsid w:val="00291B40"/>
    <w:rsid w:val="002B4008"/>
    <w:rsid w:val="002C439F"/>
    <w:rsid w:val="002C5A8C"/>
    <w:rsid w:val="002C6BBC"/>
    <w:rsid w:val="002D0C42"/>
    <w:rsid w:val="002D0E8E"/>
    <w:rsid w:val="00301189"/>
    <w:rsid w:val="00301E4A"/>
    <w:rsid w:val="003168B8"/>
    <w:rsid w:val="00322D64"/>
    <w:rsid w:val="00323E09"/>
    <w:rsid w:val="00333932"/>
    <w:rsid w:val="003518AA"/>
    <w:rsid w:val="00352165"/>
    <w:rsid w:val="00353182"/>
    <w:rsid w:val="003565D9"/>
    <w:rsid w:val="003602E1"/>
    <w:rsid w:val="0037026F"/>
    <w:rsid w:val="00371240"/>
    <w:rsid w:val="00374731"/>
    <w:rsid w:val="00376E59"/>
    <w:rsid w:val="00377EC1"/>
    <w:rsid w:val="00380340"/>
    <w:rsid w:val="003919F9"/>
    <w:rsid w:val="003920CF"/>
    <w:rsid w:val="003A3B23"/>
    <w:rsid w:val="003B23C2"/>
    <w:rsid w:val="003C38B5"/>
    <w:rsid w:val="003C5D99"/>
    <w:rsid w:val="003D1087"/>
    <w:rsid w:val="003E2F59"/>
    <w:rsid w:val="003E746B"/>
    <w:rsid w:val="003F0789"/>
    <w:rsid w:val="00401882"/>
    <w:rsid w:val="004100C8"/>
    <w:rsid w:val="00411DBD"/>
    <w:rsid w:val="00412ACE"/>
    <w:rsid w:val="004145D2"/>
    <w:rsid w:val="00425128"/>
    <w:rsid w:val="00426CB4"/>
    <w:rsid w:val="00431249"/>
    <w:rsid w:val="00434C19"/>
    <w:rsid w:val="00450810"/>
    <w:rsid w:val="00460A85"/>
    <w:rsid w:val="00460F20"/>
    <w:rsid w:val="00462C59"/>
    <w:rsid w:val="00470737"/>
    <w:rsid w:val="00477144"/>
    <w:rsid w:val="00491380"/>
    <w:rsid w:val="0049459F"/>
    <w:rsid w:val="004A38DD"/>
    <w:rsid w:val="004B43AE"/>
    <w:rsid w:val="004C30ED"/>
    <w:rsid w:val="004D5675"/>
    <w:rsid w:val="0051306E"/>
    <w:rsid w:val="00517795"/>
    <w:rsid w:val="00523639"/>
    <w:rsid w:val="00531FE5"/>
    <w:rsid w:val="005402FA"/>
    <w:rsid w:val="00541E1A"/>
    <w:rsid w:val="00552A2D"/>
    <w:rsid w:val="005729BD"/>
    <w:rsid w:val="00573437"/>
    <w:rsid w:val="00573BE3"/>
    <w:rsid w:val="00580154"/>
    <w:rsid w:val="00583C39"/>
    <w:rsid w:val="00586A90"/>
    <w:rsid w:val="00587F28"/>
    <w:rsid w:val="005909CF"/>
    <w:rsid w:val="00591E71"/>
    <w:rsid w:val="005A0D41"/>
    <w:rsid w:val="005B38DB"/>
    <w:rsid w:val="005D329F"/>
    <w:rsid w:val="005F0661"/>
    <w:rsid w:val="005F48ED"/>
    <w:rsid w:val="00606E78"/>
    <w:rsid w:val="00607BF1"/>
    <w:rsid w:val="00630D4D"/>
    <w:rsid w:val="00632A74"/>
    <w:rsid w:val="00654D42"/>
    <w:rsid w:val="00666E02"/>
    <w:rsid w:val="006A4655"/>
    <w:rsid w:val="006A7758"/>
    <w:rsid w:val="006B2B3C"/>
    <w:rsid w:val="006B75F9"/>
    <w:rsid w:val="006C1D81"/>
    <w:rsid w:val="006C7038"/>
    <w:rsid w:val="006E73EF"/>
    <w:rsid w:val="007079C9"/>
    <w:rsid w:val="00714D4D"/>
    <w:rsid w:val="007266D3"/>
    <w:rsid w:val="00732029"/>
    <w:rsid w:val="007604BB"/>
    <w:rsid w:val="00772909"/>
    <w:rsid w:val="007801F8"/>
    <w:rsid w:val="00785232"/>
    <w:rsid w:val="0079701E"/>
    <w:rsid w:val="007A1C9A"/>
    <w:rsid w:val="007A21EB"/>
    <w:rsid w:val="007B1A93"/>
    <w:rsid w:val="007C36C9"/>
    <w:rsid w:val="007D6401"/>
    <w:rsid w:val="007E01E4"/>
    <w:rsid w:val="007E7A12"/>
    <w:rsid w:val="007F7107"/>
    <w:rsid w:val="00800D4C"/>
    <w:rsid w:val="0081030F"/>
    <w:rsid w:val="00812F4A"/>
    <w:rsid w:val="0082087D"/>
    <w:rsid w:val="00835771"/>
    <w:rsid w:val="00842933"/>
    <w:rsid w:val="0086082C"/>
    <w:rsid w:val="00864ADC"/>
    <w:rsid w:val="00875B4A"/>
    <w:rsid w:val="00880153"/>
    <w:rsid w:val="00880F97"/>
    <w:rsid w:val="0088133A"/>
    <w:rsid w:val="0088368B"/>
    <w:rsid w:val="0089285E"/>
    <w:rsid w:val="0089436C"/>
    <w:rsid w:val="008A57F3"/>
    <w:rsid w:val="008D365C"/>
    <w:rsid w:val="008D7622"/>
    <w:rsid w:val="009021A6"/>
    <w:rsid w:val="009030BF"/>
    <w:rsid w:val="00903B52"/>
    <w:rsid w:val="0091032F"/>
    <w:rsid w:val="00914368"/>
    <w:rsid w:val="00931076"/>
    <w:rsid w:val="009345D9"/>
    <w:rsid w:val="00934B15"/>
    <w:rsid w:val="00940C87"/>
    <w:rsid w:val="00942B62"/>
    <w:rsid w:val="00946C53"/>
    <w:rsid w:val="0095323B"/>
    <w:rsid w:val="00956A0C"/>
    <w:rsid w:val="00956BD9"/>
    <w:rsid w:val="00962489"/>
    <w:rsid w:val="00967CD3"/>
    <w:rsid w:val="00990C2C"/>
    <w:rsid w:val="009A5171"/>
    <w:rsid w:val="009E0D8E"/>
    <w:rsid w:val="009E1844"/>
    <w:rsid w:val="009F0D1B"/>
    <w:rsid w:val="009F4B99"/>
    <w:rsid w:val="009F53DD"/>
    <w:rsid w:val="009F5BBD"/>
    <w:rsid w:val="009F696D"/>
    <w:rsid w:val="009F6BC6"/>
    <w:rsid w:val="009F74EF"/>
    <w:rsid w:val="00A02826"/>
    <w:rsid w:val="00A15D5A"/>
    <w:rsid w:val="00A17328"/>
    <w:rsid w:val="00A23A20"/>
    <w:rsid w:val="00A24443"/>
    <w:rsid w:val="00A268B9"/>
    <w:rsid w:val="00A2703A"/>
    <w:rsid w:val="00A33DFF"/>
    <w:rsid w:val="00A35115"/>
    <w:rsid w:val="00A36D9A"/>
    <w:rsid w:val="00A451DC"/>
    <w:rsid w:val="00A554AB"/>
    <w:rsid w:val="00A57062"/>
    <w:rsid w:val="00A67781"/>
    <w:rsid w:val="00A761F9"/>
    <w:rsid w:val="00A92B53"/>
    <w:rsid w:val="00A92FE9"/>
    <w:rsid w:val="00A94FA6"/>
    <w:rsid w:val="00AA49A0"/>
    <w:rsid w:val="00AA6710"/>
    <w:rsid w:val="00AB0681"/>
    <w:rsid w:val="00AC3A15"/>
    <w:rsid w:val="00AD45F1"/>
    <w:rsid w:val="00AD520B"/>
    <w:rsid w:val="00AE3BCC"/>
    <w:rsid w:val="00B225C2"/>
    <w:rsid w:val="00B425C3"/>
    <w:rsid w:val="00B4373D"/>
    <w:rsid w:val="00B440AD"/>
    <w:rsid w:val="00B479BB"/>
    <w:rsid w:val="00B53E7E"/>
    <w:rsid w:val="00B6342E"/>
    <w:rsid w:val="00B7113F"/>
    <w:rsid w:val="00B76CE9"/>
    <w:rsid w:val="00BA2BCF"/>
    <w:rsid w:val="00BA5B14"/>
    <w:rsid w:val="00BA73B6"/>
    <w:rsid w:val="00BA7E27"/>
    <w:rsid w:val="00BB2603"/>
    <w:rsid w:val="00BB4FCD"/>
    <w:rsid w:val="00BC04E9"/>
    <w:rsid w:val="00BD13EA"/>
    <w:rsid w:val="00BD1B4D"/>
    <w:rsid w:val="00BE3808"/>
    <w:rsid w:val="00C03B88"/>
    <w:rsid w:val="00C062E9"/>
    <w:rsid w:val="00C069AA"/>
    <w:rsid w:val="00C07B64"/>
    <w:rsid w:val="00C13721"/>
    <w:rsid w:val="00C14FE4"/>
    <w:rsid w:val="00C3066D"/>
    <w:rsid w:val="00C52416"/>
    <w:rsid w:val="00C543F4"/>
    <w:rsid w:val="00C6291C"/>
    <w:rsid w:val="00C633CB"/>
    <w:rsid w:val="00C664CD"/>
    <w:rsid w:val="00C736B7"/>
    <w:rsid w:val="00C81D4A"/>
    <w:rsid w:val="00C8762C"/>
    <w:rsid w:val="00CA00F9"/>
    <w:rsid w:val="00CA2961"/>
    <w:rsid w:val="00CB50D7"/>
    <w:rsid w:val="00CB7177"/>
    <w:rsid w:val="00CB7CED"/>
    <w:rsid w:val="00CC070F"/>
    <w:rsid w:val="00CC1998"/>
    <w:rsid w:val="00CC4946"/>
    <w:rsid w:val="00CC64A1"/>
    <w:rsid w:val="00CF3B11"/>
    <w:rsid w:val="00CF47F6"/>
    <w:rsid w:val="00D270A4"/>
    <w:rsid w:val="00D31FE9"/>
    <w:rsid w:val="00D34E1B"/>
    <w:rsid w:val="00D376BA"/>
    <w:rsid w:val="00D434A0"/>
    <w:rsid w:val="00D45634"/>
    <w:rsid w:val="00D5568A"/>
    <w:rsid w:val="00D63D73"/>
    <w:rsid w:val="00D64452"/>
    <w:rsid w:val="00D66E1E"/>
    <w:rsid w:val="00D70696"/>
    <w:rsid w:val="00D75722"/>
    <w:rsid w:val="00D80CF5"/>
    <w:rsid w:val="00DA3C70"/>
    <w:rsid w:val="00DA5BBA"/>
    <w:rsid w:val="00DB26D2"/>
    <w:rsid w:val="00DB67C9"/>
    <w:rsid w:val="00DC0C95"/>
    <w:rsid w:val="00DC4F0B"/>
    <w:rsid w:val="00DD6580"/>
    <w:rsid w:val="00E01D7F"/>
    <w:rsid w:val="00E03588"/>
    <w:rsid w:val="00E05C03"/>
    <w:rsid w:val="00E17C72"/>
    <w:rsid w:val="00E21FC6"/>
    <w:rsid w:val="00E306CD"/>
    <w:rsid w:val="00E431A9"/>
    <w:rsid w:val="00E47E1E"/>
    <w:rsid w:val="00E669E2"/>
    <w:rsid w:val="00E76135"/>
    <w:rsid w:val="00E82F4F"/>
    <w:rsid w:val="00E864DF"/>
    <w:rsid w:val="00EB2CC3"/>
    <w:rsid w:val="00EC2844"/>
    <w:rsid w:val="00EC5500"/>
    <w:rsid w:val="00ED18F8"/>
    <w:rsid w:val="00EE6EDA"/>
    <w:rsid w:val="00EE778E"/>
    <w:rsid w:val="00EF6719"/>
    <w:rsid w:val="00EF6C6C"/>
    <w:rsid w:val="00F056FC"/>
    <w:rsid w:val="00F0632F"/>
    <w:rsid w:val="00F069AE"/>
    <w:rsid w:val="00F10476"/>
    <w:rsid w:val="00F135D8"/>
    <w:rsid w:val="00F31299"/>
    <w:rsid w:val="00F3534A"/>
    <w:rsid w:val="00F35BFB"/>
    <w:rsid w:val="00F36ACC"/>
    <w:rsid w:val="00F51609"/>
    <w:rsid w:val="00F55C25"/>
    <w:rsid w:val="00F73727"/>
    <w:rsid w:val="00F766A7"/>
    <w:rsid w:val="00F81006"/>
    <w:rsid w:val="00F85325"/>
    <w:rsid w:val="00FD1DD1"/>
    <w:rsid w:val="00FD22B1"/>
    <w:rsid w:val="00FD33F1"/>
    <w:rsid w:val="00FD3566"/>
    <w:rsid w:val="00FE3C71"/>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AF2A1CCF-8720-4DC7-8CA7-01C515BA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6CD"/>
    <w:pPr>
      <w:spacing w:after="160"/>
    </w:pPr>
    <w:rPr>
      <w:rFonts w:ascii="Arial" w:eastAsiaTheme="minorHAnsi" w:hAnsi="Arial" w:cs="Arial"/>
      <w:sz w:val="22"/>
      <w:szCs w:val="22"/>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Box"/>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uiPriority w:val="99"/>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b/>
      <w:sz w:val="26"/>
      <w:szCs w:val="26"/>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sz w:val="20"/>
      <w:szCs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styleId="Hyperlink">
    <w:name w:val="Hyperlink"/>
    <w:basedOn w:val="DefaultParagraphFont"/>
    <w:unhideWhenUsed/>
    <w:rsid w:val="00DA3C70"/>
    <w:rPr>
      <w:color w:val="000000" w:themeColor="hyperlink"/>
      <w:u w:val="single"/>
    </w:rPr>
  </w:style>
  <w:style w:type="paragraph" w:styleId="CommentSubject">
    <w:name w:val="annotation subject"/>
    <w:basedOn w:val="CommentText"/>
    <w:next w:val="CommentText"/>
    <w:link w:val="CommentSubjectChar"/>
    <w:semiHidden/>
    <w:unhideWhenUsed/>
    <w:rsid w:val="0088368B"/>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88368B"/>
    <w:rPr>
      <w:rFonts w:ascii="Arial" w:eastAsiaTheme="minorHAnsi" w:hAnsi="Arial" w:cs="Arial"/>
      <w:szCs w:val="22"/>
      <w:lang w:eastAsia="en-US"/>
    </w:rPr>
  </w:style>
  <w:style w:type="character" w:customStyle="1" w:styleId="CommentSubjectChar">
    <w:name w:val="Comment Subject Char"/>
    <w:basedOn w:val="CommentTextChar"/>
    <w:link w:val="CommentSubject"/>
    <w:semiHidden/>
    <w:rsid w:val="0088368B"/>
    <w:rPr>
      <w:rFonts w:ascii="Arial" w:eastAsiaTheme="minorHAnsi" w:hAnsi="Arial" w:cs="Arial"/>
      <w:b/>
      <w:bC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png"/><Relationship Id="rId18" Type="http://schemas.openxmlformats.org/officeDocument/2006/relationships/hyperlink" Target="https://www.pc.gov.au/inquiries/completed/productivity-review/report"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s://www.pc.gov.au/research/completed/digital-disruptio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c.gov.au/inquiries/completed/workplace-relations/repor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c.gov.au/inquiries/completed/labour-mobility/report" TargetMode="External"/><Relationship Id="rId23"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hyperlink" Target="https://www.pc.gov.au/inquiries/completed/transitioning-regions/report"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3.e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mel_1\f\ashomos\emp%20by%20industry%20TRE.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mel_1\f\ashomos\emp%20by%20industry%20TRE.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mel_1\f\ashomos\emp%20by%20industry%20TRE.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mel_1\f\ashomos\emp%20by%20industry%20TRE.xls"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134369265788679"/>
          <c:y val="5.3921568627450983E-2"/>
          <c:w val="0.63505175791079216"/>
          <c:h val="0.77278951973108623"/>
        </c:manualLayout>
      </c:layout>
      <c:lineChart>
        <c:grouping val="standard"/>
        <c:varyColors val="0"/>
        <c:ser>
          <c:idx val="0"/>
          <c:order val="0"/>
          <c:tx>
            <c:v>Employment</c:v>
          </c:tx>
          <c:spPr>
            <a:ln>
              <a:solidFill>
                <a:srgbClr val="66BCDB"/>
              </a:solidFill>
            </a:ln>
          </c:spPr>
          <c:marker>
            <c:symbol val="none"/>
          </c:marker>
          <c:cat>
            <c:numRef>
              <c:f>'Sheet1 (2)'!$A$5:$A$143</c:f>
              <c:numCache>
                <c:formatCode>mmm\-yyyy</c:formatCode>
                <c:ptCount val="139"/>
                <c:pt idx="1">
                  <c:v>31079</c:v>
                </c:pt>
                <c:pt idx="2">
                  <c:v>31168</c:v>
                </c:pt>
                <c:pt idx="3">
                  <c:v>31260</c:v>
                </c:pt>
                <c:pt idx="4">
                  <c:v>31352</c:v>
                </c:pt>
                <c:pt idx="5">
                  <c:v>31444</c:v>
                </c:pt>
                <c:pt idx="6">
                  <c:v>31533</c:v>
                </c:pt>
                <c:pt idx="7">
                  <c:v>31625</c:v>
                </c:pt>
                <c:pt idx="8">
                  <c:v>31717</c:v>
                </c:pt>
                <c:pt idx="9">
                  <c:v>31809</c:v>
                </c:pt>
                <c:pt idx="10">
                  <c:v>31898</c:v>
                </c:pt>
                <c:pt idx="11">
                  <c:v>31990</c:v>
                </c:pt>
                <c:pt idx="12">
                  <c:v>32082</c:v>
                </c:pt>
                <c:pt idx="13">
                  <c:v>32174</c:v>
                </c:pt>
                <c:pt idx="14">
                  <c:v>32264</c:v>
                </c:pt>
                <c:pt idx="15">
                  <c:v>32356</c:v>
                </c:pt>
                <c:pt idx="16">
                  <c:v>32448</c:v>
                </c:pt>
                <c:pt idx="17">
                  <c:v>32540</c:v>
                </c:pt>
                <c:pt idx="18">
                  <c:v>32629</c:v>
                </c:pt>
                <c:pt idx="19">
                  <c:v>32721</c:v>
                </c:pt>
                <c:pt idx="20">
                  <c:v>32813</c:v>
                </c:pt>
                <c:pt idx="21">
                  <c:v>32905</c:v>
                </c:pt>
                <c:pt idx="22">
                  <c:v>32994</c:v>
                </c:pt>
                <c:pt idx="23">
                  <c:v>33086</c:v>
                </c:pt>
                <c:pt idx="24">
                  <c:v>33178</c:v>
                </c:pt>
                <c:pt idx="25">
                  <c:v>33270</c:v>
                </c:pt>
                <c:pt idx="26">
                  <c:v>33359</c:v>
                </c:pt>
                <c:pt idx="27">
                  <c:v>33451</c:v>
                </c:pt>
                <c:pt idx="28">
                  <c:v>33543</c:v>
                </c:pt>
                <c:pt idx="29">
                  <c:v>33635</c:v>
                </c:pt>
                <c:pt idx="30">
                  <c:v>33725</c:v>
                </c:pt>
                <c:pt idx="31">
                  <c:v>33817</c:v>
                </c:pt>
                <c:pt idx="32">
                  <c:v>33909</c:v>
                </c:pt>
                <c:pt idx="33">
                  <c:v>34001</c:v>
                </c:pt>
                <c:pt idx="34">
                  <c:v>34090</c:v>
                </c:pt>
                <c:pt idx="35">
                  <c:v>34182</c:v>
                </c:pt>
                <c:pt idx="36">
                  <c:v>34274</c:v>
                </c:pt>
                <c:pt idx="37">
                  <c:v>34366</c:v>
                </c:pt>
                <c:pt idx="38">
                  <c:v>34455</c:v>
                </c:pt>
                <c:pt idx="39">
                  <c:v>34547</c:v>
                </c:pt>
                <c:pt idx="40">
                  <c:v>34639</c:v>
                </c:pt>
                <c:pt idx="41">
                  <c:v>34731</c:v>
                </c:pt>
                <c:pt idx="42">
                  <c:v>34820</c:v>
                </c:pt>
                <c:pt idx="43">
                  <c:v>34912</c:v>
                </c:pt>
                <c:pt idx="44">
                  <c:v>35004</c:v>
                </c:pt>
                <c:pt idx="45">
                  <c:v>35096</c:v>
                </c:pt>
                <c:pt idx="46">
                  <c:v>35186</c:v>
                </c:pt>
                <c:pt idx="47">
                  <c:v>35278</c:v>
                </c:pt>
                <c:pt idx="48">
                  <c:v>35370</c:v>
                </c:pt>
                <c:pt idx="49">
                  <c:v>35462</c:v>
                </c:pt>
                <c:pt idx="50">
                  <c:v>35551</c:v>
                </c:pt>
                <c:pt idx="51">
                  <c:v>35643</c:v>
                </c:pt>
                <c:pt idx="52">
                  <c:v>35735</c:v>
                </c:pt>
                <c:pt idx="53">
                  <c:v>35827</c:v>
                </c:pt>
                <c:pt idx="54">
                  <c:v>35916</c:v>
                </c:pt>
                <c:pt idx="55">
                  <c:v>36008</c:v>
                </c:pt>
                <c:pt idx="56">
                  <c:v>36100</c:v>
                </c:pt>
                <c:pt idx="57">
                  <c:v>36192</c:v>
                </c:pt>
                <c:pt idx="58">
                  <c:v>36281</c:v>
                </c:pt>
                <c:pt idx="59">
                  <c:v>36373</c:v>
                </c:pt>
                <c:pt idx="60">
                  <c:v>36465</c:v>
                </c:pt>
                <c:pt idx="61">
                  <c:v>36557</c:v>
                </c:pt>
                <c:pt idx="62">
                  <c:v>36647</c:v>
                </c:pt>
                <c:pt idx="63">
                  <c:v>36739</c:v>
                </c:pt>
                <c:pt idx="64">
                  <c:v>36831</c:v>
                </c:pt>
                <c:pt idx="65">
                  <c:v>36923</c:v>
                </c:pt>
                <c:pt idx="66">
                  <c:v>37012</c:v>
                </c:pt>
                <c:pt idx="67">
                  <c:v>37104</c:v>
                </c:pt>
                <c:pt idx="68">
                  <c:v>37196</c:v>
                </c:pt>
                <c:pt idx="69">
                  <c:v>37288</c:v>
                </c:pt>
                <c:pt idx="70">
                  <c:v>37377</c:v>
                </c:pt>
                <c:pt idx="71">
                  <c:v>37469</c:v>
                </c:pt>
                <c:pt idx="72">
                  <c:v>37561</c:v>
                </c:pt>
                <c:pt idx="73">
                  <c:v>37653</c:v>
                </c:pt>
                <c:pt idx="74">
                  <c:v>37742</c:v>
                </c:pt>
                <c:pt idx="75">
                  <c:v>37834</c:v>
                </c:pt>
                <c:pt idx="76">
                  <c:v>37926</c:v>
                </c:pt>
                <c:pt idx="77">
                  <c:v>38018</c:v>
                </c:pt>
                <c:pt idx="78">
                  <c:v>38108</c:v>
                </c:pt>
                <c:pt idx="79">
                  <c:v>38200</c:v>
                </c:pt>
                <c:pt idx="80">
                  <c:v>38292</c:v>
                </c:pt>
                <c:pt idx="81">
                  <c:v>38384</c:v>
                </c:pt>
                <c:pt idx="82">
                  <c:v>38473</c:v>
                </c:pt>
                <c:pt idx="83">
                  <c:v>38565</c:v>
                </c:pt>
                <c:pt idx="84">
                  <c:v>38657</c:v>
                </c:pt>
                <c:pt idx="85">
                  <c:v>38749</c:v>
                </c:pt>
                <c:pt idx="86">
                  <c:v>38838</c:v>
                </c:pt>
                <c:pt idx="87">
                  <c:v>38930</c:v>
                </c:pt>
                <c:pt idx="88">
                  <c:v>39022</c:v>
                </c:pt>
                <c:pt idx="89">
                  <c:v>39114</c:v>
                </c:pt>
                <c:pt idx="90">
                  <c:v>39203</c:v>
                </c:pt>
                <c:pt idx="91">
                  <c:v>39295</c:v>
                </c:pt>
                <c:pt idx="92">
                  <c:v>39387</c:v>
                </c:pt>
                <c:pt idx="93">
                  <c:v>39479</c:v>
                </c:pt>
                <c:pt idx="94">
                  <c:v>39569</c:v>
                </c:pt>
                <c:pt idx="95">
                  <c:v>39661</c:v>
                </c:pt>
                <c:pt idx="96">
                  <c:v>39753</c:v>
                </c:pt>
                <c:pt idx="97">
                  <c:v>39845</c:v>
                </c:pt>
                <c:pt idx="98">
                  <c:v>39934</c:v>
                </c:pt>
                <c:pt idx="99">
                  <c:v>40026</c:v>
                </c:pt>
                <c:pt idx="100">
                  <c:v>40118</c:v>
                </c:pt>
                <c:pt idx="101">
                  <c:v>40210</c:v>
                </c:pt>
                <c:pt idx="102">
                  <c:v>40299</c:v>
                </c:pt>
                <c:pt idx="103">
                  <c:v>40391</c:v>
                </c:pt>
                <c:pt idx="104">
                  <c:v>40483</c:v>
                </c:pt>
                <c:pt idx="105">
                  <c:v>40575</c:v>
                </c:pt>
                <c:pt idx="106">
                  <c:v>40664</c:v>
                </c:pt>
                <c:pt idx="107">
                  <c:v>40756</c:v>
                </c:pt>
                <c:pt idx="108">
                  <c:v>40848</c:v>
                </c:pt>
                <c:pt idx="109">
                  <c:v>40940</c:v>
                </c:pt>
                <c:pt idx="110">
                  <c:v>41030</c:v>
                </c:pt>
                <c:pt idx="111">
                  <c:v>41122</c:v>
                </c:pt>
                <c:pt idx="112">
                  <c:v>41214</c:v>
                </c:pt>
                <c:pt idx="113">
                  <c:v>41306</c:v>
                </c:pt>
                <c:pt idx="114">
                  <c:v>41395</c:v>
                </c:pt>
                <c:pt idx="115">
                  <c:v>41487</c:v>
                </c:pt>
                <c:pt idx="116">
                  <c:v>41579</c:v>
                </c:pt>
                <c:pt idx="117">
                  <c:v>41671</c:v>
                </c:pt>
                <c:pt idx="118">
                  <c:v>41760</c:v>
                </c:pt>
                <c:pt idx="119">
                  <c:v>41852</c:v>
                </c:pt>
                <c:pt idx="120">
                  <c:v>41944</c:v>
                </c:pt>
                <c:pt idx="121">
                  <c:v>42036</c:v>
                </c:pt>
                <c:pt idx="122">
                  <c:v>42125</c:v>
                </c:pt>
                <c:pt idx="123">
                  <c:v>42217</c:v>
                </c:pt>
                <c:pt idx="124">
                  <c:v>42309</c:v>
                </c:pt>
                <c:pt idx="125">
                  <c:v>42401</c:v>
                </c:pt>
                <c:pt idx="126">
                  <c:v>42491</c:v>
                </c:pt>
                <c:pt idx="127">
                  <c:v>42583</c:v>
                </c:pt>
                <c:pt idx="128">
                  <c:v>42675</c:v>
                </c:pt>
                <c:pt idx="129">
                  <c:v>42767</c:v>
                </c:pt>
                <c:pt idx="130">
                  <c:v>42856</c:v>
                </c:pt>
                <c:pt idx="131">
                  <c:v>42948</c:v>
                </c:pt>
                <c:pt idx="132">
                  <c:v>43040</c:v>
                </c:pt>
                <c:pt idx="133">
                  <c:v>43132</c:v>
                </c:pt>
                <c:pt idx="134">
                  <c:v>43221</c:v>
                </c:pt>
                <c:pt idx="135">
                  <c:v>43313</c:v>
                </c:pt>
                <c:pt idx="136">
                  <c:v>43405</c:v>
                </c:pt>
                <c:pt idx="137">
                  <c:v>43497</c:v>
                </c:pt>
                <c:pt idx="138">
                  <c:v>43586</c:v>
                </c:pt>
              </c:numCache>
            </c:numRef>
          </c:cat>
          <c:val>
            <c:numRef>
              <c:f>'Sheet1 (2)'!$C$5:$C$143</c:f>
              <c:numCache>
                <c:formatCode>General</c:formatCode>
                <c:ptCount val="139"/>
                <c:pt idx="1">
                  <c:v>96.396498600000001</c:v>
                </c:pt>
                <c:pt idx="2">
                  <c:v>100.4365061</c:v>
                </c:pt>
                <c:pt idx="3">
                  <c:v>105.33634309999999</c:v>
                </c:pt>
                <c:pt idx="4">
                  <c:v>108.8667232</c:v>
                </c:pt>
                <c:pt idx="5">
                  <c:v>108.886295</c:v>
                </c:pt>
                <c:pt idx="6">
                  <c:v>105.9441628</c:v>
                </c:pt>
                <c:pt idx="7">
                  <c:v>103.025127</c:v>
                </c:pt>
                <c:pt idx="8">
                  <c:v>102.6838656</c:v>
                </c:pt>
                <c:pt idx="9">
                  <c:v>103.9732664</c:v>
                </c:pt>
                <c:pt idx="10">
                  <c:v>104.6981607</c:v>
                </c:pt>
                <c:pt idx="11">
                  <c:v>103.3917838</c:v>
                </c:pt>
                <c:pt idx="12">
                  <c:v>100.56805989999999</c:v>
                </c:pt>
                <c:pt idx="13">
                  <c:v>98.328419499999995</c:v>
                </c:pt>
                <c:pt idx="14">
                  <c:v>97.063279199999997</c:v>
                </c:pt>
                <c:pt idx="15">
                  <c:v>96.761348699999999</c:v>
                </c:pt>
                <c:pt idx="16">
                  <c:v>97.755204500000005</c:v>
                </c:pt>
                <c:pt idx="17">
                  <c:v>100.0410828</c:v>
                </c:pt>
                <c:pt idx="18">
                  <c:v>103.69429479999999</c:v>
                </c:pt>
                <c:pt idx="19">
                  <c:v>107.0101457</c:v>
                </c:pt>
                <c:pt idx="20">
                  <c:v>107.675093</c:v>
                </c:pt>
                <c:pt idx="21">
                  <c:v>105.1744939</c:v>
                </c:pt>
                <c:pt idx="22">
                  <c:v>101.2981194</c:v>
                </c:pt>
                <c:pt idx="23">
                  <c:v>98.503485299999994</c:v>
                </c:pt>
                <c:pt idx="24">
                  <c:v>96.690126199999995</c:v>
                </c:pt>
                <c:pt idx="25">
                  <c:v>94.357732900000002</c:v>
                </c:pt>
                <c:pt idx="26">
                  <c:v>90.644732599999998</c:v>
                </c:pt>
                <c:pt idx="27">
                  <c:v>87.367495599999998</c:v>
                </c:pt>
                <c:pt idx="28">
                  <c:v>86.385441900000004</c:v>
                </c:pt>
                <c:pt idx="29">
                  <c:v>87.363535799999994</c:v>
                </c:pt>
                <c:pt idx="30">
                  <c:v>88.243099400000006</c:v>
                </c:pt>
                <c:pt idx="31">
                  <c:v>87.434119699999997</c:v>
                </c:pt>
                <c:pt idx="32">
                  <c:v>85.863126399999999</c:v>
                </c:pt>
                <c:pt idx="33">
                  <c:v>85.731880700000005</c:v>
                </c:pt>
                <c:pt idx="34">
                  <c:v>87.332488100000006</c:v>
                </c:pt>
                <c:pt idx="35">
                  <c:v>89.2216679</c:v>
                </c:pt>
                <c:pt idx="36">
                  <c:v>89.420089599999997</c:v>
                </c:pt>
                <c:pt idx="37">
                  <c:v>88.223185900000004</c:v>
                </c:pt>
                <c:pt idx="38">
                  <c:v>86.589167700000004</c:v>
                </c:pt>
                <c:pt idx="39">
                  <c:v>85.265452699999997</c:v>
                </c:pt>
                <c:pt idx="40">
                  <c:v>85.032252299999996</c:v>
                </c:pt>
                <c:pt idx="41">
                  <c:v>85.335119599999999</c:v>
                </c:pt>
                <c:pt idx="42">
                  <c:v>85.393429800000007</c:v>
                </c:pt>
                <c:pt idx="43">
                  <c:v>84.741637400000002</c:v>
                </c:pt>
                <c:pt idx="44">
                  <c:v>84.193475300000003</c:v>
                </c:pt>
                <c:pt idx="45">
                  <c:v>84.408812999999995</c:v>
                </c:pt>
                <c:pt idx="46">
                  <c:v>85.332026299999995</c:v>
                </c:pt>
                <c:pt idx="47">
                  <c:v>86.202401899999998</c:v>
                </c:pt>
                <c:pt idx="48">
                  <c:v>85.959176900000003</c:v>
                </c:pt>
                <c:pt idx="49">
                  <c:v>84.328575499999999</c:v>
                </c:pt>
                <c:pt idx="50">
                  <c:v>82.094368700000004</c:v>
                </c:pt>
                <c:pt idx="51">
                  <c:v>80.423390699999999</c:v>
                </c:pt>
                <c:pt idx="52">
                  <c:v>80.734626300000002</c:v>
                </c:pt>
                <c:pt idx="53">
                  <c:v>82.848947100000004</c:v>
                </c:pt>
                <c:pt idx="54">
                  <c:v>85.633208400000001</c:v>
                </c:pt>
                <c:pt idx="55">
                  <c:v>86.777071599999999</c:v>
                </c:pt>
                <c:pt idx="56">
                  <c:v>84.720464100000001</c:v>
                </c:pt>
                <c:pt idx="57">
                  <c:v>81.136562900000001</c:v>
                </c:pt>
                <c:pt idx="58">
                  <c:v>78.936602800000003</c:v>
                </c:pt>
                <c:pt idx="59">
                  <c:v>79.195862899999995</c:v>
                </c:pt>
                <c:pt idx="60">
                  <c:v>80.444068900000005</c:v>
                </c:pt>
                <c:pt idx="61">
                  <c:v>83.370212600000002</c:v>
                </c:pt>
                <c:pt idx="62">
                  <c:v>82.867029200000005</c:v>
                </c:pt>
                <c:pt idx="63">
                  <c:v>81.440769799999998</c:v>
                </c:pt>
                <c:pt idx="64">
                  <c:v>79.774528799999999</c:v>
                </c:pt>
                <c:pt idx="65">
                  <c:v>78.903489100000002</c:v>
                </c:pt>
                <c:pt idx="66">
                  <c:v>79.084192000000002</c:v>
                </c:pt>
                <c:pt idx="67">
                  <c:v>80.485104699999994</c:v>
                </c:pt>
                <c:pt idx="68">
                  <c:v>82.057627499999995</c:v>
                </c:pt>
                <c:pt idx="69">
                  <c:v>82.792839099999995</c:v>
                </c:pt>
                <c:pt idx="70">
                  <c:v>83.050124999999994</c:v>
                </c:pt>
                <c:pt idx="71">
                  <c:v>83.565588099999999</c:v>
                </c:pt>
                <c:pt idx="72">
                  <c:v>84.766925099999995</c:v>
                </c:pt>
                <c:pt idx="73">
                  <c:v>86.185613599999996</c:v>
                </c:pt>
                <c:pt idx="74">
                  <c:v>87.407344600000002</c:v>
                </c:pt>
                <c:pt idx="75">
                  <c:v>89.866361100000006</c:v>
                </c:pt>
                <c:pt idx="76">
                  <c:v>95.042970400000002</c:v>
                </c:pt>
                <c:pt idx="77">
                  <c:v>100.1308721</c:v>
                </c:pt>
                <c:pt idx="78">
                  <c:v>101.6311989</c:v>
                </c:pt>
                <c:pt idx="79">
                  <c:v>100.8659342</c:v>
                </c:pt>
                <c:pt idx="80">
                  <c:v>101.5918477</c:v>
                </c:pt>
                <c:pt idx="81">
                  <c:v>106.74594039999999</c:v>
                </c:pt>
                <c:pt idx="82">
                  <c:v>115.9331011</c:v>
                </c:pt>
                <c:pt idx="83">
                  <c:v>124.5367562</c:v>
                </c:pt>
                <c:pt idx="84">
                  <c:v>130.0925689</c:v>
                </c:pt>
                <c:pt idx="85">
                  <c:v>132.4743847</c:v>
                </c:pt>
                <c:pt idx="86">
                  <c:v>133.3318543</c:v>
                </c:pt>
                <c:pt idx="87">
                  <c:v>135.06636169999999</c:v>
                </c:pt>
                <c:pt idx="88">
                  <c:v>136.45147850000001</c:v>
                </c:pt>
                <c:pt idx="89">
                  <c:v>136.85138040000001</c:v>
                </c:pt>
                <c:pt idx="90">
                  <c:v>136.67526359999999</c:v>
                </c:pt>
                <c:pt idx="91">
                  <c:v>136.67168530000001</c:v>
                </c:pt>
                <c:pt idx="92">
                  <c:v>140.73764299999999</c:v>
                </c:pt>
                <c:pt idx="93">
                  <c:v>150.2834584</c:v>
                </c:pt>
                <c:pt idx="94">
                  <c:v>163.61252049999999</c:v>
                </c:pt>
                <c:pt idx="95">
                  <c:v>174.58822900000001</c:v>
                </c:pt>
                <c:pt idx="96">
                  <c:v>181.42283190000001</c:v>
                </c:pt>
                <c:pt idx="97">
                  <c:v>170.26829330000001</c:v>
                </c:pt>
                <c:pt idx="98">
                  <c:v>157.8574902</c:v>
                </c:pt>
                <c:pt idx="99">
                  <c:v>164.91824790000001</c:v>
                </c:pt>
                <c:pt idx="100">
                  <c:v>166.4187743</c:v>
                </c:pt>
                <c:pt idx="101">
                  <c:v>179.17908370000001</c:v>
                </c:pt>
                <c:pt idx="102">
                  <c:v>183.22216040000001</c:v>
                </c:pt>
                <c:pt idx="103">
                  <c:v>195.4521599</c:v>
                </c:pt>
                <c:pt idx="104">
                  <c:v>200.29244739999999</c:v>
                </c:pt>
                <c:pt idx="105">
                  <c:v>206.5395924</c:v>
                </c:pt>
                <c:pt idx="106">
                  <c:v>218.26993619999999</c:v>
                </c:pt>
                <c:pt idx="107">
                  <c:v>222.5851777</c:v>
                </c:pt>
                <c:pt idx="108">
                  <c:v>242.04495120000001</c:v>
                </c:pt>
                <c:pt idx="109">
                  <c:v>252.33353070000001</c:v>
                </c:pt>
                <c:pt idx="110">
                  <c:v>278.41167410000003</c:v>
                </c:pt>
                <c:pt idx="111">
                  <c:v>273.33694700000001</c:v>
                </c:pt>
                <c:pt idx="112">
                  <c:v>263.11539290000002</c:v>
                </c:pt>
                <c:pt idx="113">
                  <c:v>268.61169310000002</c:v>
                </c:pt>
                <c:pt idx="114">
                  <c:v>259.68499200000002</c:v>
                </c:pt>
                <c:pt idx="115">
                  <c:v>265.99016069999999</c:v>
                </c:pt>
                <c:pt idx="116">
                  <c:v>269.55444039999998</c:v>
                </c:pt>
                <c:pt idx="117">
                  <c:v>265.36793169999999</c:v>
                </c:pt>
                <c:pt idx="118">
                  <c:v>258.99461509999998</c:v>
                </c:pt>
                <c:pt idx="119">
                  <c:v>242.16963620000001</c:v>
                </c:pt>
                <c:pt idx="120">
                  <c:v>224.11235579999999</c:v>
                </c:pt>
                <c:pt idx="121">
                  <c:v>216.87743789999999</c:v>
                </c:pt>
                <c:pt idx="122">
                  <c:v>222.60908509999999</c:v>
                </c:pt>
                <c:pt idx="123">
                  <c:v>239.810135</c:v>
                </c:pt>
                <c:pt idx="124">
                  <c:v>215.2426466</c:v>
                </c:pt>
                <c:pt idx="125">
                  <c:v>217.33407389999999</c:v>
                </c:pt>
                <c:pt idx="126">
                  <c:v>219.01174180000001</c:v>
                </c:pt>
                <c:pt idx="127">
                  <c:v>215.20205129999999</c:v>
                </c:pt>
                <c:pt idx="128">
                  <c:v>223.7420553</c:v>
                </c:pt>
                <c:pt idx="129">
                  <c:v>227.4941369</c:v>
                </c:pt>
                <c:pt idx="130">
                  <c:v>218.05677779999999</c:v>
                </c:pt>
                <c:pt idx="131">
                  <c:v>215.0989931</c:v>
                </c:pt>
                <c:pt idx="132">
                  <c:v>218.54122090000001</c:v>
                </c:pt>
                <c:pt idx="133">
                  <c:v>229.92064529999999</c:v>
                </c:pt>
                <c:pt idx="134">
                  <c:v>237.2021096</c:v>
                </c:pt>
                <c:pt idx="135">
                  <c:v>248.35770500000001</c:v>
                </c:pt>
                <c:pt idx="136">
                  <c:v>256.30003379999999</c:v>
                </c:pt>
                <c:pt idx="137">
                  <c:v>246.35332170000001</c:v>
                </c:pt>
                <c:pt idx="138">
                  <c:v>245.47405900000001</c:v>
                </c:pt>
              </c:numCache>
            </c:numRef>
          </c:val>
          <c:smooth val="0"/>
        </c:ser>
        <c:dLbls>
          <c:showLegendKey val="0"/>
          <c:showVal val="0"/>
          <c:showCatName val="0"/>
          <c:showSerName val="0"/>
          <c:showPercent val="0"/>
          <c:showBubbleSize val="0"/>
        </c:dLbls>
        <c:marker val="1"/>
        <c:smooth val="0"/>
        <c:axId val="491326336"/>
        <c:axId val="491329080"/>
      </c:lineChart>
      <c:lineChart>
        <c:grouping val="standard"/>
        <c:varyColors val="0"/>
        <c:ser>
          <c:idx val="1"/>
          <c:order val="1"/>
          <c:tx>
            <c:v>Value add</c:v>
          </c:tx>
          <c:spPr>
            <a:ln cmpd="sng">
              <a:solidFill>
                <a:srgbClr val="265A9A"/>
              </a:solidFill>
              <a:prstDash val="solid"/>
            </a:ln>
            <a:effectLst/>
          </c:spPr>
          <c:marker>
            <c:symbol val="none"/>
          </c:marker>
          <c:cat>
            <c:numRef>
              <c:f>'Sheet1 (2)'!$A$5:$A$143</c:f>
              <c:numCache>
                <c:formatCode>mmm\-yyyy</c:formatCode>
                <c:ptCount val="139"/>
                <c:pt idx="1">
                  <c:v>31079</c:v>
                </c:pt>
                <c:pt idx="2">
                  <c:v>31168</c:v>
                </c:pt>
                <c:pt idx="3">
                  <c:v>31260</c:v>
                </c:pt>
                <c:pt idx="4">
                  <c:v>31352</c:v>
                </c:pt>
                <c:pt idx="5">
                  <c:v>31444</c:v>
                </c:pt>
                <c:pt idx="6">
                  <c:v>31533</c:v>
                </c:pt>
                <c:pt idx="7">
                  <c:v>31625</c:v>
                </c:pt>
                <c:pt idx="8">
                  <c:v>31717</c:v>
                </c:pt>
                <c:pt idx="9">
                  <c:v>31809</c:v>
                </c:pt>
                <c:pt idx="10">
                  <c:v>31898</c:v>
                </c:pt>
                <c:pt idx="11">
                  <c:v>31990</c:v>
                </c:pt>
                <c:pt idx="12">
                  <c:v>32082</c:v>
                </c:pt>
                <c:pt idx="13">
                  <c:v>32174</c:v>
                </c:pt>
                <c:pt idx="14">
                  <c:v>32264</c:v>
                </c:pt>
                <c:pt idx="15">
                  <c:v>32356</c:v>
                </c:pt>
                <c:pt idx="16">
                  <c:v>32448</c:v>
                </c:pt>
                <c:pt idx="17">
                  <c:v>32540</c:v>
                </c:pt>
                <c:pt idx="18">
                  <c:v>32629</c:v>
                </c:pt>
                <c:pt idx="19">
                  <c:v>32721</c:v>
                </c:pt>
                <c:pt idx="20">
                  <c:v>32813</c:v>
                </c:pt>
                <c:pt idx="21">
                  <c:v>32905</c:v>
                </c:pt>
                <c:pt idx="22">
                  <c:v>32994</c:v>
                </c:pt>
                <c:pt idx="23">
                  <c:v>33086</c:v>
                </c:pt>
                <c:pt idx="24">
                  <c:v>33178</c:v>
                </c:pt>
                <c:pt idx="25">
                  <c:v>33270</c:v>
                </c:pt>
                <c:pt idx="26">
                  <c:v>33359</c:v>
                </c:pt>
                <c:pt idx="27">
                  <c:v>33451</c:v>
                </c:pt>
                <c:pt idx="28">
                  <c:v>33543</c:v>
                </c:pt>
                <c:pt idx="29">
                  <c:v>33635</c:v>
                </c:pt>
                <c:pt idx="30">
                  <c:v>33725</c:v>
                </c:pt>
                <c:pt idx="31">
                  <c:v>33817</c:v>
                </c:pt>
                <c:pt idx="32">
                  <c:v>33909</c:v>
                </c:pt>
                <c:pt idx="33">
                  <c:v>34001</c:v>
                </c:pt>
                <c:pt idx="34">
                  <c:v>34090</c:v>
                </c:pt>
                <c:pt idx="35">
                  <c:v>34182</c:v>
                </c:pt>
                <c:pt idx="36">
                  <c:v>34274</c:v>
                </c:pt>
                <c:pt idx="37">
                  <c:v>34366</c:v>
                </c:pt>
                <c:pt idx="38">
                  <c:v>34455</c:v>
                </c:pt>
                <c:pt idx="39">
                  <c:v>34547</c:v>
                </c:pt>
                <c:pt idx="40">
                  <c:v>34639</c:v>
                </c:pt>
                <c:pt idx="41">
                  <c:v>34731</c:v>
                </c:pt>
                <c:pt idx="42">
                  <c:v>34820</c:v>
                </c:pt>
                <c:pt idx="43">
                  <c:v>34912</c:v>
                </c:pt>
                <c:pt idx="44">
                  <c:v>35004</c:v>
                </c:pt>
                <c:pt idx="45">
                  <c:v>35096</c:v>
                </c:pt>
                <c:pt idx="46">
                  <c:v>35186</c:v>
                </c:pt>
                <c:pt idx="47">
                  <c:v>35278</c:v>
                </c:pt>
                <c:pt idx="48">
                  <c:v>35370</c:v>
                </c:pt>
                <c:pt idx="49">
                  <c:v>35462</c:v>
                </c:pt>
                <c:pt idx="50">
                  <c:v>35551</c:v>
                </c:pt>
                <c:pt idx="51">
                  <c:v>35643</c:v>
                </c:pt>
                <c:pt idx="52">
                  <c:v>35735</c:v>
                </c:pt>
                <c:pt idx="53">
                  <c:v>35827</c:v>
                </c:pt>
                <c:pt idx="54">
                  <c:v>35916</c:v>
                </c:pt>
                <c:pt idx="55">
                  <c:v>36008</c:v>
                </c:pt>
                <c:pt idx="56">
                  <c:v>36100</c:v>
                </c:pt>
                <c:pt idx="57">
                  <c:v>36192</c:v>
                </c:pt>
                <c:pt idx="58">
                  <c:v>36281</c:v>
                </c:pt>
                <c:pt idx="59">
                  <c:v>36373</c:v>
                </c:pt>
                <c:pt idx="60">
                  <c:v>36465</c:v>
                </c:pt>
                <c:pt idx="61">
                  <c:v>36557</c:v>
                </c:pt>
                <c:pt idx="62">
                  <c:v>36647</c:v>
                </c:pt>
                <c:pt idx="63">
                  <c:v>36739</c:v>
                </c:pt>
                <c:pt idx="64">
                  <c:v>36831</c:v>
                </c:pt>
                <c:pt idx="65">
                  <c:v>36923</c:v>
                </c:pt>
                <c:pt idx="66">
                  <c:v>37012</c:v>
                </c:pt>
                <c:pt idx="67">
                  <c:v>37104</c:v>
                </c:pt>
                <c:pt idx="68">
                  <c:v>37196</c:v>
                </c:pt>
                <c:pt idx="69">
                  <c:v>37288</c:v>
                </c:pt>
                <c:pt idx="70">
                  <c:v>37377</c:v>
                </c:pt>
                <c:pt idx="71">
                  <c:v>37469</c:v>
                </c:pt>
                <c:pt idx="72">
                  <c:v>37561</c:v>
                </c:pt>
                <c:pt idx="73">
                  <c:v>37653</c:v>
                </c:pt>
                <c:pt idx="74">
                  <c:v>37742</c:v>
                </c:pt>
                <c:pt idx="75">
                  <c:v>37834</c:v>
                </c:pt>
                <c:pt idx="76">
                  <c:v>37926</c:v>
                </c:pt>
                <c:pt idx="77">
                  <c:v>38018</c:v>
                </c:pt>
                <c:pt idx="78">
                  <c:v>38108</c:v>
                </c:pt>
                <c:pt idx="79">
                  <c:v>38200</c:v>
                </c:pt>
                <c:pt idx="80">
                  <c:v>38292</c:v>
                </c:pt>
                <c:pt idx="81">
                  <c:v>38384</c:v>
                </c:pt>
                <c:pt idx="82">
                  <c:v>38473</c:v>
                </c:pt>
                <c:pt idx="83">
                  <c:v>38565</c:v>
                </c:pt>
                <c:pt idx="84">
                  <c:v>38657</c:v>
                </c:pt>
                <c:pt idx="85">
                  <c:v>38749</c:v>
                </c:pt>
                <c:pt idx="86">
                  <c:v>38838</c:v>
                </c:pt>
                <c:pt idx="87">
                  <c:v>38930</c:v>
                </c:pt>
                <c:pt idx="88">
                  <c:v>39022</c:v>
                </c:pt>
                <c:pt idx="89">
                  <c:v>39114</c:v>
                </c:pt>
                <c:pt idx="90">
                  <c:v>39203</c:v>
                </c:pt>
                <c:pt idx="91">
                  <c:v>39295</c:v>
                </c:pt>
                <c:pt idx="92">
                  <c:v>39387</c:v>
                </c:pt>
                <c:pt idx="93">
                  <c:v>39479</c:v>
                </c:pt>
                <c:pt idx="94">
                  <c:v>39569</c:v>
                </c:pt>
                <c:pt idx="95">
                  <c:v>39661</c:v>
                </c:pt>
                <c:pt idx="96">
                  <c:v>39753</c:v>
                </c:pt>
                <c:pt idx="97">
                  <c:v>39845</c:v>
                </c:pt>
                <c:pt idx="98">
                  <c:v>39934</c:v>
                </c:pt>
                <c:pt idx="99">
                  <c:v>40026</c:v>
                </c:pt>
                <c:pt idx="100">
                  <c:v>40118</c:v>
                </c:pt>
                <c:pt idx="101">
                  <c:v>40210</c:v>
                </c:pt>
                <c:pt idx="102">
                  <c:v>40299</c:v>
                </c:pt>
                <c:pt idx="103">
                  <c:v>40391</c:v>
                </c:pt>
                <c:pt idx="104">
                  <c:v>40483</c:v>
                </c:pt>
                <c:pt idx="105">
                  <c:v>40575</c:v>
                </c:pt>
                <c:pt idx="106">
                  <c:v>40664</c:v>
                </c:pt>
                <c:pt idx="107">
                  <c:v>40756</c:v>
                </c:pt>
                <c:pt idx="108">
                  <c:v>40848</c:v>
                </c:pt>
                <c:pt idx="109">
                  <c:v>40940</c:v>
                </c:pt>
                <c:pt idx="110">
                  <c:v>41030</c:v>
                </c:pt>
                <c:pt idx="111">
                  <c:v>41122</c:v>
                </c:pt>
                <c:pt idx="112">
                  <c:v>41214</c:v>
                </c:pt>
                <c:pt idx="113">
                  <c:v>41306</c:v>
                </c:pt>
                <c:pt idx="114">
                  <c:v>41395</c:v>
                </c:pt>
                <c:pt idx="115">
                  <c:v>41487</c:v>
                </c:pt>
                <c:pt idx="116">
                  <c:v>41579</c:v>
                </c:pt>
                <c:pt idx="117">
                  <c:v>41671</c:v>
                </c:pt>
                <c:pt idx="118">
                  <c:v>41760</c:v>
                </c:pt>
                <c:pt idx="119">
                  <c:v>41852</c:v>
                </c:pt>
                <c:pt idx="120">
                  <c:v>41944</c:v>
                </c:pt>
                <c:pt idx="121">
                  <c:v>42036</c:v>
                </c:pt>
                <c:pt idx="122">
                  <c:v>42125</c:v>
                </c:pt>
                <c:pt idx="123">
                  <c:v>42217</c:v>
                </c:pt>
                <c:pt idx="124">
                  <c:v>42309</c:v>
                </c:pt>
                <c:pt idx="125">
                  <c:v>42401</c:v>
                </c:pt>
                <c:pt idx="126">
                  <c:v>42491</c:v>
                </c:pt>
                <c:pt idx="127">
                  <c:v>42583</c:v>
                </c:pt>
                <c:pt idx="128">
                  <c:v>42675</c:v>
                </c:pt>
                <c:pt idx="129">
                  <c:v>42767</c:v>
                </c:pt>
                <c:pt idx="130">
                  <c:v>42856</c:v>
                </c:pt>
                <c:pt idx="131">
                  <c:v>42948</c:v>
                </c:pt>
                <c:pt idx="132">
                  <c:v>43040</c:v>
                </c:pt>
                <c:pt idx="133">
                  <c:v>43132</c:v>
                </c:pt>
                <c:pt idx="134">
                  <c:v>43221</c:v>
                </c:pt>
                <c:pt idx="135">
                  <c:v>43313</c:v>
                </c:pt>
                <c:pt idx="136">
                  <c:v>43405</c:v>
                </c:pt>
                <c:pt idx="137">
                  <c:v>43497</c:v>
                </c:pt>
                <c:pt idx="138">
                  <c:v>43586</c:v>
                </c:pt>
              </c:numCache>
            </c:numRef>
          </c:cat>
          <c:val>
            <c:numRef>
              <c:f>'Sheet1 (2)'!$H$5:$H$143</c:f>
              <c:numCache>
                <c:formatCode>General</c:formatCode>
                <c:ptCount val="139"/>
                <c:pt idx="1">
                  <c:v>7.5830000000000002</c:v>
                </c:pt>
                <c:pt idx="2">
                  <c:v>8.1039999999999992</c:v>
                </c:pt>
                <c:pt idx="3">
                  <c:v>8.5079999999999991</c:v>
                </c:pt>
                <c:pt idx="4">
                  <c:v>8.5109999999999992</c:v>
                </c:pt>
                <c:pt idx="5">
                  <c:v>8.07</c:v>
                </c:pt>
                <c:pt idx="6">
                  <c:v>7.5650000000000004</c:v>
                </c:pt>
                <c:pt idx="7">
                  <c:v>7.3410000000000002</c:v>
                </c:pt>
                <c:pt idx="8">
                  <c:v>7.5049999999999999</c:v>
                </c:pt>
                <c:pt idx="9">
                  <c:v>7.8559999999999999</c:v>
                </c:pt>
                <c:pt idx="10">
                  <c:v>8.2569999999999997</c:v>
                </c:pt>
                <c:pt idx="11">
                  <c:v>8.7129999999999992</c:v>
                </c:pt>
                <c:pt idx="12">
                  <c:v>9.1449999999999996</c:v>
                </c:pt>
                <c:pt idx="13">
                  <c:v>9.3290000000000006</c:v>
                </c:pt>
                <c:pt idx="14">
                  <c:v>9.343</c:v>
                </c:pt>
                <c:pt idx="15">
                  <c:v>9.3819999999999997</c:v>
                </c:pt>
                <c:pt idx="16">
                  <c:v>9.532</c:v>
                </c:pt>
                <c:pt idx="17">
                  <c:v>9.6539999999999999</c:v>
                </c:pt>
                <c:pt idx="18">
                  <c:v>9.7330000000000005</c:v>
                </c:pt>
                <c:pt idx="19">
                  <c:v>9.9169999999999998</c:v>
                </c:pt>
                <c:pt idx="20">
                  <c:v>10.3</c:v>
                </c:pt>
                <c:pt idx="21">
                  <c:v>10.723000000000001</c:v>
                </c:pt>
                <c:pt idx="22">
                  <c:v>11.073</c:v>
                </c:pt>
                <c:pt idx="23">
                  <c:v>11.19</c:v>
                </c:pt>
                <c:pt idx="24">
                  <c:v>11.111000000000001</c:v>
                </c:pt>
                <c:pt idx="25">
                  <c:v>11.071</c:v>
                </c:pt>
                <c:pt idx="26">
                  <c:v>11.192</c:v>
                </c:pt>
                <c:pt idx="27">
                  <c:v>11.454000000000001</c:v>
                </c:pt>
                <c:pt idx="28">
                  <c:v>11.675000000000001</c:v>
                </c:pt>
                <c:pt idx="29">
                  <c:v>11.71</c:v>
                </c:pt>
                <c:pt idx="30">
                  <c:v>11.683999999999999</c:v>
                </c:pt>
                <c:pt idx="31">
                  <c:v>11.657999999999999</c:v>
                </c:pt>
                <c:pt idx="32">
                  <c:v>11.702999999999999</c:v>
                </c:pt>
                <c:pt idx="33">
                  <c:v>11.787000000000001</c:v>
                </c:pt>
                <c:pt idx="34">
                  <c:v>11.775</c:v>
                </c:pt>
                <c:pt idx="35">
                  <c:v>11.75</c:v>
                </c:pt>
                <c:pt idx="36">
                  <c:v>11.807</c:v>
                </c:pt>
                <c:pt idx="37">
                  <c:v>12.015000000000001</c:v>
                </c:pt>
                <c:pt idx="38">
                  <c:v>12.345000000000001</c:v>
                </c:pt>
                <c:pt idx="39">
                  <c:v>12.597</c:v>
                </c:pt>
                <c:pt idx="40">
                  <c:v>12.706</c:v>
                </c:pt>
                <c:pt idx="41">
                  <c:v>12.882999999999999</c:v>
                </c:pt>
                <c:pt idx="42">
                  <c:v>13.098000000000001</c:v>
                </c:pt>
                <c:pt idx="43">
                  <c:v>13.416</c:v>
                </c:pt>
                <c:pt idx="44">
                  <c:v>13.801</c:v>
                </c:pt>
                <c:pt idx="45">
                  <c:v>14.13</c:v>
                </c:pt>
                <c:pt idx="46">
                  <c:v>14.343</c:v>
                </c:pt>
                <c:pt idx="47">
                  <c:v>14.324999999999999</c:v>
                </c:pt>
                <c:pt idx="48">
                  <c:v>14.156000000000001</c:v>
                </c:pt>
                <c:pt idx="49">
                  <c:v>14.048999999999999</c:v>
                </c:pt>
                <c:pt idx="50">
                  <c:v>14.125</c:v>
                </c:pt>
                <c:pt idx="51">
                  <c:v>14.343</c:v>
                </c:pt>
                <c:pt idx="52">
                  <c:v>14.632999999999999</c:v>
                </c:pt>
                <c:pt idx="53">
                  <c:v>14.85</c:v>
                </c:pt>
                <c:pt idx="54">
                  <c:v>14.872</c:v>
                </c:pt>
                <c:pt idx="55">
                  <c:v>14.746</c:v>
                </c:pt>
                <c:pt idx="56">
                  <c:v>14.645</c:v>
                </c:pt>
                <c:pt idx="57">
                  <c:v>14.66</c:v>
                </c:pt>
                <c:pt idx="58">
                  <c:v>14.789</c:v>
                </c:pt>
                <c:pt idx="59">
                  <c:v>14.912000000000001</c:v>
                </c:pt>
                <c:pt idx="60">
                  <c:v>15.14</c:v>
                </c:pt>
                <c:pt idx="61">
                  <c:v>15.561</c:v>
                </c:pt>
                <c:pt idx="62">
                  <c:v>15.98</c:v>
                </c:pt>
                <c:pt idx="63">
                  <c:v>16.344000000000001</c:v>
                </c:pt>
                <c:pt idx="64">
                  <c:v>16.596</c:v>
                </c:pt>
                <c:pt idx="65">
                  <c:v>16.780999999999999</c:v>
                </c:pt>
                <c:pt idx="66">
                  <c:v>16.817</c:v>
                </c:pt>
                <c:pt idx="67">
                  <c:v>16.77</c:v>
                </c:pt>
                <c:pt idx="68">
                  <c:v>16.733000000000001</c:v>
                </c:pt>
                <c:pt idx="69">
                  <c:v>16.765000000000001</c:v>
                </c:pt>
                <c:pt idx="70">
                  <c:v>16.835999999999999</c:v>
                </c:pt>
                <c:pt idx="71">
                  <c:v>16.893000000000001</c:v>
                </c:pt>
                <c:pt idx="72">
                  <c:v>16.861000000000001</c:v>
                </c:pt>
                <c:pt idx="73">
                  <c:v>16.745999999999999</c:v>
                </c:pt>
                <c:pt idx="74">
                  <c:v>16.504999999999999</c:v>
                </c:pt>
                <c:pt idx="75">
                  <c:v>16.306999999999999</c:v>
                </c:pt>
                <c:pt idx="76">
                  <c:v>16.183</c:v>
                </c:pt>
                <c:pt idx="77">
                  <c:v>16.199000000000002</c:v>
                </c:pt>
                <c:pt idx="78">
                  <c:v>16.341000000000001</c:v>
                </c:pt>
                <c:pt idx="79">
                  <c:v>16.564</c:v>
                </c:pt>
                <c:pt idx="80">
                  <c:v>16.939</c:v>
                </c:pt>
                <c:pt idx="81">
                  <c:v>17.375</c:v>
                </c:pt>
                <c:pt idx="82">
                  <c:v>17.739000000000001</c:v>
                </c:pt>
                <c:pt idx="83">
                  <c:v>17.812000000000001</c:v>
                </c:pt>
                <c:pt idx="84">
                  <c:v>17.515999999999998</c:v>
                </c:pt>
                <c:pt idx="85">
                  <c:v>17.420000000000002</c:v>
                </c:pt>
                <c:pt idx="86">
                  <c:v>17.84</c:v>
                </c:pt>
                <c:pt idx="87">
                  <c:v>18.510999999999999</c:v>
                </c:pt>
                <c:pt idx="88">
                  <c:v>19.068000000000001</c:v>
                </c:pt>
                <c:pt idx="89">
                  <c:v>19.273</c:v>
                </c:pt>
                <c:pt idx="90">
                  <c:v>19.347999999999999</c:v>
                </c:pt>
                <c:pt idx="91">
                  <c:v>19.5</c:v>
                </c:pt>
                <c:pt idx="92">
                  <c:v>19.634</c:v>
                </c:pt>
                <c:pt idx="93">
                  <c:v>19.791</c:v>
                </c:pt>
                <c:pt idx="94">
                  <c:v>19.98</c:v>
                </c:pt>
                <c:pt idx="95">
                  <c:v>20.204000000000001</c:v>
                </c:pt>
                <c:pt idx="96">
                  <c:v>20.364999999999998</c:v>
                </c:pt>
                <c:pt idx="97">
                  <c:v>20.568999999999999</c:v>
                </c:pt>
                <c:pt idx="98">
                  <c:v>20.85</c:v>
                </c:pt>
                <c:pt idx="99">
                  <c:v>21.291</c:v>
                </c:pt>
                <c:pt idx="100">
                  <c:v>21.844999999999999</c:v>
                </c:pt>
                <c:pt idx="101">
                  <c:v>22.384</c:v>
                </c:pt>
                <c:pt idx="102">
                  <c:v>22.707000000000001</c:v>
                </c:pt>
                <c:pt idx="103">
                  <c:v>22.635000000000002</c:v>
                </c:pt>
                <c:pt idx="104">
                  <c:v>22.273</c:v>
                </c:pt>
                <c:pt idx="105">
                  <c:v>22.138999999999999</c:v>
                </c:pt>
                <c:pt idx="106">
                  <c:v>22.516999999999999</c:v>
                </c:pt>
                <c:pt idx="107">
                  <c:v>23.202000000000002</c:v>
                </c:pt>
                <c:pt idx="108">
                  <c:v>23.766999999999999</c:v>
                </c:pt>
                <c:pt idx="109">
                  <c:v>24.206</c:v>
                </c:pt>
                <c:pt idx="110">
                  <c:v>24.835000000000001</c:v>
                </c:pt>
                <c:pt idx="111">
                  <c:v>25.524000000000001</c:v>
                </c:pt>
                <c:pt idx="112">
                  <c:v>26.045000000000002</c:v>
                </c:pt>
                <c:pt idx="113">
                  <c:v>26.457000000000001</c:v>
                </c:pt>
                <c:pt idx="114">
                  <c:v>26.95</c:v>
                </c:pt>
                <c:pt idx="115">
                  <c:v>27.715</c:v>
                </c:pt>
                <c:pt idx="116">
                  <c:v>28.596</c:v>
                </c:pt>
                <c:pt idx="117">
                  <c:v>29.488</c:v>
                </c:pt>
                <c:pt idx="118">
                  <c:v>30.344000000000001</c:v>
                </c:pt>
                <c:pt idx="119">
                  <c:v>31.021999999999998</c:v>
                </c:pt>
                <c:pt idx="120">
                  <c:v>31.209</c:v>
                </c:pt>
                <c:pt idx="121">
                  <c:v>31.327000000000002</c:v>
                </c:pt>
                <c:pt idx="122">
                  <c:v>31.640999999999998</c:v>
                </c:pt>
                <c:pt idx="123">
                  <c:v>32.340000000000003</c:v>
                </c:pt>
                <c:pt idx="124">
                  <c:v>33.029000000000003</c:v>
                </c:pt>
                <c:pt idx="125">
                  <c:v>33.305</c:v>
                </c:pt>
                <c:pt idx="126">
                  <c:v>33.301000000000002</c:v>
                </c:pt>
                <c:pt idx="127">
                  <c:v>33.371000000000002</c:v>
                </c:pt>
                <c:pt idx="128">
                  <c:v>33.496000000000002</c:v>
                </c:pt>
                <c:pt idx="129">
                  <c:v>33.670999999999999</c:v>
                </c:pt>
                <c:pt idx="130">
                  <c:v>33.677</c:v>
                </c:pt>
                <c:pt idx="131">
                  <c:v>33.799999999999997</c:v>
                </c:pt>
                <c:pt idx="132">
                  <c:v>34.341000000000001</c:v>
                </c:pt>
                <c:pt idx="133">
                  <c:v>35.084000000000003</c:v>
                </c:pt>
                <c:pt idx="134">
                  <c:v>35.756999999999998</c:v>
                </c:pt>
                <c:pt idx="135">
                  <c:v>36.076999999999998</c:v>
                </c:pt>
                <c:pt idx="136">
                  <c:v>36.259</c:v>
                </c:pt>
                <c:pt idx="137">
                  <c:v>36.424999999999997</c:v>
                </c:pt>
              </c:numCache>
            </c:numRef>
          </c:val>
          <c:smooth val="0"/>
        </c:ser>
        <c:dLbls>
          <c:showLegendKey val="0"/>
          <c:showVal val="0"/>
          <c:showCatName val="0"/>
          <c:showSerName val="0"/>
          <c:showPercent val="0"/>
          <c:showBubbleSize val="0"/>
        </c:dLbls>
        <c:marker val="1"/>
        <c:smooth val="0"/>
        <c:axId val="491321632"/>
        <c:axId val="491328688"/>
      </c:lineChart>
      <c:dateAx>
        <c:axId val="491326336"/>
        <c:scaling>
          <c:orientation val="minMax"/>
        </c:scaling>
        <c:delete val="0"/>
        <c:axPos val="b"/>
        <c:numFmt formatCode="yyyy" sourceLinked="0"/>
        <c:majorTickMark val="out"/>
        <c:minorTickMark val="none"/>
        <c:tickLblPos val="nextTo"/>
        <c:spPr>
          <a:ln>
            <a:solidFill>
              <a:srgbClr val="BFBFBF"/>
            </a:solidFill>
          </a:ln>
        </c:spPr>
        <c:crossAx val="491329080"/>
        <c:crosses val="autoZero"/>
        <c:auto val="1"/>
        <c:lblOffset val="100"/>
        <c:baseTimeUnit val="months"/>
        <c:majorUnit val="8"/>
        <c:majorTimeUnit val="years"/>
      </c:dateAx>
      <c:valAx>
        <c:axId val="491329080"/>
        <c:scaling>
          <c:orientation val="minMax"/>
          <c:max val="400"/>
        </c:scaling>
        <c:delete val="0"/>
        <c:axPos val="l"/>
        <c:title>
          <c:tx>
            <c:rich>
              <a:bodyPr/>
              <a:lstStyle/>
              <a:p>
                <a:pPr>
                  <a:defRPr/>
                </a:pPr>
                <a:r>
                  <a:rPr lang="en-AU"/>
                  <a:t>Employment ('000s)</a:t>
                </a:r>
              </a:p>
            </c:rich>
          </c:tx>
          <c:layout/>
          <c:overlay val="0"/>
        </c:title>
        <c:numFmt formatCode="General" sourceLinked="1"/>
        <c:majorTickMark val="out"/>
        <c:minorTickMark val="none"/>
        <c:tickLblPos val="nextTo"/>
        <c:spPr>
          <a:ln>
            <a:solidFill>
              <a:srgbClr val="BFBFBF"/>
            </a:solidFill>
          </a:ln>
        </c:spPr>
        <c:crossAx val="491326336"/>
        <c:crosses val="autoZero"/>
        <c:crossBetween val="midCat"/>
        <c:majorUnit val="100"/>
      </c:valAx>
      <c:valAx>
        <c:axId val="491328688"/>
        <c:scaling>
          <c:orientation val="minMax"/>
          <c:max val="40"/>
        </c:scaling>
        <c:delete val="0"/>
        <c:axPos val="r"/>
        <c:title>
          <c:tx>
            <c:rich>
              <a:bodyPr/>
              <a:lstStyle/>
              <a:p>
                <a:pPr>
                  <a:defRPr/>
                </a:pPr>
                <a:r>
                  <a:rPr lang="en-AU"/>
                  <a:t>Value added ($</a:t>
                </a:r>
                <a:r>
                  <a:rPr lang="en-AU" baseline="0"/>
                  <a:t> billion)</a:t>
                </a:r>
                <a:endParaRPr lang="en-AU"/>
              </a:p>
            </c:rich>
          </c:tx>
          <c:layout/>
          <c:overlay val="0"/>
        </c:title>
        <c:numFmt formatCode="General" sourceLinked="1"/>
        <c:majorTickMark val="out"/>
        <c:minorTickMark val="none"/>
        <c:tickLblPos val="nextTo"/>
        <c:crossAx val="491321632"/>
        <c:crosses val="max"/>
        <c:crossBetween val="between"/>
        <c:majorUnit val="10"/>
      </c:valAx>
      <c:dateAx>
        <c:axId val="491321632"/>
        <c:scaling>
          <c:orientation val="minMax"/>
        </c:scaling>
        <c:delete val="1"/>
        <c:axPos val="b"/>
        <c:numFmt formatCode="mmm\-yyyy" sourceLinked="1"/>
        <c:majorTickMark val="out"/>
        <c:minorTickMark val="none"/>
        <c:tickLblPos val="nextTo"/>
        <c:crossAx val="491328688"/>
        <c:crosses val="autoZero"/>
        <c:auto val="1"/>
        <c:lblOffset val="100"/>
        <c:baseTimeUnit val="months"/>
      </c:dateAx>
      <c:spPr>
        <a:noFill/>
        <a:ln>
          <a:noFill/>
        </a:ln>
      </c:spPr>
    </c:plotArea>
    <c:plotVisOnly val="1"/>
    <c:dispBlanksAs val="gap"/>
    <c:showDLblsOverMax val="0"/>
  </c:chart>
  <c:spPr>
    <a:ln>
      <a:noFill/>
    </a:ln>
  </c:spPr>
  <c:txPr>
    <a:bodyPr/>
    <a:lstStyle/>
    <a:p>
      <a:pPr>
        <a:defRPr sz="900" spc="20" baseline="0">
          <a:latin typeface="Arial" pitchFamily="3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436546994125734"/>
          <c:y val="5.6935817805383024E-2"/>
          <c:w val="0.64188929508811399"/>
          <c:h val="0.78304111442591418"/>
        </c:manualLayout>
      </c:layout>
      <c:lineChart>
        <c:grouping val="standard"/>
        <c:varyColors val="0"/>
        <c:ser>
          <c:idx val="0"/>
          <c:order val="0"/>
          <c:tx>
            <c:v>Employment</c:v>
          </c:tx>
          <c:spPr>
            <a:ln>
              <a:solidFill>
                <a:srgbClr val="66BCDB"/>
              </a:solidFill>
            </a:ln>
          </c:spPr>
          <c:marker>
            <c:symbol val="none"/>
          </c:marker>
          <c:cat>
            <c:numRef>
              <c:f>'Sheet1 (2)'!$A$5:$A$143</c:f>
              <c:numCache>
                <c:formatCode>mmm\-yyyy</c:formatCode>
                <c:ptCount val="139"/>
                <c:pt idx="1">
                  <c:v>31079</c:v>
                </c:pt>
                <c:pt idx="2">
                  <c:v>31168</c:v>
                </c:pt>
                <c:pt idx="3">
                  <c:v>31260</c:v>
                </c:pt>
                <c:pt idx="4">
                  <c:v>31352</c:v>
                </c:pt>
                <c:pt idx="5">
                  <c:v>31444</c:v>
                </c:pt>
                <c:pt idx="6">
                  <c:v>31533</c:v>
                </c:pt>
                <c:pt idx="7">
                  <c:v>31625</c:v>
                </c:pt>
                <c:pt idx="8">
                  <c:v>31717</c:v>
                </c:pt>
                <c:pt idx="9">
                  <c:v>31809</c:v>
                </c:pt>
                <c:pt idx="10">
                  <c:v>31898</c:v>
                </c:pt>
                <c:pt idx="11">
                  <c:v>31990</c:v>
                </c:pt>
                <c:pt idx="12">
                  <c:v>32082</c:v>
                </c:pt>
                <c:pt idx="13">
                  <c:v>32174</c:v>
                </c:pt>
                <c:pt idx="14">
                  <c:v>32264</c:v>
                </c:pt>
                <c:pt idx="15">
                  <c:v>32356</c:v>
                </c:pt>
                <c:pt idx="16">
                  <c:v>32448</c:v>
                </c:pt>
                <c:pt idx="17">
                  <c:v>32540</c:v>
                </c:pt>
                <c:pt idx="18">
                  <c:v>32629</c:v>
                </c:pt>
                <c:pt idx="19">
                  <c:v>32721</c:v>
                </c:pt>
                <c:pt idx="20">
                  <c:v>32813</c:v>
                </c:pt>
                <c:pt idx="21">
                  <c:v>32905</c:v>
                </c:pt>
                <c:pt idx="22">
                  <c:v>32994</c:v>
                </c:pt>
                <c:pt idx="23">
                  <c:v>33086</c:v>
                </c:pt>
                <c:pt idx="24">
                  <c:v>33178</c:v>
                </c:pt>
                <c:pt idx="25">
                  <c:v>33270</c:v>
                </c:pt>
                <c:pt idx="26">
                  <c:v>33359</c:v>
                </c:pt>
                <c:pt idx="27">
                  <c:v>33451</c:v>
                </c:pt>
                <c:pt idx="28">
                  <c:v>33543</c:v>
                </c:pt>
                <c:pt idx="29">
                  <c:v>33635</c:v>
                </c:pt>
                <c:pt idx="30">
                  <c:v>33725</c:v>
                </c:pt>
                <c:pt idx="31">
                  <c:v>33817</c:v>
                </c:pt>
                <c:pt idx="32">
                  <c:v>33909</c:v>
                </c:pt>
                <c:pt idx="33">
                  <c:v>34001</c:v>
                </c:pt>
                <c:pt idx="34">
                  <c:v>34090</c:v>
                </c:pt>
                <c:pt idx="35">
                  <c:v>34182</c:v>
                </c:pt>
                <c:pt idx="36">
                  <c:v>34274</c:v>
                </c:pt>
                <c:pt idx="37">
                  <c:v>34366</c:v>
                </c:pt>
                <c:pt idx="38">
                  <c:v>34455</c:v>
                </c:pt>
                <c:pt idx="39">
                  <c:v>34547</c:v>
                </c:pt>
                <c:pt idx="40">
                  <c:v>34639</c:v>
                </c:pt>
                <c:pt idx="41">
                  <c:v>34731</c:v>
                </c:pt>
                <c:pt idx="42">
                  <c:v>34820</c:v>
                </c:pt>
                <c:pt idx="43">
                  <c:v>34912</c:v>
                </c:pt>
                <c:pt idx="44">
                  <c:v>35004</c:v>
                </c:pt>
                <c:pt idx="45">
                  <c:v>35096</c:v>
                </c:pt>
                <c:pt idx="46">
                  <c:v>35186</c:v>
                </c:pt>
                <c:pt idx="47">
                  <c:v>35278</c:v>
                </c:pt>
                <c:pt idx="48">
                  <c:v>35370</c:v>
                </c:pt>
                <c:pt idx="49">
                  <c:v>35462</c:v>
                </c:pt>
                <c:pt idx="50">
                  <c:v>35551</c:v>
                </c:pt>
                <c:pt idx="51">
                  <c:v>35643</c:v>
                </c:pt>
                <c:pt idx="52">
                  <c:v>35735</c:v>
                </c:pt>
                <c:pt idx="53">
                  <c:v>35827</c:v>
                </c:pt>
                <c:pt idx="54">
                  <c:v>35916</c:v>
                </c:pt>
                <c:pt idx="55">
                  <c:v>36008</c:v>
                </c:pt>
                <c:pt idx="56">
                  <c:v>36100</c:v>
                </c:pt>
                <c:pt idx="57">
                  <c:v>36192</c:v>
                </c:pt>
                <c:pt idx="58">
                  <c:v>36281</c:v>
                </c:pt>
                <c:pt idx="59">
                  <c:v>36373</c:v>
                </c:pt>
                <c:pt idx="60">
                  <c:v>36465</c:v>
                </c:pt>
                <c:pt idx="61">
                  <c:v>36557</c:v>
                </c:pt>
                <c:pt idx="62">
                  <c:v>36647</c:v>
                </c:pt>
                <c:pt idx="63">
                  <c:v>36739</c:v>
                </c:pt>
                <c:pt idx="64">
                  <c:v>36831</c:v>
                </c:pt>
                <c:pt idx="65">
                  <c:v>36923</c:v>
                </c:pt>
                <c:pt idx="66">
                  <c:v>37012</c:v>
                </c:pt>
                <c:pt idx="67">
                  <c:v>37104</c:v>
                </c:pt>
                <c:pt idx="68">
                  <c:v>37196</c:v>
                </c:pt>
                <c:pt idx="69">
                  <c:v>37288</c:v>
                </c:pt>
                <c:pt idx="70">
                  <c:v>37377</c:v>
                </c:pt>
                <c:pt idx="71">
                  <c:v>37469</c:v>
                </c:pt>
                <c:pt idx="72">
                  <c:v>37561</c:v>
                </c:pt>
                <c:pt idx="73">
                  <c:v>37653</c:v>
                </c:pt>
                <c:pt idx="74">
                  <c:v>37742</c:v>
                </c:pt>
                <c:pt idx="75">
                  <c:v>37834</c:v>
                </c:pt>
                <c:pt idx="76">
                  <c:v>37926</c:v>
                </c:pt>
                <c:pt idx="77">
                  <c:v>38018</c:v>
                </c:pt>
                <c:pt idx="78">
                  <c:v>38108</c:v>
                </c:pt>
                <c:pt idx="79">
                  <c:v>38200</c:v>
                </c:pt>
                <c:pt idx="80">
                  <c:v>38292</c:v>
                </c:pt>
                <c:pt idx="81">
                  <c:v>38384</c:v>
                </c:pt>
                <c:pt idx="82">
                  <c:v>38473</c:v>
                </c:pt>
                <c:pt idx="83">
                  <c:v>38565</c:v>
                </c:pt>
                <c:pt idx="84">
                  <c:v>38657</c:v>
                </c:pt>
                <c:pt idx="85">
                  <c:v>38749</c:v>
                </c:pt>
                <c:pt idx="86">
                  <c:v>38838</c:v>
                </c:pt>
                <c:pt idx="87">
                  <c:v>38930</c:v>
                </c:pt>
                <c:pt idx="88">
                  <c:v>39022</c:v>
                </c:pt>
                <c:pt idx="89">
                  <c:v>39114</c:v>
                </c:pt>
                <c:pt idx="90">
                  <c:v>39203</c:v>
                </c:pt>
                <c:pt idx="91">
                  <c:v>39295</c:v>
                </c:pt>
                <c:pt idx="92">
                  <c:v>39387</c:v>
                </c:pt>
                <c:pt idx="93">
                  <c:v>39479</c:v>
                </c:pt>
                <c:pt idx="94">
                  <c:v>39569</c:v>
                </c:pt>
                <c:pt idx="95">
                  <c:v>39661</c:v>
                </c:pt>
                <c:pt idx="96">
                  <c:v>39753</c:v>
                </c:pt>
                <c:pt idx="97">
                  <c:v>39845</c:v>
                </c:pt>
                <c:pt idx="98">
                  <c:v>39934</c:v>
                </c:pt>
                <c:pt idx="99">
                  <c:v>40026</c:v>
                </c:pt>
                <c:pt idx="100">
                  <c:v>40118</c:v>
                </c:pt>
                <c:pt idx="101">
                  <c:v>40210</c:v>
                </c:pt>
                <c:pt idx="102">
                  <c:v>40299</c:v>
                </c:pt>
                <c:pt idx="103">
                  <c:v>40391</c:v>
                </c:pt>
                <c:pt idx="104">
                  <c:v>40483</c:v>
                </c:pt>
                <c:pt idx="105">
                  <c:v>40575</c:v>
                </c:pt>
                <c:pt idx="106">
                  <c:v>40664</c:v>
                </c:pt>
                <c:pt idx="107">
                  <c:v>40756</c:v>
                </c:pt>
                <c:pt idx="108">
                  <c:v>40848</c:v>
                </c:pt>
                <c:pt idx="109">
                  <c:v>40940</c:v>
                </c:pt>
                <c:pt idx="110">
                  <c:v>41030</c:v>
                </c:pt>
                <c:pt idx="111">
                  <c:v>41122</c:v>
                </c:pt>
                <c:pt idx="112">
                  <c:v>41214</c:v>
                </c:pt>
                <c:pt idx="113">
                  <c:v>41306</c:v>
                </c:pt>
                <c:pt idx="114">
                  <c:v>41395</c:v>
                </c:pt>
                <c:pt idx="115">
                  <c:v>41487</c:v>
                </c:pt>
                <c:pt idx="116">
                  <c:v>41579</c:v>
                </c:pt>
                <c:pt idx="117">
                  <c:v>41671</c:v>
                </c:pt>
                <c:pt idx="118">
                  <c:v>41760</c:v>
                </c:pt>
                <c:pt idx="119">
                  <c:v>41852</c:v>
                </c:pt>
                <c:pt idx="120">
                  <c:v>41944</c:v>
                </c:pt>
                <c:pt idx="121">
                  <c:v>42036</c:v>
                </c:pt>
                <c:pt idx="122">
                  <c:v>42125</c:v>
                </c:pt>
                <c:pt idx="123">
                  <c:v>42217</c:v>
                </c:pt>
                <c:pt idx="124">
                  <c:v>42309</c:v>
                </c:pt>
                <c:pt idx="125">
                  <c:v>42401</c:v>
                </c:pt>
                <c:pt idx="126">
                  <c:v>42491</c:v>
                </c:pt>
                <c:pt idx="127">
                  <c:v>42583</c:v>
                </c:pt>
                <c:pt idx="128">
                  <c:v>42675</c:v>
                </c:pt>
                <c:pt idx="129">
                  <c:v>42767</c:v>
                </c:pt>
                <c:pt idx="130">
                  <c:v>42856</c:v>
                </c:pt>
                <c:pt idx="131">
                  <c:v>42948</c:v>
                </c:pt>
                <c:pt idx="132">
                  <c:v>43040</c:v>
                </c:pt>
                <c:pt idx="133">
                  <c:v>43132</c:v>
                </c:pt>
                <c:pt idx="134">
                  <c:v>43221</c:v>
                </c:pt>
                <c:pt idx="135">
                  <c:v>43313</c:v>
                </c:pt>
                <c:pt idx="136">
                  <c:v>43405</c:v>
                </c:pt>
                <c:pt idx="137">
                  <c:v>43497</c:v>
                </c:pt>
                <c:pt idx="138">
                  <c:v>43586</c:v>
                </c:pt>
              </c:numCache>
            </c:numRef>
          </c:cat>
          <c:val>
            <c:numRef>
              <c:f>'Sheet1 (2)'!$B$5:$B$143</c:f>
              <c:numCache>
                <c:formatCode>General</c:formatCode>
                <c:ptCount val="139"/>
                <c:pt idx="1">
                  <c:v>404.72412329999997</c:v>
                </c:pt>
                <c:pt idx="2">
                  <c:v>411.20487079999998</c:v>
                </c:pt>
                <c:pt idx="3">
                  <c:v>418.14916649999998</c:v>
                </c:pt>
                <c:pt idx="4">
                  <c:v>423.48113519999998</c:v>
                </c:pt>
                <c:pt idx="5">
                  <c:v>425.35909279999998</c:v>
                </c:pt>
                <c:pt idx="6">
                  <c:v>424.65467849999999</c:v>
                </c:pt>
                <c:pt idx="7">
                  <c:v>423.75250979999998</c:v>
                </c:pt>
                <c:pt idx="8">
                  <c:v>421.1267067</c:v>
                </c:pt>
                <c:pt idx="9">
                  <c:v>416.98496699999998</c:v>
                </c:pt>
                <c:pt idx="10">
                  <c:v>412.77471500000001</c:v>
                </c:pt>
                <c:pt idx="11">
                  <c:v>410.81110999999999</c:v>
                </c:pt>
                <c:pt idx="12">
                  <c:v>413.356201</c:v>
                </c:pt>
                <c:pt idx="13">
                  <c:v>420.3519675</c:v>
                </c:pt>
                <c:pt idx="14">
                  <c:v>427.33201839999998</c:v>
                </c:pt>
                <c:pt idx="15">
                  <c:v>431.59441029999999</c:v>
                </c:pt>
                <c:pt idx="16">
                  <c:v>432.43229250000002</c:v>
                </c:pt>
                <c:pt idx="17">
                  <c:v>429.67820640000002</c:v>
                </c:pt>
                <c:pt idx="18">
                  <c:v>424.34564390000003</c:v>
                </c:pt>
                <c:pt idx="19">
                  <c:v>419.5682142</c:v>
                </c:pt>
                <c:pt idx="20">
                  <c:v>419.27507350000002</c:v>
                </c:pt>
                <c:pt idx="21">
                  <c:v>424.57309299999997</c:v>
                </c:pt>
                <c:pt idx="22">
                  <c:v>432.89431139999999</c:v>
                </c:pt>
                <c:pt idx="23">
                  <c:v>437.8785421</c:v>
                </c:pt>
                <c:pt idx="24">
                  <c:v>437.10577019999999</c:v>
                </c:pt>
                <c:pt idx="25">
                  <c:v>429.35354139999998</c:v>
                </c:pt>
                <c:pt idx="26">
                  <c:v>417.54743109999998</c:v>
                </c:pt>
                <c:pt idx="27">
                  <c:v>404.35254040000001</c:v>
                </c:pt>
                <c:pt idx="28">
                  <c:v>392.99872110000001</c:v>
                </c:pt>
                <c:pt idx="29">
                  <c:v>384.61796659999999</c:v>
                </c:pt>
                <c:pt idx="30">
                  <c:v>381.044804</c:v>
                </c:pt>
                <c:pt idx="31">
                  <c:v>382.13145609999998</c:v>
                </c:pt>
                <c:pt idx="32">
                  <c:v>386.22895670000003</c:v>
                </c:pt>
                <c:pt idx="33">
                  <c:v>390.10764319999998</c:v>
                </c:pt>
                <c:pt idx="34">
                  <c:v>393.2520068</c:v>
                </c:pt>
                <c:pt idx="35">
                  <c:v>393.87658699999997</c:v>
                </c:pt>
                <c:pt idx="36">
                  <c:v>391.6012465</c:v>
                </c:pt>
                <c:pt idx="37">
                  <c:v>389.53137190000001</c:v>
                </c:pt>
                <c:pt idx="38">
                  <c:v>387.14167320000001</c:v>
                </c:pt>
                <c:pt idx="39">
                  <c:v>386.46361810000002</c:v>
                </c:pt>
                <c:pt idx="40">
                  <c:v>385.03330849999998</c:v>
                </c:pt>
                <c:pt idx="41">
                  <c:v>381.4825639</c:v>
                </c:pt>
                <c:pt idx="42">
                  <c:v>382.7239477</c:v>
                </c:pt>
                <c:pt idx="43">
                  <c:v>389.1785213</c:v>
                </c:pt>
                <c:pt idx="44">
                  <c:v>397.47377010000002</c:v>
                </c:pt>
                <c:pt idx="45">
                  <c:v>404.72590630000002</c:v>
                </c:pt>
                <c:pt idx="46">
                  <c:v>404.62153970000003</c:v>
                </c:pt>
                <c:pt idx="47">
                  <c:v>401.98438299999998</c:v>
                </c:pt>
                <c:pt idx="48">
                  <c:v>401.22954750000002</c:v>
                </c:pt>
                <c:pt idx="49">
                  <c:v>401.28131669999999</c:v>
                </c:pt>
                <c:pt idx="50">
                  <c:v>404.1600128</c:v>
                </c:pt>
                <c:pt idx="51">
                  <c:v>408.17215750000003</c:v>
                </c:pt>
                <c:pt idx="52">
                  <c:v>411.68957510000001</c:v>
                </c:pt>
                <c:pt idx="53">
                  <c:v>414.49926199999999</c:v>
                </c:pt>
                <c:pt idx="54">
                  <c:v>411.88540110000002</c:v>
                </c:pt>
                <c:pt idx="55">
                  <c:v>407.40942439999998</c:v>
                </c:pt>
                <c:pt idx="56">
                  <c:v>408.02534800000001</c:v>
                </c:pt>
                <c:pt idx="57">
                  <c:v>414.33483030000002</c:v>
                </c:pt>
                <c:pt idx="58">
                  <c:v>422.71329300000002</c:v>
                </c:pt>
                <c:pt idx="59">
                  <c:v>428.98740279999998</c:v>
                </c:pt>
                <c:pt idx="60">
                  <c:v>431.02786099999997</c:v>
                </c:pt>
                <c:pt idx="61">
                  <c:v>431.22276319999997</c:v>
                </c:pt>
                <c:pt idx="62">
                  <c:v>430.67666250000002</c:v>
                </c:pt>
                <c:pt idx="63">
                  <c:v>426.99026500000002</c:v>
                </c:pt>
                <c:pt idx="64">
                  <c:v>420.75684749999999</c:v>
                </c:pt>
                <c:pt idx="65">
                  <c:v>417.66039389999997</c:v>
                </c:pt>
                <c:pt idx="66">
                  <c:v>422.19753409999998</c:v>
                </c:pt>
                <c:pt idx="67">
                  <c:v>431.8537776</c:v>
                </c:pt>
                <c:pt idx="68">
                  <c:v>438.08313759999999</c:v>
                </c:pt>
                <c:pt idx="69">
                  <c:v>432.77520019999997</c:v>
                </c:pt>
                <c:pt idx="70">
                  <c:v>414.9151195</c:v>
                </c:pt>
                <c:pt idx="71">
                  <c:v>389.1765413</c:v>
                </c:pt>
                <c:pt idx="72">
                  <c:v>366.44959490000002</c:v>
                </c:pt>
                <c:pt idx="73">
                  <c:v>356.71345609999997</c:v>
                </c:pt>
                <c:pt idx="74">
                  <c:v>360.8550573</c:v>
                </c:pt>
                <c:pt idx="75">
                  <c:v>367.8297991</c:v>
                </c:pt>
                <c:pt idx="76">
                  <c:v>369.28568589999998</c:v>
                </c:pt>
                <c:pt idx="77">
                  <c:v>363.66329259999998</c:v>
                </c:pt>
                <c:pt idx="78">
                  <c:v>355.48538619999999</c:v>
                </c:pt>
                <c:pt idx="79">
                  <c:v>351.24013939999998</c:v>
                </c:pt>
                <c:pt idx="80">
                  <c:v>352.95039980000001</c:v>
                </c:pt>
                <c:pt idx="81">
                  <c:v>355.71227570000002</c:v>
                </c:pt>
                <c:pt idx="82">
                  <c:v>354.32264400000003</c:v>
                </c:pt>
                <c:pt idx="83">
                  <c:v>349.75564839999998</c:v>
                </c:pt>
                <c:pt idx="84">
                  <c:v>345.51531030000001</c:v>
                </c:pt>
                <c:pt idx="85">
                  <c:v>342.748357</c:v>
                </c:pt>
                <c:pt idx="86">
                  <c:v>341.1217752</c:v>
                </c:pt>
                <c:pt idx="87">
                  <c:v>341.33664019999998</c:v>
                </c:pt>
                <c:pt idx="88">
                  <c:v>342.1188914</c:v>
                </c:pt>
                <c:pt idx="89">
                  <c:v>343.70694329999998</c:v>
                </c:pt>
                <c:pt idx="90">
                  <c:v>344.02250320000002</c:v>
                </c:pt>
                <c:pt idx="91">
                  <c:v>343.26115270000003</c:v>
                </c:pt>
                <c:pt idx="92">
                  <c:v>341.50105559999997</c:v>
                </c:pt>
                <c:pt idx="93">
                  <c:v>339.66508040000002</c:v>
                </c:pt>
                <c:pt idx="94">
                  <c:v>340.42305229999999</c:v>
                </c:pt>
                <c:pt idx="95">
                  <c:v>346.26206980000001</c:v>
                </c:pt>
                <c:pt idx="96">
                  <c:v>350.6825877</c:v>
                </c:pt>
                <c:pt idx="97">
                  <c:v>351.22720409999999</c:v>
                </c:pt>
                <c:pt idx="98">
                  <c:v>347.94884930000001</c:v>
                </c:pt>
                <c:pt idx="99">
                  <c:v>344.36595410000001</c:v>
                </c:pt>
                <c:pt idx="100">
                  <c:v>344.87604620000002</c:v>
                </c:pt>
                <c:pt idx="101">
                  <c:v>350.45781399999998</c:v>
                </c:pt>
                <c:pt idx="102">
                  <c:v>357.20899680000002</c:v>
                </c:pt>
                <c:pt idx="103">
                  <c:v>356.67422349999998</c:v>
                </c:pt>
                <c:pt idx="104">
                  <c:v>344.3424536</c:v>
                </c:pt>
                <c:pt idx="105">
                  <c:v>325.42895449999997</c:v>
                </c:pt>
                <c:pt idx="106">
                  <c:v>311.84190940000002</c:v>
                </c:pt>
                <c:pt idx="107">
                  <c:v>309.2409811</c:v>
                </c:pt>
                <c:pt idx="108">
                  <c:v>316.39134630000001</c:v>
                </c:pt>
                <c:pt idx="109">
                  <c:v>324.79490720000001</c:v>
                </c:pt>
                <c:pt idx="110">
                  <c:v>325.04236049999997</c:v>
                </c:pt>
                <c:pt idx="111">
                  <c:v>314.67122760000001</c:v>
                </c:pt>
                <c:pt idx="112">
                  <c:v>302.04514540000002</c:v>
                </c:pt>
                <c:pt idx="113">
                  <c:v>293.59717089999998</c:v>
                </c:pt>
                <c:pt idx="114">
                  <c:v>294.91791849999998</c:v>
                </c:pt>
                <c:pt idx="115">
                  <c:v>302.15638050000001</c:v>
                </c:pt>
                <c:pt idx="116">
                  <c:v>311.35941159999999</c:v>
                </c:pt>
                <c:pt idx="117">
                  <c:v>319.10321429999999</c:v>
                </c:pt>
                <c:pt idx="118">
                  <c:v>321.81942459999999</c:v>
                </c:pt>
                <c:pt idx="119">
                  <c:v>321.37327110000001</c:v>
                </c:pt>
                <c:pt idx="120">
                  <c:v>317.7689244</c:v>
                </c:pt>
                <c:pt idx="121">
                  <c:v>311.16684099999998</c:v>
                </c:pt>
                <c:pt idx="122">
                  <c:v>306.86376730000001</c:v>
                </c:pt>
                <c:pt idx="123">
                  <c:v>308.17995189999999</c:v>
                </c:pt>
                <c:pt idx="124">
                  <c:v>313.8927304</c:v>
                </c:pt>
                <c:pt idx="125">
                  <c:v>317.46032830000001</c:v>
                </c:pt>
                <c:pt idx="126">
                  <c:v>312.92771219999997</c:v>
                </c:pt>
                <c:pt idx="127">
                  <c:v>303.47420690000001</c:v>
                </c:pt>
                <c:pt idx="128">
                  <c:v>296.32825250000002</c:v>
                </c:pt>
                <c:pt idx="129">
                  <c:v>299.52708039999999</c:v>
                </c:pt>
                <c:pt idx="130">
                  <c:v>310.86322159999997</c:v>
                </c:pt>
                <c:pt idx="131">
                  <c:v>321.11932419999999</c:v>
                </c:pt>
                <c:pt idx="132">
                  <c:v>325.53513179999999</c:v>
                </c:pt>
                <c:pt idx="133">
                  <c:v>324.8245139</c:v>
                </c:pt>
                <c:pt idx="134">
                  <c:v>323.94078080000003</c:v>
                </c:pt>
                <c:pt idx="135">
                  <c:v>326.3678678</c:v>
                </c:pt>
                <c:pt idx="136">
                  <c:v>329.74569000000002</c:v>
                </c:pt>
                <c:pt idx="137">
                  <c:v>332.21084969999998</c:v>
                </c:pt>
                <c:pt idx="138">
                  <c:v>332.94906509999998</c:v>
                </c:pt>
              </c:numCache>
            </c:numRef>
          </c:val>
          <c:smooth val="0"/>
        </c:ser>
        <c:dLbls>
          <c:showLegendKey val="0"/>
          <c:showVal val="0"/>
          <c:showCatName val="0"/>
          <c:showSerName val="0"/>
          <c:showPercent val="0"/>
          <c:showBubbleSize val="0"/>
        </c:dLbls>
        <c:marker val="1"/>
        <c:smooth val="0"/>
        <c:axId val="491322416"/>
        <c:axId val="491324376"/>
      </c:lineChart>
      <c:lineChart>
        <c:grouping val="standard"/>
        <c:varyColors val="0"/>
        <c:ser>
          <c:idx val="1"/>
          <c:order val="1"/>
          <c:tx>
            <c:v>Value add</c:v>
          </c:tx>
          <c:spPr>
            <a:ln cmpd="sng">
              <a:solidFill>
                <a:srgbClr val="265A9A"/>
              </a:solidFill>
              <a:prstDash val="solid"/>
            </a:ln>
            <a:effectLst/>
          </c:spPr>
          <c:marker>
            <c:symbol val="none"/>
          </c:marker>
          <c:cat>
            <c:numRef>
              <c:f>'Sheet1 (2)'!$A$5:$A$143</c:f>
              <c:numCache>
                <c:formatCode>mmm\-yyyy</c:formatCode>
                <c:ptCount val="139"/>
                <c:pt idx="1">
                  <c:v>31079</c:v>
                </c:pt>
                <c:pt idx="2">
                  <c:v>31168</c:v>
                </c:pt>
                <c:pt idx="3">
                  <c:v>31260</c:v>
                </c:pt>
                <c:pt idx="4">
                  <c:v>31352</c:v>
                </c:pt>
                <c:pt idx="5">
                  <c:v>31444</c:v>
                </c:pt>
                <c:pt idx="6">
                  <c:v>31533</c:v>
                </c:pt>
                <c:pt idx="7">
                  <c:v>31625</c:v>
                </c:pt>
                <c:pt idx="8">
                  <c:v>31717</c:v>
                </c:pt>
                <c:pt idx="9">
                  <c:v>31809</c:v>
                </c:pt>
                <c:pt idx="10">
                  <c:v>31898</c:v>
                </c:pt>
                <c:pt idx="11">
                  <c:v>31990</c:v>
                </c:pt>
                <c:pt idx="12">
                  <c:v>32082</c:v>
                </c:pt>
                <c:pt idx="13">
                  <c:v>32174</c:v>
                </c:pt>
                <c:pt idx="14">
                  <c:v>32264</c:v>
                </c:pt>
                <c:pt idx="15">
                  <c:v>32356</c:v>
                </c:pt>
                <c:pt idx="16">
                  <c:v>32448</c:v>
                </c:pt>
                <c:pt idx="17">
                  <c:v>32540</c:v>
                </c:pt>
                <c:pt idx="18">
                  <c:v>32629</c:v>
                </c:pt>
                <c:pt idx="19">
                  <c:v>32721</c:v>
                </c:pt>
                <c:pt idx="20">
                  <c:v>32813</c:v>
                </c:pt>
                <c:pt idx="21">
                  <c:v>32905</c:v>
                </c:pt>
                <c:pt idx="22">
                  <c:v>32994</c:v>
                </c:pt>
                <c:pt idx="23">
                  <c:v>33086</c:v>
                </c:pt>
                <c:pt idx="24">
                  <c:v>33178</c:v>
                </c:pt>
                <c:pt idx="25">
                  <c:v>33270</c:v>
                </c:pt>
                <c:pt idx="26">
                  <c:v>33359</c:v>
                </c:pt>
                <c:pt idx="27">
                  <c:v>33451</c:v>
                </c:pt>
                <c:pt idx="28">
                  <c:v>33543</c:v>
                </c:pt>
                <c:pt idx="29">
                  <c:v>33635</c:v>
                </c:pt>
                <c:pt idx="30">
                  <c:v>33725</c:v>
                </c:pt>
                <c:pt idx="31">
                  <c:v>33817</c:v>
                </c:pt>
                <c:pt idx="32">
                  <c:v>33909</c:v>
                </c:pt>
                <c:pt idx="33">
                  <c:v>34001</c:v>
                </c:pt>
                <c:pt idx="34">
                  <c:v>34090</c:v>
                </c:pt>
                <c:pt idx="35">
                  <c:v>34182</c:v>
                </c:pt>
                <c:pt idx="36">
                  <c:v>34274</c:v>
                </c:pt>
                <c:pt idx="37">
                  <c:v>34366</c:v>
                </c:pt>
                <c:pt idx="38">
                  <c:v>34455</c:v>
                </c:pt>
                <c:pt idx="39">
                  <c:v>34547</c:v>
                </c:pt>
                <c:pt idx="40">
                  <c:v>34639</c:v>
                </c:pt>
                <c:pt idx="41">
                  <c:v>34731</c:v>
                </c:pt>
                <c:pt idx="42">
                  <c:v>34820</c:v>
                </c:pt>
                <c:pt idx="43">
                  <c:v>34912</c:v>
                </c:pt>
                <c:pt idx="44">
                  <c:v>35004</c:v>
                </c:pt>
                <c:pt idx="45">
                  <c:v>35096</c:v>
                </c:pt>
                <c:pt idx="46">
                  <c:v>35186</c:v>
                </c:pt>
                <c:pt idx="47">
                  <c:v>35278</c:v>
                </c:pt>
                <c:pt idx="48">
                  <c:v>35370</c:v>
                </c:pt>
                <c:pt idx="49">
                  <c:v>35462</c:v>
                </c:pt>
                <c:pt idx="50">
                  <c:v>35551</c:v>
                </c:pt>
                <c:pt idx="51">
                  <c:v>35643</c:v>
                </c:pt>
                <c:pt idx="52">
                  <c:v>35735</c:v>
                </c:pt>
                <c:pt idx="53">
                  <c:v>35827</c:v>
                </c:pt>
                <c:pt idx="54">
                  <c:v>35916</c:v>
                </c:pt>
                <c:pt idx="55">
                  <c:v>36008</c:v>
                </c:pt>
                <c:pt idx="56">
                  <c:v>36100</c:v>
                </c:pt>
                <c:pt idx="57">
                  <c:v>36192</c:v>
                </c:pt>
                <c:pt idx="58">
                  <c:v>36281</c:v>
                </c:pt>
                <c:pt idx="59">
                  <c:v>36373</c:v>
                </c:pt>
                <c:pt idx="60">
                  <c:v>36465</c:v>
                </c:pt>
                <c:pt idx="61">
                  <c:v>36557</c:v>
                </c:pt>
                <c:pt idx="62">
                  <c:v>36647</c:v>
                </c:pt>
                <c:pt idx="63">
                  <c:v>36739</c:v>
                </c:pt>
                <c:pt idx="64">
                  <c:v>36831</c:v>
                </c:pt>
                <c:pt idx="65">
                  <c:v>36923</c:v>
                </c:pt>
                <c:pt idx="66">
                  <c:v>37012</c:v>
                </c:pt>
                <c:pt idx="67">
                  <c:v>37104</c:v>
                </c:pt>
                <c:pt idx="68">
                  <c:v>37196</c:v>
                </c:pt>
                <c:pt idx="69">
                  <c:v>37288</c:v>
                </c:pt>
                <c:pt idx="70">
                  <c:v>37377</c:v>
                </c:pt>
                <c:pt idx="71">
                  <c:v>37469</c:v>
                </c:pt>
                <c:pt idx="72">
                  <c:v>37561</c:v>
                </c:pt>
                <c:pt idx="73">
                  <c:v>37653</c:v>
                </c:pt>
                <c:pt idx="74">
                  <c:v>37742</c:v>
                </c:pt>
                <c:pt idx="75">
                  <c:v>37834</c:v>
                </c:pt>
                <c:pt idx="76">
                  <c:v>37926</c:v>
                </c:pt>
                <c:pt idx="77">
                  <c:v>38018</c:v>
                </c:pt>
                <c:pt idx="78">
                  <c:v>38108</c:v>
                </c:pt>
                <c:pt idx="79">
                  <c:v>38200</c:v>
                </c:pt>
                <c:pt idx="80">
                  <c:v>38292</c:v>
                </c:pt>
                <c:pt idx="81">
                  <c:v>38384</c:v>
                </c:pt>
                <c:pt idx="82">
                  <c:v>38473</c:v>
                </c:pt>
                <c:pt idx="83">
                  <c:v>38565</c:v>
                </c:pt>
                <c:pt idx="84">
                  <c:v>38657</c:v>
                </c:pt>
                <c:pt idx="85">
                  <c:v>38749</c:v>
                </c:pt>
                <c:pt idx="86">
                  <c:v>38838</c:v>
                </c:pt>
                <c:pt idx="87">
                  <c:v>38930</c:v>
                </c:pt>
                <c:pt idx="88">
                  <c:v>39022</c:v>
                </c:pt>
                <c:pt idx="89">
                  <c:v>39114</c:v>
                </c:pt>
                <c:pt idx="90">
                  <c:v>39203</c:v>
                </c:pt>
                <c:pt idx="91">
                  <c:v>39295</c:v>
                </c:pt>
                <c:pt idx="92">
                  <c:v>39387</c:v>
                </c:pt>
                <c:pt idx="93">
                  <c:v>39479</c:v>
                </c:pt>
                <c:pt idx="94">
                  <c:v>39569</c:v>
                </c:pt>
                <c:pt idx="95">
                  <c:v>39661</c:v>
                </c:pt>
                <c:pt idx="96">
                  <c:v>39753</c:v>
                </c:pt>
                <c:pt idx="97">
                  <c:v>39845</c:v>
                </c:pt>
                <c:pt idx="98">
                  <c:v>39934</c:v>
                </c:pt>
                <c:pt idx="99">
                  <c:v>40026</c:v>
                </c:pt>
                <c:pt idx="100">
                  <c:v>40118</c:v>
                </c:pt>
                <c:pt idx="101">
                  <c:v>40210</c:v>
                </c:pt>
                <c:pt idx="102">
                  <c:v>40299</c:v>
                </c:pt>
                <c:pt idx="103">
                  <c:v>40391</c:v>
                </c:pt>
                <c:pt idx="104">
                  <c:v>40483</c:v>
                </c:pt>
                <c:pt idx="105">
                  <c:v>40575</c:v>
                </c:pt>
                <c:pt idx="106">
                  <c:v>40664</c:v>
                </c:pt>
                <c:pt idx="107">
                  <c:v>40756</c:v>
                </c:pt>
                <c:pt idx="108">
                  <c:v>40848</c:v>
                </c:pt>
                <c:pt idx="109">
                  <c:v>40940</c:v>
                </c:pt>
                <c:pt idx="110">
                  <c:v>41030</c:v>
                </c:pt>
                <c:pt idx="111">
                  <c:v>41122</c:v>
                </c:pt>
                <c:pt idx="112">
                  <c:v>41214</c:v>
                </c:pt>
                <c:pt idx="113">
                  <c:v>41306</c:v>
                </c:pt>
                <c:pt idx="114">
                  <c:v>41395</c:v>
                </c:pt>
                <c:pt idx="115">
                  <c:v>41487</c:v>
                </c:pt>
                <c:pt idx="116">
                  <c:v>41579</c:v>
                </c:pt>
                <c:pt idx="117">
                  <c:v>41671</c:v>
                </c:pt>
                <c:pt idx="118">
                  <c:v>41760</c:v>
                </c:pt>
                <c:pt idx="119">
                  <c:v>41852</c:v>
                </c:pt>
                <c:pt idx="120">
                  <c:v>41944</c:v>
                </c:pt>
                <c:pt idx="121">
                  <c:v>42036</c:v>
                </c:pt>
                <c:pt idx="122">
                  <c:v>42125</c:v>
                </c:pt>
                <c:pt idx="123">
                  <c:v>42217</c:v>
                </c:pt>
                <c:pt idx="124">
                  <c:v>42309</c:v>
                </c:pt>
                <c:pt idx="125">
                  <c:v>42401</c:v>
                </c:pt>
                <c:pt idx="126">
                  <c:v>42491</c:v>
                </c:pt>
                <c:pt idx="127">
                  <c:v>42583</c:v>
                </c:pt>
                <c:pt idx="128">
                  <c:v>42675</c:v>
                </c:pt>
                <c:pt idx="129">
                  <c:v>42767</c:v>
                </c:pt>
                <c:pt idx="130">
                  <c:v>42856</c:v>
                </c:pt>
                <c:pt idx="131">
                  <c:v>42948</c:v>
                </c:pt>
                <c:pt idx="132">
                  <c:v>43040</c:v>
                </c:pt>
                <c:pt idx="133">
                  <c:v>43132</c:v>
                </c:pt>
                <c:pt idx="134">
                  <c:v>43221</c:v>
                </c:pt>
                <c:pt idx="135">
                  <c:v>43313</c:v>
                </c:pt>
                <c:pt idx="136">
                  <c:v>43405</c:v>
                </c:pt>
                <c:pt idx="137">
                  <c:v>43497</c:v>
                </c:pt>
                <c:pt idx="138">
                  <c:v>43586</c:v>
                </c:pt>
              </c:numCache>
            </c:numRef>
          </c:cat>
          <c:val>
            <c:numRef>
              <c:f>'Sheet1 (2)'!$G$5:$G$143</c:f>
              <c:numCache>
                <c:formatCode>General</c:formatCode>
                <c:ptCount val="139"/>
                <c:pt idx="1">
                  <c:v>6.2080000000000002</c:v>
                </c:pt>
                <c:pt idx="2">
                  <c:v>6.1130000000000004</c:v>
                </c:pt>
                <c:pt idx="3">
                  <c:v>5.8780000000000001</c:v>
                </c:pt>
                <c:pt idx="4">
                  <c:v>5.6929999999999996</c:v>
                </c:pt>
                <c:pt idx="5">
                  <c:v>5.6420000000000003</c:v>
                </c:pt>
                <c:pt idx="6">
                  <c:v>5.7039999999999997</c:v>
                </c:pt>
                <c:pt idx="7">
                  <c:v>5.7320000000000002</c:v>
                </c:pt>
                <c:pt idx="8">
                  <c:v>5.7460000000000004</c:v>
                </c:pt>
                <c:pt idx="9">
                  <c:v>5.7590000000000003</c:v>
                </c:pt>
                <c:pt idx="10">
                  <c:v>5.7460000000000004</c:v>
                </c:pt>
                <c:pt idx="11">
                  <c:v>5.8259999999999996</c:v>
                </c:pt>
                <c:pt idx="12">
                  <c:v>5.8129999999999997</c:v>
                </c:pt>
                <c:pt idx="13">
                  <c:v>5.6509999999999998</c:v>
                </c:pt>
                <c:pt idx="14">
                  <c:v>5.5570000000000004</c:v>
                </c:pt>
                <c:pt idx="15">
                  <c:v>5.6449999999999996</c:v>
                </c:pt>
                <c:pt idx="16">
                  <c:v>5.8289999999999997</c:v>
                </c:pt>
                <c:pt idx="17">
                  <c:v>5.9749999999999996</c:v>
                </c:pt>
                <c:pt idx="18">
                  <c:v>6.0960000000000001</c:v>
                </c:pt>
                <c:pt idx="19">
                  <c:v>6.298</c:v>
                </c:pt>
                <c:pt idx="20">
                  <c:v>6.3879999999999999</c:v>
                </c:pt>
                <c:pt idx="21">
                  <c:v>6.3440000000000003</c:v>
                </c:pt>
                <c:pt idx="22">
                  <c:v>6.4089999999999998</c:v>
                </c:pt>
                <c:pt idx="23">
                  <c:v>6.609</c:v>
                </c:pt>
                <c:pt idx="24">
                  <c:v>6.7679999999999998</c:v>
                </c:pt>
                <c:pt idx="25">
                  <c:v>6.7640000000000002</c:v>
                </c:pt>
                <c:pt idx="26">
                  <c:v>6.5209999999999999</c:v>
                </c:pt>
                <c:pt idx="27">
                  <c:v>6.274</c:v>
                </c:pt>
                <c:pt idx="28">
                  <c:v>6.2350000000000003</c:v>
                </c:pt>
                <c:pt idx="29">
                  <c:v>6.4080000000000004</c:v>
                </c:pt>
                <c:pt idx="30">
                  <c:v>6.5590000000000002</c:v>
                </c:pt>
                <c:pt idx="31">
                  <c:v>6.6849999999999996</c:v>
                </c:pt>
                <c:pt idx="32">
                  <c:v>6.774</c:v>
                </c:pt>
                <c:pt idx="33">
                  <c:v>6.7850000000000001</c:v>
                </c:pt>
                <c:pt idx="34">
                  <c:v>6.72</c:v>
                </c:pt>
                <c:pt idx="35">
                  <c:v>6.7949999999999999</c:v>
                </c:pt>
                <c:pt idx="36">
                  <c:v>7.0439999999999996</c:v>
                </c:pt>
                <c:pt idx="37">
                  <c:v>7.1859999999999999</c:v>
                </c:pt>
                <c:pt idx="38">
                  <c:v>6.8490000000000002</c:v>
                </c:pt>
                <c:pt idx="39">
                  <c:v>6.2510000000000003</c:v>
                </c:pt>
                <c:pt idx="40">
                  <c:v>5.7859999999999996</c:v>
                </c:pt>
                <c:pt idx="41">
                  <c:v>5.7709999999999999</c:v>
                </c:pt>
                <c:pt idx="42">
                  <c:v>6.2190000000000003</c:v>
                </c:pt>
                <c:pt idx="43">
                  <c:v>6.8479999999999999</c:v>
                </c:pt>
                <c:pt idx="44">
                  <c:v>7.2320000000000002</c:v>
                </c:pt>
                <c:pt idx="45">
                  <c:v>7.298</c:v>
                </c:pt>
                <c:pt idx="46">
                  <c:v>7.51</c:v>
                </c:pt>
                <c:pt idx="47">
                  <c:v>7.78</c:v>
                </c:pt>
                <c:pt idx="48">
                  <c:v>7.8869999999999996</c:v>
                </c:pt>
                <c:pt idx="49">
                  <c:v>7.766</c:v>
                </c:pt>
                <c:pt idx="50">
                  <c:v>7.6349999999999998</c:v>
                </c:pt>
                <c:pt idx="51">
                  <c:v>7.6669999999999998</c:v>
                </c:pt>
                <c:pt idx="52">
                  <c:v>7.7729999999999997</c:v>
                </c:pt>
                <c:pt idx="53">
                  <c:v>7.851</c:v>
                </c:pt>
                <c:pt idx="54">
                  <c:v>8.2080000000000002</c:v>
                </c:pt>
                <c:pt idx="55">
                  <c:v>8.5990000000000002</c:v>
                </c:pt>
                <c:pt idx="56">
                  <c:v>8.7260000000000009</c:v>
                </c:pt>
                <c:pt idx="57">
                  <c:v>8.6669999999999998</c:v>
                </c:pt>
                <c:pt idx="58">
                  <c:v>8.7100000000000009</c:v>
                </c:pt>
                <c:pt idx="59">
                  <c:v>9.0050000000000008</c:v>
                </c:pt>
                <c:pt idx="60">
                  <c:v>9.2560000000000002</c:v>
                </c:pt>
                <c:pt idx="61">
                  <c:v>9.3079999999999998</c:v>
                </c:pt>
                <c:pt idx="62">
                  <c:v>9.3670000000000009</c:v>
                </c:pt>
                <c:pt idx="63">
                  <c:v>9.4339999999999993</c:v>
                </c:pt>
                <c:pt idx="64">
                  <c:v>9.452</c:v>
                </c:pt>
                <c:pt idx="65">
                  <c:v>9.5749999999999993</c:v>
                </c:pt>
                <c:pt idx="66">
                  <c:v>9.7479999999999993</c:v>
                </c:pt>
                <c:pt idx="67">
                  <c:v>10.026999999999999</c:v>
                </c:pt>
                <c:pt idx="68">
                  <c:v>10.147</c:v>
                </c:pt>
                <c:pt idx="69">
                  <c:v>9.8949999999999996</c:v>
                </c:pt>
                <c:pt idx="70">
                  <c:v>9.3089999999999993</c:v>
                </c:pt>
                <c:pt idx="71">
                  <c:v>8.484</c:v>
                </c:pt>
                <c:pt idx="72">
                  <c:v>7.7030000000000003</c:v>
                </c:pt>
                <c:pt idx="73">
                  <c:v>7.4139999999999997</c:v>
                </c:pt>
                <c:pt idx="74">
                  <c:v>7.7460000000000004</c:v>
                </c:pt>
                <c:pt idx="75">
                  <c:v>8.6340000000000003</c:v>
                </c:pt>
                <c:pt idx="76">
                  <c:v>9.6210000000000004</c:v>
                </c:pt>
                <c:pt idx="77">
                  <c:v>10.195</c:v>
                </c:pt>
                <c:pt idx="78">
                  <c:v>10.273999999999999</c:v>
                </c:pt>
                <c:pt idx="79">
                  <c:v>10.08</c:v>
                </c:pt>
                <c:pt idx="80">
                  <c:v>10.004</c:v>
                </c:pt>
                <c:pt idx="81">
                  <c:v>10.103999999999999</c:v>
                </c:pt>
                <c:pt idx="82">
                  <c:v>10.297000000000001</c:v>
                </c:pt>
                <c:pt idx="83">
                  <c:v>10.518000000000001</c:v>
                </c:pt>
                <c:pt idx="84">
                  <c:v>10.648</c:v>
                </c:pt>
                <c:pt idx="85">
                  <c:v>10.547000000000001</c:v>
                </c:pt>
                <c:pt idx="86">
                  <c:v>10.068</c:v>
                </c:pt>
                <c:pt idx="87">
                  <c:v>9.3659999999999997</c:v>
                </c:pt>
                <c:pt idx="88">
                  <c:v>8.8650000000000002</c:v>
                </c:pt>
                <c:pt idx="89">
                  <c:v>8.6820000000000004</c:v>
                </c:pt>
                <c:pt idx="90">
                  <c:v>8.67</c:v>
                </c:pt>
                <c:pt idx="91">
                  <c:v>8.8079999999999998</c:v>
                </c:pt>
                <c:pt idx="92">
                  <c:v>9.1859999999999999</c:v>
                </c:pt>
                <c:pt idx="93">
                  <c:v>9.8559999999999999</c:v>
                </c:pt>
                <c:pt idx="94">
                  <c:v>10.651999999999999</c:v>
                </c:pt>
                <c:pt idx="95">
                  <c:v>11.263</c:v>
                </c:pt>
                <c:pt idx="96">
                  <c:v>11.39</c:v>
                </c:pt>
                <c:pt idx="97">
                  <c:v>11.241</c:v>
                </c:pt>
                <c:pt idx="98">
                  <c:v>11.164</c:v>
                </c:pt>
                <c:pt idx="99">
                  <c:v>11.225</c:v>
                </c:pt>
                <c:pt idx="100">
                  <c:v>11.195</c:v>
                </c:pt>
                <c:pt idx="101">
                  <c:v>11.01</c:v>
                </c:pt>
                <c:pt idx="102">
                  <c:v>10.983000000000001</c:v>
                </c:pt>
                <c:pt idx="103">
                  <c:v>11.231999999999999</c:v>
                </c:pt>
                <c:pt idx="104">
                  <c:v>11.496</c:v>
                </c:pt>
                <c:pt idx="105">
                  <c:v>11.632</c:v>
                </c:pt>
                <c:pt idx="106">
                  <c:v>11.662000000000001</c:v>
                </c:pt>
                <c:pt idx="107">
                  <c:v>11.676</c:v>
                </c:pt>
                <c:pt idx="108">
                  <c:v>11.686</c:v>
                </c:pt>
                <c:pt idx="109">
                  <c:v>11.638</c:v>
                </c:pt>
                <c:pt idx="110">
                  <c:v>11.502000000000001</c:v>
                </c:pt>
                <c:pt idx="111">
                  <c:v>11.31</c:v>
                </c:pt>
                <c:pt idx="112">
                  <c:v>11.351000000000001</c:v>
                </c:pt>
                <c:pt idx="113">
                  <c:v>11.587999999999999</c:v>
                </c:pt>
                <c:pt idx="114">
                  <c:v>11.773</c:v>
                </c:pt>
                <c:pt idx="115">
                  <c:v>11.815</c:v>
                </c:pt>
                <c:pt idx="116">
                  <c:v>11.779</c:v>
                </c:pt>
                <c:pt idx="117">
                  <c:v>11.712</c:v>
                </c:pt>
                <c:pt idx="118">
                  <c:v>11.602</c:v>
                </c:pt>
                <c:pt idx="119">
                  <c:v>11.577999999999999</c:v>
                </c:pt>
                <c:pt idx="120">
                  <c:v>11.856999999999999</c:v>
                </c:pt>
                <c:pt idx="121">
                  <c:v>12.054</c:v>
                </c:pt>
                <c:pt idx="122">
                  <c:v>11.831</c:v>
                </c:pt>
                <c:pt idx="123">
                  <c:v>11.260999999999999</c:v>
                </c:pt>
                <c:pt idx="124">
                  <c:v>10.839</c:v>
                </c:pt>
                <c:pt idx="125">
                  <c:v>10.765000000000001</c:v>
                </c:pt>
                <c:pt idx="126">
                  <c:v>10.928000000000001</c:v>
                </c:pt>
                <c:pt idx="127">
                  <c:v>11.337999999999999</c:v>
                </c:pt>
                <c:pt idx="128">
                  <c:v>11.89</c:v>
                </c:pt>
                <c:pt idx="129">
                  <c:v>12.359</c:v>
                </c:pt>
                <c:pt idx="130">
                  <c:v>12.403</c:v>
                </c:pt>
                <c:pt idx="131">
                  <c:v>12.03</c:v>
                </c:pt>
                <c:pt idx="132">
                  <c:v>11.654999999999999</c:v>
                </c:pt>
                <c:pt idx="133">
                  <c:v>11.503</c:v>
                </c:pt>
                <c:pt idx="134">
                  <c:v>11.397</c:v>
                </c:pt>
                <c:pt idx="135">
                  <c:v>11.21</c:v>
                </c:pt>
                <c:pt idx="136">
                  <c:v>10.920999999999999</c:v>
                </c:pt>
                <c:pt idx="137">
                  <c:v>10.679</c:v>
                </c:pt>
              </c:numCache>
            </c:numRef>
          </c:val>
          <c:smooth val="0"/>
        </c:ser>
        <c:dLbls>
          <c:showLegendKey val="0"/>
          <c:showVal val="0"/>
          <c:showCatName val="0"/>
          <c:showSerName val="0"/>
          <c:showPercent val="0"/>
          <c:showBubbleSize val="0"/>
        </c:dLbls>
        <c:marker val="1"/>
        <c:smooth val="0"/>
        <c:axId val="491325160"/>
        <c:axId val="491324768"/>
      </c:lineChart>
      <c:dateAx>
        <c:axId val="491322416"/>
        <c:scaling>
          <c:orientation val="minMax"/>
        </c:scaling>
        <c:delete val="0"/>
        <c:axPos val="b"/>
        <c:numFmt formatCode="yyyy" sourceLinked="0"/>
        <c:majorTickMark val="out"/>
        <c:minorTickMark val="none"/>
        <c:tickLblPos val="nextTo"/>
        <c:spPr>
          <a:ln>
            <a:solidFill>
              <a:srgbClr val="BFBFBF"/>
            </a:solidFill>
          </a:ln>
        </c:spPr>
        <c:crossAx val="491324376"/>
        <c:crosses val="autoZero"/>
        <c:auto val="1"/>
        <c:lblOffset val="100"/>
        <c:baseTimeUnit val="months"/>
        <c:majorUnit val="8"/>
        <c:majorTimeUnit val="years"/>
      </c:dateAx>
      <c:valAx>
        <c:axId val="491324376"/>
        <c:scaling>
          <c:orientation val="minMax"/>
        </c:scaling>
        <c:delete val="0"/>
        <c:axPos val="l"/>
        <c:title>
          <c:tx>
            <c:rich>
              <a:bodyPr/>
              <a:lstStyle/>
              <a:p>
                <a:pPr>
                  <a:defRPr/>
                </a:pPr>
                <a:r>
                  <a:rPr lang="en-AU"/>
                  <a:t>Employment</a:t>
                </a:r>
                <a:r>
                  <a:rPr lang="en-AU" baseline="0"/>
                  <a:t> ('000s)</a:t>
                </a:r>
                <a:endParaRPr lang="en-AU"/>
              </a:p>
            </c:rich>
          </c:tx>
          <c:layout/>
          <c:overlay val="0"/>
        </c:title>
        <c:numFmt formatCode="General" sourceLinked="1"/>
        <c:majorTickMark val="out"/>
        <c:minorTickMark val="none"/>
        <c:tickLblPos val="nextTo"/>
        <c:spPr>
          <a:ln>
            <a:solidFill>
              <a:srgbClr val="BFBFBF"/>
            </a:solidFill>
          </a:ln>
        </c:spPr>
        <c:crossAx val="491322416"/>
        <c:crosses val="autoZero"/>
        <c:crossBetween val="midCat"/>
        <c:majorUnit val="100"/>
      </c:valAx>
      <c:valAx>
        <c:axId val="491324768"/>
        <c:scaling>
          <c:orientation val="minMax"/>
          <c:max val="20"/>
        </c:scaling>
        <c:delete val="0"/>
        <c:axPos val="r"/>
        <c:title>
          <c:tx>
            <c:rich>
              <a:bodyPr/>
              <a:lstStyle/>
              <a:p>
                <a:pPr>
                  <a:defRPr/>
                </a:pPr>
                <a:r>
                  <a:rPr lang="en-AU"/>
                  <a:t>Value added ($ billion)</a:t>
                </a:r>
              </a:p>
            </c:rich>
          </c:tx>
          <c:layout/>
          <c:overlay val="0"/>
        </c:title>
        <c:numFmt formatCode="General" sourceLinked="1"/>
        <c:majorTickMark val="out"/>
        <c:minorTickMark val="none"/>
        <c:tickLblPos val="nextTo"/>
        <c:crossAx val="491325160"/>
        <c:crosses val="max"/>
        <c:crossBetween val="between"/>
        <c:majorUnit val="4"/>
      </c:valAx>
      <c:dateAx>
        <c:axId val="491325160"/>
        <c:scaling>
          <c:orientation val="minMax"/>
        </c:scaling>
        <c:delete val="1"/>
        <c:axPos val="b"/>
        <c:numFmt formatCode="mmm\-yyyy" sourceLinked="1"/>
        <c:majorTickMark val="out"/>
        <c:minorTickMark val="none"/>
        <c:tickLblPos val="nextTo"/>
        <c:crossAx val="491324768"/>
        <c:crosses val="autoZero"/>
        <c:auto val="1"/>
        <c:lblOffset val="100"/>
        <c:baseTimeUnit val="months"/>
      </c:dateAx>
      <c:spPr>
        <a:noFill/>
        <a:ln>
          <a:noFill/>
        </a:ln>
      </c:spPr>
    </c:plotArea>
    <c:plotVisOnly val="1"/>
    <c:dispBlanksAs val="gap"/>
    <c:showDLblsOverMax val="0"/>
  </c:chart>
  <c:spPr>
    <a:ln>
      <a:noFill/>
    </a:ln>
  </c:spPr>
  <c:txPr>
    <a:bodyPr/>
    <a:lstStyle/>
    <a:p>
      <a:pPr>
        <a:defRPr sz="900" spc="20" baseline="0">
          <a:latin typeface="Arial" pitchFamily="3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725825694075631"/>
          <c:y val="6.3657407407407413E-2"/>
          <c:w val="0.63636325151438189"/>
          <c:h val="0.78820991790919748"/>
        </c:manualLayout>
      </c:layout>
      <c:lineChart>
        <c:grouping val="standard"/>
        <c:varyColors val="0"/>
        <c:ser>
          <c:idx val="0"/>
          <c:order val="0"/>
          <c:tx>
            <c:v>Employment</c:v>
          </c:tx>
          <c:spPr>
            <a:ln>
              <a:solidFill>
                <a:srgbClr val="66BCDB"/>
              </a:solidFill>
            </a:ln>
          </c:spPr>
          <c:marker>
            <c:symbol val="none"/>
          </c:marker>
          <c:cat>
            <c:numRef>
              <c:f>'Sheet1 (2)'!$A$5:$A$143</c:f>
              <c:numCache>
                <c:formatCode>mmm\-yyyy</c:formatCode>
                <c:ptCount val="139"/>
                <c:pt idx="1">
                  <c:v>31079</c:v>
                </c:pt>
                <c:pt idx="2">
                  <c:v>31168</c:v>
                </c:pt>
                <c:pt idx="3">
                  <c:v>31260</c:v>
                </c:pt>
                <c:pt idx="4">
                  <c:v>31352</c:v>
                </c:pt>
                <c:pt idx="5">
                  <c:v>31444</c:v>
                </c:pt>
                <c:pt idx="6">
                  <c:v>31533</c:v>
                </c:pt>
                <c:pt idx="7">
                  <c:v>31625</c:v>
                </c:pt>
                <c:pt idx="8">
                  <c:v>31717</c:v>
                </c:pt>
                <c:pt idx="9">
                  <c:v>31809</c:v>
                </c:pt>
                <c:pt idx="10">
                  <c:v>31898</c:v>
                </c:pt>
                <c:pt idx="11">
                  <c:v>31990</c:v>
                </c:pt>
                <c:pt idx="12">
                  <c:v>32082</c:v>
                </c:pt>
                <c:pt idx="13">
                  <c:v>32174</c:v>
                </c:pt>
                <c:pt idx="14">
                  <c:v>32264</c:v>
                </c:pt>
                <c:pt idx="15">
                  <c:v>32356</c:v>
                </c:pt>
                <c:pt idx="16">
                  <c:v>32448</c:v>
                </c:pt>
                <c:pt idx="17">
                  <c:v>32540</c:v>
                </c:pt>
                <c:pt idx="18">
                  <c:v>32629</c:v>
                </c:pt>
                <c:pt idx="19">
                  <c:v>32721</c:v>
                </c:pt>
                <c:pt idx="20">
                  <c:v>32813</c:v>
                </c:pt>
                <c:pt idx="21">
                  <c:v>32905</c:v>
                </c:pt>
                <c:pt idx="22">
                  <c:v>32994</c:v>
                </c:pt>
                <c:pt idx="23">
                  <c:v>33086</c:v>
                </c:pt>
                <c:pt idx="24">
                  <c:v>33178</c:v>
                </c:pt>
                <c:pt idx="25">
                  <c:v>33270</c:v>
                </c:pt>
                <c:pt idx="26">
                  <c:v>33359</c:v>
                </c:pt>
                <c:pt idx="27">
                  <c:v>33451</c:v>
                </c:pt>
                <c:pt idx="28">
                  <c:v>33543</c:v>
                </c:pt>
                <c:pt idx="29">
                  <c:v>33635</c:v>
                </c:pt>
                <c:pt idx="30">
                  <c:v>33725</c:v>
                </c:pt>
                <c:pt idx="31">
                  <c:v>33817</c:v>
                </c:pt>
                <c:pt idx="32">
                  <c:v>33909</c:v>
                </c:pt>
                <c:pt idx="33">
                  <c:v>34001</c:v>
                </c:pt>
                <c:pt idx="34">
                  <c:v>34090</c:v>
                </c:pt>
                <c:pt idx="35">
                  <c:v>34182</c:v>
                </c:pt>
                <c:pt idx="36">
                  <c:v>34274</c:v>
                </c:pt>
                <c:pt idx="37">
                  <c:v>34366</c:v>
                </c:pt>
                <c:pt idx="38">
                  <c:v>34455</c:v>
                </c:pt>
                <c:pt idx="39">
                  <c:v>34547</c:v>
                </c:pt>
                <c:pt idx="40">
                  <c:v>34639</c:v>
                </c:pt>
                <c:pt idx="41">
                  <c:v>34731</c:v>
                </c:pt>
                <c:pt idx="42">
                  <c:v>34820</c:v>
                </c:pt>
                <c:pt idx="43">
                  <c:v>34912</c:v>
                </c:pt>
                <c:pt idx="44">
                  <c:v>35004</c:v>
                </c:pt>
                <c:pt idx="45">
                  <c:v>35096</c:v>
                </c:pt>
                <c:pt idx="46">
                  <c:v>35186</c:v>
                </c:pt>
                <c:pt idx="47">
                  <c:v>35278</c:v>
                </c:pt>
                <c:pt idx="48">
                  <c:v>35370</c:v>
                </c:pt>
                <c:pt idx="49">
                  <c:v>35462</c:v>
                </c:pt>
                <c:pt idx="50">
                  <c:v>35551</c:v>
                </c:pt>
                <c:pt idx="51">
                  <c:v>35643</c:v>
                </c:pt>
                <c:pt idx="52">
                  <c:v>35735</c:v>
                </c:pt>
                <c:pt idx="53">
                  <c:v>35827</c:v>
                </c:pt>
                <c:pt idx="54">
                  <c:v>35916</c:v>
                </c:pt>
                <c:pt idx="55">
                  <c:v>36008</c:v>
                </c:pt>
                <c:pt idx="56">
                  <c:v>36100</c:v>
                </c:pt>
                <c:pt idx="57">
                  <c:v>36192</c:v>
                </c:pt>
                <c:pt idx="58">
                  <c:v>36281</c:v>
                </c:pt>
                <c:pt idx="59">
                  <c:v>36373</c:v>
                </c:pt>
                <c:pt idx="60">
                  <c:v>36465</c:v>
                </c:pt>
                <c:pt idx="61">
                  <c:v>36557</c:v>
                </c:pt>
                <c:pt idx="62">
                  <c:v>36647</c:v>
                </c:pt>
                <c:pt idx="63">
                  <c:v>36739</c:v>
                </c:pt>
                <c:pt idx="64">
                  <c:v>36831</c:v>
                </c:pt>
                <c:pt idx="65">
                  <c:v>36923</c:v>
                </c:pt>
                <c:pt idx="66">
                  <c:v>37012</c:v>
                </c:pt>
                <c:pt idx="67">
                  <c:v>37104</c:v>
                </c:pt>
                <c:pt idx="68">
                  <c:v>37196</c:v>
                </c:pt>
                <c:pt idx="69">
                  <c:v>37288</c:v>
                </c:pt>
                <c:pt idx="70">
                  <c:v>37377</c:v>
                </c:pt>
                <c:pt idx="71">
                  <c:v>37469</c:v>
                </c:pt>
                <c:pt idx="72">
                  <c:v>37561</c:v>
                </c:pt>
                <c:pt idx="73">
                  <c:v>37653</c:v>
                </c:pt>
                <c:pt idx="74">
                  <c:v>37742</c:v>
                </c:pt>
                <c:pt idx="75">
                  <c:v>37834</c:v>
                </c:pt>
                <c:pt idx="76">
                  <c:v>37926</c:v>
                </c:pt>
                <c:pt idx="77">
                  <c:v>38018</c:v>
                </c:pt>
                <c:pt idx="78">
                  <c:v>38108</c:v>
                </c:pt>
                <c:pt idx="79">
                  <c:v>38200</c:v>
                </c:pt>
                <c:pt idx="80">
                  <c:v>38292</c:v>
                </c:pt>
                <c:pt idx="81">
                  <c:v>38384</c:v>
                </c:pt>
                <c:pt idx="82">
                  <c:v>38473</c:v>
                </c:pt>
                <c:pt idx="83">
                  <c:v>38565</c:v>
                </c:pt>
                <c:pt idx="84">
                  <c:v>38657</c:v>
                </c:pt>
                <c:pt idx="85">
                  <c:v>38749</c:v>
                </c:pt>
                <c:pt idx="86">
                  <c:v>38838</c:v>
                </c:pt>
                <c:pt idx="87">
                  <c:v>38930</c:v>
                </c:pt>
                <c:pt idx="88">
                  <c:v>39022</c:v>
                </c:pt>
                <c:pt idx="89">
                  <c:v>39114</c:v>
                </c:pt>
                <c:pt idx="90">
                  <c:v>39203</c:v>
                </c:pt>
                <c:pt idx="91">
                  <c:v>39295</c:v>
                </c:pt>
                <c:pt idx="92">
                  <c:v>39387</c:v>
                </c:pt>
                <c:pt idx="93">
                  <c:v>39479</c:v>
                </c:pt>
                <c:pt idx="94">
                  <c:v>39569</c:v>
                </c:pt>
                <c:pt idx="95">
                  <c:v>39661</c:v>
                </c:pt>
                <c:pt idx="96">
                  <c:v>39753</c:v>
                </c:pt>
                <c:pt idx="97">
                  <c:v>39845</c:v>
                </c:pt>
                <c:pt idx="98">
                  <c:v>39934</c:v>
                </c:pt>
                <c:pt idx="99">
                  <c:v>40026</c:v>
                </c:pt>
                <c:pt idx="100">
                  <c:v>40118</c:v>
                </c:pt>
                <c:pt idx="101">
                  <c:v>40210</c:v>
                </c:pt>
                <c:pt idx="102">
                  <c:v>40299</c:v>
                </c:pt>
                <c:pt idx="103">
                  <c:v>40391</c:v>
                </c:pt>
                <c:pt idx="104">
                  <c:v>40483</c:v>
                </c:pt>
                <c:pt idx="105">
                  <c:v>40575</c:v>
                </c:pt>
                <c:pt idx="106">
                  <c:v>40664</c:v>
                </c:pt>
                <c:pt idx="107">
                  <c:v>40756</c:v>
                </c:pt>
                <c:pt idx="108">
                  <c:v>40848</c:v>
                </c:pt>
                <c:pt idx="109">
                  <c:v>40940</c:v>
                </c:pt>
                <c:pt idx="110">
                  <c:v>41030</c:v>
                </c:pt>
                <c:pt idx="111">
                  <c:v>41122</c:v>
                </c:pt>
                <c:pt idx="112">
                  <c:v>41214</c:v>
                </c:pt>
                <c:pt idx="113">
                  <c:v>41306</c:v>
                </c:pt>
                <c:pt idx="114">
                  <c:v>41395</c:v>
                </c:pt>
                <c:pt idx="115">
                  <c:v>41487</c:v>
                </c:pt>
                <c:pt idx="116">
                  <c:v>41579</c:v>
                </c:pt>
                <c:pt idx="117">
                  <c:v>41671</c:v>
                </c:pt>
                <c:pt idx="118">
                  <c:v>41760</c:v>
                </c:pt>
                <c:pt idx="119">
                  <c:v>41852</c:v>
                </c:pt>
                <c:pt idx="120">
                  <c:v>41944</c:v>
                </c:pt>
                <c:pt idx="121">
                  <c:v>42036</c:v>
                </c:pt>
                <c:pt idx="122">
                  <c:v>42125</c:v>
                </c:pt>
                <c:pt idx="123">
                  <c:v>42217</c:v>
                </c:pt>
                <c:pt idx="124">
                  <c:v>42309</c:v>
                </c:pt>
                <c:pt idx="125">
                  <c:v>42401</c:v>
                </c:pt>
                <c:pt idx="126">
                  <c:v>42491</c:v>
                </c:pt>
                <c:pt idx="127">
                  <c:v>42583</c:v>
                </c:pt>
                <c:pt idx="128">
                  <c:v>42675</c:v>
                </c:pt>
                <c:pt idx="129">
                  <c:v>42767</c:v>
                </c:pt>
                <c:pt idx="130">
                  <c:v>42856</c:v>
                </c:pt>
                <c:pt idx="131">
                  <c:v>42948</c:v>
                </c:pt>
                <c:pt idx="132">
                  <c:v>43040</c:v>
                </c:pt>
                <c:pt idx="133">
                  <c:v>43132</c:v>
                </c:pt>
                <c:pt idx="134">
                  <c:v>43221</c:v>
                </c:pt>
                <c:pt idx="135">
                  <c:v>43313</c:v>
                </c:pt>
                <c:pt idx="136">
                  <c:v>43405</c:v>
                </c:pt>
                <c:pt idx="137">
                  <c:v>43497</c:v>
                </c:pt>
                <c:pt idx="138">
                  <c:v>43586</c:v>
                </c:pt>
              </c:numCache>
            </c:numRef>
          </c:cat>
          <c:val>
            <c:numRef>
              <c:f>'Sheet1 (2)'!$D$5:$D$143</c:f>
              <c:numCache>
                <c:formatCode>General</c:formatCode>
                <c:ptCount val="139"/>
                <c:pt idx="1">
                  <c:v>1088.8069800999999</c:v>
                </c:pt>
                <c:pt idx="2">
                  <c:v>1081.5413309999999</c:v>
                </c:pt>
                <c:pt idx="3">
                  <c:v>1078.3892906999999</c:v>
                </c:pt>
                <c:pt idx="4">
                  <c:v>1083.2623461999999</c:v>
                </c:pt>
                <c:pt idx="5">
                  <c:v>1089.2715935000001</c:v>
                </c:pt>
                <c:pt idx="6">
                  <c:v>1086.9588291</c:v>
                </c:pt>
                <c:pt idx="7">
                  <c:v>1077.2940366</c:v>
                </c:pt>
                <c:pt idx="8">
                  <c:v>1070.4085654</c:v>
                </c:pt>
                <c:pt idx="9">
                  <c:v>1073.5146534</c:v>
                </c:pt>
                <c:pt idx="10">
                  <c:v>1086.0003723</c:v>
                </c:pt>
                <c:pt idx="11">
                  <c:v>1099.9175184999999</c:v>
                </c:pt>
                <c:pt idx="12">
                  <c:v>1108.6505367</c:v>
                </c:pt>
                <c:pt idx="13">
                  <c:v>1113.2920826</c:v>
                </c:pt>
                <c:pt idx="14">
                  <c:v>1117.9894357000001</c:v>
                </c:pt>
                <c:pt idx="15">
                  <c:v>1125.9356792999999</c:v>
                </c:pt>
                <c:pt idx="16">
                  <c:v>1139.1193857000001</c:v>
                </c:pt>
                <c:pt idx="17">
                  <c:v>1154.2396331</c:v>
                </c:pt>
                <c:pt idx="18">
                  <c:v>1165.2929518000001</c:v>
                </c:pt>
                <c:pt idx="19">
                  <c:v>1166.9208638</c:v>
                </c:pt>
                <c:pt idx="20">
                  <c:v>1158.6559976000001</c:v>
                </c:pt>
                <c:pt idx="21">
                  <c:v>1147.9597384000001</c:v>
                </c:pt>
                <c:pt idx="22">
                  <c:v>1138.0650876</c:v>
                </c:pt>
                <c:pt idx="23">
                  <c:v>1125.7272301999999</c:v>
                </c:pt>
                <c:pt idx="24">
                  <c:v>1105.6693514999999</c:v>
                </c:pt>
                <c:pt idx="25">
                  <c:v>1079.9664540000001</c:v>
                </c:pt>
                <c:pt idx="26">
                  <c:v>1058.2318497000001</c:v>
                </c:pt>
                <c:pt idx="27">
                  <c:v>1046.8356573999999</c:v>
                </c:pt>
                <c:pt idx="28">
                  <c:v>1044.7689183</c:v>
                </c:pt>
                <c:pt idx="29">
                  <c:v>1045.9315655</c:v>
                </c:pt>
                <c:pt idx="30">
                  <c:v>1045.8558860999999</c:v>
                </c:pt>
                <c:pt idx="31">
                  <c:v>1044.3501180999999</c:v>
                </c:pt>
                <c:pt idx="32">
                  <c:v>1041.9703024</c:v>
                </c:pt>
                <c:pt idx="33">
                  <c:v>1036.2747786</c:v>
                </c:pt>
                <c:pt idx="34">
                  <c:v>1030.6945591000001</c:v>
                </c:pt>
                <c:pt idx="35">
                  <c:v>1029.9986517</c:v>
                </c:pt>
                <c:pt idx="36">
                  <c:v>1039.0042489</c:v>
                </c:pt>
                <c:pt idx="37">
                  <c:v>1054.9820923</c:v>
                </c:pt>
                <c:pt idx="38">
                  <c:v>1070.1098004</c:v>
                </c:pt>
                <c:pt idx="39">
                  <c:v>1078.2789753</c:v>
                </c:pt>
                <c:pt idx="40">
                  <c:v>1079.7433837999999</c:v>
                </c:pt>
                <c:pt idx="41">
                  <c:v>1077.7857535000001</c:v>
                </c:pt>
                <c:pt idx="42">
                  <c:v>1074.3460795999999</c:v>
                </c:pt>
                <c:pt idx="43">
                  <c:v>1069.2280776</c:v>
                </c:pt>
                <c:pt idx="44">
                  <c:v>1064.3122142</c:v>
                </c:pt>
                <c:pt idx="45">
                  <c:v>1061.8633895999999</c:v>
                </c:pt>
                <c:pt idx="46">
                  <c:v>1062.9200118000001</c:v>
                </c:pt>
                <c:pt idx="47">
                  <c:v>1068.8187499999999</c:v>
                </c:pt>
                <c:pt idx="48">
                  <c:v>1075.7170951999999</c:v>
                </c:pt>
                <c:pt idx="49">
                  <c:v>1082.453514</c:v>
                </c:pt>
                <c:pt idx="50">
                  <c:v>1086.6698504000001</c:v>
                </c:pt>
                <c:pt idx="51">
                  <c:v>1086.6276826000001</c:v>
                </c:pt>
                <c:pt idx="52">
                  <c:v>1078.6227518000001</c:v>
                </c:pt>
                <c:pt idx="53">
                  <c:v>1065.3565742000001</c:v>
                </c:pt>
                <c:pt idx="54">
                  <c:v>1051.8852488</c:v>
                </c:pt>
                <c:pt idx="55">
                  <c:v>1041.2203363000001</c:v>
                </c:pt>
                <c:pt idx="56">
                  <c:v>1032.9079377999999</c:v>
                </c:pt>
                <c:pt idx="57">
                  <c:v>1024.2756417999999</c:v>
                </c:pt>
                <c:pt idx="58">
                  <c:v>1018.1537484</c:v>
                </c:pt>
                <c:pt idx="59">
                  <c:v>1017.6540023</c:v>
                </c:pt>
                <c:pt idx="60">
                  <c:v>1021.9469991</c:v>
                </c:pt>
                <c:pt idx="61">
                  <c:v>1063.3355624000001</c:v>
                </c:pt>
                <c:pt idx="62">
                  <c:v>1071.9248548999999</c:v>
                </c:pt>
                <c:pt idx="63">
                  <c:v>1073.6959268999999</c:v>
                </c:pt>
                <c:pt idx="64">
                  <c:v>1069.8376182</c:v>
                </c:pt>
                <c:pt idx="65">
                  <c:v>1058.8294162</c:v>
                </c:pt>
                <c:pt idx="66">
                  <c:v>1045.8421980000001</c:v>
                </c:pt>
                <c:pt idx="67">
                  <c:v>1034.9918402000001</c:v>
                </c:pt>
                <c:pt idx="68">
                  <c:v>1030.8185911</c:v>
                </c:pt>
                <c:pt idx="69">
                  <c:v>1036.4282493000001</c:v>
                </c:pt>
                <c:pt idx="70">
                  <c:v>1049.5077266999999</c:v>
                </c:pt>
                <c:pt idx="71">
                  <c:v>1064.6968116999999</c:v>
                </c:pt>
                <c:pt idx="72">
                  <c:v>1073.0287381000001</c:v>
                </c:pt>
                <c:pt idx="73">
                  <c:v>1066.3886769999999</c:v>
                </c:pt>
                <c:pt idx="74">
                  <c:v>1046.9519485000001</c:v>
                </c:pt>
                <c:pt idx="75">
                  <c:v>1026.1265899</c:v>
                </c:pt>
                <c:pt idx="76">
                  <c:v>1017.3991215</c:v>
                </c:pt>
                <c:pt idx="77">
                  <c:v>1025.1895052</c:v>
                </c:pt>
                <c:pt idx="78">
                  <c:v>1040.4884665</c:v>
                </c:pt>
                <c:pt idx="79">
                  <c:v>1050.9167814</c:v>
                </c:pt>
                <c:pt idx="80">
                  <c:v>1048.1102695</c:v>
                </c:pt>
                <c:pt idx="81">
                  <c:v>1036.7214054999999</c:v>
                </c:pt>
                <c:pt idx="82">
                  <c:v>1026.3222885</c:v>
                </c:pt>
                <c:pt idx="83">
                  <c:v>1020.6596632</c:v>
                </c:pt>
                <c:pt idx="84">
                  <c:v>1017.4886688</c:v>
                </c:pt>
                <c:pt idx="85">
                  <c:v>1015.1490512</c:v>
                </c:pt>
                <c:pt idx="86">
                  <c:v>1012.0184076</c:v>
                </c:pt>
                <c:pt idx="87">
                  <c:v>1008.8044908000001</c:v>
                </c:pt>
                <c:pt idx="88">
                  <c:v>1009.8597612999999</c:v>
                </c:pt>
                <c:pt idx="89">
                  <c:v>1014.8212140000001</c:v>
                </c:pt>
                <c:pt idx="90">
                  <c:v>1023.3907101999999</c:v>
                </c:pt>
                <c:pt idx="91">
                  <c:v>1035.3927314</c:v>
                </c:pt>
                <c:pt idx="92">
                  <c:v>1049.163824</c:v>
                </c:pt>
                <c:pt idx="93">
                  <c:v>1059.2259858</c:v>
                </c:pt>
                <c:pt idx="94">
                  <c:v>1058.1576778000001</c:v>
                </c:pt>
                <c:pt idx="95">
                  <c:v>1043.1849600999999</c:v>
                </c:pt>
                <c:pt idx="96">
                  <c:v>1022.406886</c:v>
                </c:pt>
                <c:pt idx="97">
                  <c:v>1006.092035</c:v>
                </c:pt>
                <c:pt idx="98">
                  <c:v>997.08888709999997</c:v>
                </c:pt>
                <c:pt idx="99">
                  <c:v>993.26306469999997</c:v>
                </c:pt>
                <c:pt idx="100">
                  <c:v>988.33208320000006</c:v>
                </c:pt>
                <c:pt idx="101">
                  <c:v>982.55389400000001</c:v>
                </c:pt>
                <c:pt idx="102">
                  <c:v>979.41759130000003</c:v>
                </c:pt>
                <c:pt idx="103">
                  <c:v>979.22132680000004</c:v>
                </c:pt>
                <c:pt idx="104">
                  <c:v>977.89075300000002</c:v>
                </c:pt>
                <c:pt idx="105">
                  <c:v>968.62838369999997</c:v>
                </c:pt>
                <c:pt idx="106">
                  <c:v>952.03691360000005</c:v>
                </c:pt>
                <c:pt idx="107">
                  <c:v>940.33263350000004</c:v>
                </c:pt>
                <c:pt idx="108">
                  <c:v>937.06665629999998</c:v>
                </c:pt>
                <c:pt idx="109">
                  <c:v>941.97520650000001</c:v>
                </c:pt>
                <c:pt idx="110">
                  <c:v>949.14962930000002</c:v>
                </c:pt>
                <c:pt idx="111">
                  <c:v>947.84985340000003</c:v>
                </c:pt>
                <c:pt idx="112">
                  <c:v>938.28508109999996</c:v>
                </c:pt>
                <c:pt idx="113">
                  <c:v>924.12344350000001</c:v>
                </c:pt>
                <c:pt idx="114">
                  <c:v>917.56038599999999</c:v>
                </c:pt>
                <c:pt idx="115">
                  <c:v>922.10690790000001</c:v>
                </c:pt>
                <c:pt idx="116">
                  <c:v>927.56165999999996</c:v>
                </c:pt>
                <c:pt idx="117">
                  <c:v>925.88316599999996</c:v>
                </c:pt>
                <c:pt idx="118">
                  <c:v>919.66578340000001</c:v>
                </c:pt>
                <c:pt idx="119">
                  <c:v>915.26300389999994</c:v>
                </c:pt>
                <c:pt idx="120">
                  <c:v>917.3142636</c:v>
                </c:pt>
                <c:pt idx="121">
                  <c:v>916.59552570000005</c:v>
                </c:pt>
                <c:pt idx="122">
                  <c:v>904.43729389999999</c:v>
                </c:pt>
                <c:pt idx="123">
                  <c:v>886.64705700000002</c:v>
                </c:pt>
                <c:pt idx="124">
                  <c:v>875.18802289999996</c:v>
                </c:pt>
                <c:pt idx="125">
                  <c:v>879.4048573</c:v>
                </c:pt>
                <c:pt idx="126">
                  <c:v>895.94086779999998</c:v>
                </c:pt>
                <c:pt idx="127">
                  <c:v>911.97581419999995</c:v>
                </c:pt>
                <c:pt idx="128">
                  <c:v>917.24442450000004</c:v>
                </c:pt>
                <c:pt idx="129">
                  <c:v>908.56633139999997</c:v>
                </c:pt>
                <c:pt idx="130">
                  <c:v>890.67892010000003</c:v>
                </c:pt>
                <c:pt idx="131">
                  <c:v>882.28259509999998</c:v>
                </c:pt>
                <c:pt idx="132">
                  <c:v>894.18467050000004</c:v>
                </c:pt>
                <c:pt idx="133">
                  <c:v>923.84187599999996</c:v>
                </c:pt>
                <c:pt idx="134">
                  <c:v>950.07796789999998</c:v>
                </c:pt>
                <c:pt idx="135">
                  <c:v>948.52759600000002</c:v>
                </c:pt>
                <c:pt idx="136">
                  <c:v>918.09096820000002</c:v>
                </c:pt>
                <c:pt idx="137">
                  <c:v>881.94683970000006</c:v>
                </c:pt>
                <c:pt idx="138">
                  <c:v>848.69566150000003</c:v>
                </c:pt>
              </c:numCache>
            </c:numRef>
          </c:val>
          <c:smooth val="0"/>
        </c:ser>
        <c:dLbls>
          <c:showLegendKey val="0"/>
          <c:showVal val="0"/>
          <c:showCatName val="0"/>
          <c:showSerName val="0"/>
          <c:showPercent val="0"/>
          <c:showBubbleSize val="0"/>
        </c:dLbls>
        <c:marker val="1"/>
        <c:smooth val="0"/>
        <c:axId val="491322024"/>
        <c:axId val="491325944"/>
      </c:lineChart>
      <c:lineChart>
        <c:grouping val="standard"/>
        <c:varyColors val="0"/>
        <c:ser>
          <c:idx val="1"/>
          <c:order val="1"/>
          <c:tx>
            <c:v>Value add</c:v>
          </c:tx>
          <c:spPr>
            <a:ln cmpd="sng">
              <a:solidFill>
                <a:srgbClr val="265A9A"/>
              </a:solidFill>
              <a:prstDash val="solid"/>
            </a:ln>
            <a:effectLst/>
          </c:spPr>
          <c:marker>
            <c:symbol val="none"/>
          </c:marker>
          <c:cat>
            <c:numRef>
              <c:f>'Sheet1 (2)'!$A$5:$A$143</c:f>
              <c:numCache>
                <c:formatCode>mmm\-yyyy</c:formatCode>
                <c:ptCount val="139"/>
                <c:pt idx="1">
                  <c:v>31079</c:v>
                </c:pt>
                <c:pt idx="2">
                  <c:v>31168</c:v>
                </c:pt>
                <c:pt idx="3">
                  <c:v>31260</c:v>
                </c:pt>
                <c:pt idx="4">
                  <c:v>31352</c:v>
                </c:pt>
                <c:pt idx="5">
                  <c:v>31444</c:v>
                </c:pt>
                <c:pt idx="6">
                  <c:v>31533</c:v>
                </c:pt>
                <c:pt idx="7">
                  <c:v>31625</c:v>
                </c:pt>
                <c:pt idx="8">
                  <c:v>31717</c:v>
                </c:pt>
                <c:pt idx="9">
                  <c:v>31809</c:v>
                </c:pt>
                <c:pt idx="10">
                  <c:v>31898</c:v>
                </c:pt>
                <c:pt idx="11">
                  <c:v>31990</c:v>
                </c:pt>
                <c:pt idx="12">
                  <c:v>32082</c:v>
                </c:pt>
                <c:pt idx="13">
                  <c:v>32174</c:v>
                </c:pt>
                <c:pt idx="14">
                  <c:v>32264</c:v>
                </c:pt>
                <c:pt idx="15">
                  <c:v>32356</c:v>
                </c:pt>
                <c:pt idx="16">
                  <c:v>32448</c:v>
                </c:pt>
                <c:pt idx="17">
                  <c:v>32540</c:v>
                </c:pt>
                <c:pt idx="18">
                  <c:v>32629</c:v>
                </c:pt>
                <c:pt idx="19">
                  <c:v>32721</c:v>
                </c:pt>
                <c:pt idx="20">
                  <c:v>32813</c:v>
                </c:pt>
                <c:pt idx="21">
                  <c:v>32905</c:v>
                </c:pt>
                <c:pt idx="22">
                  <c:v>32994</c:v>
                </c:pt>
                <c:pt idx="23">
                  <c:v>33086</c:v>
                </c:pt>
                <c:pt idx="24">
                  <c:v>33178</c:v>
                </c:pt>
                <c:pt idx="25">
                  <c:v>33270</c:v>
                </c:pt>
                <c:pt idx="26">
                  <c:v>33359</c:v>
                </c:pt>
                <c:pt idx="27">
                  <c:v>33451</c:v>
                </c:pt>
                <c:pt idx="28">
                  <c:v>33543</c:v>
                </c:pt>
                <c:pt idx="29">
                  <c:v>33635</c:v>
                </c:pt>
                <c:pt idx="30">
                  <c:v>33725</c:v>
                </c:pt>
                <c:pt idx="31">
                  <c:v>33817</c:v>
                </c:pt>
                <c:pt idx="32">
                  <c:v>33909</c:v>
                </c:pt>
                <c:pt idx="33">
                  <c:v>34001</c:v>
                </c:pt>
                <c:pt idx="34">
                  <c:v>34090</c:v>
                </c:pt>
                <c:pt idx="35">
                  <c:v>34182</c:v>
                </c:pt>
                <c:pt idx="36">
                  <c:v>34274</c:v>
                </c:pt>
                <c:pt idx="37">
                  <c:v>34366</c:v>
                </c:pt>
                <c:pt idx="38">
                  <c:v>34455</c:v>
                </c:pt>
                <c:pt idx="39">
                  <c:v>34547</c:v>
                </c:pt>
                <c:pt idx="40">
                  <c:v>34639</c:v>
                </c:pt>
                <c:pt idx="41">
                  <c:v>34731</c:v>
                </c:pt>
                <c:pt idx="42">
                  <c:v>34820</c:v>
                </c:pt>
                <c:pt idx="43">
                  <c:v>34912</c:v>
                </c:pt>
                <c:pt idx="44">
                  <c:v>35004</c:v>
                </c:pt>
                <c:pt idx="45">
                  <c:v>35096</c:v>
                </c:pt>
                <c:pt idx="46">
                  <c:v>35186</c:v>
                </c:pt>
                <c:pt idx="47">
                  <c:v>35278</c:v>
                </c:pt>
                <c:pt idx="48">
                  <c:v>35370</c:v>
                </c:pt>
                <c:pt idx="49">
                  <c:v>35462</c:v>
                </c:pt>
                <c:pt idx="50">
                  <c:v>35551</c:v>
                </c:pt>
                <c:pt idx="51">
                  <c:v>35643</c:v>
                </c:pt>
                <c:pt idx="52">
                  <c:v>35735</c:v>
                </c:pt>
                <c:pt idx="53">
                  <c:v>35827</c:v>
                </c:pt>
                <c:pt idx="54">
                  <c:v>35916</c:v>
                </c:pt>
                <c:pt idx="55">
                  <c:v>36008</c:v>
                </c:pt>
                <c:pt idx="56">
                  <c:v>36100</c:v>
                </c:pt>
                <c:pt idx="57">
                  <c:v>36192</c:v>
                </c:pt>
                <c:pt idx="58">
                  <c:v>36281</c:v>
                </c:pt>
                <c:pt idx="59">
                  <c:v>36373</c:v>
                </c:pt>
                <c:pt idx="60">
                  <c:v>36465</c:v>
                </c:pt>
                <c:pt idx="61">
                  <c:v>36557</c:v>
                </c:pt>
                <c:pt idx="62">
                  <c:v>36647</c:v>
                </c:pt>
                <c:pt idx="63">
                  <c:v>36739</c:v>
                </c:pt>
                <c:pt idx="64">
                  <c:v>36831</c:v>
                </c:pt>
                <c:pt idx="65">
                  <c:v>36923</c:v>
                </c:pt>
                <c:pt idx="66">
                  <c:v>37012</c:v>
                </c:pt>
                <c:pt idx="67">
                  <c:v>37104</c:v>
                </c:pt>
                <c:pt idx="68">
                  <c:v>37196</c:v>
                </c:pt>
                <c:pt idx="69">
                  <c:v>37288</c:v>
                </c:pt>
                <c:pt idx="70">
                  <c:v>37377</c:v>
                </c:pt>
                <c:pt idx="71">
                  <c:v>37469</c:v>
                </c:pt>
                <c:pt idx="72">
                  <c:v>37561</c:v>
                </c:pt>
                <c:pt idx="73">
                  <c:v>37653</c:v>
                </c:pt>
                <c:pt idx="74">
                  <c:v>37742</c:v>
                </c:pt>
                <c:pt idx="75">
                  <c:v>37834</c:v>
                </c:pt>
                <c:pt idx="76">
                  <c:v>37926</c:v>
                </c:pt>
                <c:pt idx="77">
                  <c:v>38018</c:v>
                </c:pt>
                <c:pt idx="78">
                  <c:v>38108</c:v>
                </c:pt>
                <c:pt idx="79">
                  <c:v>38200</c:v>
                </c:pt>
                <c:pt idx="80">
                  <c:v>38292</c:v>
                </c:pt>
                <c:pt idx="81">
                  <c:v>38384</c:v>
                </c:pt>
                <c:pt idx="82">
                  <c:v>38473</c:v>
                </c:pt>
                <c:pt idx="83">
                  <c:v>38565</c:v>
                </c:pt>
                <c:pt idx="84">
                  <c:v>38657</c:v>
                </c:pt>
                <c:pt idx="85">
                  <c:v>38749</c:v>
                </c:pt>
                <c:pt idx="86">
                  <c:v>38838</c:v>
                </c:pt>
                <c:pt idx="87">
                  <c:v>38930</c:v>
                </c:pt>
                <c:pt idx="88">
                  <c:v>39022</c:v>
                </c:pt>
                <c:pt idx="89">
                  <c:v>39114</c:v>
                </c:pt>
                <c:pt idx="90">
                  <c:v>39203</c:v>
                </c:pt>
                <c:pt idx="91">
                  <c:v>39295</c:v>
                </c:pt>
                <c:pt idx="92">
                  <c:v>39387</c:v>
                </c:pt>
                <c:pt idx="93">
                  <c:v>39479</c:v>
                </c:pt>
                <c:pt idx="94">
                  <c:v>39569</c:v>
                </c:pt>
                <c:pt idx="95">
                  <c:v>39661</c:v>
                </c:pt>
                <c:pt idx="96">
                  <c:v>39753</c:v>
                </c:pt>
                <c:pt idx="97">
                  <c:v>39845</c:v>
                </c:pt>
                <c:pt idx="98">
                  <c:v>39934</c:v>
                </c:pt>
                <c:pt idx="99">
                  <c:v>40026</c:v>
                </c:pt>
                <c:pt idx="100">
                  <c:v>40118</c:v>
                </c:pt>
                <c:pt idx="101">
                  <c:v>40210</c:v>
                </c:pt>
                <c:pt idx="102">
                  <c:v>40299</c:v>
                </c:pt>
                <c:pt idx="103">
                  <c:v>40391</c:v>
                </c:pt>
                <c:pt idx="104">
                  <c:v>40483</c:v>
                </c:pt>
                <c:pt idx="105">
                  <c:v>40575</c:v>
                </c:pt>
                <c:pt idx="106">
                  <c:v>40664</c:v>
                </c:pt>
                <c:pt idx="107">
                  <c:v>40756</c:v>
                </c:pt>
                <c:pt idx="108">
                  <c:v>40848</c:v>
                </c:pt>
                <c:pt idx="109">
                  <c:v>40940</c:v>
                </c:pt>
                <c:pt idx="110">
                  <c:v>41030</c:v>
                </c:pt>
                <c:pt idx="111">
                  <c:v>41122</c:v>
                </c:pt>
                <c:pt idx="112">
                  <c:v>41214</c:v>
                </c:pt>
                <c:pt idx="113">
                  <c:v>41306</c:v>
                </c:pt>
                <c:pt idx="114">
                  <c:v>41395</c:v>
                </c:pt>
                <c:pt idx="115">
                  <c:v>41487</c:v>
                </c:pt>
                <c:pt idx="116">
                  <c:v>41579</c:v>
                </c:pt>
                <c:pt idx="117">
                  <c:v>41671</c:v>
                </c:pt>
                <c:pt idx="118">
                  <c:v>41760</c:v>
                </c:pt>
                <c:pt idx="119">
                  <c:v>41852</c:v>
                </c:pt>
                <c:pt idx="120">
                  <c:v>41944</c:v>
                </c:pt>
                <c:pt idx="121">
                  <c:v>42036</c:v>
                </c:pt>
                <c:pt idx="122">
                  <c:v>42125</c:v>
                </c:pt>
                <c:pt idx="123">
                  <c:v>42217</c:v>
                </c:pt>
                <c:pt idx="124">
                  <c:v>42309</c:v>
                </c:pt>
                <c:pt idx="125">
                  <c:v>42401</c:v>
                </c:pt>
                <c:pt idx="126">
                  <c:v>42491</c:v>
                </c:pt>
                <c:pt idx="127">
                  <c:v>42583</c:v>
                </c:pt>
                <c:pt idx="128">
                  <c:v>42675</c:v>
                </c:pt>
                <c:pt idx="129">
                  <c:v>42767</c:v>
                </c:pt>
                <c:pt idx="130">
                  <c:v>42856</c:v>
                </c:pt>
                <c:pt idx="131">
                  <c:v>42948</c:v>
                </c:pt>
                <c:pt idx="132">
                  <c:v>43040</c:v>
                </c:pt>
                <c:pt idx="133">
                  <c:v>43132</c:v>
                </c:pt>
                <c:pt idx="134">
                  <c:v>43221</c:v>
                </c:pt>
                <c:pt idx="135">
                  <c:v>43313</c:v>
                </c:pt>
                <c:pt idx="136">
                  <c:v>43405</c:v>
                </c:pt>
                <c:pt idx="137">
                  <c:v>43497</c:v>
                </c:pt>
                <c:pt idx="138">
                  <c:v>43586</c:v>
                </c:pt>
              </c:numCache>
            </c:numRef>
          </c:cat>
          <c:val>
            <c:numRef>
              <c:f>'Sheet1 (2)'!$I$5:$I$143</c:f>
              <c:numCache>
                <c:formatCode>General</c:formatCode>
                <c:ptCount val="139"/>
                <c:pt idx="1">
                  <c:v>19.055</c:v>
                </c:pt>
                <c:pt idx="2">
                  <c:v>19.315999999999999</c:v>
                </c:pt>
                <c:pt idx="3">
                  <c:v>19.460999999999999</c:v>
                </c:pt>
                <c:pt idx="4">
                  <c:v>19.268000000000001</c:v>
                </c:pt>
                <c:pt idx="5">
                  <c:v>19.096</c:v>
                </c:pt>
                <c:pt idx="6">
                  <c:v>19.113</c:v>
                </c:pt>
                <c:pt idx="7">
                  <c:v>19.242000000000001</c:v>
                </c:pt>
                <c:pt idx="8">
                  <c:v>19.472999999999999</c:v>
                </c:pt>
                <c:pt idx="9">
                  <c:v>19.748999999999999</c:v>
                </c:pt>
                <c:pt idx="10">
                  <c:v>20.122</c:v>
                </c:pt>
                <c:pt idx="11">
                  <c:v>20.603999999999999</c:v>
                </c:pt>
                <c:pt idx="12">
                  <c:v>20.972000000000001</c:v>
                </c:pt>
                <c:pt idx="13">
                  <c:v>21.146000000000001</c:v>
                </c:pt>
                <c:pt idx="14">
                  <c:v>21.376999999999999</c:v>
                </c:pt>
                <c:pt idx="15">
                  <c:v>21.722000000000001</c:v>
                </c:pt>
                <c:pt idx="16">
                  <c:v>22.170999999999999</c:v>
                </c:pt>
                <c:pt idx="17">
                  <c:v>22.454000000000001</c:v>
                </c:pt>
                <c:pt idx="18">
                  <c:v>22.366</c:v>
                </c:pt>
                <c:pt idx="19">
                  <c:v>22.135000000000002</c:v>
                </c:pt>
                <c:pt idx="20">
                  <c:v>21.995000000000001</c:v>
                </c:pt>
                <c:pt idx="21">
                  <c:v>21.919</c:v>
                </c:pt>
                <c:pt idx="22">
                  <c:v>21.916</c:v>
                </c:pt>
                <c:pt idx="23">
                  <c:v>21.805</c:v>
                </c:pt>
                <c:pt idx="24">
                  <c:v>21.593</c:v>
                </c:pt>
                <c:pt idx="25">
                  <c:v>21.376000000000001</c:v>
                </c:pt>
                <c:pt idx="26">
                  <c:v>21.173999999999999</c:v>
                </c:pt>
                <c:pt idx="27">
                  <c:v>21.007000000000001</c:v>
                </c:pt>
                <c:pt idx="28">
                  <c:v>20.864999999999998</c:v>
                </c:pt>
                <c:pt idx="29">
                  <c:v>20.713000000000001</c:v>
                </c:pt>
                <c:pt idx="30">
                  <c:v>20.675000000000001</c:v>
                </c:pt>
                <c:pt idx="31">
                  <c:v>20.834</c:v>
                </c:pt>
                <c:pt idx="32">
                  <c:v>21.157</c:v>
                </c:pt>
                <c:pt idx="33">
                  <c:v>21.434000000000001</c:v>
                </c:pt>
                <c:pt idx="34">
                  <c:v>21.611000000000001</c:v>
                </c:pt>
                <c:pt idx="35">
                  <c:v>21.783000000000001</c:v>
                </c:pt>
                <c:pt idx="36">
                  <c:v>22.077999999999999</c:v>
                </c:pt>
                <c:pt idx="37">
                  <c:v>22.46</c:v>
                </c:pt>
                <c:pt idx="38">
                  <c:v>22.776</c:v>
                </c:pt>
                <c:pt idx="39">
                  <c:v>22.847000000000001</c:v>
                </c:pt>
                <c:pt idx="40">
                  <c:v>22.742999999999999</c:v>
                </c:pt>
                <c:pt idx="41">
                  <c:v>22.59</c:v>
                </c:pt>
                <c:pt idx="42">
                  <c:v>22.597000000000001</c:v>
                </c:pt>
                <c:pt idx="43">
                  <c:v>22.898</c:v>
                </c:pt>
                <c:pt idx="44">
                  <c:v>23.24</c:v>
                </c:pt>
                <c:pt idx="45">
                  <c:v>23.41</c:v>
                </c:pt>
                <c:pt idx="46">
                  <c:v>23.466000000000001</c:v>
                </c:pt>
                <c:pt idx="47">
                  <c:v>23.474</c:v>
                </c:pt>
                <c:pt idx="48">
                  <c:v>23.513999999999999</c:v>
                </c:pt>
                <c:pt idx="49">
                  <c:v>23.63</c:v>
                </c:pt>
                <c:pt idx="50">
                  <c:v>23.8</c:v>
                </c:pt>
                <c:pt idx="51">
                  <c:v>24.047000000000001</c:v>
                </c:pt>
                <c:pt idx="52">
                  <c:v>24.268999999999998</c:v>
                </c:pt>
                <c:pt idx="53">
                  <c:v>24.423999999999999</c:v>
                </c:pt>
                <c:pt idx="54">
                  <c:v>24.625</c:v>
                </c:pt>
                <c:pt idx="55">
                  <c:v>24.931000000000001</c:v>
                </c:pt>
                <c:pt idx="56">
                  <c:v>25.132999999999999</c:v>
                </c:pt>
                <c:pt idx="57">
                  <c:v>25.094999999999999</c:v>
                </c:pt>
                <c:pt idx="58">
                  <c:v>24.853999999999999</c:v>
                </c:pt>
                <c:pt idx="59">
                  <c:v>24.821999999999999</c:v>
                </c:pt>
                <c:pt idx="60">
                  <c:v>25.141999999999999</c:v>
                </c:pt>
                <c:pt idx="61">
                  <c:v>25.588999999999999</c:v>
                </c:pt>
                <c:pt idx="62">
                  <c:v>25.908999999999999</c:v>
                </c:pt>
                <c:pt idx="63">
                  <c:v>25.977</c:v>
                </c:pt>
                <c:pt idx="64">
                  <c:v>25.875</c:v>
                </c:pt>
                <c:pt idx="65">
                  <c:v>25.774000000000001</c:v>
                </c:pt>
                <c:pt idx="66">
                  <c:v>25.768999999999998</c:v>
                </c:pt>
                <c:pt idx="67">
                  <c:v>26.042000000000002</c:v>
                </c:pt>
                <c:pt idx="68">
                  <c:v>26.459</c:v>
                </c:pt>
                <c:pt idx="69">
                  <c:v>26.776</c:v>
                </c:pt>
                <c:pt idx="70">
                  <c:v>26.986000000000001</c:v>
                </c:pt>
                <c:pt idx="71">
                  <c:v>27.233000000000001</c:v>
                </c:pt>
                <c:pt idx="72">
                  <c:v>27.579000000000001</c:v>
                </c:pt>
                <c:pt idx="73">
                  <c:v>27.81</c:v>
                </c:pt>
                <c:pt idx="74">
                  <c:v>27.811</c:v>
                </c:pt>
                <c:pt idx="75">
                  <c:v>27.777999999999999</c:v>
                </c:pt>
                <c:pt idx="76">
                  <c:v>27.922000000000001</c:v>
                </c:pt>
                <c:pt idx="77">
                  <c:v>28.106000000000002</c:v>
                </c:pt>
                <c:pt idx="78">
                  <c:v>28.047000000000001</c:v>
                </c:pt>
                <c:pt idx="79">
                  <c:v>27.823</c:v>
                </c:pt>
                <c:pt idx="80">
                  <c:v>27.657</c:v>
                </c:pt>
                <c:pt idx="81">
                  <c:v>27.687000000000001</c:v>
                </c:pt>
                <c:pt idx="82">
                  <c:v>27.724</c:v>
                </c:pt>
                <c:pt idx="83">
                  <c:v>27.611000000000001</c:v>
                </c:pt>
                <c:pt idx="84">
                  <c:v>27.443000000000001</c:v>
                </c:pt>
                <c:pt idx="85">
                  <c:v>27.353999999999999</c:v>
                </c:pt>
                <c:pt idx="86">
                  <c:v>27.512</c:v>
                </c:pt>
                <c:pt idx="87">
                  <c:v>27.884</c:v>
                </c:pt>
                <c:pt idx="88">
                  <c:v>28.137</c:v>
                </c:pt>
                <c:pt idx="89">
                  <c:v>28.213999999999999</c:v>
                </c:pt>
                <c:pt idx="90">
                  <c:v>28.189</c:v>
                </c:pt>
                <c:pt idx="91">
                  <c:v>28.338999999999999</c:v>
                </c:pt>
                <c:pt idx="92">
                  <c:v>28.9</c:v>
                </c:pt>
                <c:pt idx="93">
                  <c:v>29.584</c:v>
                </c:pt>
                <c:pt idx="94">
                  <c:v>29.815000000000001</c:v>
                </c:pt>
                <c:pt idx="95">
                  <c:v>29.175000000000001</c:v>
                </c:pt>
                <c:pt idx="96">
                  <c:v>27.977</c:v>
                </c:pt>
                <c:pt idx="97">
                  <c:v>26.960999999999999</c:v>
                </c:pt>
                <c:pt idx="98">
                  <c:v>26.687000000000001</c:v>
                </c:pt>
                <c:pt idx="99">
                  <c:v>27.135999999999999</c:v>
                </c:pt>
                <c:pt idx="100">
                  <c:v>27.783000000000001</c:v>
                </c:pt>
                <c:pt idx="101">
                  <c:v>28.158999999999999</c:v>
                </c:pt>
                <c:pt idx="102">
                  <c:v>28.164999999999999</c:v>
                </c:pt>
                <c:pt idx="103">
                  <c:v>27.832999999999998</c:v>
                </c:pt>
                <c:pt idx="104">
                  <c:v>27.588999999999999</c:v>
                </c:pt>
                <c:pt idx="105">
                  <c:v>27.658999999999999</c:v>
                </c:pt>
                <c:pt idx="106">
                  <c:v>27.95</c:v>
                </c:pt>
                <c:pt idx="107">
                  <c:v>28.292999999999999</c:v>
                </c:pt>
                <c:pt idx="108">
                  <c:v>28.291</c:v>
                </c:pt>
                <c:pt idx="109">
                  <c:v>27.917999999999999</c:v>
                </c:pt>
                <c:pt idx="110">
                  <c:v>27.530999999999999</c:v>
                </c:pt>
                <c:pt idx="111">
                  <c:v>27.303000000000001</c:v>
                </c:pt>
                <c:pt idx="112">
                  <c:v>27.155999999999999</c:v>
                </c:pt>
                <c:pt idx="113">
                  <c:v>26.988</c:v>
                </c:pt>
                <c:pt idx="114">
                  <c:v>26.847000000000001</c:v>
                </c:pt>
                <c:pt idx="115">
                  <c:v>26.824000000000002</c:v>
                </c:pt>
                <c:pt idx="116">
                  <c:v>26.829000000000001</c:v>
                </c:pt>
                <c:pt idx="117">
                  <c:v>26.753</c:v>
                </c:pt>
                <c:pt idx="118">
                  <c:v>26.599</c:v>
                </c:pt>
                <c:pt idx="119">
                  <c:v>26.498999999999999</c:v>
                </c:pt>
                <c:pt idx="120">
                  <c:v>26.443999999999999</c:v>
                </c:pt>
                <c:pt idx="121">
                  <c:v>26.355</c:v>
                </c:pt>
                <c:pt idx="122">
                  <c:v>26.248000000000001</c:v>
                </c:pt>
                <c:pt idx="123">
                  <c:v>26.024999999999999</c:v>
                </c:pt>
                <c:pt idx="124">
                  <c:v>25.808</c:v>
                </c:pt>
                <c:pt idx="125">
                  <c:v>25.663</c:v>
                </c:pt>
                <c:pt idx="126">
                  <c:v>25.613</c:v>
                </c:pt>
                <c:pt idx="127">
                  <c:v>25.515000000000001</c:v>
                </c:pt>
                <c:pt idx="128">
                  <c:v>25.396999999999998</c:v>
                </c:pt>
                <c:pt idx="129">
                  <c:v>25.472999999999999</c:v>
                </c:pt>
                <c:pt idx="130">
                  <c:v>25.734000000000002</c:v>
                </c:pt>
                <c:pt idx="131">
                  <c:v>26.056000000000001</c:v>
                </c:pt>
                <c:pt idx="132">
                  <c:v>26.308</c:v>
                </c:pt>
                <c:pt idx="133">
                  <c:v>26.395</c:v>
                </c:pt>
                <c:pt idx="134">
                  <c:v>26.346</c:v>
                </c:pt>
                <c:pt idx="135">
                  <c:v>26.187999999999999</c:v>
                </c:pt>
                <c:pt idx="136">
                  <c:v>26.045999999999999</c:v>
                </c:pt>
                <c:pt idx="137">
                  <c:v>26.001999999999999</c:v>
                </c:pt>
              </c:numCache>
            </c:numRef>
          </c:val>
          <c:smooth val="0"/>
        </c:ser>
        <c:dLbls>
          <c:showLegendKey val="0"/>
          <c:showVal val="0"/>
          <c:showCatName val="0"/>
          <c:showSerName val="0"/>
          <c:showPercent val="0"/>
          <c:showBubbleSize val="0"/>
        </c:dLbls>
        <c:marker val="1"/>
        <c:smooth val="0"/>
        <c:axId val="491327512"/>
        <c:axId val="491326728"/>
      </c:lineChart>
      <c:dateAx>
        <c:axId val="491322024"/>
        <c:scaling>
          <c:orientation val="minMax"/>
        </c:scaling>
        <c:delete val="0"/>
        <c:axPos val="b"/>
        <c:numFmt formatCode="yyyy" sourceLinked="0"/>
        <c:majorTickMark val="out"/>
        <c:minorTickMark val="none"/>
        <c:tickLblPos val="nextTo"/>
        <c:spPr>
          <a:ln>
            <a:solidFill>
              <a:srgbClr val="BFBFBF"/>
            </a:solidFill>
          </a:ln>
        </c:spPr>
        <c:crossAx val="491325944"/>
        <c:crosses val="autoZero"/>
        <c:auto val="1"/>
        <c:lblOffset val="100"/>
        <c:baseTimeUnit val="months"/>
        <c:majorUnit val="8"/>
        <c:majorTimeUnit val="years"/>
      </c:dateAx>
      <c:valAx>
        <c:axId val="491325944"/>
        <c:scaling>
          <c:orientation val="minMax"/>
          <c:max val="1400"/>
        </c:scaling>
        <c:delete val="0"/>
        <c:axPos val="l"/>
        <c:title>
          <c:tx>
            <c:rich>
              <a:bodyPr/>
              <a:lstStyle/>
              <a:p>
                <a:pPr>
                  <a:defRPr/>
                </a:pPr>
                <a:r>
                  <a:rPr lang="en-AU"/>
                  <a:t>Employment ('000s)</a:t>
                </a:r>
              </a:p>
            </c:rich>
          </c:tx>
          <c:layout/>
          <c:overlay val="0"/>
        </c:title>
        <c:numFmt formatCode="General" sourceLinked="1"/>
        <c:majorTickMark val="out"/>
        <c:minorTickMark val="none"/>
        <c:tickLblPos val="nextTo"/>
        <c:spPr>
          <a:ln>
            <a:solidFill>
              <a:srgbClr val="BFBFBF"/>
            </a:solidFill>
          </a:ln>
        </c:spPr>
        <c:crossAx val="491322024"/>
        <c:crosses val="autoZero"/>
        <c:crossBetween val="midCat"/>
        <c:majorUnit val="200"/>
      </c:valAx>
      <c:valAx>
        <c:axId val="491326728"/>
        <c:scaling>
          <c:orientation val="minMax"/>
          <c:max val="35"/>
        </c:scaling>
        <c:delete val="0"/>
        <c:axPos val="r"/>
        <c:title>
          <c:tx>
            <c:rich>
              <a:bodyPr/>
              <a:lstStyle/>
              <a:p>
                <a:pPr>
                  <a:defRPr/>
                </a:pPr>
                <a:r>
                  <a:rPr lang="en-AU"/>
                  <a:t>Value added ($</a:t>
                </a:r>
                <a:r>
                  <a:rPr lang="en-AU" baseline="0"/>
                  <a:t> billion)</a:t>
                </a:r>
                <a:endParaRPr lang="en-AU"/>
              </a:p>
            </c:rich>
          </c:tx>
          <c:layout/>
          <c:overlay val="0"/>
        </c:title>
        <c:numFmt formatCode="General" sourceLinked="1"/>
        <c:majorTickMark val="out"/>
        <c:minorTickMark val="none"/>
        <c:tickLblPos val="nextTo"/>
        <c:crossAx val="491327512"/>
        <c:crosses val="max"/>
        <c:crossBetween val="between"/>
        <c:majorUnit val="5"/>
      </c:valAx>
      <c:dateAx>
        <c:axId val="491327512"/>
        <c:scaling>
          <c:orientation val="minMax"/>
        </c:scaling>
        <c:delete val="1"/>
        <c:axPos val="b"/>
        <c:numFmt formatCode="mmm\-yyyy" sourceLinked="1"/>
        <c:majorTickMark val="out"/>
        <c:minorTickMark val="none"/>
        <c:tickLblPos val="nextTo"/>
        <c:crossAx val="491326728"/>
        <c:crosses val="autoZero"/>
        <c:auto val="1"/>
        <c:lblOffset val="100"/>
        <c:baseTimeUnit val="months"/>
      </c:dateAx>
      <c:spPr>
        <a:noFill/>
        <a:ln>
          <a:noFill/>
        </a:ln>
      </c:spPr>
    </c:plotArea>
    <c:plotVisOnly val="1"/>
    <c:dispBlanksAs val="gap"/>
    <c:showDLblsOverMax val="0"/>
  </c:chart>
  <c:spPr>
    <a:ln>
      <a:noFill/>
    </a:ln>
  </c:spPr>
  <c:txPr>
    <a:bodyPr/>
    <a:lstStyle/>
    <a:p>
      <a:pPr>
        <a:defRPr sz="900" spc="20" baseline="0">
          <a:latin typeface="Arial" pitchFamily="34"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939632545931762"/>
          <c:y val="4.9289413889947356E-2"/>
          <c:w val="0.65606223135151587"/>
          <c:h val="0.82196108062249784"/>
        </c:manualLayout>
      </c:layout>
      <c:lineChart>
        <c:grouping val="standard"/>
        <c:varyColors val="0"/>
        <c:ser>
          <c:idx val="0"/>
          <c:order val="0"/>
          <c:tx>
            <c:v>Employment</c:v>
          </c:tx>
          <c:spPr>
            <a:ln>
              <a:solidFill>
                <a:srgbClr val="66BCDB"/>
              </a:solidFill>
            </a:ln>
          </c:spPr>
          <c:marker>
            <c:symbol val="none"/>
          </c:marker>
          <c:cat>
            <c:numRef>
              <c:f>'Sheet1 (2)'!$A$5:$A$143</c:f>
              <c:numCache>
                <c:formatCode>mmm\-yyyy</c:formatCode>
                <c:ptCount val="139"/>
                <c:pt idx="1">
                  <c:v>31079</c:v>
                </c:pt>
                <c:pt idx="2">
                  <c:v>31168</c:v>
                </c:pt>
                <c:pt idx="3">
                  <c:v>31260</c:v>
                </c:pt>
                <c:pt idx="4">
                  <c:v>31352</c:v>
                </c:pt>
                <c:pt idx="5">
                  <c:v>31444</c:v>
                </c:pt>
                <c:pt idx="6">
                  <c:v>31533</c:v>
                </c:pt>
                <c:pt idx="7">
                  <c:v>31625</c:v>
                </c:pt>
                <c:pt idx="8">
                  <c:v>31717</c:v>
                </c:pt>
                <c:pt idx="9">
                  <c:v>31809</c:v>
                </c:pt>
                <c:pt idx="10">
                  <c:v>31898</c:v>
                </c:pt>
                <c:pt idx="11">
                  <c:v>31990</c:v>
                </c:pt>
                <c:pt idx="12">
                  <c:v>32082</c:v>
                </c:pt>
                <c:pt idx="13">
                  <c:v>32174</c:v>
                </c:pt>
                <c:pt idx="14">
                  <c:v>32264</c:v>
                </c:pt>
                <c:pt idx="15">
                  <c:v>32356</c:v>
                </c:pt>
                <c:pt idx="16">
                  <c:v>32448</c:v>
                </c:pt>
                <c:pt idx="17">
                  <c:v>32540</c:v>
                </c:pt>
                <c:pt idx="18">
                  <c:v>32629</c:v>
                </c:pt>
                <c:pt idx="19">
                  <c:v>32721</c:v>
                </c:pt>
                <c:pt idx="20">
                  <c:v>32813</c:v>
                </c:pt>
                <c:pt idx="21">
                  <c:v>32905</c:v>
                </c:pt>
                <c:pt idx="22">
                  <c:v>32994</c:v>
                </c:pt>
                <c:pt idx="23">
                  <c:v>33086</c:v>
                </c:pt>
                <c:pt idx="24">
                  <c:v>33178</c:v>
                </c:pt>
                <c:pt idx="25">
                  <c:v>33270</c:v>
                </c:pt>
                <c:pt idx="26">
                  <c:v>33359</c:v>
                </c:pt>
                <c:pt idx="27">
                  <c:v>33451</c:v>
                </c:pt>
                <c:pt idx="28">
                  <c:v>33543</c:v>
                </c:pt>
                <c:pt idx="29">
                  <c:v>33635</c:v>
                </c:pt>
                <c:pt idx="30">
                  <c:v>33725</c:v>
                </c:pt>
                <c:pt idx="31">
                  <c:v>33817</c:v>
                </c:pt>
                <c:pt idx="32">
                  <c:v>33909</c:v>
                </c:pt>
                <c:pt idx="33">
                  <c:v>34001</c:v>
                </c:pt>
                <c:pt idx="34">
                  <c:v>34090</c:v>
                </c:pt>
                <c:pt idx="35">
                  <c:v>34182</c:v>
                </c:pt>
                <c:pt idx="36">
                  <c:v>34274</c:v>
                </c:pt>
                <c:pt idx="37">
                  <c:v>34366</c:v>
                </c:pt>
                <c:pt idx="38">
                  <c:v>34455</c:v>
                </c:pt>
                <c:pt idx="39">
                  <c:v>34547</c:v>
                </c:pt>
                <c:pt idx="40">
                  <c:v>34639</c:v>
                </c:pt>
                <c:pt idx="41">
                  <c:v>34731</c:v>
                </c:pt>
                <c:pt idx="42">
                  <c:v>34820</c:v>
                </c:pt>
                <c:pt idx="43">
                  <c:v>34912</c:v>
                </c:pt>
                <c:pt idx="44">
                  <c:v>35004</c:v>
                </c:pt>
                <c:pt idx="45">
                  <c:v>35096</c:v>
                </c:pt>
                <c:pt idx="46">
                  <c:v>35186</c:v>
                </c:pt>
                <c:pt idx="47">
                  <c:v>35278</c:v>
                </c:pt>
                <c:pt idx="48">
                  <c:v>35370</c:v>
                </c:pt>
                <c:pt idx="49">
                  <c:v>35462</c:v>
                </c:pt>
                <c:pt idx="50">
                  <c:v>35551</c:v>
                </c:pt>
                <c:pt idx="51">
                  <c:v>35643</c:v>
                </c:pt>
                <c:pt idx="52">
                  <c:v>35735</c:v>
                </c:pt>
                <c:pt idx="53">
                  <c:v>35827</c:v>
                </c:pt>
                <c:pt idx="54">
                  <c:v>35916</c:v>
                </c:pt>
                <c:pt idx="55">
                  <c:v>36008</c:v>
                </c:pt>
                <c:pt idx="56">
                  <c:v>36100</c:v>
                </c:pt>
                <c:pt idx="57">
                  <c:v>36192</c:v>
                </c:pt>
                <c:pt idx="58">
                  <c:v>36281</c:v>
                </c:pt>
                <c:pt idx="59">
                  <c:v>36373</c:v>
                </c:pt>
                <c:pt idx="60">
                  <c:v>36465</c:v>
                </c:pt>
                <c:pt idx="61">
                  <c:v>36557</c:v>
                </c:pt>
                <c:pt idx="62">
                  <c:v>36647</c:v>
                </c:pt>
                <c:pt idx="63">
                  <c:v>36739</c:v>
                </c:pt>
                <c:pt idx="64">
                  <c:v>36831</c:v>
                </c:pt>
                <c:pt idx="65">
                  <c:v>36923</c:v>
                </c:pt>
                <c:pt idx="66">
                  <c:v>37012</c:v>
                </c:pt>
                <c:pt idx="67">
                  <c:v>37104</c:v>
                </c:pt>
                <c:pt idx="68">
                  <c:v>37196</c:v>
                </c:pt>
                <c:pt idx="69">
                  <c:v>37288</c:v>
                </c:pt>
                <c:pt idx="70">
                  <c:v>37377</c:v>
                </c:pt>
                <c:pt idx="71">
                  <c:v>37469</c:v>
                </c:pt>
                <c:pt idx="72">
                  <c:v>37561</c:v>
                </c:pt>
                <c:pt idx="73">
                  <c:v>37653</c:v>
                </c:pt>
                <c:pt idx="74">
                  <c:v>37742</c:v>
                </c:pt>
                <c:pt idx="75">
                  <c:v>37834</c:v>
                </c:pt>
                <c:pt idx="76">
                  <c:v>37926</c:v>
                </c:pt>
                <c:pt idx="77">
                  <c:v>38018</c:v>
                </c:pt>
                <c:pt idx="78">
                  <c:v>38108</c:v>
                </c:pt>
                <c:pt idx="79">
                  <c:v>38200</c:v>
                </c:pt>
                <c:pt idx="80">
                  <c:v>38292</c:v>
                </c:pt>
                <c:pt idx="81">
                  <c:v>38384</c:v>
                </c:pt>
                <c:pt idx="82">
                  <c:v>38473</c:v>
                </c:pt>
                <c:pt idx="83">
                  <c:v>38565</c:v>
                </c:pt>
                <c:pt idx="84">
                  <c:v>38657</c:v>
                </c:pt>
                <c:pt idx="85">
                  <c:v>38749</c:v>
                </c:pt>
                <c:pt idx="86">
                  <c:v>38838</c:v>
                </c:pt>
                <c:pt idx="87">
                  <c:v>38930</c:v>
                </c:pt>
                <c:pt idx="88">
                  <c:v>39022</c:v>
                </c:pt>
                <c:pt idx="89">
                  <c:v>39114</c:v>
                </c:pt>
                <c:pt idx="90">
                  <c:v>39203</c:v>
                </c:pt>
                <c:pt idx="91">
                  <c:v>39295</c:v>
                </c:pt>
                <c:pt idx="92">
                  <c:v>39387</c:v>
                </c:pt>
                <c:pt idx="93">
                  <c:v>39479</c:v>
                </c:pt>
                <c:pt idx="94">
                  <c:v>39569</c:v>
                </c:pt>
                <c:pt idx="95">
                  <c:v>39661</c:v>
                </c:pt>
                <c:pt idx="96">
                  <c:v>39753</c:v>
                </c:pt>
                <c:pt idx="97">
                  <c:v>39845</c:v>
                </c:pt>
                <c:pt idx="98">
                  <c:v>39934</c:v>
                </c:pt>
                <c:pt idx="99">
                  <c:v>40026</c:v>
                </c:pt>
                <c:pt idx="100">
                  <c:v>40118</c:v>
                </c:pt>
                <c:pt idx="101">
                  <c:v>40210</c:v>
                </c:pt>
                <c:pt idx="102">
                  <c:v>40299</c:v>
                </c:pt>
                <c:pt idx="103">
                  <c:v>40391</c:v>
                </c:pt>
                <c:pt idx="104">
                  <c:v>40483</c:v>
                </c:pt>
                <c:pt idx="105">
                  <c:v>40575</c:v>
                </c:pt>
                <c:pt idx="106">
                  <c:v>40664</c:v>
                </c:pt>
                <c:pt idx="107">
                  <c:v>40756</c:v>
                </c:pt>
                <c:pt idx="108">
                  <c:v>40848</c:v>
                </c:pt>
                <c:pt idx="109">
                  <c:v>40940</c:v>
                </c:pt>
                <c:pt idx="110">
                  <c:v>41030</c:v>
                </c:pt>
                <c:pt idx="111">
                  <c:v>41122</c:v>
                </c:pt>
                <c:pt idx="112">
                  <c:v>41214</c:v>
                </c:pt>
                <c:pt idx="113">
                  <c:v>41306</c:v>
                </c:pt>
                <c:pt idx="114">
                  <c:v>41395</c:v>
                </c:pt>
                <c:pt idx="115">
                  <c:v>41487</c:v>
                </c:pt>
                <c:pt idx="116">
                  <c:v>41579</c:v>
                </c:pt>
                <c:pt idx="117">
                  <c:v>41671</c:v>
                </c:pt>
                <c:pt idx="118">
                  <c:v>41760</c:v>
                </c:pt>
                <c:pt idx="119">
                  <c:v>41852</c:v>
                </c:pt>
                <c:pt idx="120">
                  <c:v>41944</c:v>
                </c:pt>
                <c:pt idx="121">
                  <c:v>42036</c:v>
                </c:pt>
                <c:pt idx="122">
                  <c:v>42125</c:v>
                </c:pt>
                <c:pt idx="123">
                  <c:v>42217</c:v>
                </c:pt>
                <c:pt idx="124">
                  <c:v>42309</c:v>
                </c:pt>
                <c:pt idx="125">
                  <c:v>42401</c:v>
                </c:pt>
                <c:pt idx="126">
                  <c:v>42491</c:v>
                </c:pt>
                <c:pt idx="127">
                  <c:v>42583</c:v>
                </c:pt>
                <c:pt idx="128">
                  <c:v>42675</c:v>
                </c:pt>
                <c:pt idx="129">
                  <c:v>42767</c:v>
                </c:pt>
                <c:pt idx="130">
                  <c:v>42856</c:v>
                </c:pt>
                <c:pt idx="131">
                  <c:v>42948</c:v>
                </c:pt>
                <c:pt idx="132">
                  <c:v>43040</c:v>
                </c:pt>
                <c:pt idx="133">
                  <c:v>43132</c:v>
                </c:pt>
                <c:pt idx="134">
                  <c:v>43221</c:v>
                </c:pt>
                <c:pt idx="135">
                  <c:v>43313</c:v>
                </c:pt>
                <c:pt idx="136">
                  <c:v>43405</c:v>
                </c:pt>
                <c:pt idx="137">
                  <c:v>43497</c:v>
                </c:pt>
                <c:pt idx="138">
                  <c:v>43586</c:v>
                </c:pt>
              </c:numCache>
            </c:numRef>
          </c:cat>
          <c:val>
            <c:numRef>
              <c:f>'Sheet1 (2)'!$E$5:$E$143</c:f>
              <c:numCache>
                <c:formatCode>General</c:formatCode>
                <c:ptCount val="139"/>
                <c:pt idx="1">
                  <c:v>5.0260426051000007</c:v>
                </c:pt>
                <c:pt idx="2">
                  <c:v>5.0867661659000003</c:v>
                </c:pt>
                <c:pt idx="3">
                  <c:v>5.1530254611999986</c:v>
                </c:pt>
                <c:pt idx="4">
                  <c:v>5.2216697683</c:v>
                </c:pt>
                <c:pt idx="5">
                  <c:v>5.2808667933999995</c:v>
                </c:pt>
                <c:pt idx="6">
                  <c:v>5.3291026062000002</c:v>
                </c:pt>
                <c:pt idx="7">
                  <c:v>5.3741339642000003</c:v>
                </c:pt>
                <c:pt idx="8">
                  <c:v>5.4144991197999994</c:v>
                </c:pt>
                <c:pt idx="9">
                  <c:v>5.4552156493000004</c:v>
                </c:pt>
                <c:pt idx="10">
                  <c:v>5.4919482091000011</c:v>
                </c:pt>
                <c:pt idx="11">
                  <c:v>5.5253052378000005</c:v>
                </c:pt>
                <c:pt idx="12">
                  <c:v>5.5690029632999991</c:v>
                </c:pt>
                <c:pt idx="13">
                  <c:v>5.6201284479999991</c:v>
                </c:pt>
                <c:pt idx="14">
                  <c:v>5.6770168306000004</c:v>
                </c:pt>
                <c:pt idx="15">
                  <c:v>5.743542313299999</c:v>
                </c:pt>
                <c:pt idx="16">
                  <c:v>5.8140924349000001</c:v>
                </c:pt>
                <c:pt idx="17">
                  <c:v>5.8932780799</c:v>
                </c:pt>
                <c:pt idx="18">
                  <c:v>5.9812939243000001</c:v>
                </c:pt>
                <c:pt idx="19">
                  <c:v>6.0623555525000006</c:v>
                </c:pt>
                <c:pt idx="20">
                  <c:v>6.1330821566999996</c:v>
                </c:pt>
                <c:pt idx="21">
                  <c:v>6.1796640013000008</c:v>
                </c:pt>
                <c:pt idx="22">
                  <c:v>6.1955731421999989</c:v>
                </c:pt>
                <c:pt idx="23">
                  <c:v>6.1880552157999995</c:v>
                </c:pt>
                <c:pt idx="24">
                  <c:v>6.1621637065000012</c:v>
                </c:pt>
                <c:pt idx="25">
                  <c:v>6.1324592082000002</c:v>
                </c:pt>
                <c:pt idx="26">
                  <c:v>6.1121826751999997</c:v>
                </c:pt>
                <c:pt idx="27">
                  <c:v>6.1017557912000013</c:v>
                </c:pt>
                <c:pt idx="28">
                  <c:v>6.1003331352999997</c:v>
                </c:pt>
                <c:pt idx="29">
                  <c:v>6.1094347141999998</c:v>
                </c:pt>
                <c:pt idx="30">
                  <c:v>6.1154223325000006</c:v>
                </c:pt>
                <c:pt idx="31">
                  <c:v>6.1019273720999996</c:v>
                </c:pt>
                <c:pt idx="32">
                  <c:v>6.0779165008000007</c:v>
                </c:pt>
                <c:pt idx="33">
                  <c:v>6.0678442975000006</c:v>
                </c:pt>
                <c:pt idx="34">
                  <c:v>6.0851273398999997</c:v>
                </c:pt>
                <c:pt idx="35">
                  <c:v>6.1305812894000011</c:v>
                </c:pt>
                <c:pt idx="36">
                  <c:v>6.1826166130999987</c:v>
                </c:pt>
                <c:pt idx="37">
                  <c:v>6.2385850241000007</c:v>
                </c:pt>
                <c:pt idx="38">
                  <c:v>6.300654584000001</c:v>
                </c:pt>
                <c:pt idx="39">
                  <c:v>6.3675254606999996</c:v>
                </c:pt>
                <c:pt idx="40">
                  <c:v>6.4450537789999993</c:v>
                </c:pt>
                <c:pt idx="41">
                  <c:v>6.5242486962999982</c:v>
                </c:pt>
                <c:pt idx="42">
                  <c:v>6.5992946435999995</c:v>
                </c:pt>
                <c:pt idx="43">
                  <c:v>6.6629564290999994</c:v>
                </c:pt>
                <c:pt idx="44">
                  <c:v>6.7044406998000001</c:v>
                </c:pt>
                <c:pt idx="45">
                  <c:v>6.7215486713999999</c:v>
                </c:pt>
                <c:pt idx="46">
                  <c:v>6.7236427718000007</c:v>
                </c:pt>
                <c:pt idx="47">
                  <c:v>6.7231753210000003</c:v>
                </c:pt>
                <c:pt idx="48">
                  <c:v>6.7285661588000005</c:v>
                </c:pt>
                <c:pt idx="49">
                  <c:v>6.7353002806999998</c:v>
                </c:pt>
                <c:pt idx="50">
                  <c:v>6.7497460106</c:v>
                </c:pt>
                <c:pt idx="51">
                  <c:v>6.7786253298000023</c:v>
                </c:pt>
                <c:pt idx="52">
                  <c:v>6.8255355108</c:v>
                </c:pt>
                <c:pt idx="53">
                  <c:v>6.8791086073000018</c:v>
                </c:pt>
                <c:pt idx="54">
                  <c:v>6.9262785962000004</c:v>
                </c:pt>
                <c:pt idx="55">
                  <c:v>6.9643085025999998</c:v>
                </c:pt>
                <c:pt idx="56">
                  <c:v>7.0014870351000003</c:v>
                </c:pt>
                <c:pt idx="57">
                  <c:v>7.0429854172999997</c:v>
                </c:pt>
                <c:pt idx="58">
                  <c:v>7.0897774577000003</c:v>
                </c:pt>
                <c:pt idx="59">
                  <c:v>7.1318448488000001</c:v>
                </c:pt>
                <c:pt idx="60">
                  <c:v>7.1691533555999998</c:v>
                </c:pt>
                <c:pt idx="61">
                  <c:v>7.2259842551999993</c:v>
                </c:pt>
                <c:pt idx="62">
                  <c:v>7.2511804826000006</c:v>
                </c:pt>
                <c:pt idx="63">
                  <c:v>7.3120029436000005</c:v>
                </c:pt>
                <c:pt idx="64">
                  <c:v>7.3634670129000002</c:v>
                </c:pt>
                <c:pt idx="65">
                  <c:v>7.3995763582</c:v>
                </c:pt>
                <c:pt idx="66">
                  <c:v>7.4320838724000007</c:v>
                </c:pt>
                <c:pt idx="67">
                  <c:v>7.4728016232000005</c:v>
                </c:pt>
                <c:pt idx="68">
                  <c:v>7.5115615053000004</c:v>
                </c:pt>
                <c:pt idx="69">
                  <c:v>7.5525421189000017</c:v>
                </c:pt>
                <c:pt idx="70">
                  <c:v>7.6000495433999982</c:v>
                </c:pt>
                <c:pt idx="71">
                  <c:v>7.6643078983000015</c:v>
                </c:pt>
                <c:pt idx="72">
                  <c:v>7.7482879402999982</c:v>
                </c:pt>
                <c:pt idx="73">
                  <c:v>7.8259974414000002</c:v>
                </c:pt>
                <c:pt idx="74">
                  <c:v>7.8750689778999998</c:v>
                </c:pt>
                <c:pt idx="75">
                  <c:v>7.9073745737999994</c:v>
                </c:pt>
                <c:pt idx="76">
                  <c:v>7.9324929987999999</c:v>
                </c:pt>
                <c:pt idx="77">
                  <c:v>7.9543419913999989</c:v>
                </c:pt>
                <c:pt idx="78">
                  <c:v>7.9857629502999998</c:v>
                </c:pt>
                <c:pt idx="79">
                  <c:v>8.0479935459000007</c:v>
                </c:pt>
                <c:pt idx="80">
                  <c:v>8.1441739771999995</c:v>
                </c:pt>
                <c:pt idx="81">
                  <c:v>8.2600739429000001</c:v>
                </c:pt>
                <c:pt idx="82">
                  <c:v>8.3579110072999985</c:v>
                </c:pt>
                <c:pt idx="83">
                  <c:v>8.4135897832999991</c:v>
                </c:pt>
                <c:pt idx="84">
                  <c:v>8.4474775090999987</c:v>
                </c:pt>
                <c:pt idx="85">
                  <c:v>8.4935311115000012</c:v>
                </c:pt>
                <c:pt idx="86">
                  <c:v>8.5723924508000007</c:v>
                </c:pt>
                <c:pt idx="87">
                  <c:v>8.6653806138</c:v>
                </c:pt>
                <c:pt idx="88">
                  <c:v>8.7449173821000006</c:v>
                </c:pt>
                <c:pt idx="89">
                  <c:v>8.8087307760000026</c:v>
                </c:pt>
                <c:pt idx="90">
                  <c:v>8.8716550924000028</c:v>
                </c:pt>
                <c:pt idx="91">
                  <c:v>8.9437719862999998</c:v>
                </c:pt>
                <c:pt idx="92">
                  <c:v>9.0154664598000007</c:v>
                </c:pt>
                <c:pt idx="93">
                  <c:v>9.0866431920000021</c:v>
                </c:pt>
                <c:pt idx="94">
                  <c:v>9.1448349335000021</c:v>
                </c:pt>
                <c:pt idx="95">
                  <c:v>9.180127649400001</c:v>
                </c:pt>
                <c:pt idx="96">
                  <c:v>9.2071297137000006</c:v>
                </c:pt>
                <c:pt idx="97">
                  <c:v>9.2251745711000002</c:v>
                </c:pt>
                <c:pt idx="98">
                  <c:v>9.2459348011000007</c:v>
                </c:pt>
                <c:pt idx="99">
                  <c:v>9.2838025123000012</c:v>
                </c:pt>
                <c:pt idx="100">
                  <c:v>9.3285790074999984</c:v>
                </c:pt>
                <c:pt idx="101">
                  <c:v>9.3811354126000008</c:v>
                </c:pt>
                <c:pt idx="102">
                  <c:v>9.4404869258000002</c:v>
                </c:pt>
                <c:pt idx="103">
                  <c:v>9.5105937034000014</c:v>
                </c:pt>
                <c:pt idx="104">
                  <c:v>9.5853405845000008</c:v>
                </c:pt>
                <c:pt idx="105">
                  <c:v>9.6510899262999992</c:v>
                </c:pt>
                <c:pt idx="106">
                  <c:v>9.7003938329000015</c:v>
                </c:pt>
                <c:pt idx="107">
                  <c:v>9.7243197136000017</c:v>
                </c:pt>
                <c:pt idx="108">
                  <c:v>9.7316692979999999</c:v>
                </c:pt>
                <c:pt idx="109">
                  <c:v>9.7354043996999984</c:v>
                </c:pt>
                <c:pt idx="110">
                  <c:v>9.7569063665999991</c:v>
                </c:pt>
                <c:pt idx="111">
                  <c:v>9.8142627793000017</c:v>
                </c:pt>
                <c:pt idx="112">
                  <c:v>9.8884341643999978</c:v>
                </c:pt>
                <c:pt idx="113">
                  <c:v>9.9493318547000023</c:v>
                </c:pt>
                <c:pt idx="114">
                  <c:v>9.9723480527999975</c:v>
                </c:pt>
                <c:pt idx="115">
                  <c:v>9.9615329641999999</c:v>
                </c:pt>
                <c:pt idx="116">
                  <c:v>9.9571035560999963</c:v>
                </c:pt>
                <c:pt idx="117">
                  <c:v>9.9788122507000008</c:v>
                </c:pt>
                <c:pt idx="118">
                  <c:v>10.022791798999998</c:v>
                </c:pt>
                <c:pt idx="119">
                  <c:v>10.078370603799998</c:v>
                </c:pt>
                <c:pt idx="120">
                  <c:v>10.1458183606</c:v>
                </c:pt>
                <c:pt idx="121">
                  <c:v>10.228495935799998</c:v>
                </c:pt>
                <c:pt idx="122">
                  <c:v>10.326482394800001</c:v>
                </c:pt>
                <c:pt idx="123">
                  <c:v>10.421770572500002</c:v>
                </c:pt>
                <c:pt idx="124">
                  <c:v>10.4970020374</c:v>
                </c:pt>
                <c:pt idx="125">
                  <c:v>10.546941317300002</c:v>
                </c:pt>
                <c:pt idx="126">
                  <c:v>10.568047353299999</c:v>
                </c:pt>
                <c:pt idx="127">
                  <c:v>10.577192730099998</c:v>
                </c:pt>
                <c:pt idx="128">
                  <c:v>10.6079332499</c:v>
                </c:pt>
                <c:pt idx="129">
                  <c:v>10.6840241653</c:v>
                </c:pt>
                <c:pt idx="130">
                  <c:v>10.796685339799998</c:v>
                </c:pt>
                <c:pt idx="131">
                  <c:v>10.907468152299998</c:v>
                </c:pt>
                <c:pt idx="132">
                  <c:v>10.9766107637</c:v>
                </c:pt>
                <c:pt idx="133">
                  <c:v>11.011776709399999</c:v>
                </c:pt>
                <c:pt idx="134">
                  <c:v>11.0468927992</c:v>
                </c:pt>
                <c:pt idx="135">
                  <c:v>11.113701883800001</c:v>
                </c:pt>
                <c:pt idx="136">
                  <c:v>11.213350489200002</c:v>
                </c:pt>
                <c:pt idx="137">
                  <c:v>11.3228861049</c:v>
                </c:pt>
                <c:pt idx="138">
                  <c:v>11.423324150999999</c:v>
                </c:pt>
              </c:numCache>
            </c:numRef>
          </c:val>
          <c:smooth val="0"/>
        </c:ser>
        <c:dLbls>
          <c:showLegendKey val="0"/>
          <c:showVal val="0"/>
          <c:showCatName val="0"/>
          <c:showSerName val="0"/>
          <c:showPercent val="0"/>
          <c:showBubbleSize val="0"/>
        </c:dLbls>
        <c:marker val="1"/>
        <c:smooth val="0"/>
        <c:axId val="494100816"/>
        <c:axId val="494098072"/>
      </c:lineChart>
      <c:lineChart>
        <c:grouping val="standard"/>
        <c:varyColors val="0"/>
        <c:ser>
          <c:idx val="1"/>
          <c:order val="1"/>
          <c:tx>
            <c:v>Value add</c:v>
          </c:tx>
          <c:spPr>
            <a:ln cmpd="sng">
              <a:solidFill>
                <a:srgbClr val="265A9A"/>
              </a:solidFill>
              <a:prstDash val="solid"/>
            </a:ln>
            <a:effectLst/>
          </c:spPr>
          <c:marker>
            <c:symbol val="none"/>
          </c:marker>
          <c:cat>
            <c:numRef>
              <c:f>'Sheet1 (2)'!$A$5:$A$143</c:f>
              <c:numCache>
                <c:formatCode>mmm\-yyyy</c:formatCode>
                <c:ptCount val="139"/>
                <c:pt idx="1">
                  <c:v>31079</c:v>
                </c:pt>
                <c:pt idx="2">
                  <c:v>31168</c:v>
                </c:pt>
                <c:pt idx="3">
                  <c:v>31260</c:v>
                </c:pt>
                <c:pt idx="4">
                  <c:v>31352</c:v>
                </c:pt>
                <c:pt idx="5">
                  <c:v>31444</c:v>
                </c:pt>
                <c:pt idx="6">
                  <c:v>31533</c:v>
                </c:pt>
                <c:pt idx="7">
                  <c:v>31625</c:v>
                </c:pt>
                <c:pt idx="8">
                  <c:v>31717</c:v>
                </c:pt>
                <c:pt idx="9">
                  <c:v>31809</c:v>
                </c:pt>
                <c:pt idx="10">
                  <c:v>31898</c:v>
                </c:pt>
                <c:pt idx="11">
                  <c:v>31990</c:v>
                </c:pt>
                <c:pt idx="12">
                  <c:v>32082</c:v>
                </c:pt>
                <c:pt idx="13">
                  <c:v>32174</c:v>
                </c:pt>
                <c:pt idx="14">
                  <c:v>32264</c:v>
                </c:pt>
                <c:pt idx="15">
                  <c:v>32356</c:v>
                </c:pt>
                <c:pt idx="16">
                  <c:v>32448</c:v>
                </c:pt>
                <c:pt idx="17">
                  <c:v>32540</c:v>
                </c:pt>
                <c:pt idx="18">
                  <c:v>32629</c:v>
                </c:pt>
                <c:pt idx="19">
                  <c:v>32721</c:v>
                </c:pt>
                <c:pt idx="20">
                  <c:v>32813</c:v>
                </c:pt>
                <c:pt idx="21">
                  <c:v>32905</c:v>
                </c:pt>
                <c:pt idx="22">
                  <c:v>32994</c:v>
                </c:pt>
                <c:pt idx="23">
                  <c:v>33086</c:v>
                </c:pt>
                <c:pt idx="24">
                  <c:v>33178</c:v>
                </c:pt>
                <c:pt idx="25">
                  <c:v>33270</c:v>
                </c:pt>
                <c:pt idx="26">
                  <c:v>33359</c:v>
                </c:pt>
                <c:pt idx="27">
                  <c:v>33451</c:v>
                </c:pt>
                <c:pt idx="28">
                  <c:v>33543</c:v>
                </c:pt>
                <c:pt idx="29">
                  <c:v>33635</c:v>
                </c:pt>
                <c:pt idx="30">
                  <c:v>33725</c:v>
                </c:pt>
                <c:pt idx="31">
                  <c:v>33817</c:v>
                </c:pt>
                <c:pt idx="32">
                  <c:v>33909</c:v>
                </c:pt>
                <c:pt idx="33">
                  <c:v>34001</c:v>
                </c:pt>
                <c:pt idx="34">
                  <c:v>34090</c:v>
                </c:pt>
                <c:pt idx="35">
                  <c:v>34182</c:v>
                </c:pt>
                <c:pt idx="36">
                  <c:v>34274</c:v>
                </c:pt>
                <c:pt idx="37">
                  <c:v>34366</c:v>
                </c:pt>
                <c:pt idx="38">
                  <c:v>34455</c:v>
                </c:pt>
                <c:pt idx="39">
                  <c:v>34547</c:v>
                </c:pt>
                <c:pt idx="40">
                  <c:v>34639</c:v>
                </c:pt>
                <c:pt idx="41">
                  <c:v>34731</c:v>
                </c:pt>
                <c:pt idx="42">
                  <c:v>34820</c:v>
                </c:pt>
                <c:pt idx="43">
                  <c:v>34912</c:v>
                </c:pt>
                <c:pt idx="44">
                  <c:v>35004</c:v>
                </c:pt>
                <c:pt idx="45">
                  <c:v>35096</c:v>
                </c:pt>
                <c:pt idx="46">
                  <c:v>35186</c:v>
                </c:pt>
                <c:pt idx="47">
                  <c:v>35278</c:v>
                </c:pt>
                <c:pt idx="48">
                  <c:v>35370</c:v>
                </c:pt>
                <c:pt idx="49">
                  <c:v>35462</c:v>
                </c:pt>
                <c:pt idx="50">
                  <c:v>35551</c:v>
                </c:pt>
                <c:pt idx="51">
                  <c:v>35643</c:v>
                </c:pt>
                <c:pt idx="52">
                  <c:v>35735</c:v>
                </c:pt>
                <c:pt idx="53">
                  <c:v>35827</c:v>
                </c:pt>
                <c:pt idx="54">
                  <c:v>35916</c:v>
                </c:pt>
                <c:pt idx="55">
                  <c:v>36008</c:v>
                </c:pt>
                <c:pt idx="56">
                  <c:v>36100</c:v>
                </c:pt>
                <c:pt idx="57">
                  <c:v>36192</c:v>
                </c:pt>
                <c:pt idx="58">
                  <c:v>36281</c:v>
                </c:pt>
                <c:pt idx="59">
                  <c:v>36373</c:v>
                </c:pt>
                <c:pt idx="60">
                  <c:v>36465</c:v>
                </c:pt>
                <c:pt idx="61">
                  <c:v>36557</c:v>
                </c:pt>
                <c:pt idx="62">
                  <c:v>36647</c:v>
                </c:pt>
                <c:pt idx="63">
                  <c:v>36739</c:v>
                </c:pt>
                <c:pt idx="64">
                  <c:v>36831</c:v>
                </c:pt>
                <c:pt idx="65">
                  <c:v>36923</c:v>
                </c:pt>
                <c:pt idx="66">
                  <c:v>37012</c:v>
                </c:pt>
                <c:pt idx="67">
                  <c:v>37104</c:v>
                </c:pt>
                <c:pt idx="68">
                  <c:v>37196</c:v>
                </c:pt>
                <c:pt idx="69">
                  <c:v>37288</c:v>
                </c:pt>
                <c:pt idx="70">
                  <c:v>37377</c:v>
                </c:pt>
                <c:pt idx="71">
                  <c:v>37469</c:v>
                </c:pt>
                <c:pt idx="72">
                  <c:v>37561</c:v>
                </c:pt>
                <c:pt idx="73">
                  <c:v>37653</c:v>
                </c:pt>
                <c:pt idx="74">
                  <c:v>37742</c:v>
                </c:pt>
                <c:pt idx="75">
                  <c:v>37834</c:v>
                </c:pt>
                <c:pt idx="76">
                  <c:v>37926</c:v>
                </c:pt>
                <c:pt idx="77">
                  <c:v>38018</c:v>
                </c:pt>
                <c:pt idx="78">
                  <c:v>38108</c:v>
                </c:pt>
                <c:pt idx="79">
                  <c:v>38200</c:v>
                </c:pt>
                <c:pt idx="80">
                  <c:v>38292</c:v>
                </c:pt>
                <c:pt idx="81">
                  <c:v>38384</c:v>
                </c:pt>
                <c:pt idx="82">
                  <c:v>38473</c:v>
                </c:pt>
                <c:pt idx="83">
                  <c:v>38565</c:v>
                </c:pt>
                <c:pt idx="84">
                  <c:v>38657</c:v>
                </c:pt>
                <c:pt idx="85">
                  <c:v>38749</c:v>
                </c:pt>
                <c:pt idx="86">
                  <c:v>38838</c:v>
                </c:pt>
                <c:pt idx="87">
                  <c:v>38930</c:v>
                </c:pt>
                <c:pt idx="88">
                  <c:v>39022</c:v>
                </c:pt>
                <c:pt idx="89">
                  <c:v>39114</c:v>
                </c:pt>
                <c:pt idx="90">
                  <c:v>39203</c:v>
                </c:pt>
                <c:pt idx="91">
                  <c:v>39295</c:v>
                </c:pt>
                <c:pt idx="92">
                  <c:v>39387</c:v>
                </c:pt>
                <c:pt idx="93">
                  <c:v>39479</c:v>
                </c:pt>
                <c:pt idx="94">
                  <c:v>39569</c:v>
                </c:pt>
                <c:pt idx="95">
                  <c:v>39661</c:v>
                </c:pt>
                <c:pt idx="96">
                  <c:v>39753</c:v>
                </c:pt>
                <c:pt idx="97">
                  <c:v>39845</c:v>
                </c:pt>
                <c:pt idx="98">
                  <c:v>39934</c:v>
                </c:pt>
                <c:pt idx="99">
                  <c:v>40026</c:v>
                </c:pt>
                <c:pt idx="100">
                  <c:v>40118</c:v>
                </c:pt>
                <c:pt idx="101">
                  <c:v>40210</c:v>
                </c:pt>
                <c:pt idx="102">
                  <c:v>40299</c:v>
                </c:pt>
                <c:pt idx="103">
                  <c:v>40391</c:v>
                </c:pt>
                <c:pt idx="104">
                  <c:v>40483</c:v>
                </c:pt>
                <c:pt idx="105">
                  <c:v>40575</c:v>
                </c:pt>
                <c:pt idx="106">
                  <c:v>40664</c:v>
                </c:pt>
                <c:pt idx="107">
                  <c:v>40756</c:v>
                </c:pt>
                <c:pt idx="108">
                  <c:v>40848</c:v>
                </c:pt>
                <c:pt idx="109">
                  <c:v>40940</c:v>
                </c:pt>
                <c:pt idx="110">
                  <c:v>41030</c:v>
                </c:pt>
                <c:pt idx="111">
                  <c:v>41122</c:v>
                </c:pt>
                <c:pt idx="112">
                  <c:v>41214</c:v>
                </c:pt>
                <c:pt idx="113">
                  <c:v>41306</c:v>
                </c:pt>
                <c:pt idx="114">
                  <c:v>41395</c:v>
                </c:pt>
                <c:pt idx="115">
                  <c:v>41487</c:v>
                </c:pt>
                <c:pt idx="116">
                  <c:v>41579</c:v>
                </c:pt>
                <c:pt idx="117">
                  <c:v>41671</c:v>
                </c:pt>
                <c:pt idx="118">
                  <c:v>41760</c:v>
                </c:pt>
                <c:pt idx="119">
                  <c:v>41852</c:v>
                </c:pt>
                <c:pt idx="120">
                  <c:v>41944</c:v>
                </c:pt>
                <c:pt idx="121">
                  <c:v>42036</c:v>
                </c:pt>
                <c:pt idx="122">
                  <c:v>42125</c:v>
                </c:pt>
                <c:pt idx="123">
                  <c:v>42217</c:v>
                </c:pt>
                <c:pt idx="124">
                  <c:v>42309</c:v>
                </c:pt>
                <c:pt idx="125">
                  <c:v>42401</c:v>
                </c:pt>
                <c:pt idx="126">
                  <c:v>42491</c:v>
                </c:pt>
                <c:pt idx="127">
                  <c:v>42583</c:v>
                </c:pt>
                <c:pt idx="128">
                  <c:v>42675</c:v>
                </c:pt>
                <c:pt idx="129">
                  <c:v>42767</c:v>
                </c:pt>
                <c:pt idx="130">
                  <c:v>42856</c:v>
                </c:pt>
                <c:pt idx="131">
                  <c:v>42948</c:v>
                </c:pt>
                <c:pt idx="132">
                  <c:v>43040</c:v>
                </c:pt>
                <c:pt idx="133">
                  <c:v>43132</c:v>
                </c:pt>
                <c:pt idx="134">
                  <c:v>43221</c:v>
                </c:pt>
                <c:pt idx="135">
                  <c:v>43313</c:v>
                </c:pt>
                <c:pt idx="136">
                  <c:v>43405</c:v>
                </c:pt>
                <c:pt idx="137">
                  <c:v>43497</c:v>
                </c:pt>
                <c:pt idx="138">
                  <c:v>43586</c:v>
                </c:pt>
              </c:numCache>
            </c:numRef>
          </c:cat>
          <c:val>
            <c:numRef>
              <c:f>'Sheet1 (2)'!$J$5:$J$143</c:f>
              <c:numCache>
                <c:formatCode>General</c:formatCode>
                <c:ptCount val="139"/>
                <c:pt idx="1">
                  <c:v>95.951999999999998</c:v>
                </c:pt>
                <c:pt idx="2">
                  <c:v>97.230999999999995</c:v>
                </c:pt>
                <c:pt idx="3">
                  <c:v>98.763000000000005</c:v>
                </c:pt>
                <c:pt idx="4">
                  <c:v>100.137</c:v>
                </c:pt>
                <c:pt idx="5">
                  <c:v>101.271</c:v>
                </c:pt>
                <c:pt idx="6">
                  <c:v>102.307</c:v>
                </c:pt>
                <c:pt idx="7">
                  <c:v>103.182</c:v>
                </c:pt>
                <c:pt idx="8">
                  <c:v>103.914</c:v>
                </c:pt>
                <c:pt idx="9">
                  <c:v>104.97799999999999</c:v>
                </c:pt>
                <c:pt idx="10">
                  <c:v>106.917</c:v>
                </c:pt>
                <c:pt idx="11">
                  <c:v>109.34399999999999</c:v>
                </c:pt>
                <c:pt idx="12">
                  <c:v>111.31</c:v>
                </c:pt>
                <c:pt idx="13">
                  <c:v>112.47499999999999</c:v>
                </c:pt>
                <c:pt idx="14">
                  <c:v>113.389</c:v>
                </c:pt>
                <c:pt idx="15">
                  <c:v>114.459</c:v>
                </c:pt>
                <c:pt idx="16">
                  <c:v>115.84</c:v>
                </c:pt>
                <c:pt idx="17">
                  <c:v>117.55800000000001</c:v>
                </c:pt>
                <c:pt idx="18">
                  <c:v>119.248</c:v>
                </c:pt>
                <c:pt idx="19">
                  <c:v>120.715</c:v>
                </c:pt>
                <c:pt idx="20">
                  <c:v>121.69</c:v>
                </c:pt>
                <c:pt idx="21">
                  <c:v>122.02500000000001</c:v>
                </c:pt>
                <c:pt idx="22">
                  <c:v>121.876</c:v>
                </c:pt>
                <c:pt idx="23">
                  <c:v>121.523</c:v>
                </c:pt>
                <c:pt idx="24">
                  <c:v>121.20399999999999</c:v>
                </c:pt>
                <c:pt idx="25">
                  <c:v>121.209</c:v>
                </c:pt>
                <c:pt idx="26">
                  <c:v>121.45</c:v>
                </c:pt>
                <c:pt idx="27">
                  <c:v>121.93899999999999</c:v>
                </c:pt>
                <c:pt idx="28">
                  <c:v>122.55800000000001</c:v>
                </c:pt>
                <c:pt idx="29">
                  <c:v>123.128</c:v>
                </c:pt>
                <c:pt idx="30">
                  <c:v>123.82899999999999</c:v>
                </c:pt>
                <c:pt idx="31">
                  <c:v>124.751</c:v>
                </c:pt>
                <c:pt idx="32">
                  <c:v>125.932</c:v>
                </c:pt>
                <c:pt idx="33">
                  <c:v>127.285</c:v>
                </c:pt>
                <c:pt idx="34">
                  <c:v>128.63999999999999</c:v>
                </c:pt>
                <c:pt idx="35">
                  <c:v>130.09800000000001</c:v>
                </c:pt>
                <c:pt idx="36">
                  <c:v>131.881</c:v>
                </c:pt>
                <c:pt idx="37">
                  <c:v>134.268</c:v>
                </c:pt>
                <c:pt idx="38">
                  <c:v>136.958</c:v>
                </c:pt>
                <c:pt idx="39">
                  <c:v>139.21700000000001</c:v>
                </c:pt>
                <c:pt idx="40">
                  <c:v>140.68799999999999</c:v>
                </c:pt>
                <c:pt idx="41">
                  <c:v>141.53200000000001</c:v>
                </c:pt>
                <c:pt idx="42">
                  <c:v>142.40899999999999</c:v>
                </c:pt>
                <c:pt idx="43">
                  <c:v>143.67699999999999</c:v>
                </c:pt>
                <c:pt idx="44">
                  <c:v>144.941</c:v>
                </c:pt>
                <c:pt idx="45">
                  <c:v>146.13499999999999</c:v>
                </c:pt>
                <c:pt idx="46">
                  <c:v>147.19800000000001</c:v>
                </c:pt>
                <c:pt idx="47">
                  <c:v>148.458</c:v>
                </c:pt>
                <c:pt idx="48">
                  <c:v>150.422</c:v>
                </c:pt>
                <c:pt idx="49">
                  <c:v>152.577</c:v>
                </c:pt>
                <c:pt idx="50">
                  <c:v>154.63300000000001</c:v>
                </c:pt>
                <c:pt idx="51">
                  <c:v>156.554</c:v>
                </c:pt>
                <c:pt idx="52">
                  <c:v>158.238</c:v>
                </c:pt>
                <c:pt idx="53">
                  <c:v>159.92699999999999</c:v>
                </c:pt>
                <c:pt idx="54">
                  <c:v>161.904</c:v>
                </c:pt>
                <c:pt idx="55">
                  <c:v>164.36699999999999</c:v>
                </c:pt>
                <c:pt idx="56">
                  <c:v>167.38399999999999</c:v>
                </c:pt>
                <c:pt idx="57">
                  <c:v>169.94800000000001</c:v>
                </c:pt>
                <c:pt idx="58">
                  <c:v>171.946</c:v>
                </c:pt>
                <c:pt idx="59">
                  <c:v>173.69</c:v>
                </c:pt>
                <c:pt idx="60">
                  <c:v>175.42099999999999</c:v>
                </c:pt>
                <c:pt idx="61">
                  <c:v>176.87100000000001</c:v>
                </c:pt>
                <c:pt idx="62">
                  <c:v>177.41499999999999</c:v>
                </c:pt>
                <c:pt idx="63">
                  <c:v>177.29400000000001</c:v>
                </c:pt>
                <c:pt idx="64">
                  <c:v>177.71199999999999</c:v>
                </c:pt>
                <c:pt idx="65">
                  <c:v>179.11099999999999</c:v>
                </c:pt>
                <c:pt idx="66">
                  <c:v>181.28200000000001</c:v>
                </c:pt>
                <c:pt idx="67">
                  <c:v>183.55199999999999</c:v>
                </c:pt>
                <c:pt idx="68">
                  <c:v>185.98</c:v>
                </c:pt>
                <c:pt idx="69">
                  <c:v>188.881</c:v>
                </c:pt>
                <c:pt idx="70">
                  <c:v>191.834</c:v>
                </c:pt>
                <c:pt idx="71">
                  <c:v>194.07400000000001</c:v>
                </c:pt>
                <c:pt idx="72">
                  <c:v>195.32499999999999</c:v>
                </c:pt>
                <c:pt idx="73">
                  <c:v>196.00800000000001</c:v>
                </c:pt>
                <c:pt idx="74">
                  <c:v>197.20699999999999</c:v>
                </c:pt>
                <c:pt idx="75">
                  <c:v>199.37899999999999</c:v>
                </c:pt>
                <c:pt idx="76">
                  <c:v>202.386</c:v>
                </c:pt>
                <c:pt idx="77">
                  <c:v>205.19300000000001</c:v>
                </c:pt>
                <c:pt idx="78">
                  <c:v>207.244</c:v>
                </c:pt>
                <c:pt idx="79">
                  <c:v>208.572</c:v>
                </c:pt>
                <c:pt idx="80">
                  <c:v>209.98099999999999</c:v>
                </c:pt>
                <c:pt idx="81">
                  <c:v>211.81200000000001</c:v>
                </c:pt>
                <c:pt idx="82">
                  <c:v>213.851</c:v>
                </c:pt>
                <c:pt idx="83">
                  <c:v>215.65199999999999</c:v>
                </c:pt>
                <c:pt idx="84">
                  <c:v>217.41800000000001</c:v>
                </c:pt>
                <c:pt idx="85">
                  <c:v>219.17599999999999</c:v>
                </c:pt>
                <c:pt idx="86">
                  <c:v>221.31399999999999</c:v>
                </c:pt>
                <c:pt idx="87">
                  <c:v>224.072</c:v>
                </c:pt>
                <c:pt idx="88">
                  <c:v>227.19800000000001</c:v>
                </c:pt>
                <c:pt idx="89">
                  <c:v>230.286</c:v>
                </c:pt>
                <c:pt idx="90">
                  <c:v>232.75700000000001</c:v>
                </c:pt>
                <c:pt idx="91">
                  <c:v>234.54400000000001</c:v>
                </c:pt>
                <c:pt idx="92">
                  <c:v>236.226</c:v>
                </c:pt>
                <c:pt idx="93">
                  <c:v>238.19800000000001</c:v>
                </c:pt>
                <c:pt idx="94">
                  <c:v>240.374</c:v>
                </c:pt>
                <c:pt idx="95">
                  <c:v>242.15600000000001</c:v>
                </c:pt>
                <c:pt idx="96">
                  <c:v>242.95099999999999</c:v>
                </c:pt>
                <c:pt idx="97">
                  <c:v>243.238</c:v>
                </c:pt>
                <c:pt idx="98">
                  <c:v>243.83099999999999</c:v>
                </c:pt>
                <c:pt idx="99">
                  <c:v>245.06100000000001</c:v>
                </c:pt>
                <c:pt idx="100">
                  <c:v>246.809</c:v>
                </c:pt>
                <c:pt idx="101">
                  <c:v>248.48699999999999</c:v>
                </c:pt>
                <c:pt idx="102">
                  <c:v>250.036</c:v>
                </c:pt>
                <c:pt idx="103">
                  <c:v>251.50899999999999</c:v>
                </c:pt>
                <c:pt idx="104">
                  <c:v>253.386</c:v>
                </c:pt>
                <c:pt idx="105">
                  <c:v>256.05700000000002</c:v>
                </c:pt>
                <c:pt idx="106">
                  <c:v>258.92599999999999</c:v>
                </c:pt>
                <c:pt idx="107">
                  <c:v>261.66000000000003</c:v>
                </c:pt>
                <c:pt idx="108">
                  <c:v>264.65499999999997</c:v>
                </c:pt>
                <c:pt idx="109">
                  <c:v>267.46600000000001</c:v>
                </c:pt>
                <c:pt idx="110">
                  <c:v>269.93799999999999</c:v>
                </c:pt>
                <c:pt idx="111">
                  <c:v>271.74</c:v>
                </c:pt>
                <c:pt idx="112">
                  <c:v>272.82299999999998</c:v>
                </c:pt>
                <c:pt idx="113">
                  <c:v>273.923</c:v>
                </c:pt>
                <c:pt idx="114">
                  <c:v>275.291</c:v>
                </c:pt>
                <c:pt idx="115">
                  <c:v>277.08199999999999</c:v>
                </c:pt>
                <c:pt idx="116">
                  <c:v>279.36799999999999</c:v>
                </c:pt>
                <c:pt idx="117">
                  <c:v>281.28300000000002</c:v>
                </c:pt>
                <c:pt idx="118">
                  <c:v>282.59100000000001</c:v>
                </c:pt>
                <c:pt idx="119">
                  <c:v>283.80599999999998</c:v>
                </c:pt>
                <c:pt idx="120">
                  <c:v>285.54399999999998</c:v>
                </c:pt>
                <c:pt idx="121">
                  <c:v>287.84699999999998</c:v>
                </c:pt>
                <c:pt idx="122">
                  <c:v>290.358</c:v>
                </c:pt>
                <c:pt idx="123">
                  <c:v>292.58800000000002</c:v>
                </c:pt>
                <c:pt idx="124">
                  <c:v>294.90899999999999</c:v>
                </c:pt>
                <c:pt idx="125">
                  <c:v>296.90600000000001</c:v>
                </c:pt>
                <c:pt idx="126">
                  <c:v>298.387</c:v>
                </c:pt>
                <c:pt idx="127">
                  <c:v>299.89800000000002</c:v>
                </c:pt>
                <c:pt idx="128">
                  <c:v>301.94299999999998</c:v>
                </c:pt>
                <c:pt idx="129">
                  <c:v>304.30500000000001</c:v>
                </c:pt>
                <c:pt idx="130">
                  <c:v>306.69400000000002</c:v>
                </c:pt>
                <c:pt idx="131">
                  <c:v>308.74</c:v>
                </c:pt>
                <c:pt idx="132">
                  <c:v>311.04199999999997</c:v>
                </c:pt>
                <c:pt idx="133">
                  <c:v>313.48200000000003</c:v>
                </c:pt>
                <c:pt idx="134">
                  <c:v>315.54700000000003</c:v>
                </c:pt>
                <c:pt idx="135">
                  <c:v>317.19299999999998</c:v>
                </c:pt>
                <c:pt idx="136">
                  <c:v>318.69200000000001</c:v>
                </c:pt>
                <c:pt idx="137">
                  <c:v>320.02999999999997</c:v>
                </c:pt>
              </c:numCache>
            </c:numRef>
          </c:val>
          <c:smooth val="0"/>
        </c:ser>
        <c:dLbls>
          <c:showLegendKey val="0"/>
          <c:showVal val="0"/>
          <c:showCatName val="0"/>
          <c:showSerName val="0"/>
          <c:showPercent val="0"/>
          <c:showBubbleSize val="0"/>
        </c:dLbls>
        <c:marker val="1"/>
        <c:smooth val="0"/>
        <c:axId val="494098464"/>
        <c:axId val="494099640"/>
      </c:lineChart>
      <c:dateAx>
        <c:axId val="494100816"/>
        <c:scaling>
          <c:orientation val="minMax"/>
        </c:scaling>
        <c:delete val="0"/>
        <c:axPos val="b"/>
        <c:numFmt formatCode="yyyy" sourceLinked="0"/>
        <c:majorTickMark val="out"/>
        <c:minorTickMark val="none"/>
        <c:tickLblPos val="nextTo"/>
        <c:spPr>
          <a:ln>
            <a:solidFill>
              <a:srgbClr val="BFBFBF"/>
            </a:solidFill>
          </a:ln>
        </c:spPr>
        <c:crossAx val="494098072"/>
        <c:crosses val="autoZero"/>
        <c:auto val="1"/>
        <c:lblOffset val="100"/>
        <c:baseTimeUnit val="months"/>
        <c:majorUnit val="8"/>
        <c:majorTimeUnit val="years"/>
      </c:dateAx>
      <c:valAx>
        <c:axId val="494098072"/>
        <c:scaling>
          <c:orientation val="minMax"/>
          <c:max val="12"/>
          <c:min val="0"/>
        </c:scaling>
        <c:delete val="0"/>
        <c:axPos val="l"/>
        <c:title>
          <c:tx>
            <c:rich>
              <a:bodyPr/>
              <a:lstStyle/>
              <a:p>
                <a:pPr>
                  <a:defRPr/>
                </a:pPr>
                <a:r>
                  <a:rPr lang="en-AU"/>
                  <a:t>Employment (million)</a:t>
                </a:r>
              </a:p>
            </c:rich>
          </c:tx>
          <c:layout/>
          <c:overlay val="0"/>
        </c:title>
        <c:numFmt formatCode="General" sourceLinked="1"/>
        <c:majorTickMark val="out"/>
        <c:minorTickMark val="none"/>
        <c:tickLblPos val="nextTo"/>
        <c:spPr>
          <a:ln>
            <a:solidFill>
              <a:srgbClr val="BFBFBF"/>
            </a:solidFill>
          </a:ln>
        </c:spPr>
        <c:crossAx val="494100816"/>
        <c:crosses val="autoZero"/>
        <c:crossBetween val="midCat"/>
        <c:majorUnit val="2"/>
      </c:valAx>
      <c:valAx>
        <c:axId val="494099640"/>
        <c:scaling>
          <c:orientation val="minMax"/>
          <c:max val="360"/>
        </c:scaling>
        <c:delete val="0"/>
        <c:axPos val="r"/>
        <c:title>
          <c:tx>
            <c:rich>
              <a:bodyPr/>
              <a:lstStyle/>
              <a:p>
                <a:pPr>
                  <a:defRPr/>
                </a:pPr>
                <a:r>
                  <a:rPr lang="en-AU"/>
                  <a:t>Value added ($ billion)</a:t>
                </a:r>
              </a:p>
            </c:rich>
          </c:tx>
          <c:layout/>
          <c:overlay val="0"/>
        </c:title>
        <c:numFmt formatCode="General" sourceLinked="1"/>
        <c:majorTickMark val="out"/>
        <c:minorTickMark val="none"/>
        <c:tickLblPos val="nextTo"/>
        <c:crossAx val="494098464"/>
        <c:crosses val="max"/>
        <c:crossBetween val="between"/>
        <c:majorUnit val="60"/>
      </c:valAx>
      <c:dateAx>
        <c:axId val="494098464"/>
        <c:scaling>
          <c:orientation val="minMax"/>
        </c:scaling>
        <c:delete val="1"/>
        <c:axPos val="b"/>
        <c:numFmt formatCode="mmm\-yyyy" sourceLinked="1"/>
        <c:majorTickMark val="out"/>
        <c:minorTickMark val="none"/>
        <c:tickLblPos val="nextTo"/>
        <c:crossAx val="494099640"/>
        <c:crosses val="autoZero"/>
        <c:auto val="1"/>
        <c:lblOffset val="100"/>
        <c:baseTimeUnit val="months"/>
      </c:dateAx>
      <c:spPr>
        <a:noFill/>
        <a:ln>
          <a:noFill/>
        </a:ln>
      </c:spPr>
    </c:plotArea>
    <c:plotVisOnly val="1"/>
    <c:dispBlanksAs val="gap"/>
    <c:showDLblsOverMax val="0"/>
  </c:chart>
  <c:spPr>
    <a:ln>
      <a:noFill/>
    </a:ln>
  </c:spPr>
  <c:txPr>
    <a:bodyPr/>
    <a:lstStyle/>
    <a:p>
      <a:pPr>
        <a:defRPr sz="900" spc="20" baseline="0">
          <a:latin typeface="Arial" pitchFamily="34" charset="0"/>
        </a:defRPr>
      </a:pPr>
      <a:endParaRPr lang="en-US"/>
    </a:p>
  </c:txPr>
  <c:externalData r:id="rId2">
    <c:autoUpdate val="0"/>
  </c:externalData>
</c:chartSpace>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7E2F7-BC05-43A5-A67E-988F07216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335</TotalTime>
  <Pages>8</Pages>
  <Words>2261</Words>
  <Characters>13420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Productivity Commission Submission</vt:lpstr>
    </vt:vector>
  </TitlesOfParts>
  <Company>Productivity Commission</Company>
  <LinksUpToDate>false</LinksUpToDate>
  <CharactersWithSpaces>15650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Productivity Commission Submission</dc:title>
  <dc:subject>Senate Select Committee on Jobs for the Future in Regional Areas</dc:subject>
  <dc:creator>Cavar, Mary</dc:creator>
  <cp:keywords/>
  <dc:description>1.</dc:description>
  <cp:lastModifiedBy>Pimperl, Mark</cp:lastModifiedBy>
  <cp:revision>14</cp:revision>
  <cp:lastPrinted>2019-09-13T04:46:00Z</cp:lastPrinted>
  <dcterms:created xsi:type="dcterms:W3CDTF">2019-09-02T03:50:00Z</dcterms:created>
  <dcterms:modified xsi:type="dcterms:W3CDTF">2019-09-29T22:24:00Z</dcterms:modified>
</cp:coreProperties>
</file>